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4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1409422" cy="9810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422" cy="981075"/>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厦门红相电力设备股份有限公司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3403" w:right="3402" w:firstLine="0"/>
        <w:jc w:val="center"/>
        <w:rPr>
          <w:rFonts w:ascii="Times New Roman" w:hAnsi="Times New Roman" w:cs="Times New Roman" w:eastAsia="Times New Roman" w:hint="default"/>
          <w:sz w:val="22"/>
          <w:szCs w:val="22"/>
        </w:rPr>
      </w:pPr>
      <w:r>
        <w:rPr>
          <w:rFonts w:ascii="Times New Roman"/>
          <w:b/>
          <w:sz w:val="22"/>
        </w:rPr>
        <w:t>2016-020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公司负责人杨成、主管会计工作负责人马露萍及会计机构负责人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黄雅琼声明：保证年度报告中财务报告的真实、准确、完整。</w:t>
      </w:r>
      <w:r>
        <w:rPr>
          <w:rFonts w:ascii="宋体" w:hAnsi="宋体" w:cs="宋体" w:eastAsia="宋体" w:hint="default"/>
          <w:sz w:val="28"/>
          <w:szCs w:val="28"/>
        </w:rPr>
      </w:r>
    </w:p>
    <w:p>
      <w:pPr>
        <w:spacing w:line="472" w:lineRule="auto" w:before="147"/>
        <w:ind w:left="1836" w:right="0" w:hanging="141"/>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本报告涉及的未来计划、发展战略等前瞻性描述不构成公司对投资者的实</w:t>
      </w:r>
      <w:r>
        <w:rPr>
          <w:rFonts w:ascii="宋体" w:hAnsi="宋体" w:cs="宋体" w:eastAsia="宋体" w:hint="default"/>
          <w:spacing w:val="-2"/>
          <w:sz w:val="28"/>
          <w:szCs w:val="28"/>
        </w:rPr>
      </w:r>
    </w:p>
    <w:p>
      <w:pPr>
        <w:spacing w:line="475" w:lineRule="auto" w:before="0"/>
        <w:ind w:left="1695" w:right="0" w:hanging="562"/>
        <w:jc w:val="left"/>
        <w:rPr>
          <w:rFonts w:ascii="宋体" w:hAnsi="宋体" w:cs="宋体" w:eastAsia="宋体" w:hint="default"/>
          <w:sz w:val="28"/>
          <w:szCs w:val="28"/>
        </w:rPr>
      </w:pPr>
      <w:r>
        <w:rPr>
          <w:rFonts w:ascii="宋体" w:hAnsi="宋体" w:cs="宋体" w:eastAsia="宋体" w:hint="default"/>
          <w:b/>
          <w:bCs/>
          <w:sz w:val="28"/>
          <w:szCs w:val="28"/>
        </w:rPr>
        <w:t>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管理层分析与讨论</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部分，详</w:t>
      </w:r>
      <w:r>
        <w:rPr>
          <w:rFonts w:ascii="宋体" w:hAnsi="宋体" w:cs="宋体" w:eastAsia="宋体" w:hint="default"/>
          <w:spacing w:val="3"/>
          <w:sz w:val="28"/>
          <w:szCs w:val="28"/>
        </w:rPr>
      </w:r>
    </w:p>
    <w:p>
      <w:pPr>
        <w:spacing w:line="300" w:lineRule="exact" w:before="0"/>
        <w:ind w:left="1695" w:right="0" w:hanging="562"/>
        <w:jc w:val="left"/>
        <w:rPr>
          <w:rFonts w:ascii="宋体" w:hAnsi="宋体" w:cs="宋体" w:eastAsia="宋体" w:hint="default"/>
          <w:sz w:val="28"/>
          <w:szCs w:val="28"/>
        </w:rPr>
      </w:pPr>
      <w:r>
        <w:rPr>
          <w:rFonts w:ascii="宋体" w:hAnsi="宋体" w:cs="宋体" w:eastAsia="宋体" w:hint="default"/>
          <w:b/>
          <w:bCs/>
          <w:sz w:val="28"/>
          <w:szCs w:val="28"/>
        </w:rPr>
        <w:t>细描述了公司经营中可能存在的风险及应对措施，敬请投资者关注相关内容。</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88,670,000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1.9</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22</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红相电力、公司、本公司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厦门红相电力设备股份有限公司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Red Phase Instruments Australia Pty</w:t>
            </w:r>
            <w:r>
              <w:rPr>
                <w:rFonts w:ascii="Times New Roman"/>
                <w:spacing w:val="-19"/>
                <w:sz w:val="18"/>
              </w:rPr>
              <w:t> </w:t>
            </w:r>
            <w:r>
              <w:rPr>
                <w:rFonts w:ascii="Times New Roman"/>
                <w:sz w:val="18"/>
              </w:rPr>
              <w:t>Ltd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涵普电力、浙江涵普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浙江涵普三维电力科技有限公司</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状态检修（</w:t>
            </w:r>
            <w:r>
              <w:rPr>
                <w:rFonts w:ascii="Times New Roman" w:hAnsi="Times New Roman" w:cs="Times New Roman" w:eastAsia="Times New Roman" w:hint="default"/>
                <w:sz w:val="18"/>
                <w:szCs w:val="18"/>
              </w:rPr>
              <w:t>CBM</w:t>
            </w:r>
            <w:r>
              <w:rPr>
                <w:rFonts w:ascii="宋体" w:hAnsi="宋体" w:cs="宋体" w:eastAsia="宋体" w:hint="default"/>
                <w:sz w:val="18"/>
                <w:szCs w:val="18"/>
              </w:rPr>
              <w: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Condition Based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Maintenance</w:t>
            </w:r>
            <w:r>
              <w:rPr>
                <w:rFonts w:ascii="宋体" w:hAnsi="宋体" w:cs="宋体" w:eastAsia="宋体" w:hint="default"/>
                <w:sz w:val="18"/>
                <w:szCs w:val="18"/>
              </w:rPr>
              <w:t>，一种以设备状态为基础的预防性检修， 它是企业以安全、可靠、环境、成本为基础，通过设备的状态评价、 风险评估、检修决策等手段开展设备检修工作，达到设备运行安全可 靠，检修成本合理的一种检修策略。</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71"/>
              <w:jc w:val="left"/>
              <w:rPr>
                <w:rFonts w:ascii="宋体" w:hAnsi="宋体" w:cs="宋体" w:eastAsia="宋体" w:hint="default"/>
                <w:sz w:val="18"/>
                <w:szCs w:val="18"/>
              </w:rPr>
            </w:pPr>
            <w:r>
              <w:rPr>
                <w:rFonts w:ascii="宋体" w:hAnsi="宋体" w:cs="宋体" w:eastAsia="宋体" w:hint="default"/>
                <w:sz w:val="18"/>
                <w:szCs w:val="18"/>
              </w:rPr>
              <w:t>利用电磁感应原理能够将电力系统中一个电压等级下的电压和电流 转换为另一个电压等级下的电压和电流的电力设备。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互感器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51"/>
              <w:ind w:left="27"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Instrument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Transformer</w:t>
            </w:r>
            <w:r>
              <w:rPr>
                <w:rFonts w:ascii="宋体" w:hAnsi="宋体" w:cs="宋体" w:eastAsia="宋体" w:hint="default"/>
                <w:sz w:val="18"/>
                <w:szCs w:val="18"/>
              </w:rPr>
              <w:t>，是指按比例变换电压或电流的设备。其功能</w:t>
            </w:r>
            <w:r>
              <w:rPr>
                <w:rFonts w:ascii="宋体" w:hAnsi="宋体" w:cs="宋体" w:eastAsia="宋体" w:hint="default"/>
                <w:w w:val="99"/>
                <w:sz w:val="18"/>
                <w:szCs w:val="18"/>
              </w:rPr>
              <w:t> </w:t>
            </w:r>
            <w:r>
              <w:rPr>
                <w:rFonts w:ascii="宋体" w:hAnsi="宋体" w:cs="宋体" w:eastAsia="宋体" w:hint="default"/>
                <w:spacing w:val="-2"/>
                <w:sz w:val="18"/>
                <w:szCs w:val="18"/>
              </w:rPr>
              <w:t>主要是将高电压或大电流按比例变换成标准低电压或标准小电流，以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便实现测量仪表、保护设备及自动控制设备的标准化、小型化，同时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互感器还可用来隔开高电压系统，以保证人身和设备的安全。互感器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可分电流互感器（简称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CT</w:t>
            </w:r>
            <w:r>
              <w:rPr>
                <w:rFonts w:ascii="宋体" w:hAnsi="宋体" w:cs="宋体" w:eastAsia="宋体" w:hint="default"/>
                <w:sz w:val="18"/>
                <w:szCs w:val="18"/>
              </w:rPr>
              <w:t>）和电压互感器（简称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PT</w:t>
            </w:r>
            <w:r>
              <w:rPr>
                <w:rFonts w:ascii="宋体" w:hAnsi="宋体" w:cs="宋体" w:eastAsia="宋体" w:hint="default"/>
                <w:sz w:val="18"/>
                <w:szCs w:val="18"/>
              </w:rPr>
              <w:t>）两类。</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785"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用电管理系统</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0"/>
              <w:jc w:val="left"/>
              <w:rPr>
                <w:rFonts w:ascii="宋体" w:hAnsi="宋体" w:cs="宋体" w:eastAsia="宋体" w:hint="default"/>
                <w:sz w:val="18"/>
                <w:szCs w:val="18"/>
              </w:rPr>
            </w:pPr>
            <w:r>
              <w:rPr>
                <w:rFonts w:ascii="宋体" w:hAnsi="宋体" w:cs="宋体" w:eastAsia="宋体" w:hint="default"/>
                <w:spacing w:val="-2"/>
                <w:sz w:val="18"/>
                <w:szCs w:val="18"/>
              </w:rPr>
              <w:t>对电力用户的用电信息进行采集、处理和实时监控的系统产品，实现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用电信息的自动采集、计量异常监测、电能质量监测、用电分析和管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理、相关信息发布、分布式能源监控、智能用电设备的信息交互等功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能的终端产品，主要包含用电信息采集终端、专变采集终端、集中抄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表终端（集中器、采集器等）、分布式能源监控终端、电力负荷配变</w:t>
            </w:r>
            <w:r>
              <w:rPr>
                <w:rFonts w:ascii="宋体" w:hAnsi="宋体" w:cs="宋体" w:eastAsia="宋体" w:hint="default"/>
                <w:sz w:val="18"/>
                <w:szCs w:val="18"/>
              </w:rPr>
              <w:t> 监测终端等。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785"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一次设备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在电网中直接承担电力输送及电压转换的输配电设备，如发电机、变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压器、断路器、隔离开关、电压及电流互感器等。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296"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以物理电网为基础，将现代先进的传感测量技术、通讯技术、信息技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术、计算机技术和控制技术与物理电网高度集成而形成的具备智能判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断与自适应调节能力的多种能源兼容、分布式管理的安全、可靠、经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298"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济、节能、环保、高效的互动式智能化网络。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厦门红相电力设备股份有限公司及其子公司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45"/>
        <w:gridCol w:w="2188"/>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红相电力</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300427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厦门红相电力设备股份有限公司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红相电力</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XIAMEN RED PHASE INSTRUMENTS</w:t>
            </w:r>
            <w:r>
              <w:rPr>
                <w:rFonts w:ascii="Times New Roman"/>
                <w:spacing w:val="-5"/>
                <w:sz w:val="18"/>
              </w:rPr>
              <w:t> </w:t>
            </w:r>
            <w:r>
              <w:rPr>
                <w:rFonts w:ascii="Times New Roman"/>
                <w:sz w:val="18"/>
              </w:rPr>
              <w:t>INC.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厦门市思明区水仙路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号海光大厦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单元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生产场所：厦门市同安区美溪道思明工业园</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号第一至二层）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361001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厦门市思明区水仙路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号海光大厦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361001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hyperlink r:id="rId9">
              <w:r>
                <w:rPr>
                  <w:rFonts w:ascii="Times New Roman"/>
                  <w:sz w:val="18"/>
                </w:rPr>
                <w:t>http://www.redphase.com.cn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福建省厦门市思明区水仙路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号海光大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福建省厦门市思明区水仙路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号海光大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0592-8126108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0592-8126108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0592-2107581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0592-2107581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刘维、吴乐霖</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长江证券承销保荐有限公司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国际金融大厦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蒋庆华、赖洁楠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305,254,632.75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267,597,005.07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242,094,510.09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70,937,874.33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56,305,338.14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53,073,797.45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56,682,597.45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50,571,207.28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49,588,033.44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42,473,127.37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16,764,281.91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24,470,371.84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759,728,039.91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424,047,626.49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364,248,344.59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564,009,974.16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322,313,909.04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280,801,031.14</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15,158,493.66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88,555,497.87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30,788,755.30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170,751,885.92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-5,869,982.08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16,751,573.91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1,134,995.12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58,921,287.38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-5,909,517.92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14,954,978.41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-2,121,694.80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49,758,831.76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-29,202,743.71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-27,528,010.36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11,708,865.09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87,495,016.35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-125,055.12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277,560.20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647,594.64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3,819,307.16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1,220,365.17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3,734,543.51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2,237,755.60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2,153,324.93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7,449,573.49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-8,430.53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586,266.53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4,746,518.94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1,252,136.52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1,186,758.63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540,875.24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289,736.89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14,255,276.88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5,734,130.86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3,485,764.01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1"/>
        <w:ind w:left="1133"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2"/>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1440"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公司主营业务、主要产品、服务及其用途</w:t>
      </w:r>
      <w:r>
        <w:rPr>
          <w:b w:val="0"/>
          <w:bCs w:val="0"/>
        </w:rPr>
      </w:r>
    </w:p>
    <w:p>
      <w:pPr>
        <w:spacing w:line="240" w:lineRule="auto" w:before="3"/>
        <w:rPr>
          <w:rFonts w:ascii="宋体" w:hAnsi="宋体" w:cs="宋体" w:eastAsia="宋体" w:hint="default"/>
          <w:b/>
          <w:bCs/>
          <w:sz w:val="23"/>
          <w:szCs w:val="23"/>
        </w:rPr>
      </w:pPr>
    </w:p>
    <w:p>
      <w:pPr>
        <w:pStyle w:val="BodyText"/>
        <w:spacing w:line="256" w:lineRule="auto"/>
        <w:ind w:left="1553" w:right="4453"/>
        <w:jc w:val="left"/>
      </w:pPr>
      <w:r>
        <w:rPr>
          <w:rFonts w:ascii="Times New Roman" w:hAnsi="Times New Roman" w:cs="Times New Roman" w:eastAsia="Times New Roman" w:hint="default"/>
        </w:rPr>
        <w:t>1</w:t>
      </w:r>
      <w:r>
        <w:rPr/>
        <w:t>、公司主营业务、主要产品和服务 报告期内，公司主要从事以下产品的研发、生产、销售及服务：</w:t>
      </w:r>
    </w:p>
    <w:p>
      <w:pPr>
        <w:pStyle w:val="BodyText"/>
        <w:spacing w:line="240" w:lineRule="auto" w:before="22"/>
        <w:ind w:left="1553" w:right="0"/>
        <w:jc w:val="left"/>
      </w:pPr>
      <w:r>
        <w:rPr/>
        <w:t>（</w:t>
      </w:r>
      <w:r>
        <w:rPr>
          <w:rFonts w:ascii="Times New Roman" w:hAnsi="Times New Roman" w:cs="Times New Roman" w:eastAsia="Times New Roman" w:hint="default"/>
        </w:rPr>
        <w:t>1</w:t>
      </w:r>
      <w:r>
        <w:rPr/>
        <w:t>）电力设备状态检测、监测产品</w:t>
      </w:r>
    </w:p>
    <w:p>
      <w:pPr>
        <w:pStyle w:val="BodyText"/>
        <w:spacing w:line="240" w:lineRule="auto" w:before="21"/>
        <w:ind w:left="1553" w:right="0"/>
        <w:jc w:val="left"/>
      </w:pPr>
      <w:r>
        <w:rPr/>
        <w:t>（</w:t>
      </w:r>
      <w:r>
        <w:rPr>
          <w:rFonts w:ascii="Times New Roman" w:hAnsi="Times New Roman" w:cs="Times New Roman" w:eastAsia="Times New Roman" w:hint="default"/>
        </w:rPr>
        <w:t>2</w:t>
      </w:r>
      <w:r>
        <w:rPr/>
        <w:t>）智能用电终端产品及电能表</w:t>
      </w:r>
    </w:p>
    <w:p>
      <w:pPr>
        <w:pStyle w:val="BodyText"/>
        <w:spacing w:line="240" w:lineRule="auto" w:before="21"/>
        <w:ind w:left="1553" w:right="0"/>
        <w:jc w:val="left"/>
      </w:pPr>
      <w:r>
        <w:rPr/>
        <w:t>（</w:t>
      </w:r>
      <w:r>
        <w:rPr>
          <w:rFonts w:ascii="Times New Roman" w:hAnsi="Times New Roman" w:cs="Times New Roman" w:eastAsia="Times New Roman" w:hint="default"/>
        </w:rPr>
        <w:t>3</w:t>
      </w:r>
      <w:r>
        <w:rPr/>
        <w:t>）配网自动化设备</w:t>
      </w:r>
    </w:p>
    <w:p>
      <w:pPr>
        <w:pStyle w:val="BodyText"/>
        <w:spacing w:line="256" w:lineRule="auto" w:before="21"/>
        <w:ind w:left="1553" w:right="1128"/>
        <w:jc w:val="left"/>
      </w:pPr>
      <w:r>
        <w:rPr/>
        <w:t>（</w:t>
      </w:r>
      <w:r>
        <w:rPr>
          <w:rFonts w:ascii="Times New Roman" w:hAnsi="Times New Roman" w:cs="Times New Roman" w:eastAsia="Times New Roman" w:hint="default"/>
        </w:rPr>
        <w:t>4</w:t>
      </w:r>
      <w:r>
        <w:rPr/>
        <w:t>）电力工程服务 报告期内公司以现金方式收购浙江涵普电力科技有限公司</w:t>
      </w:r>
      <w:r>
        <w:rPr>
          <w:rFonts w:ascii="Times New Roman" w:hAnsi="Times New Roman" w:cs="Times New Roman" w:eastAsia="Times New Roman" w:hint="default"/>
        </w:rPr>
        <w:t>51%</w:t>
      </w:r>
      <w:r>
        <w:rPr/>
        <w:t>股权，其主营业务是电测标准装置、配</w:t>
      </w:r>
    </w:p>
    <w:p>
      <w:pPr>
        <w:pStyle w:val="BodyText"/>
        <w:spacing w:line="240" w:lineRule="auto" w:before="5"/>
        <w:ind w:right="0"/>
        <w:jc w:val="both"/>
      </w:pPr>
      <w:r>
        <w:rPr/>
        <w:t>电智能产品和配网自动化终端产品的研发、设计、生产和销售及相关服务。</w:t>
      </w:r>
    </w:p>
    <w:p>
      <w:pPr>
        <w:pStyle w:val="BodyText"/>
        <w:spacing w:line="256" w:lineRule="auto" w:before="37"/>
        <w:ind w:left="1553" w:right="0"/>
        <w:jc w:val="left"/>
      </w:pPr>
      <w:r>
        <w:rPr>
          <w:rFonts w:ascii="Times New Roman" w:hAnsi="Times New Roman" w:cs="Times New Roman" w:eastAsia="Times New Roman" w:hint="default"/>
        </w:rPr>
        <w:t>2</w:t>
      </w:r>
      <w:r>
        <w:rPr/>
        <w:t>、公司主要产品用途 </w:t>
      </w:r>
      <w:r>
        <w:rPr>
          <w:spacing w:val="-1"/>
        </w:rPr>
        <w:t>公司产品是保障电网安全、稳定、可靠运行和电能计量准确性的重要设备，也是建设智能电网和实施</w:t>
      </w:r>
    </w:p>
    <w:p>
      <w:pPr>
        <w:pStyle w:val="BodyText"/>
        <w:spacing w:line="273" w:lineRule="auto" w:before="22"/>
        <w:ind w:right="1131"/>
        <w:jc w:val="both"/>
      </w:pPr>
      <w:r>
        <w:rPr>
          <w:spacing w:val="-1"/>
        </w:rPr>
        <w:t>状态检修的重要设备。公司产品可广泛应用于电力系统发电、输电、变电、配电、用电的各个环节，客户</w:t>
      </w:r>
      <w:r>
        <w:rPr>
          <w:spacing w:val="-83"/>
        </w:rPr>
        <w:t> </w:t>
      </w:r>
      <w:r>
        <w:rPr>
          <w:spacing w:val="-83"/>
        </w:rPr>
      </w:r>
      <w:r>
        <w:rPr>
          <w:spacing w:val="-1"/>
        </w:rPr>
        <w:t>主要以国家电网公司和南方电网公司为主，以及发电企业、电气化铁路、石油、化工、冶金等具有内部电</w:t>
      </w:r>
      <w:r>
        <w:rPr>
          <w:spacing w:val="-83"/>
        </w:rPr>
        <w:t> </w:t>
      </w:r>
      <w:r>
        <w:rPr>
          <w:spacing w:val="-83"/>
        </w:rPr>
      </w:r>
      <w:r>
        <w:rPr/>
        <w:t>网管理需求的企业。</w:t>
      </w:r>
    </w:p>
    <w:p>
      <w:pPr>
        <w:pStyle w:val="Heading4"/>
        <w:spacing w:line="240" w:lineRule="auto" w:before="7"/>
        <w:ind w:left="1556" w:right="0"/>
        <w:jc w:val="left"/>
        <w:rPr>
          <w:b w:val="0"/>
          <w:bCs w:val="0"/>
        </w:rPr>
      </w:pPr>
      <w:r>
        <w:rPr/>
        <w:t>（二）经营模式</w:t>
      </w:r>
      <w:r>
        <w:rPr>
          <w:b w:val="0"/>
          <w:bCs w:val="0"/>
        </w:rPr>
      </w:r>
    </w:p>
    <w:p>
      <w:pPr>
        <w:pStyle w:val="BodyText"/>
        <w:spacing w:line="256" w:lineRule="auto" w:before="37"/>
        <w:ind w:left="1553" w:right="1116"/>
        <w:jc w:val="left"/>
      </w:pPr>
      <w:r>
        <w:rPr>
          <w:rFonts w:ascii="Times New Roman" w:hAnsi="Times New Roman" w:cs="Times New Roman" w:eastAsia="Times New Roman" w:hint="default"/>
        </w:rPr>
        <w:t>1</w:t>
      </w:r>
      <w:r>
        <w:rPr/>
        <w:t>、销售模式 </w:t>
      </w:r>
      <w:r>
        <w:rPr>
          <w:spacing w:val="-1"/>
        </w:rPr>
        <w:t>公司客户以国家电网公司和南方电网公司及其下属成员企业为主。根据国家电网公司、南方电网公司</w:t>
      </w:r>
    </w:p>
    <w:p>
      <w:pPr>
        <w:pStyle w:val="BodyText"/>
        <w:spacing w:line="273" w:lineRule="auto" w:before="22"/>
        <w:ind w:right="1131"/>
        <w:jc w:val="both"/>
      </w:pPr>
      <w:r>
        <w:rPr>
          <w:spacing w:val="-1"/>
        </w:rPr>
        <w:t>颁布的招标采购管理办法，两大电网公司及其下属企业的设备采购主要采用招标模式进行，公司的销售订</w:t>
      </w:r>
      <w:r>
        <w:rPr>
          <w:spacing w:val="-81"/>
        </w:rPr>
        <w:t> </w:t>
      </w:r>
      <w:r>
        <w:rPr>
          <w:spacing w:val="-81"/>
        </w:rPr>
      </w:r>
      <w:r>
        <w:rPr/>
        <w:t>单主要通过招投标方式获得，采用直销的方式销售。</w:t>
      </w:r>
    </w:p>
    <w:p>
      <w:pPr>
        <w:pStyle w:val="BodyText"/>
        <w:spacing w:line="256" w:lineRule="auto" w:before="7"/>
        <w:ind w:left="1553" w:right="1117"/>
        <w:jc w:val="left"/>
      </w:pPr>
      <w:r>
        <w:rPr>
          <w:rFonts w:ascii="Times New Roman" w:hAnsi="Times New Roman" w:cs="Times New Roman" w:eastAsia="Times New Roman" w:hint="default"/>
        </w:rPr>
        <w:t>2</w:t>
      </w:r>
      <w:r>
        <w:rPr/>
        <w:t>、生产模式 公司生产组织方式主要根据客户需求进行相应产品的生产，采取</w:t>
      </w:r>
      <w:r>
        <w:rPr>
          <w:rFonts w:ascii="Times New Roman" w:hAnsi="Times New Roman" w:cs="Times New Roman" w:eastAsia="Times New Roman" w:hint="default"/>
        </w:rPr>
        <w:t>“</w:t>
      </w:r>
      <w:r>
        <w:rPr/>
        <w:t>以销定产</w:t>
      </w:r>
      <w:r>
        <w:rPr>
          <w:rFonts w:ascii="Times New Roman" w:hAnsi="Times New Roman" w:cs="Times New Roman" w:eastAsia="Times New Roman" w:hint="default"/>
        </w:rPr>
        <w:t>”</w:t>
      </w:r>
      <w:r>
        <w:rPr/>
        <w:t>为主的生产模式，包括在</w:t>
      </w:r>
    </w:p>
    <w:p>
      <w:pPr>
        <w:pStyle w:val="BodyText"/>
        <w:spacing w:line="273" w:lineRule="auto" w:before="5"/>
        <w:ind w:right="1132"/>
        <w:jc w:val="both"/>
      </w:pPr>
      <w:r>
        <w:rPr>
          <w:spacing w:val="-1"/>
        </w:rPr>
        <w:t>获取客户中标通知书或签订合同后才进行的订单生产和根据对客户的需求以及预期中标成功率预测，提前</w:t>
      </w:r>
      <w:r>
        <w:rPr>
          <w:spacing w:val="-81"/>
        </w:rPr>
        <w:t> </w:t>
      </w:r>
      <w:r>
        <w:rPr>
          <w:spacing w:val="-81"/>
        </w:rPr>
      </w:r>
      <w:r>
        <w:rPr/>
        <w:t>安排销售把握较大产品的备货生产。</w:t>
      </w:r>
    </w:p>
    <w:p>
      <w:pPr>
        <w:pStyle w:val="BodyText"/>
        <w:spacing w:line="256" w:lineRule="auto" w:before="7"/>
        <w:ind w:left="1553" w:right="1116"/>
        <w:jc w:val="left"/>
      </w:pPr>
      <w:r>
        <w:rPr>
          <w:rFonts w:ascii="Times New Roman" w:hAnsi="Times New Roman" w:cs="Times New Roman" w:eastAsia="Times New Roman" w:hint="default"/>
        </w:rPr>
        <w:t>3</w:t>
      </w:r>
      <w:r>
        <w:rPr/>
        <w:t>、采购模式 </w:t>
      </w:r>
      <w:r>
        <w:rPr>
          <w:spacing w:val="-1"/>
        </w:rPr>
        <w:t>公司根据生产计划确定采购原材料的品名、规格、数量等，并进行供应商评估与选择，采取批量采购</w:t>
      </w:r>
    </w:p>
    <w:p>
      <w:pPr>
        <w:pStyle w:val="BodyText"/>
        <w:spacing w:line="273" w:lineRule="auto" w:before="22"/>
        <w:ind w:right="1131"/>
        <w:jc w:val="both"/>
      </w:pPr>
      <w:r>
        <w:rPr>
          <w:spacing w:val="-1"/>
        </w:rPr>
        <w:t>和按需即时采购相结合的模式，进行定制化零部件采购和标准化零部件采购。为了有效控制产品质量和成</w:t>
      </w:r>
      <w:r>
        <w:rPr>
          <w:spacing w:val="-81"/>
        </w:rPr>
        <w:t> </w:t>
      </w:r>
      <w:r>
        <w:rPr>
          <w:spacing w:val="-81"/>
        </w:rPr>
      </w:r>
      <w:r>
        <w:rPr/>
        <w:t>本，公司建立了一套严格的采购管理制度，以规范原材料采购环节的质量控制和审批流程。</w:t>
      </w:r>
    </w:p>
    <w:p>
      <w:pPr>
        <w:pStyle w:val="BodyText"/>
        <w:spacing w:line="256" w:lineRule="auto" w:before="7"/>
        <w:ind w:left="1469" w:right="0" w:firstLine="63"/>
        <w:jc w:val="left"/>
      </w:pPr>
      <w:r>
        <w:rPr>
          <w:rFonts w:ascii="Times New Roman" w:hAnsi="Times New Roman" w:cs="Times New Roman" w:eastAsia="Times New Roman" w:hint="default"/>
        </w:rPr>
        <w:t>4</w:t>
      </w:r>
      <w:r>
        <w:rPr/>
        <w:t>、研发模式 公司的研发模式主要围绕市场进行产品的开发或升级。根据公司的既定发展战略深入研究、开发、储</w:t>
      </w:r>
    </w:p>
    <w:p>
      <w:pPr>
        <w:pStyle w:val="BodyText"/>
        <w:spacing w:line="273" w:lineRule="auto" w:before="22"/>
        <w:ind w:right="1131"/>
        <w:jc w:val="both"/>
      </w:pPr>
      <w:r>
        <w:rPr>
          <w:spacing w:val="-1"/>
        </w:rPr>
        <w:t>备未来应用技术，引领客户需求并适时推出相关技术产品。针对状态检测、监测技术应用特点有序进行状</w:t>
      </w:r>
      <w:r>
        <w:rPr>
          <w:spacing w:val="-83"/>
        </w:rPr>
        <w:t> </w:t>
      </w:r>
      <w:r>
        <w:rPr>
          <w:spacing w:val="-83"/>
        </w:rPr>
      </w:r>
      <w:r>
        <w:rPr>
          <w:spacing w:val="-1"/>
        </w:rPr>
        <w:t>态检测、监测数据积累、数据挖掘、算法更新等。为了更加系统地服务客户，着手建立面向客户的智能数</w:t>
      </w:r>
      <w:r>
        <w:rPr>
          <w:spacing w:val="-83"/>
        </w:rPr>
        <w:t> </w:t>
      </w:r>
      <w:r>
        <w:rPr>
          <w:spacing w:val="-83"/>
        </w:rPr>
      </w:r>
      <w:r>
        <w:rPr/>
        <w:t>据中心，以提高状态检测、监测的定量、定性、定位等综合诊断需要。</w:t>
      </w:r>
    </w:p>
    <w:p>
      <w:pPr>
        <w:spacing w:line="273" w:lineRule="auto" w:before="7"/>
        <w:ind w:left="1553" w:right="5503" w:firstLine="2"/>
        <w:jc w:val="left"/>
        <w:rPr>
          <w:rFonts w:ascii="宋体" w:hAnsi="宋体" w:cs="宋体" w:eastAsia="宋体" w:hint="default"/>
          <w:sz w:val="21"/>
          <w:szCs w:val="21"/>
        </w:rPr>
      </w:pPr>
      <w:r>
        <w:rPr>
          <w:rFonts w:ascii="宋体" w:hAnsi="宋体" w:cs="宋体" w:eastAsia="宋体" w:hint="default"/>
          <w:b/>
          <w:bCs/>
          <w:sz w:val="21"/>
          <w:szCs w:val="21"/>
        </w:rPr>
        <w:t>（三）公司所属行业的基本情况</w:t>
      </w:r>
      <w:r>
        <w:rPr>
          <w:rFonts w:ascii="宋体" w:hAnsi="宋体" w:cs="宋体" w:eastAsia="宋体" w:hint="default"/>
          <w:b/>
          <w:bCs/>
          <w:w w:val="99"/>
          <w:sz w:val="21"/>
          <w:szCs w:val="21"/>
        </w:rPr>
        <w:t> </w:t>
      </w:r>
      <w:r>
        <w:rPr>
          <w:rFonts w:ascii="宋体" w:hAnsi="宋体" w:cs="宋体" w:eastAsia="宋体" w:hint="default"/>
          <w:sz w:val="21"/>
          <w:szCs w:val="21"/>
        </w:rPr>
        <w:t>公司产品主要用于电力系统，属于电力设备制造业。 </w:t>
      </w:r>
      <w:r>
        <w:rPr>
          <w:rFonts w:ascii="Times New Roman" w:hAnsi="Times New Roman" w:cs="Times New Roman" w:eastAsia="Times New Roman" w:hint="default"/>
          <w:sz w:val="21"/>
          <w:szCs w:val="21"/>
        </w:rPr>
        <w:t>1</w:t>
      </w:r>
      <w:r>
        <w:rPr>
          <w:rFonts w:ascii="宋体" w:hAnsi="宋体" w:cs="宋体" w:eastAsia="宋体" w:hint="default"/>
          <w:sz w:val="21"/>
          <w:szCs w:val="21"/>
        </w:rPr>
        <w:t>、行业基本特征</w:t>
      </w:r>
    </w:p>
    <w:p>
      <w:pPr>
        <w:pStyle w:val="BodyText"/>
        <w:spacing w:line="256" w:lineRule="auto"/>
        <w:ind w:left="1553" w:right="1116"/>
        <w:jc w:val="left"/>
      </w:pPr>
      <w:r>
        <w:rPr>
          <w:rFonts w:ascii="Times New Roman" w:hAnsi="Times New Roman" w:cs="Times New Roman" w:eastAsia="Times New Roman" w:hint="default"/>
        </w:rPr>
        <w:t>(1)</w:t>
      </w:r>
      <w:r>
        <w:rPr/>
        <w:t>周期性</w:t>
      </w:r>
      <w:r>
        <w:rPr>
          <w:w w:val="99"/>
        </w:rPr>
        <w:t> </w:t>
      </w:r>
      <w:r>
        <w:rPr>
          <w:spacing w:val="-1"/>
        </w:rPr>
        <w:t>本行业的发展与电力行业的投资周期基本相符，而电力行业投资周期与国家宏观经济周期又有着正相</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spacing w:val="-1"/>
        </w:rPr>
        <w:t>关关系。近年来，我国经济总体保持着持续、快速、稳定发展的势头，电力行业投资也同样保持了持续增</w:t>
      </w:r>
      <w:r>
        <w:rPr>
          <w:spacing w:val="-83"/>
        </w:rPr>
        <w:t> </w:t>
      </w:r>
      <w:r>
        <w:rPr>
          <w:spacing w:val="-83"/>
        </w:rPr>
      </w:r>
      <w:r>
        <w:rPr/>
        <w:t>长的态势；预计未来较长时期内，宏观经济及电力行业投资的发展态势不会出现大的变化。从长期来看， 本行业的发展不会呈现明显的周期性特征。</w:t>
      </w:r>
    </w:p>
    <w:p>
      <w:pPr>
        <w:pStyle w:val="BodyText"/>
        <w:spacing w:line="273" w:lineRule="auto" w:before="7"/>
        <w:ind w:right="1018" w:firstLine="420"/>
        <w:jc w:val="left"/>
      </w:pPr>
      <w:r>
        <w:rPr>
          <w:spacing w:val="-3"/>
        </w:rPr>
        <w:t>短期来看，电力设备状态检测、监测行业作为新兴行业，存量设备改造会带来巨大的市场需求。同时，</w:t>
      </w:r>
      <w:r>
        <w:rPr/>
        <w:t> 随着智能电网和特高压输电网络建设的全面推进和状态检修策略的全面推广，还会带来一部分新增需求。 因此，总体来看，本行业短期内也不存在明显的周期性。</w:t>
      </w:r>
    </w:p>
    <w:p>
      <w:pPr>
        <w:pStyle w:val="BodyText"/>
        <w:spacing w:line="256" w:lineRule="auto" w:before="7"/>
        <w:ind w:left="1553" w:right="1093"/>
        <w:jc w:val="left"/>
      </w:pPr>
      <w:r>
        <w:rPr>
          <w:rFonts w:ascii="Times New Roman" w:hAnsi="Times New Roman" w:cs="Times New Roman" w:eastAsia="Times New Roman" w:hint="default"/>
        </w:rPr>
        <w:t>(2)</w:t>
      </w:r>
      <w:r>
        <w:rPr/>
        <w:t>区域性</w:t>
      </w:r>
      <w:r>
        <w:rPr>
          <w:w w:val="99"/>
        </w:rPr>
        <w:t> </w:t>
      </w:r>
      <w:r>
        <w:rPr/>
        <w:t>电力设备状态检测、监测产品及电能表均可用于发电、输电、变电、配电和用电领域。一般情况下，</w:t>
      </w:r>
    </w:p>
    <w:p>
      <w:pPr>
        <w:pStyle w:val="BodyText"/>
        <w:spacing w:line="240" w:lineRule="auto" w:before="22"/>
        <w:ind w:right="0"/>
        <w:jc w:val="both"/>
      </w:pPr>
      <w:r>
        <w:rPr/>
        <w:t>在经济发展水平较高和发电、输电和用电量大的区域，其需求量也会较大。</w:t>
      </w:r>
    </w:p>
    <w:p>
      <w:pPr>
        <w:pStyle w:val="BodyText"/>
        <w:spacing w:line="256" w:lineRule="auto" w:before="37"/>
        <w:ind w:left="1553" w:right="1116"/>
        <w:jc w:val="left"/>
      </w:pPr>
      <w:r>
        <w:rPr>
          <w:rFonts w:ascii="Times New Roman" w:hAnsi="Times New Roman" w:cs="Times New Roman" w:eastAsia="Times New Roman" w:hint="default"/>
        </w:rPr>
        <w:t>(3)</w:t>
      </w:r>
      <w:r>
        <w:rPr/>
        <w:t>季节性</w:t>
      </w:r>
      <w:r>
        <w:rPr>
          <w:w w:val="99"/>
        </w:rPr>
        <w:t> </w:t>
      </w:r>
      <w:r>
        <w:rPr>
          <w:spacing w:val="-1"/>
        </w:rPr>
        <w:t>电力设备状态检测、监测产品和电能表产品的下游客户主要集中在国家电网公司和南方电网公司，两</w:t>
      </w:r>
    </w:p>
    <w:p>
      <w:pPr>
        <w:pStyle w:val="BodyText"/>
        <w:spacing w:line="273" w:lineRule="auto" w:before="22"/>
        <w:ind w:right="1131"/>
        <w:jc w:val="both"/>
      </w:pPr>
      <w:r>
        <w:rPr>
          <w:spacing w:val="-1"/>
        </w:rPr>
        <w:t>大电网公司及其下属企业一般在每年下半年进行投资计划立项，次年的一季度对该些项目进行审批，项目</w:t>
      </w:r>
      <w:r>
        <w:rPr>
          <w:spacing w:val="-81"/>
        </w:rPr>
        <w:t> </w:t>
      </w:r>
      <w:r>
        <w:rPr>
          <w:spacing w:val="-81"/>
        </w:rPr>
      </w:r>
      <w:r>
        <w:rPr>
          <w:spacing w:val="-1"/>
        </w:rPr>
        <w:t>实施和验收主要在第三季度末和第四季度，第一季度和第二季度也会有少量的采购。行业内公司的销售及</w:t>
      </w:r>
      <w:r>
        <w:rPr>
          <w:spacing w:val="-81"/>
        </w:rPr>
        <w:t> </w:t>
      </w:r>
      <w:r>
        <w:rPr>
          <w:spacing w:val="-81"/>
        </w:rPr>
      </w:r>
      <w:r>
        <w:rPr/>
        <w:t>回款一般集中在第四季度，经营业绩具有较明显的季节性波动特点。</w:t>
      </w:r>
    </w:p>
    <w:p>
      <w:pPr>
        <w:pStyle w:val="BodyText"/>
        <w:spacing w:line="256" w:lineRule="auto" w:before="7"/>
        <w:ind w:left="1553" w:right="0"/>
        <w:jc w:val="left"/>
      </w:pPr>
      <w:r>
        <w:rPr>
          <w:rFonts w:ascii="Times New Roman" w:hAnsi="Times New Roman" w:cs="Times New Roman" w:eastAsia="Times New Roman" w:hint="default"/>
        </w:rPr>
        <w:t>2</w:t>
      </w:r>
      <w:r>
        <w:rPr/>
        <w:t>、公司所处行业的发展阶段 </w:t>
      </w:r>
      <w:r>
        <w:rPr>
          <w:spacing w:val="-1"/>
        </w:rPr>
        <w:t>在我国，电力设备状态检测、监测行业属于近几年发展起来的新兴行业。随着状态检修方式的全面推</w:t>
      </w:r>
    </w:p>
    <w:p>
      <w:pPr>
        <w:pStyle w:val="BodyText"/>
        <w:spacing w:line="240" w:lineRule="auto" w:before="22"/>
        <w:ind w:right="0"/>
        <w:jc w:val="both"/>
      </w:pPr>
      <w:r>
        <w:rPr/>
        <w:t>行以及坚强智能电网建设的全面启动，电力设备状态检测、监测行业逐步进入成长阶段。</w:t>
      </w:r>
    </w:p>
    <w:p>
      <w:pPr>
        <w:spacing w:line="273" w:lineRule="auto" w:before="37"/>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（四）公司所处的行业地位</w:t>
      </w:r>
      <w:r>
        <w:rPr>
          <w:rFonts w:ascii="宋体" w:hAnsi="宋体" w:cs="宋体" w:eastAsia="宋体" w:hint="default"/>
          <w:b/>
          <w:bCs/>
          <w:w w:val="99"/>
          <w:sz w:val="21"/>
          <w:szCs w:val="21"/>
        </w:rPr>
        <w:t> </w:t>
      </w:r>
      <w:r>
        <w:rPr>
          <w:rFonts w:ascii="宋体" w:hAnsi="宋体" w:cs="宋体" w:eastAsia="宋体" w:hint="default"/>
          <w:spacing w:val="-1"/>
          <w:sz w:val="21"/>
          <w:szCs w:val="21"/>
        </w:rPr>
        <w:t>公司是国内较早推广电力设备状态检测、监测产品的企业。在国内电力行业客户对状态检测、监测尚</w:t>
      </w:r>
    </w:p>
    <w:p>
      <w:pPr>
        <w:pStyle w:val="BodyText"/>
        <w:spacing w:line="273" w:lineRule="auto" w:before="7"/>
        <w:ind w:right="1024"/>
        <w:jc w:val="left"/>
      </w:pPr>
      <w:r>
        <w:rPr/>
        <w:t>缺乏认识、行业整体上处于萌芽阶段的时候，公司即依托澳洲红相在电力设备状态检测、监测行业三十多 </w:t>
      </w:r>
      <w:r>
        <w:rPr>
          <w:spacing w:val="-3"/>
        </w:rPr>
        <w:t>年的技术和经验积累，在中国市场开展大量的技术宣贯，并大力推广电力设备状态检测、监测产品的应用，</w:t>
      </w:r>
      <w:r>
        <w:rPr>
          <w:spacing w:val="-90"/>
        </w:rPr>
        <w:t> </w:t>
      </w:r>
      <w:r>
        <w:rPr>
          <w:spacing w:val="-90"/>
        </w:rPr>
      </w:r>
      <w:r>
        <w:rPr>
          <w:spacing w:val="-3"/>
        </w:rPr>
        <w:t>从而对国内电力设备状态检测、监测行业的发展做出了贡献。在电网领域，公司已经形成显著的技术优势，</w:t>
      </w:r>
      <w:r>
        <w:rPr>
          <w:spacing w:val="-90"/>
        </w:rPr>
        <w:t> </w:t>
      </w:r>
      <w:r>
        <w:rPr>
          <w:spacing w:val="-90"/>
        </w:rPr>
      </w:r>
      <w:r>
        <w:rPr/>
        <w:t>渠道优势，积累了丰富的数据库、案例库，公司核心竞争力进一步提升。</w:t>
      </w:r>
    </w:p>
    <w:p>
      <w:pPr>
        <w:pStyle w:val="Heading4"/>
        <w:spacing w:line="240" w:lineRule="auto" w:before="7"/>
        <w:ind w:left="1556" w:right="0"/>
        <w:jc w:val="left"/>
        <w:rPr>
          <w:b w:val="0"/>
          <w:bCs w:val="0"/>
        </w:rPr>
      </w:pPr>
      <w:r>
        <w:rPr/>
        <w:t>（五）主要的业绩驱动因素</w:t>
      </w:r>
      <w:r>
        <w:rPr>
          <w:b w:val="0"/>
          <w:bCs w:val="0"/>
        </w:rPr>
      </w:r>
    </w:p>
    <w:p>
      <w:pPr>
        <w:pStyle w:val="BodyText"/>
        <w:spacing w:line="268" w:lineRule="auto" w:before="37"/>
        <w:ind w:right="1109" w:firstLine="420"/>
        <w:jc w:val="both"/>
      </w:pPr>
      <w:r>
        <w:rPr>
          <w:rFonts w:ascii="Times New Roman" w:hAnsi="Times New Roman" w:cs="Times New Roman" w:eastAsia="Times New Roman" w:hint="default"/>
        </w:rPr>
        <w:t>2015</w:t>
      </w:r>
      <w:r>
        <w:rPr/>
        <w:t>年公司上市以来，战略发展策略分为两个方向，一是围绕公司目前的核心产品</w:t>
      </w:r>
      <w:r>
        <w:rPr>
          <w:rFonts w:ascii="Times New Roman" w:hAnsi="Times New Roman" w:cs="Times New Roman" w:eastAsia="Times New Roman" w:hint="default"/>
        </w:rPr>
        <w:t>—</w:t>
      </w:r>
      <w:r>
        <w:rPr/>
        <w:t>电力设备检测、 </w:t>
      </w:r>
      <w:r>
        <w:rPr>
          <w:spacing w:val="-1"/>
        </w:rPr>
        <w:t>监测产品在其他应用领域上进行拓展，包括在发电企业、铁路与轨道交通、军工、石油石化等领域；二是</w:t>
      </w:r>
      <w:r>
        <w:rPr>
          <w:spacing w:val="-83"/>
        </w:rPr>
        <w:t> </w:t>
      </w:r>
      <w:r>
        <w:rPr>
          <w:spacing w:val="-83"/>
        </w:rPr>
      </w:r>
      <w:r>
        <w:rPr/>
        <w:t>利用公司在电网市场深厚的积淀，在该领域拓展十三五规划以及电力体制改革发展方向上的产品和服务。 </w:t>
      </w:r>
      <w:r>
        <w:rPr>
          <w:rFonts w:ascii="Times New Roman" w:hAnsi="Times New Roman" w:cs="Times New Roman" w:eastAsia="Times New Roman" w:hint="default"/>
          <w:spacing w:val="3"/>
        </w:rPr>
        <w:t>2015</w:t>
      </w:r>
      <w:r>
        <w:rPr>
          <w:spacing w:val="3"/>
        </w:rPr>
        <w:t>年公司通过包括并购浙江涵普电力科技有限公司在内的各种方式在上述两个方向上快速获取优质资</w:t>
      </w:r>
      <w:r>
        <w:rPr>
          <w:spacing w:val="-90"/>
        </w:rPr>
        <w:t> </w:t>
      </w:r>
      <w:r>
        <w:rPr>
          <w:spacing w:val="-90"/>
        </w:rPr>
      </w:r>
      <w:r>
        <w:rPr>
          <w:spacing w:val="-1"/>
        </w:rPr>
        <w:t>源，完善产品和市场覆盖能力，完成在配电网及发电企业方面的布局，公司业绩稳步增长。未来，在轨道</w:t>
      </w:r>
      <w:r>
        <w:rPr>
          <w:spacing w:val="-83"/>
        </w:rPr>
        <w:t> </w:t>
      </w:r>
      <w:r>
        <w:rPr>
          <w:spacing w:val="-83"/>
        </w:rPr>
      </w:r>
      <w:r>
        <w:rPr>
          <w:spacing w:val="-1"/>
        </w:rPr>
        <w:t>交通领域，随着国家轨道交通事业的快速发展，国家对轨道交通电气设备运行安全水平要求逐步提升，公</w:t>
      </w:r>
      <w:r>
        <w:rPr>
          <w:spacing w:val="-83"/>
        </w:rPr>
        <w:t> </w:t>
      </w:r>
      <w:r>
        <w:rPr>
          <w:spacing w:val="-83"/>
        </w:rPr>
      </w:r>
      <w:r>
        <w:rPr>
          <w:spacing w:val="-1"/>
        </w:rPr>
        <w:t>司迎来了难得的发展机遇；在电力改革方面，新电改革的稳步起航，增量配电市场、售电市场存在着巨大</w:t>
      </w:r>
      <w:r>
        <w:rPr>
          <w:spacing w:val="-86"/>
        </w:rPr>
        <w:t> </w:t>
      </w:r>
      <w:r>
        <w:rPr>
          <w:spacing w:val="-86"/>
        </w:rPr>
      </w:r>
      <w:r>
        <w:rPr/>
        <w:t>的利润空间，公司通过投资售电公司方式将会分享电改带来的红利。</w:t>
      </w:r>
    </w:p>
    <w:p>
      <w:pPr>
        <w:pStyle w:val="BodyText"/>
        <w:spacing w:line="240" w:lineRule="auto" w:before="12"/>
        <w:ind w:left="1553" w:right="0"/>
        <w:jc w:val="left"/>
      </w:pPr>
      <w:r>
        <w:rPr>
          <w:spacing w:val="-3"/>
        </w:rPr>
        <w:t>综上，公司将充分利用自身技术优势，把握时机，积极开拓新的增值空间，努力为股东创造更大利益。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134"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股本较年初增加了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33.34%</w:t>
            </w:r>
            <w:r>
              <w:rPr>
                <w:rFonts w:ascii="宋体" w:hAnsi="宋体" w:cs="宋体" w:eastAsia="宋体" w:hint="default"/>
                <w:sz w:val="18"/>
                <w:szCs w:val="18"/>
              </w:rPr>
              <w:t>，主要系报告期公司上市发行普通股股票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万股，股</w:t>
            </w:r>
            <w:r>
              <w:rPr>
                <w:rFonts w:ascii="宋体" w:hAnsi="宋体" w:cs="宋体" w:eastAsia="宋体" w:hint="default"/>
                <w:sz w:val="18"/>
                <w:szCs w:val="18"/>
              </w:rPr>
              <w:t> 本增加</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固定资产较年初增加了</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57.99%</w:t>
            </w:r>
            <w:r>
              <w:rPr>
                <w:rFonts w:ascii="宋体" w:hAnsi="宋体" w:cs="宋体" w:eastAsia="宋体" w:hint="default"/>
                <w:spacing w:val="-3"/>
                <w:sz w:val="18"/>
                <w:szCs w:val="18"/>
              </w:rPr>
              <w:t>，主要系报告期新增控股子公司浙江涵普电力科技有</w:t>
            </w:r>
            <w:r>
              <w:rPr>
                <w:rFonts w:ascii="宋体" w:hAnsi="宋体" w:cs="宋体" w:eastAsia="宋体" w:hint="default"/>
                <w:sz w:val="18"/>
                <w:szCs w:val="18"/>
              </w:rPr>
              <w:t> 限公司的固定资产</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无形资产较年初增加</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1429.61%</w:t>
            </w:r>
            <w:r>
              <w:rPr>
                <w:rFonts w:ascii="宋体" w:hAnsi="宋体" w:cs="宋体" w:eastAsia="宋体" w:hint="default"/>
                <w:spacing w:val="-3"/>
                <w:sz w:val="18"/>
                <w:szCs w:val="18"/>
              </w:rPr>
              <w:t>，主要系报告期新增控股子公司浙江涵普电力科技有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限公司的土地使用权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报告期末新增的在建工程主要系母公司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的建设工程</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报告期末新增的其他非流动资产主要系</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的购置设备预付款</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报告期末货币资金较年初增加了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179.90%</w:t>
            </w:r>
            <w:r>
              <w:rPr>
                <w:rFonts w:ascii="宋体" w:hAnsi="宋体" w:cs="宋体" w:eastAsia="宋体" w:hint="default"/>
                <w:sz w:val="18"/>
                <w:szCs w:val="18"/>
              </w:rPr>
              <w:t>，主要系首次公开发行股票所筹集的募集 资金到位所致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报告期末应收票据较年初增加了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247.32%</w:t>
            </w:r>
            <w:r>
              <w:rPr>
                <w:rFonts w:ascii="宋体" w:hAnsi="宋体" w:cs="宋体" w:eastAsia="宋体" w:hint="default"/>
                <w:sz w:val="18"/>
                <w:szCs w:val="18"/>
              </w:rPr>
              <w:t>，主要系报告期新增商业承兑汇票的结算 以及新增控股子公司浙江涵普的银行承兑汇票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报告期末预付账款较年初增加了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88.57%</w:t>
            </w:r>
            <w:r>
              <w:rPr>
                <w:rFonts w:ascii="宋体" w:hAnsi="宋体" w:cs="宋体" w:eastAsia="宋体" w:hint="default"/>
                <w:sz w:val="18"/>
                <w:szCs w:val="18"/>
              </w:rPr>
              <w:t>，主要系报告期末预付供应商货款增加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报告期末其他应收款较年初减少了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33.67%</w:t>
            </w:r>
            <w:r>
              <w:rPr>
                <w:rFonts w:ascii="宋体" w:hAnsi="宋体" w:cs="宋体" w:eastAsia="宋体" w:hint="default"/>
                <w:sz w:val="18"/>
                <w:szCs w:val="18"/>
              </w:rPr>
              <w:t>，主要系报告期收回保证金较上年增多</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报告期末存货较年初增加了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172.04%</w:t>
            </w:r>
            <w:r>
              <w:rPr>
                <w:rFonts w:ascii="宋体" w:hAnsi="宋体" w:cs="宋体" w:eastAsia="宋体" w:hint="default"/>
                <w:sz w:val="18"/>
                <w:szCs w:val="18"/>
              </w:rPr>
              <w:t>，主要系报告期新增控股子公司浙江涵普电力 科技有限公司的存货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报告期末的其他流动资产主要系购买的理财产品</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报告期末可供出售金额资产主要系新增控股子公司浙江涵普电力科技有限公司持 有的</w:t>
            </w:r>
            <w:r>
              <w:rPr>
                <w:rFonts w:ascii="Times New Roman" w:hAnsi="Times New Roman" w:cs="Times New Roman" w:eastAsia="Times New Roman" w:hint="default"/>
                <w:sz w:val="18"/>
                <w:szCs w:val="18"/>
              </w:rPr>
              <w:t>“</w:t>
            </w:r>
            <w:r>
              <w:rPr>
                <w:rFonts w:ascii="宋体" w:hAnsi="宋体" w:cs="宋体" w:eastAsia="宋体" w:hint="default"/>
                <w:sz w:val="18"/>
                <w:szCs w:val="18"/>
              </w:rPr>
              <w:t>杭州厚达自动化系统有限公司</w:t>
            </w:r>
            <w:r>
              <w:rPr>
                <w:rFonts w:ascii="Times New Roman" w:hAnsi="Times New Roman" w:cs="Times New Roman" w:eastAsia="Times New Roman" w:hint="default"/>
                <w:sz w:val="18"/>
                <w:szCs w:val="18"/>
              </w:rPr>
              <w:t>”4.88%</w:t>
            </w:r>
            <w:r>
              <w:rPr>
                <w:rFonts w:ascii="宋体" w:hAnsi="宋体" w:cs="宋体" w:eastAsia="宋体" w:hint="default"/>
                <w:sz w:val="18"/>
                <w:szCs w:val="18"/>
              </w:rPr>
              <w:t>的股权。</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0" w:firstLine="480"/>
        <w:jc w:val="left"/>
      </w:pPr>
      <w:r>
        <w:rPr>
          <w:spacing w:val="-2"/>
        </w:rPr>
        <w:t>公司是国内较早推广电力设备状态检测、监测产品的企业，自</w:t>
      </w:r>
      <w:r>
        <w:rPr>
          <w:rFonts w:ascii="Times New Roman" w:hAnsi="Times New Roman" w:cs="Times New Roman" w:eastAsia="Times New Roman" w:hint="default"/>
          <w:spacing w:val="-2"/>
        </w:rPr>
        <w:t>2005</w:t>
      </w:r>
      <w:r>
        <w:rPr>
          <w:spacing w:val="-2"/>
        </w:rPr>
        <w:t>年成立时起即开始从事电力设备状</w:t>
      </w:r>
      <w:r>
        <w:rPr/>
        <w:t> 态检测、监测产品的销售和技术服务业务。在国内电力行业客户对状态检测、监测尚缺乏认识、行业整体 上处于萌芽阶段的时候，公司进行了大量的技术宣贯和推广应用工作，为推动行业的发展做出了贡献，并 在用户中树立了良好的形象。为了更好地满足电力客户的个性化需求，公司于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月设立了技术研究</w:t>
      </w:r>
      <w:r>
        <w:rPr>
          <w:spacing w:val="-27"/>
        </w:rPr>
        <w:t> </w:t>
      </w:r>
      <w:r>
        <w:rPr>
          <w:spacing w:val="-27"/>
        </w:rPr>
      </w:r>
      <w:r>
        <w:rPr/>
        <w:t>所，于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月收购了澳洲红相、上海红相等公司，于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月收购涵普电力公司，</w:t>
      </w:r>
      <w:r>
        <w:rPr>
          <w:rFonts w:ascii="Times New Roman" w:hAnsi="Times New Roman" w:cs="Times New Roman" w:eastAsia="Times New Roman" w:hint="default"/>
        </w:rPr>
        <w:t>2015</w:t>
      </w:r>
      <w:r>
        <w:rPr/>
        <w:t>年扩建研发 </w:t>
      </w:r>
      <w:r>
        <w:rPr>
          <w:spacing w:val="-3"/>
        </w:rPr>
        <w:t>中心；于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月设立了红相软件，</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月设立红相信息，不断向研发、技术、生产和软件领域推进，</w:t>
      </w:r>
      <w:r>
        <w:rPr>
          <w:spacing w:val="-84"/>
        </w:rPr>
        <w:t> </w:t>
      </w:r>
      <w:r>
        <w:rPr>
          <w:spacing w:val="-84"/>
        </w:rPr>
      </w:r>
      <w:r>
        <w:rPr/>
        <w:t>从而逐步发展成为一家以市场与研发为导向的企业。目前，公司已经在营销、技术、研发、产品、品牌以</w:t>
      </w:r>
      <w:r>
        <w:rPr/>
        <w:t> 及人才等方面具备了相当强的市场竞争优势，并能对市场需求的变化作出快速反应。</w:t>
      </w:r>
    </w:p>
    <w:p>
      <w:pPr>
        <w:pStyle w:val="BodyText"/>
        <w:spacing w:line="530" w:lineRule="atLeast" w:before="17"/>
        <w:ind w:left="1616" w:right="1118"/>
        <w:jc w:val="left"/>
      </w:pPr>
      <w:r>
        <w:rPr>
          <w:rFonts w:ascii="Times New Roman" w:hAnsi="Times New Roman" w:cs="Times New Roman" w:eastAsia="Times New Roman" w:hint="default"/>
          <w:b/>
          <w:bCs/>
        </w:rPr>
        <w:t>1</w:t>
      </w:r>
      <w:r>
        <w:rPr>
          <w:rFonts w:ascii="宋体" w:hAnsi="宋体" w:cs="宋体" w:eastAsia="宋体" w:hint="default"/>
          <w:b/>
          <w:bCs/>
        </w:rPr>
        <w:t>、先发优势</w:t>
      </w:r>
      <w:r>
        <w:rPr>
          <w:rFonts w:ascii="宋体" w:hAnsi="宋体" w:cs="宋体" w:eastAsia="宋体" w:hint="default"/>
          <w:b/>
          <w:bCs/>
          <w:w w:val="99"/>
        </w:rPr>
        <w:t> </w:t>
      </w:r>
      <w:r>
        <w:rPr>
          <w:spacing w:val="-2"/>
        </w:rPr>
        <w:t>依托子公司澳洲红相在电力设备状态检测、监测行业四十年的技术和经验积累，公司自成立以来就在</w:t>
      </w:r>
    </w:p>
    <w:p>
      <w:pPr>
        <w:pStyle w:val="BodyText"/>
        <w:spacing w:line="273" w:lineRule="auto" w:before="37"/>
        <w:ind w:right="0"/>
        <w:jc w:val="left"/>
      </w:pPr>
      <w:r>
        <w:rPr>
          <w:spacing w:val="-1"/>
        </w:rPr>
        <w:t>中国市场大力推广电力设备状态检测、监测产品的应用，并为行业的成熟发展作出了贡献，同时也确立了</w:t>
      </w:r>
      <w:r>
        <w:rPr>
          <w:spacing w:val="-83"/>
        </w:rPr>
        <w:t> </w:t>
      </w:r>
      <w:r>
        <w:rPr>
          <w:spacing w:val="-83"/>
        </w:rPr>
      </w:r>
      <w:r>
        <w:rPr/>
        <w:t>公司在研发技术、经验、市场、品牌等各方面的先发优势。具体主要体现在以下几个方面：</w:t>
      </w:r>
    </w:p>
    <w:p>
      <w:pPr>
        <w:spacing w:line="240" w:lineRule="auto" w:before="12"/>
        <w:rPr>
          <w:rFonts w:ascii="宋体" w:hAnsi="宋体" w:cs="宋体" w:eastAsia="宋体" w:hint="default"/>
          <w:sz w:val="18"/>
          <w:szCs w:val="18"/>
        </w:rPr>
      </w:pPr>
    </w:p>
    <w:p>
      <w:pPr>
        <w:pStyle w:val="BodyText"/>
        <w:spacing w:line="256" w:lineRule="auto"/>
        <w:ind w:right="1129" w:firstLine="482"/>
        <w:jc w:val="both"/>
      </w:pPr>
      <w:r>
        <w:rPr>
          <w:spacing w:val="-2"/>
        </w:rPr>
        <w:t>①</w:t>
      </w:r>
      <w:r>
        <w:rPr>
          <w:rFonts w:ascii="Times New Roman" w:hAnsi="Times New Roman" w:cs="Times New Roman" w:eastAsia="Times New Roman" w:hint="default"/>
          <w:spacing w:val="-2"/>
        </w:rPr>
        <w:t>2005</w:t>
      </w:r>
      <w:r>
        <w:rPr>
          <w:spacing w:val="-2"/>
        </w:rPr>
        <w:t>年成立之初，公司主要销售澳洲红相的非传统式互感器测试仪、计量装置远程校验系统、接地</w:t>
      </w:r>
      <w:r>
        <w:rPr/>
        <w:t> </w:t>
      </w:r>
      <w:r>
        <w:rPr>
          <w:spacing w:val="-2"/>
        </w:rPr>
        <w:t>装置特性参数测量系统等电力设备状态检测、监测产品。</w:t>
      </w:r>
      <w:r>
        <w:rPr>
          <w:rFonts w:ascii="Times New Roman" w:hAnsi="Times New Roman" w:cs="Times New Roman" w:eastAsia="Times New Roman" w:hint="default"/>
          <w:spacing w:val="-2"/>
        </w:rPr>
        <w:t>2008</w:t>
      </w:r>
      <w:r>
        <w:rPr>
          <w:spacing w:val="-2"/>
        </w:rPr>
        <w:t>年，公司通过收购澳洲红相</w:t>
      </w:r>
      <w:r>
        <w:rPr>
          <w:rFonts w:ascii="Times New Roman" w:hAnsi="Times New Roman" w:cs="Times New Roman" w:eastAsia="Times New Roman" w:hint="default"/>
          <w:spacing w:val="-2"/>
        </w:rPr>
        <w:t>100%</w:t>
      </w:r>
      <w:r>
        <w:rPr>
          <w:spacing w:val="-2"/>
        </w:rPr>
        <w:t>股权，获得</w:t>
      </w:r>
      <w:r>
        <w:rPr>
          <w:spacing w:val="-99"/>
        </w:rPr>
        <w:t> </w:t>
      </w:r>
      <w:r>
        <w:rPr>
          <w:spacing w:val="-99"/>
        </w:rPr>
      </w:r>
      <w:r>
        <w:rPr>
          <w:spacing w:val="-1"/>
        </w:rPr>
        <w:t>了澳洲红相经过三十多年积累起来的电力设备专有的研发和技术经验，从而成为少数拥有电力设备状态检</w:t>
      </w:r>
    </w:p>
    <w:p>
      <w:pPr>
        <w:spacing w:after="0" w:line="256"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测、监测核心技术的企业之一。经过近几年的发展，公司通过消化吸收和改进国外先进技术，不断推出更</w:t>
      </w:r>
      <w:r>
        <w:rPr>
          <w:spacing w:val="-86"/>
        </w:rPr>
        <w:t> </w:t>
      </w:r>
      <w:r>
        <w:rPr>
          <w:spacing w:val="-86"/>
        </w:rPr>
      </w:r>
      <w:r>
        <w:rPr>
          <w:spacing w:val="-1"/>
        </w:rPr>
        <w:t>加符合国内客户需求特点的产品，实现了国外先进技术和国内客户需求之间的有效对接，促进了国内电力</w:t>
      </w:r>
      <w:r>
        <w:rPr>
          <w:spacing w:val="-81"/>
        </w:rPr>
        <w:t> </w:t>
      </w:r>
      <w:r>
        <w:rPr>
          <w:spacing w:val="-81"/>
        </w:rPr>
      </w:r>
      <w:r>
        <w:rPr/>
        <w:t>设备状态检测、监测行业的发展，并在业内树立起明显的技术先发优势。</w:t>
      </w:r>
    </w:p>
    <w:p>
      <w:pPr>
        <w:spacing w:line="240" w:lineRule="auto" w:before="13"/>
        <w:rPr>
          <w:rFonts w:ascii="宋体" w:hAnsi="宋体" w:cs="宋体" w:eastAsia="宋体" w:hint="default"/>
          <w:sz w:val="18"/>
          <w:szCs w:val="18"/>
        </w:rPr>
      </w:pPr>
    </w:p>
    <w:p>
      <w:pPr>
        <w:pStyle w:val="BodyText"/>
        <w:spacing w:line="273" w:lineRule="auto"/>
        <w:ind w:right="1024" w:firstLine="482"/>
        <w:jc w:val="left"/>
      </w:pPr>
      <w:r>
        <w:rPr>
          <w:spacing w:val="-2"/>
        </w:rPr>
        <w:t>②由于电力系统企业对于电力设备运行的稳定性和可靠性要求较高，而电力设备历史运行业绩是对产</w:t>
      </w:r>
      <w:r>
        <w:rPr/>
        <w:t> 品质量和履约能力的最好佐证，因此，招标方在招标过程中一般会将供应商产品的运行业绩作为重要考核 </w:t>
      </w:r>
      <w:r>
        <w:rPr>
          <w:spacing w:val="-3"/>
        </w:rPr>
        <w:t>指标之一。公司作为国内较早推广电力设备状态检测、监测产品的企业之一，具备多年电力设备状态检测、</w:t>
      </w:r>
      <w:r>
        <w:rPr>
          <w:spacing w:val="-90"/>
        </w:rPr>
        <w:t> </w:t>
      </w:r>
      <w:r>
        <w:rPr>
          <w:spacing w:val="-90"/>
        </w:rPr>
      </w:r>
      <w:r>
        <w:rPr/>
        <w:t>监测产品的经营经验，相关产品已广泛应用于国家电网公司、南方电网公司及其下属的各级电力企业，并</w:t>
      </w:r>
      <w:r>
        <w:rPr/>
        <w:t> 取得了良好的口碑和稳定的运行业绩。因此，公司产品稳定的历史运行业绩已为公司在业内树立起市场先 发优势。</w:t>
      </w:r>
    </w:p>
    <w:p>
      <w:pPr>
        <w:spacing w:line="240" w:lineRule="auto" w:before="12"/>
        <w:rPr>
          <w:rFonts w:ascii="宋体" w:hAnsi="宋体" w:cs="宋体" w:eastAsia="宋体" w:hint="default"/>
          <w:sz w:val="18"/>
          <w:szCs w:val="18"/>
        </w:rPr>
      </w:pPr>
    </w:p>
    <w:p>
      <w:pPr>
        <w:pStyle w:val="BodyText"/>
        <w:spacing w:line="271" w:lineRule="auto"/>
        <w:ind w:right="1024" w:firstLine="482"/>
        <w:jc w:val="left"/>
      </w:pPr>
      <w:r>
        <w:rPr>
          <w:spacing w:val="-2"/>
        </w:rPr>
        <w:t>③随着智能电网建设规划的提出和状态检修理念逐步被电力企业所接受，国内电力企业对电力设备状</w:t>
      </w:r>
      <w:r>
        <w:rPr/>
        <w:t> 态检测、监测产品的需求正在不断增加，且已开始着手相关标准的制定工作。截至报告出具日，公司已相 继受邀参与了一些行业标准以及具体应用标准的编制工作。其中，公司参与编制的《接地装置特性参数测 量导则》这一行业标准已于</w:t>
      </w:r>
      <w:r>
        <w:rPr>
          <w:rFonts w:ascii="Times New Roman" w:hAnsi="Times New Roman" w:cs="Times New Roman" w:eastAsia="Times New Roman" w:hint="default"/>
        </w:rPr>
        <w:t>2006</w:t>
      </w:r>
      <w:r>
        <w:rPr/>
        <w:t>年正式发布；公司参与的由云南电力试验研究院（集团）有限公司负责编 撰的《高压开关柜超声波、地电波局部放电带电检测技术应用导则》，国家电网公司企业标准《暂态地电 压局部放电监测仪技术规范》，以及福建省质量技术监督局发布的福建省地方计量技术规范《电流互感器 </w:t>
      </w:r>
      <w:r>
        <w:rPr>
          <w:spacing w:val="-3"/>
        </w:rPr>
        <w:t>现场校验仪校准规范》的编制工作已顺利完成并发布。另外，地方标准《电压互感器现场校验仪校准规范》</w:t>
      </w:r>
      <w:r>
        <w:rPr>
          <w:spacing w:val="-94"/>
        </w:rPr>
        <w:t> </w:t>
      </w:r>
      <w:r>
        <w:rPr>
          <w:spacing w:val="-94"/>
        </w:rPr>
      </w:r>
      <w:r>
        <w:rPr/>
        <w:t>正在参与制定过程中。</w:t>
      </w:r>
    </w:p>
    <w:p>
      <w:pPr>
        <w:pStyle w:val="BodyText"/>
        <w:spacing w:line="552" w:lineRule="exact" w:before="53"/>
        <w:ind w:left="1613" w:right="1123" w:firstLine="2"/>
        <w:jc w:val="left"/>
      </w:pPr>
      <w:r>
        <w:rPr>
          <w:rFonts w:ascii="Times New Roman" w:hAnsi="Times New Roman" w:cs="Times New Roman" w:eastAsia="Times New Roman" w:hint="default"/>
          <w:b/>
          <w:bCs/>
        </w:rPr>
        <w:t>2</w:t>
      </w:r>
      <w:r>
        <w:rPr>
          <w:rFonts w:ascii="宋体" w:hAnsi="宋体" w:cs="宋体" w:eastAsia="宋体" w:hint="default"/>
          <w:b/>
          <w:bCs/>
        </w:rPr>
        <w:t>、技术优势</w:t>
      </w:r>
      <w:r>
        <w:rPr>
          <w:rFonts w:ascii="宋体" w:hAnsi="宋体" w:cs="宋体" w:eastAsia="宋体" w:hint="default"/>
          <w:b/>
          <w:bCs/>
          <w:w w:val="99"/>
        </w:rPr>
        <w:t> </w:t>
      </w:r>
      <w:r>
        <w:rPr>
          <w:spacing w:val="-2"/>
        </w:rPr>
        <w:t>公司的全资子公司澳洲红相自上世纪</w:t>
      </w:r>
      <w:r>
        <w:rPr>
          <w:rFonts w:ascii="Times New Roman" w:hAnsi="Times New Roman" w:cs="Times New Roman" w:eastAsia="Times New Roman" w:hint="default"/>
          <w:spacing w:val="-2"/>
        </w:rPr>
        <w:t>70</w:t>
      </w:r>
      <w:r>
        <w:rPr>
          <w:spacing w:val="-2"/>
        </w:rPr>
        <w:t>年代末起就已开始专业从事电力设备状态检测、监测产品的研</w:t>
      </w:r>
    </w:p>
    <w:p>
      <w:pPr>
        <w:pStyle w:val="BodyText"/>
        <w:spacing w:line="232" w:lineRule="exact"/>
        <w:ind w:left="1134" w:right="0"/>
        <w:jc w:val="both"/>
      </w:pPr>
      <w:r>
        <w:rPr/>
        <w:t>发和生产，并在该领域积累了丰富的技术和经验，曾开发出具有世界先进水平的电力设备状态检测、监测</w:t>
      </w:r>
    </w:p>
    <w:p>
      <w:pPr>
        <w:pStyle w:val="BodyText"/>
        <w:spacing w:line="266" w:lineRule="auto" w:before="37"/>
        <w:ind w:left="1134" w:right="1130"/>
        <w:jc w:val="both"/>
      </w:pPr>
      <w:r>
        <w:rPr/>
        <w:t>产品。例如，澳洲红相推出的</w:t>
      </w:r>
      <w:r>
        <w:rPr>
          <w:rFonts w:ascii="Times New Roman" w:hAnsi="Times New Roman" w:cs="Times New Roman" w:eastAsia="Times New Roman" w:hint="default"/>
        </w:rPr>
        <w:t>590</w:t>
      </w:r>
      <w:r>
        <w:rPr/>
        <w:t>系列互感器现场校验仪，首次实现了互感器现场测试设备的便携化，解</w:t>
      </w:r>
      <w:r>
        <w:rPr>
          <w:spacing w:val="-33"/>
        </w:rPr>
        <w:t> </w:t>
      </w:r>
      <w:r>
        <w:rPr>
          <w:spacing w:val="-33"/>
        </w:rPr>
      </w:r>
      <w:r>
        <w:rPr>
          <w:spacing w:val="-1"/>
        </w:rPr>
        <w:t>决了传统测试设备笨重、庞大、工作效率低下的缺点；同时通过采用小信号变频技术和数字选频技术，实</w:t>
      </w:r>
      <w:r>
        <w:rPr>
          <w:spacing w:val="-86"/>
        </w:rPr>
        <w:t> </w:t>
      </w:r>
      <w:r>
        <w:rPr>
          <w:spacing w:val="-86"/>
        </w:rPr>
      </w:r>
      <w:r>
        <w:rPr>
          <w:spacing w:val="-1"/>
        </w:rPr>
        <w:t>现了现场精确测定小信号，解决了现场工频干扰的问题，保证了测试人员和设备的安全，这在互感器校验</w:t>
      </w:r>
      <w:r>
        <w:rPr>
          <w:spacing w:val="-82"/>
        </w:rPr>
        <w:t> </w:t>
      </w:r>
      <w:r>
        <w:rPr>
          <w:spacing w:val="-82"/>
        </w:rPr>
      </w:r>
      <w:r>
        <w:rPr/>
        <w:t>发展史上具有重要的意义。</w:t>
      </w:r>
    </w:p>
    <w:p>
      <w:pPr>
        <w:spacing w:line="240" w:lineRule="auto" w:before="5"/>
        <w:rPr>
          <w:rFonts w:ascii="宋体" w:hAnsi="宋体" w:cs="宋体" w:eastAsia="宋体" w:hint="default"/>
          <w:sz w:val="19"/>
          <w:szCs w:val="19"/>
        </w:rPr>
      </w:pPr>
    </w:p>
    <w:p>
      <w:pPr>
        <w:pStyle w:val="BodyText"/>
        <w:spacing w:line="273" w:lineRule="auto"/>
        <w:ind w:left="1134" w:right="1131" w:firstLine="480"/>
        <w:jc w:val="both"/>
      </w:pPr>
      <w:r>
        <w:rPr>
          <w:spacing w:val="-2"/>
        </w:rPr>
        <w:t>公司通过收购澳洲红相，消化吸收境外先进技术，加强境内外技术研发部门的密切合作，不仅加快了</w:t>
      </w:r>
      <w:r>
        <w:rPr/>
        <w:t> </w:t>
      </w:r>
      <w:r>
        <w:rPr>
          <w:spacing w:val="-1"/>
        </w:rPr>
        <w:t>国外先进技术在国内的推广和应用，而且实现了国内客户需求与国外先进技术之间的有效对接，从而树立</w:t>
      </w:r>
      <w:r>
        <w:rPr>
          <w:spacing w:val="-81"/>
        </w:rPr>
        <w:t> </w:t>
      </w:r>
      <w:r>
        <w:rPr>
          <w:spacing w:val="-81"/>
        </w:rPr>
      </w:r>
      <w:r>
        <w:rPr/>
        <w:t>了公司独特的技术竞争优势。</w:t>
      </w:r>
    </w:p>
    <w:p>
      <w:pPr>
        <w:spacing w:line="240" w:lineRule="auto" w:before="12"/>
        <w:rPr>
          <w:rFonts w:ascii="宋体" w:hAnsi="宋体" w:cs="宋体" w:eastAsia="宋体" w:hint="default"/>
          <w:sz w:val="18"/>
          <w:szCs w:val="18"/>
        </w:rPr>
      </w:pPr>
    </w:p>
    <w:p>
      <w:pPr>
        <w:pStyle w:val="Heading4"/>
        <w:spacing w:line="240" w:lineRule="auto"/>
        <w:ind w:left="1616" w:right="0"/>
        <w:jc w:val="left"/>
        <w:rPr>
          <w:b w:val="0"/>
          <w:bCs w:val="0"/>
        </w:rPr>
      </w:pPr>
      <w:r>
        <w:rPr>
          <w:rFonts w:ascii="Times New Roman" w:hAnsi="Times New Roman" w:cs="Times New Roman" w:eastAsia="Times New Roman" w:hint="default"/>
        </w:rPr>
        <w:t>3</w:t>
      </w:r>
      <w:r>
        <w:rPr/>
        <w:t>、研发优势</w:t>
      </w:r>
      <w:r>
        <w:rPr>
          <w:b w:val="0"/>
          <w:bCs w:val="0"/>
        </w:rPr>
      </w:r>
    </w:p>
    <w:p>
      <w:pPr>
        <w:spacing w:line="552" w:lineRule="exact" w:before="65"/>
        <w:ind w:left="1614" w:right="1120" w:firstLine="2"/>
        <w:jc w:val="left"/>
        <w:rPr>
          <w:rFonts w:ascii="宋体" w:hAnsi="宋体" w:cs="宋体" w:eastAsia="宋体" w:hint="default"/>
          <w:sz w:val="21"/>
          <w:szCs w:val="21"/>
        </w:rPr>
      </w:pPr>
      <w:r>
        <w:rPr>
          <w:rFonts w:ascii="宋体" w:hAnsi="宋体" w:cs="宋体" w:eastAsia="宋体" w:hint="default"/>
          <w:b/>
          <w:bCs/>
          <w:sz w:val="21"/>
          <w:szCs w:val="21"/>
        </w:rPr>
        <w:t>①积累了详实的电力设备信息数据库和丰富的故障识别案例库</w:t>
      </w:r>
      <w:r>
        <w:rPr>
          <w:rFonts w:ascii="宋体" w:hAnsi="宋体" w:cs="宋体" w:eastAsia="宋体" w:hint="default"/>
          <w:b/>
          <w:bCs/>
          <w:w w:val="99"/>
          <w:sz w:val="21"/>
          <w:szCs w:val="21"/>
        </w:rPr>
        <w:t> </w:t>
      </w:r>
      <w:r>
        <w:rPr>
          <w:rFonts w:ascii="宋体" w:hAnsi="宋体" w:cs="宋体" w:eastAsia="宋体" w:hint="default"/>
          <w:spacing w:val="-2"/>
          <w:sz w:val="21"/>
          <w:szCs w:val="21"/>
        </w:rPr>
        <w:t>公司作为国内较早涉入电力设备状态检测、监测领域的企业之一，在销售商品和提供服务过程中，已</w:t>
      </w:r>
    </w:p>
    <w:p>
      <w:pPr>
        <w:pStyle w:val="BodyText"/>
        <w:spacing w:line="231" w:lineRule="exact"/>
        <w:ind w:left="1134" w:right="0"/>
        <w:jc w:val="both"/>
      </w:pPr>
      <w:r>
        <w:rPr/>
        <w:t>积累了大量的电力设备运行状态分析的经验数据和故障识别案例库。详实的电力设备信息数据库和丰富的</w:t>
      </w:r>
    </w:p>
    <w:p>
      <w:pPr>
        <w:pStyle w:val="BodyText"/>
        <w:spacing w:line="273" w:lineRule="auto" w:before="37"/>
        <w:ind w:left="1134" w:right="1131"/>
        <w:jc w:val="both"/>
      </w:pPr>
      <w:r>
        <w:rPr>
          <w:spacing w:val="-1"/>
        </w:rPr>
        <w:t>案例库不仅是从事技术研发的基础素材，也是改善公司产品质量、提升公司服务水平的重要保障，还能为</w:t>
      </w:r>
      <w:r>
        <w:rPr>
          <w:spacing w:val="-83"/>
        </w:rPr>
        <w:t> </w:t>
      </w:r>
      <w:r>
        <w:rPr>
          <w:spacing w:val="-83"/>
        </w:rPr>
      </w:r>
      <w:r>
        <w:rPr/>
        <w:t>电力公司进行电力设备全寿命周期管理及状态检修决策提供直接的支持和指导。</w:t>
      </w:r>
    </w:p>
    <w:p>
      <w:pPr>
        <w:spacing w:line="552" w:lineRule="exact" w:before="52"/>
        <w:ind w:left="1614" w:right="1120" w:firstLine="2"/>
        <w:jc w:val="left"/>
        <w:rPr>
          <w:rFonts w:ascii="宋体" w:hAnsi="宋体" w:cs="宋体" w:eastAsia="宋体" w:hint="default"/>
          <w:sz w:val="21"/>
          <w:szCs w:val="21"/>
        </w:rPr>
      </w:pPr>
      <w:r>
        <w:rPr>
          <w:rFonts w:ascii="宋体" w:hAnsi="宋体" w:cs="宋体" w:eastAsia="宋体" w:hint="default"/>
          <w:b/>
          <w:bCs/>
          <w:sz w:val="21"/>
          <w:szCs w:val="21"/>
        </w:rPr>
        <w:t>②拥有专业化的研发团队和相对完备的研发平台</w:t>
      </w:r>
      <w:r>
        <w:rPr>
          <w:rFonts w:ascii="宋体" w:hAnsi="宋体" w:cs="宋体" w:eastAsia="宋体" w:hint="default"/>
          <w:b/>
          <w:bCs/>
          <w:w w:val="99"/>
          <w:sz w:val="21"/>
          <w:szCs w:val="21"/>
        </w:rPr>
        <w:t> </w:t>
      </w:r>
      <w:r>
        <w:rPr>
          <w:rFonts w:ascii="宋体" w:hAnsi="宋体" w:cs="宋体" w:eastAsia="宋体" w:hint="default"/>
          <w:spacing w:val="-2"/>
          <w:sz w:val="21"/>
          <w:szCs w:val="21"/>
        </w:rPr>
        <w:t>尽管电力设备状态检测、监测行业作为新兴行业，发展时间较短，专业技术人才较为缺乏，但由于公</w:t>
      </w:r>
    </w:p>
    <w:p>
      <w:pPr>
        <w:pStyle w:val="BodyText"/>
        <w:spacing w:line="247" w:lineRule="exact"/>
        <w:ind w:right="0"/>
        <w:jc w:val="both"/>
      </w:pPr>
      <w:r>
        <w:rPr/>
        <w:t>司涉足该行业的时间较早，因此，现已建成一支拥有</w:t>
      </w:r>
      <w:r>
        <w:rPr>
          <w:rFonts w:ascii="Times New Roman" w:hAnsi="Times New Roman" w:cs="Times New Roman" w:eastAsia="Times New Roman" w:hint="default"/>
        </w:rPr>
        <w:t>115</w:t>
      </w:r>
      <w:r>
        <w:rPr/>
        <w:t>名研发人员的专业化研发团队，研发人员数量占</w:t>
      </w:r>
    </w:p>
    <w:p>
      <w:pPr>
        <w:pStyle w:val="BodyText"/>
        <w:spacing w:line="240" w:lineRule="auto" w:before="21"/>
        <w:ind w:right="0"/>
        <w:jc w:val="both"/>
      </w:pPr>
      <w:r>
        <w:rPr/>
        <w:t>公司员工总数的</w:t>
      </w:r>
      <w:r>
        <w:rPr>
          <w:rFonts w:ascii="Times New Roman" w:hAnsi="Times New Roman" w:cs="Times New Roman" w:eastAsia="Times New Roman" w:hint="default"/>
        </w:rPr>
        <w:t>20.54%</w:t>
      </w:r>
      <w:r>
        <w:rPr/>
        <w:t>。上述研发人员均拥有扎实的理论基础、良好的专业背景和优秀的创新能力，学历</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均为本科或本科以上，专业以电气工程、电力系统及自动化、计算机等专业为主。</w:t>
      </w:r>
    </w:p>
    <w:p>
      <w:pPr>
        <w:spacing w:line="240" w:lineRule="auto" w:before="2"/>
        <w:rPr>
          <w:rFonts w:ascii="宋体" w:hAnsi="宋体" w:cs="宋体" w:eastAsia="宋体" w:hint="default"/>
          <w:sz w:val="21"/>
          <w:szCs w:val="21"/>
        </w:rPr>
      </w:pPr>
    </w:p>
    <w:p>
      <w:pPr>
        <w:pStyle w:val="BodyText"/>
        <w:spacing w:line="266" w:lineRule="auto"/>
        <w:ind w:right="1131" w:firstLine="480"/>
        <w:jc w:val="both"/>
      </w:pPr>
      <w:r>
        <w:rPr>
          <w:spacing w:val="-2"/>
        </w:rPr>
        <w:t>同时，公司还建立了相对完备的研发平台，现已拥有高压局部放电物理模拟实验室、高频电气测试实</w:t>
      </w:r>
      <w:r>
        <w:rPr/>
        <w:t> </w:t>
      </w:r>
      <w:r>
        <w:rPr>
          <w:spacing w:val="-1"/>
        </w:rPr>
        <w:t>验室、超声波检测实验室、互感器检测实验室和</w:t>
      </w:r>
      <w:r>
        <w:rPr>
          <w:rFonts w:ascii="Times New Roman" w:hAnsi="Times New Roman" w:cs="Times New Roman" w:eastAsia="Times New Roman" w:hint="default"/>
          <w:spacing w:val="-1"/>
        </w:rPr>
        <w:t>SMT</w:t>
      </w:r>
      <w:r>
        <w:rPr>
          <w:spacing w:val="-1"/>
        </w:rPr>
        <w:t>室等，具备了开发高性能状态检测、监测产品的基础</w:t>
      </w:r>
      <w:r>
        <w:rPr>
          <w:spacing w:val="-94"/>
        </w:rPr>
        <w:t> </w:t>
      </w:r>
      <w:r>
        <w:rPr>
          <w:spacing w:val="-94"/>
        </w:rPr>
      </w:r>
      <w:r>
        <w:rPr/>
        <w:t>条件。</w:t>
      </w:r>
    </w:p>
    <w:p>
      <w:pPr>
        <w:spacing w:line="552" w:lineRule="exact" w:before="57"/>
        <w:ind w:left="1700" w:right="0" w:hanging="85"/>
        <w:jc w:val="left"/>
        <w:rPr>
          <w:rFonts w:ascii="宋体" w:hAnsi="宋体" w:cs="宋体" w:eastAsia="宋体" w:hint="default"/>
          <w:sz w:val="21"/>
          <w:szCs w:val="21"/>
        </w:rPr>
      </w:pPr>
      <w:r>
        <w:rPr>
          <w:rFonts w:ascii="宋体" w:hAnsi="宋体" w:cs="宋体" w:eastAsia="宋体" w:hint="default"/>
          <w:b/>
          <w:bCs/>
          <w:sz w:val="21"/>
          <w:szCs w:val="21"/>
        </w:rPr>
        <w:t>③形成了一系列的先进技术成果</w:t>
      </w:r>
      <w:r>
        <w:rPr>
          <w:rFonts w:ascii="宋体" w:hAnsi="宋体" w:cs="宋体" w:eastAsia="宋体" w:hint="default"/>
          <w:b/>
          <w:bCs/>
          <w:w w:val="99"/>
          <w:sz w:val="21"/>
          <w:szCs w:val="21"/>
        </w:rPr>
        <w:t> </w:t>
      </w:r>
      <w:r>
        <w:rPr>
          <w:rFonts w:ascii="宋体" w:hAnsi="宋体" w:cs="宋体" w:eastAsia="宋体" w:hint="default"/>
          <w:sz w:val="21"/>
          <w:szCs w:val="21"/>
        </w:rPr>
        <w:t>作为国内较早涉足电力设备状态检测、监测行业的企业之一，公司成立以来，一直致力于电力设备</w:t>
      </w:r>
    </w:p>
    <w:p>
      <w:pPr>
        <w:pStyle w:val="BodyText"/>
        <w:spacing w:line="231" w:lineRule="exact"/>
        <w:ind w:right="0"/>
        <w:jc w:val="both"/>
      </w:pPr>
      <w:r>
        <w:rPr/>
        <w:t>状态检测、监测产品的研究和开发。经过多年的持续研发和技术积累，公司现已发展成为国内电力设备状</w:t>
      </w:r>
    </w:p>
    <w:p>
      <w:pPr>
        <w:pStyle w:val="BodyText"/>
        <w:spacing w:line="264" w:lineRule="auto" w:before="37"/>
        <w:ind w:right="1129"/>
        <w:jc w:val="both"/>
      </w:pPr>
      <w:r>
        <w:rPr>
          <w:spacing w:val="-1"/>
        </w:rPr>
        <w:t>态检修领域的知名企业之一，并取得了一系列知识产权，部分产品还被认定为厦门市高新技术产品。截至</w:t>
      </w:r>
      <w:r>
        <w:rPr>
          <w:spacing w:val="-82"/>
        </w:rPr>
        <w:t> </w:t>
      </w:r>
      <w:r>
        <w:rPr>
          <w:spacing w:val="-82"/>
        </w:rPr>
      </w:r>
      <w:r>
        <w:rPr>
          <w:spacing w:val="-1"/>
        </w:rPr>
        <w:t>本报告期末，公司已获得</w:t>
      </w:r>
      <w:r>
        <w:rPr>
          <w:rFonts w:ascii="Times New Roman" w:hAnsi="Times New Roman" w:cs="Times New Roman" w:eastAsia="Times New Roman" w:hint="default"/>
          <w:spacing w:val="-1"/>
        </w:rPr>
        <w:t>8</w:t>
      </w:r>
      <w:r>
        <w:rPr>
          <w:spacing w:val="-1"/>
        </w:rPr>
        <w:t>项发明专利，</w:t>
      </w:r>
      <w:r>
        <w:rPr>
          <w:rFonts w:ascii="Times New Roman" w:hAnsi="Times New Roman" w:cs="Times New Roman" w:eastAsia="Times New Roman" w:hint="default"/>
          <w:spacing w:val="-1"/>
        </w:rPr>
        <w:t>67</w:t>
      </w:r>
      <w:r>
        <w:rPr>
          <w:spacing w:val="-1"/>
        </w:rPr>
        <w:t>项实用新型专利，</w:t>
      </w:r>
      <w:r>
        <w:rPr>
          <w:rFonts w:ascii="Times New Roman" w:hAnsi="Times New Roman" w:cs="Times New Roman" w:eastAsia="Times New Roman" w:hint="default"/>
          <w:spacing w:val="-1"/>
        </w:rPr>
        <w:t>4</w:t>
      </w:r>
      <w:r>
        <w:rPr>
          <w:spacing w:val="-1"/>
        </w:rPr>
        <w:t>项外观设计专利，</w:t>
      </w:r>
      <w:r>
        <w:rPr>
          <w:rFonts w:ascii="Times New Roman" w:hAnsi="Times New Roman" w:cs="Times New Roman" w:eastAsia="Times New Roman" w:hint="default"/>
          <w:spacing w:val="-1"/>
        </w:rPr>
        <w:t>56</w:t>
      </w:r>
      <w:r>
        <w:rPr>
          <w:spacing w:val="-1"/>
        </w:rPr>
        <w:t>项软件著作权，</w:t>
      </w:r>
      <w:r>
        <w:rPr>
          <w:rFonts w:ascii="Times New Roman" w:hAnsi="Times New Roman" w:cs="Times New Roman" w:eastAsia="Times New Roman" w:hint="default"/>
          <w:spacing w:val="-1"/>
        </w:rPr>
        <w:t>14</w:t>
      </w:r>
      <w:r>
        <w:rPr>
          <w:spacing w:val="-1"/>
        </w:rPr>
        <w:t>项软</w:t>
      </w:r>
      <w:r>
        <w:rPr>
          <w:spacing w:val="-82"/>
        </w:rPr>
        <w:t> </w:t>
      </w:r>
      <w:r>
        <w:rPr/>
        <w:t>件产品。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2015</w:t>
      </w:r>
      <w:r>
        <w:rPr/>
        <w:t>年公司被认定为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18"/>
          <w:szCs w:val="18"/>
        </w:rPr>
      </w:pPr>
    </w:p>
    <w:p>
      <w:pPr>
        <w:pStyle w:val="BodyText"/>
        <w:spacing w:line="273" w:lineRule="auto"/>
        <w:ind w:left="1134" w:right="1131" w:firstLine="566"/>
        <w:jc w:val="both"/>
      </w:pPr>
      <w:r>
        <w:rPr/>
        <w:t>丰富的案例资源、专业的研发团队和相对完备的研发平台，大大提升了公司的研发能力，使公司能 </w:t>
      </w:r>
      <w:r>
        <w:rPr>
          <w:spacing w:val="-1"/>
        </w:rPr>
        <w:t>够更快、更好地对客户需求作出响应，并可在尽可能短的时间内，为客户提供高度定制化的产品或更有效</w:t>
      </w:r>
      <w:r>
        <w:rPr>
          <w:spacing w:val="-83"/>
        </w:rPr>
        <w:t> </w:t>
      </w:r>
      <w:r>
        <w:rPr>
          <w:spacing w:val="-83"/>
        </w:rPr>
      </w:r>
      <w:r>
        <w:rPr/>
        <w:t>的技术解决方案。</w:t>
      </w:r>
    </w:p>
    <w:p>
      <w:pPr>
        <w:pStyle w:val="BodyText"/>
        <w:spacing w:line="530" w:lineRule="atLeast" w:before="8"/>
        <w:ind w:left="1614" w:right="1120" w:firstLine="2"/>
        <w:jc w:val="left"/>
      </w:pPr>
      <w:r>
        <w:rPr>
          <w:rFonts w:ascii="Times New Roman" w:hAnsi="Times New Roman" w:cs="Times New Roman" w:eastAsia="Times New Roman" w:hint="default"/>
          <w:b/>
          <w:bCs/>
        </w:rPr>
        <w:t>4</w:t>
      </w:r>
      <w:r>
        <w:rPr>
          <w:rFonts w:ascii="宋体" w:hAnsi="宋体" w:cs="宋体" w:eastAsia="宋体" w:hint="default"/>
          <w:b/>
          <w:bCs/>
        </w:rPr>
        <w:t>、营销优势</w:t>
      </w:r>
      <w:r>
        <w:rPr>
          <w:rFonts w:ascii="宋体" w:hAnsi="宋体" w:cs="宋体" w:eastAsia="宋体" w:hint="default"/>
          <w:b/>
          <w:bCs/>
          <w:w w:val="99"/>
        </w:rPr>
        <w:t> </w:t>
      </w:r>
      <w:r>
        <w:rPr>
          <w:spacing w:val="-2"/>
        </w:rPr>
        <w:t>公司成立以来，就一直从事电力设备状态检测、监测产品和电能表的销售与技术服务业务。经过多年</w:t>
      </w:r>
    </w:p>
    <w:p>
      <w:pPr>
        <w:pStyle w:val="BodyText"/>
        <w:spacing w:line="273" w:lineRule="auto" w:before="37"/>
        <w:ind w:left="1134" w:right="1131"/>
        <w:jc w:val="both"/>
      </w:pPr>
      <w:r>
        <w:rPr>
          <w:spacing w:val="-1"/>
        </w:rPr>
        <w:t>的市场积累，公司已在电力系统中积累了广泛的客户资源，具体已延伸到两大电网公司及其下属的众多成</w:t>
      </w:r>
      <w:r>
        <w:rPr>
          <w:spacing w:val="-81"/>
        </w:rPr>
        <w:t> </w:t>
      </w:r>
      <w:r>
        <w:rPr>
          <w:spacing w:val="-81"/>
        </w:rPr>
      </w:r>
      <w:r>
        <w:rPr/>
        <w:t>员企业。</w:t>
      </w:r>
    </w:p>
    <w:p>
      <w:pPr>
        <w:spacing w:line="240" w:lineRule="auto" w:before="13"/>
        <w:rPr>
          <w:rFonts w:ascii="宋体" w:hAnsi="宋体" w:cs="宋体" w:eastAsia="宋体" w:hint="default"/>
          <w:sz w:val="18"/>
          <w:szCs w:val="18"/>
        </w:rPr>
      </w:pPr>
    </w:p>
    <w:p>
      <w:pPr>
        <w:pStyle w:val="BodyText"/>
        <w:spacing w:line="256" w:lineRule="auto"/>
        <w:ind w:right="1130" w:firstLine="566"/>
        <w:jc w:val="both"/>
      </w:pPr>
      <w:r>
        <w:rPr/>
        <w:t>随着业务的不断发展，公司营销队伍和营销网络建设力度不断加大。截至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 </w:t>
      </w:r>
      <w:r>
        <w:rPr>
          <w:spacing w:val="-2"/>
        </w:rPr>
        <w:t>建立一支由</w:t>
      </w:r>
      <w:r>
        <w:rPr>
          <w:rFonts w:ascii="Times New Roman" w:hAnsi="Times New Roman" w:cs="Times New Roman" w:eastAsia="Times New Roman" w:hint="default"/>
          <w:spacing w:val="-2"/>
        </w:rPr>
        <w:t>171</w:t>
      </w:r>
      <w:r>
        <w:rPr>
          <w:spacing w:val="-2"/>
        </w:rPr>
        <w:t>名销售人员组成的销售队伍，其中，</w:t>
      </w:r>
      <w:r>
        <w:rPr>
          <w:rFonts w:ascii="Times New Roman" w:hAnsi="Times New Roman" w:cs="Times New Roman" w:eastAsia="Times New Roman" w:hint="default"/>
          <w:spacing w:val="-2"/>
        </w:rPr>
        <w:t>57.87%</w:t>
      </w:r>
      <w:r>
        <w:rPr>
          <w:spacing w:val="-2"/>
        </w:rPr>
        <w:t>在公司的服务期限在</w:t>
      </w:r>
      <w:r>
        <w:rPr>
          <w:rFonts w:ascii="Times New Roman" w:hAnsi="Times New Roman" w:cs="Times New Roman" w:eastAsia="Times New Roman" w:hint="default"/>
          <w:spacing w:val="-2"/>
        </w:rPr>
        <w:t>3</w:t>
      </w:r>
      <w:r>
        <w:rPr>
          <w:spacing w:val="-2"/>
        </w:rPr>
        <w:t>年及以上，</w:t>
      </w:r>
      <w:r>
        <w:rPr>
          <w:rFonts w:ascii="Times New Roman" w:hAnsi="Times New Roman" w:cs="Times New Roman" w:eastAsia="Times New Roman" w:hint="default"/>
          <w:spacing w:val="-2"/>
        </w:rPr>
        <w:t>47.95%</w:t>
      </w:r>
      <w:r>
        <w:rPr>
          <w:spacing w:val="-2"/>
        </w:rPr>
        <w:t>具有本</w:t>
      </w:r>
      <w:r>
        <w:rPr>
          <w:spacing w:val="-59"/>
        </w:rPr>
        <w:t> </w:t>
      </w:r>
      <w:r>
        <w:rPr>
          <w:spacing w:val="-59"/>
        </w:rPr>
      </w:r>
      <w:r>
        <w:rPr>
          <w:spacing w:val="-1"/>
        </w:rPr>
        <w:t>科及以上学历，专业以电气工程及自动化为主。同时，截至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日，公司已在全国建立了多个联</w:t>
      </w:r>
      <w:r>
        <w:rPr>
          <w:spacing w:val="-85"/>
        </w:rPr>
        <w:t> </w:t>
      </w:r>
      <w:r>
        <w:rPr>
          <w:spacing w:val="-85"/>
        </w:rPr>
      </w:r>
      <w:r>
        <w:rPr/>
        <w:t>络处，每个联络处至少配备了</w:t>
      </w:r>
      <w:r>
        <w:rPr>
          <w:rFonts w:ascii="Times New Roman" w:hAnsi="Times New Roman" w:cs="Times New Roman" w:eastAsia="Times New Roman" w:hint="default"/>
        </w:rPr>
        <w:t>1</w:t>
      </w:r>
      <w:r>
        <w:rPr/>
        <w:t>名专业技术人员。专业、稳定的销售队伍及广泛的营销网络，使公司能够</w:t>
      </w:r>
      <w:r>
        <w:rPr>
          <w:spacing w:val="-32"/>
        </w:rPr>
        <w:t> </w:t>
      </w:r>
      <w:r>
        <w:rPr>
          <w:spacing w:val="-32"/>
        </w:rPr>
      </w:r>
      <w:r>
        <w:rPr/>
        <w:t>对客户的需求做出快速、及时的反应，并具备了为客户提供专业、优质技术服务的能力。</w:t>
      </w:r>
    </w:p>
    <w:p>
      <w:pPr>
        <w:pStyle w:val="BodyText"/>
        <w:spacing w:line="552" w:lineRule="exact" w:before="66"/>
        <w:ind w:left="1616" w:right="1030" w:hanging="3"/>
        <w:jc w:val="left"/>
      </w:pPr>
      <w:r>
        <w:rPr/>
        <w:t>目前，公司在客户资源、营销队伍以及营销网络方面的优势，已成为公司不断开拓市场的有力保障。 </w:t>
      </w:r>
      <w:r>
        <w:rPr>
          <w:rFonts w:ascii="Times New Roman" w:hAnsi="Times New Roman" w:cs="Times New Roman" w:eastAsia="Times New Roman" w:hint="default"/>
          <w:b/>
          <w:bCs/>
        </w:rPr>
        <w:t>5</w:t>
      </w:r>
      <w:r>
        <w:rPr>
          <w:rFonts w:ascii="宋体" w:hAnsi="宋体" w:cs="宋体" w:eastAsia="宋体" w:hint="default"/>
          <w:b/>
          <w:bCs/>
        </w:rPr>
        <w:t>、产品优势</w:t>
      </w:r>
      <w:r>
        <w:rPr>
          <w:rFonts w:ascii="宋体" w:hAnsi="宋体" w:cs="宋体" w:eastAsia="宋体" w:hint="default"/>
          <w:b/>
          <w:bCs/>
          <w:w w:val="99"/>
        </w:rPr>
        <w:t> </w:t>
      </w:r>
      <w:r>
        <w:rPr/>
        <w:t>经过多年的技术积累和持续的产品研发，目前，公司已开发出众多的电力设备状态检测、监测产品，</w:t>
      </w:r>
    </w:p>
    <w:p>
      <w:pPr>
        <w:pStyle w:val="BodyText"/>
        <w:spacing w:line="231" w:lineRule="exact"/>
        <w:ind w:left="1134" w:right="0"/>
        <w:jc w:val="both"/>
      </w:pPr>
      <w:r>
        <w:rPr/>
        <w:t>并形成了品种多、类别全、配套能力强的特点。目前，公司在电力设备状态检测、监测领域的产品线非常</w:t>
      </w:r>
    </w:p>
    <w:p>
      <w:pPr>
        <w:pStyle w:val="BodyText"/>
        <w:spacing w:line="271" w:lineRule="auto" w:before="37"/>
        <w:ind w:left="1134" w:right="1128"/>
        <w:jc w:val="both"/>
      </w:pPr>
      <w:r>
        <w:rPr>
          <w:spacing w:val="-1"/>
        </w:rPr>
        <w:t>丰富，具体主要包括一次设备状态检测、监测产品和计量装置检测、监测产品两大类。其中，一次设备状</w:t>
      </w:r>
      <w:r>
        <w:rPr>
          <w:spacing w:val="-83"/>
        </w:rPr>
        <w:t> </w:t>
      </w:r>
      <w:r>
        <w:rPr>
          <w:spacing w:val="-83"/>
        </w:rPr>
      </w:r>
      <w:r>
        <w:rPr/>
        <w:t>态检测、监测产品包括开关柜状态检测、监测系列产品，</w:t>
      </w:r>
      <w:r>
        <w:rPr>
          <w:rFonts w:ascii="Times New Roman" w:hAnsi="Times New Roman" w:cs="Times New Roman" w:eastAsia="Times New Roman" w:hint="default"/>
        </w:rPr>
        <w:t>GIS</w:t>
      </w:r>
      <w:r>
        <w:rPr/>
        <w:t>状态检测、监测系列产品，电缆状态检测、</w:t>
      </w:r>
      <w:r>
        <w:rPr>
          <w:spacing w:val="-47"/>
        </w:rPr>
        <w:t> </w:t>
      </w:r>
      <w:r>
        <w:rPr>
          <w:spacing w:val="-47"/>
        </w:rPr>
      </w:r>
      <w:r>
        <w:rPr>
          <w:spacing w:val="-1"/>
        </w:rPr>
        <w:t>监测系列产品，变压器状态检测、监测系列产品，断路器状态检测、监测系列产品，输电线路状态检测系</w:t>
      </w:r>
      <w:r>
        <w:rPr>
          <w:spacing w:val="-83"/>
        </w:rPr>
        <w:t> </w:t>
      </w:r>
      <w:r>
        <w:rPr>
          <w:spacing w:val="-83"/>
        </w:rPr>
      </w:r>
      <w:r>
        <w:rPr>
          <w:spacing w:val="-1"/>
        </w:rPr>
        <w:t>列产品，接地装置特性参数测量与管理系统等；计量装置检测、监测产品包括非传统式互感器测试仪和计</w:t>
      </w:r>
      <w:r>
        <w:rPr>
          <w:spacing w:val="-83"/>
        </w:rPr>
        <w:t> </w:t>
      </w:r>
      <w:r>
        <w:rPr>
          <w:spacing w:val="-83"/>
        </w:rPr>
      </w:r>
      <w:r>
        <w:rPr>
          <w:spacing w:val="-1"/>
        </w:rPr>
        <w:t>量装置远程校验监测系统等。在产品类别方面，公司产品包括手持式、便携式、安装式等，可满足不同客</w:t>
      </w:r>
      <w:r>
        <w:rPr>
          <w:spacing w:val="-83"/>
        </w:rPr>
        <w:t> </w:t>
      </w:r>
      <w:r>
        <w:rPr>
          <w:spacing w:val="-83"/>
        </w:rPr>
      </w:r>
      <w:r>
        <w:rPr>
          <w:spacing w:val="-1"/>
        </w:rPr>
        <w:t>户的检测和监测需求。此外，公司产品的应用对象涉及发电、输电、变电、配电、用电各个领域，并可对</w:t>
      </w:r>
      <w:r>
        <w:rPr>
          <w:spacing w:val="-85"/>
        </w:rPr>
        <w:t> </w:t>
      </w:r>
      <w:r>
        <w:rPr>
          <w:spacing w:val="-85"/>
        </w:rPr>
      </w:r>
      <w:r>
        <w:rPr>
          <w:spacing w:val="-1"/>
        </w:rPr>
        <w:t>电力设备局部放电、温度状态、机械特性、测量精度等进行检测、监测，因此，可与各级电力公司的需求</w:t>
      </w:r>
      <w:r>
        <w:rPr>
          <w:spacing w:val="-83"/>
        </w:rPr>
        <w:t> </w:t>
      </w:r>
      <w:r>
        <w:rPr>
          <w:spacing w:val="-83"/>
        </w:rPr>
      </w:r>
      <w:r>
        <w:rPr>
          <w:spacing w:val="-1"/>
        </w:rPr>
        <w:t>相配套，具有综合配套能力强的特点。同时，报告期内公司通过包括并购涵普电力在内的各种方式在上述</w:t>
      </w:r>
      <w:r>
        <w:rPr>
          <w:spacing w:val="-83"/>
        </w:rPr>
        <w:t> </w:t>
      </w:r>
      <w:r>
        <w:rPr>
          <w:spacing w:val="-83"/>
        </w:rPr>
      </w:r>
      <w:r>
        <w:rPr/>
        <w:t>领域上快速获取优质资源，完善产品和市场覆盖能力。</w:t>
      </w:r>
    </w:p>
    <w:p>
      <w:pPr>
        <w:spacing w:line="240" w:lineRule="auto" w:before="1"/>
        <w:rPr>
          <w:rFonts w:ascii="宋体" w:hAnsi="宋体" w:cs="宋体" w:eastAsia="宋体" w:hint="default"/>
          <w:sz w:val="19"/>
          <w:szCs w:val="19"/>
        </w:rPr>
      </w:pPr>
    </w:p>
    <w:p>
      <w:pPr>
        <w:pStyle w:val="BodyText"/>
        <w:spacing w:line="240" w:lineRule="auto"/>
        <w:ind w:left="1616" w:right="0"/>
        <w:jc w:val="left"/>
      </w:pPr>
      <w:r>
        <w:rPr/>
        <w:t>丰富的产品线在更好地满足客户需求的同时，也有利于促进检测、监测技术的集成和整合，顺应未来</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行业朝综合检测方向发展的趋势，确保公司在技术领域持续保持领先优势。</w:t>
      </w:r>
    </w:p>
    <w:p>
      <w:pPr>
        <w:pStyle w:val="BodyText"/>
        <w:spacing w:line="530" w:lineRule="atLeast" w:before="38"/>
        <w:ind w:left="1613" w:right="1121" w:firstLine="2"/>
        <w:jc w:val="left"/>
      </w:pPr>
      <w:r>
        <w:rPr>
          <w:rFonts w:ascii="Times New Roman" w:hAnsi="Times New Roman" w:cs="Times New Roman" w:eastAsia="Times New Roman" w:hint="default"/>
          <w:b/>
          <w:bCs/>
        </w:rPr>
        <w:t>6</w:t>
      </w:r>
      <w:r>
        <w:rPr>
          <w:rFonts w:ascii="宋体" w:hAnsi="宋体" w:cs="宋体" w:eastAsia="宋体" w:hint="default"/>
          <w:b/>
          <w:bCs/>
        </w:rPr>
        <w:t>、品牌优势</w:t>
      </w:r>
      <w:r>
        <w:rPr>
          <w:rFonts w:ascii="宋体" w:hAnsi="宋体" w:cs="宋体" w:eastAsia="宋体" w:hint="default"/>
          <w:b/>
          <w:bCs/>
          <w:w w:val="99"/>
        </w:rPr>
        <w:t> </w:t>
      </w:r>
      <w:r>
        <w:rPr>
          <w:spacing w:val="-2"/>
        </w:rPr>
        <w:t>公司相关产品已广泛应用于国家电网公司、南方电网公司及其下属的各级电力企业，并取得了良好的</w:t>
      </w:r>
    </w:p>
    <w:p>
      <w:pPr>
        <w:pStyle w:val="BodyText"/>
        <w:spacing w:line="261" w:lineRule="auto" w:before="37"/>
        <w:ind w:right="1129"/>
        <w:jc w:val="both"/>
      </w:pPr>
      <w:r>
        <w:rPr>
          <w:spacing w:val="-1"/>
        </w:rPr>
        <w:t>口碑和稳定的运行业绩。公司产品在上海世博会、广州亚运会等国家重点工程中的应用，不仅为保障上述</w:t>
      </w:r>
      <w:r>
        <w:rPr>
          <w:spacing w:val="-83"/>
        </w:rPr>
        <w:t> </w:t>
      </w:r>
      <w:r>
        <w:rPr>
          <w:spacing w:val="-83"/>
        </w:rPr>
      </w:r>
      <w:r>
        <w:rPr>
          <w:spacing w:val="-3"/>
        </w:rPr>
        <w:t>工程电力供应的安全、平稳、可靠运行做出了贡献，而且也树立起了</w:t>
      </w:r>
      <w:r>
        <w:rPr>
          <w:rFonts w:ascii="Times New Roman" w:hAnsi="Times New Roman" w:cs="Times New Roman" w:eastAsia="Times New Roman" w:hint="default"/>
          <w:spacing w:val="-3"/>
        </w:rPr>
        <w:t>“</w:t>
      </w:r>
      <w:r>
        <w:rPr>
          <w:spacing w:val="-3"/>
        </w:rPr>
        <w:t>红相</w:t>
      </w:r>
      <w:r>
        <w:rPr>
          <w:rFonts w:ascii="Times New Roman" w:hAnsi="Times New Roman" w:cs="Times New Roman" w:eastAsia="Times New Roman" w:hint="default"/>
          <w:spacing w:val="-3"/>
        </w:rPr>
        <w:t>”</w:t>
      </w:r>
      <w:r>
        <w:rPr>
          <w:spacing w:val="-3"/>
        </w:rPr>
        <w:t>品牌的良好市场形象。</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27</w:t>
      </w:r>
      <w:r>
        <w:rPr/>
        <w:t>日，公司注册并使用在</w:t>
      </w:r>
      <w:r>
        <w:rPr>
          <w:rFonts w:ascii="Times New Roman" w:hAnsi="Times New Roman" w:cs="Times New Roman" w:eastAsia="Times New Roman" w:hint="default"/>
        </w:rPr>
        <w:t>“</w:t>
      </w:r>
      <w:r>
        <w:rPr/>
        <w:t>第</w:t>
      </w:r>
      <w:r>
        <w:rPr>
          <w:rFonts w:ascii="Times New Roman" w:hAnsi="Times New Roman" w:cs="Times New Roman" w:eastAsia="Times New Roman" w:hint="default"/>
        </w:rPr>
        <w:t>9</w:t>
      </w:r>
      <w:r>
        <w:rPr/>
        <w:t>类电度表、成套电器校验装置、电测量仪器</w:t>
      </w:r>
      <w:r>
        <w:rPr>
          <w:rFonts w:ascii="Times New Roman" w:hAnsi="Times New Roman" w:cs="Times New Roman" w:eastAsia="Times New Roman" w:hint="default"/>
        </w:rPr>
        <w:t>”</w:t>
      </w:r>
      <w:r>
        <w:rPr/>
        <w:t>上的</w:t>
      </w:r>
      <w:r>
        <w:rPr>
          <w:rFonts w:ascii="Times New Roman" w:hAnsi="Times New Roman" w:cs="Times New Roman" w:eastAsia="Times New Roman" w:hint="default"/>
        </w:rPr>
        <w:t>“</w:t>
      </w:r>
      <w:r>
        <w:rPr/>
        <w:t>红相、</w:t>
      </w:r>
      <w:r>
        <w:rPr>
          <w:rFonts w:ascii="Times New Roman" w:hAnsi="Times New Roman" w:cs="Times New Roman" w:eastAsia="Times New Roman" w:hint="default"/>
        </w:rPr>
        <w:t>HX</w:t>
      </w:r>
      <w:r>
        <w:rPr/>
        <w:t>及图</w:t>
      </w:r>
      <w:r>
        <w:rPr>
          <w:rFonts w:ascii="Times New Roman" w:hAnsi="Times New Roman" w:cs="Times New Roman" w:eastAsia="Times New Roman" w:hint="default"/>
        </w:rPr>
        <w:t>”</w:t>
      </w:r>
      <w:r>
        <w:rPr/>
        <w:t>被国家</w:t>
      </w:r>
      <w:r>
        <w:rPr>
          <w:spacing w:val="-75"/>
        </w:rPr>
        <w:t> </w:t>
      </w:r>
      <w:r>
        <w:rPr/>
        <w:t>工商总局认定为中国驰名商标。</w:t>
      </w:r>
    </w:p>
    <w:p>
      <w:pPr>
        <w:spacing w:line="240" w:lineRule="auto" w:before="10"/>
        <w:rPr>
          <w:rFonts w:ascii="宋体" w:hAnsi="宋体" w:cs="宋体" w:eastAsia="宋体" w:hint="default"/>
          <w:sz w:val="19"/>
          <w:szCs w:val="19"/>
        </w:rPr>
      </w:pPr>
    </w:p>
    <w:p>
      <w:pPr>
        <w:pStyle w:val="BodyText"/>
        <w:spacing w:line="273" w:lineRule="auto"/>
        <w:ind w:left="1134" w:right="1131" w:firstLine="480"/>
        <w:jc w:val="both"/>
      </w:pPr>
      <w:r>
        <w:rPr>
          <w:spacing w:val="-2"/>
        </w:rPr>
        <w:t>优秀的历史运行业绩和良好的品牌效应，增强了公司产品的市场知名度和美誉度，促进了公司的进一</w:t>
      </w:r>
      <w:r>
        <w:rPr/>
        <w:t> 步发展。</w:t>
      </w:r>
    </w:p>
    <w:p>
      <w:pPr>
        <w:pStyle w:val="BodyText"/>
        <w:spacing w:line="530" w:lineRule="atLeast" w:before="8"/>
        <w:ind w:left="1613" w:right="0" w:firstLine="2"/>
        <w:jc w:val="left"/>
      </w:pPr>
      <w:r>
        <w:rPr>
          <w:rFonts w:ascii="Times New Roman" w:hAnsi="Times New Roman" w:cs="Times New Roman" w:eastAsia="Times New Roman" w:hint="default"/>
          <w:b/>
          <w:bCs/>
        </w:rPr>
        <w:t>7</w:t>
      </w:r>
      <w:r>
        <w:rPr>
          <w:rFonts w:ascii="宋体" w:hAnsi="宋体" w:cs="宋体" w:eastAsia="宋体" w:hint="default"/>
          <w:b/>
          <w:bCs/>
        </w:rPr>
        <w:t>、人才优势</w:t>
      </w:r>
      <w:r>
        <w:rPr>
          <w:rFonts w:ascii="宋体" w:hAnsi="宋体" w:cs="宋体" w:eastAsia="宋体" w:hint="default"/>
          <w:b/>
          <w:bCs/>
          <w:w w:val="99"/>
        </w:rPr>
        <w:t> </w:t>
      </w:r>
      <w:r>
        <w:rPr>
          <w:spacing w:val="-5"/>
        </w:rPr>
        <w:t>人才是企业发展的基石，因此，公司非常重视人才队伍建设。首先，公司建立了一支稳定的高管团队，</w:t>
      </w:r>
    </w:p>
    <w:p>
      <w:pPr>
        <w:pStyle w:val="BodyText"/>
        <w:spacing w:line="273" w:lineRule="auto" w:before="37"/>
        <w:ind w:right="1131"/>
        <w:jc w:val="both"/>
      </w:pPr>
      <w:r>
        <w:rPr>
          <w:spacing w:val="3"/>
        </w:rPr>
        <w:t>这支高管团队已共同创业多年，对电力行业发展及市场需求变化具有敏锐的洞察力和良好的机会把握能</w:t>
      </w:r>
      <w:r>
        <w:rPr>
          <w:spacing w:val="-82"/>
        </w:rPr>
        <w:t> </w:t>
      </w:r>
      <w:r>
        <w:rPr>
          <w:spacing w:val="-82"/>
        </w:rPr>
      </w:r>
      <w:r>
        <w:rPr>
          <w:spacing w:val="-1"/>
        </w:rPr>
        <w:t>力。同时，高管人员在长期的合作过程中形成了共同的经营理念，从而能够保证公司具备高效的决策效率</w:t>
      </w:r>
      <w:r>
        <w:rPr>
          <w:spacing w:val="-82"/>
        </w:rPr>
        <w:t> </w:t>
      </w:r>
      <w:r>
        <w:rPr>
          <w:spacing w:val="-82"/>
        </w:rPr>
      </w:r>
      <w:r>
        <w:rPr/>
        <w:t>和良好的执行力。</w:t>
      </w:r>
    </w:p>
    <w:p>
      <w:pPr>
        <w:spacing w:line="240" w:lineRule="auto" w:before="12"/>
        <w:rPr>
          <w:rFonts w:ascii="宋体" w:hAnsi="宋体" w:cs="宋体" w:eastAsia="宋体" w:hint="default"/>
          <w:sz w:val="18"/>
          <w:szCs w:val="18"/>
        </w:rPr>
      </w:pPr>
    </w:p>
    <w:p>
      <w:pPr>
        <w:pStyle w:val="BodyText"/>
        <w:spacing w:line="264" w:lineRule="auto"/>
        <w:ind w:right="1130" w:firstLine="480"/>
        <w:jc w:val="both"/>
      </w:pPr>
      <w:r>
        <w:rPr>
          <w:spacing w:val="-2"/>
        </w:rPr>
        <w:t>其次，经过多年的发展，公司已建立起一支高学历、富有创新精神的人才队伍，且结构不断优化。截</w:t>
      </w:r>
      <w:r>
        <w:rPr/>
        <w:t> </w:t>
      </w:r>
      <w:r>
        <w:rPr>
          <w:spacing w:val="-1"/>
        </w:rPr>
        <w:t>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日，公司共有员工</w:t>
      </w:r>
      <w:r>
        <w:rPr>
          <w:rFonts w:ascii="Times New Roman" w:hAnsi="Times New Roman" w:cs="Times New Roman" w:eastAsia="Times New Roman" w:hint="default"/>
          <w:spacing w:val="-1"/>
        </w:rPr>
        <w:t>560</w:t>
      </w:r>
      <w:r>
        <w:rPr>
          <w:spacing w:val="-1"/>
        </w:rPr>
        <w:t>人，其中，本科及本科以上员工数量达</w:t>
      </w:r>
      <w:r>
        <w:rPr>
          <w:rFonts w:ascii="Times New Roman" w:hAnsi="Times New Roman" w:cs="Times New Roman" w:eastAsia="Times New Roman" w:hint="default"/>
          <w:spacing w:val="-1"/>
        </w:rPr>
        <w:t>290</w:t>
      </w:r>
      <w:r>
        <w:rPr>
          <w:spacing w:val="-1"/>
        </w:rPr>
        <w:t>人，占</w:t>
      </w:r>
      <w:r>
        <w:rPr>
          <w:rFonts w:ascii="Times New Roman" w:hAnsi="Times New Roman" w:cs="Times New Roman" w:eastAsia="Times New Roman" w:hint="default"/>
          <w:spacing w:val="-1"/>
        </w:rPr>
        <w:t>51.79%</w:t>
      </w:r>
      <w:r>
        <w:rPr>
          <w:spacing w:val="-1"/>
        </w:rPr>
        <w:t>；</w:t>
      </w:r>
      <w:r>
        <w:rPr>
          <w:rFonts w:ascii="Times New Roman" w:hAnsi="Times New Roman" w:cs="Times New Roman" w:eastAsia="Times New Roman" w:hint="default"/>
          <w:spacing w:val="-1"/>
        </w:rPr>
        <w:t>40</w:t>
      </w:r>
      <w:r>
        <w:rPr>
          <w:spacing w:val="-1"/>
        </w:rPr>
        <w:t>岁及</w:t>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47"/>
        </w:rPr>
        <w:t> </w:t>
      </w:r>
      <w:r>
        <w:rPr/>
        <w:t>岁以下的员工数量达</w:t>
      </w:r>
      <w:r>
        <w:rPr>
          <w:rFonts w:ascii="Times New Roman" w:hAnsi="Times New Roman" w:cs="Times New Roman" w:eastAsia="Times New Roman" w:hint="default"/>
        </w:rPr>
        <w:t>447</w:t>
      </w:r>
      <w:r>
        <w:rPr/>
        <w:t>人，占公司员工总数的</w:t>
      </w:r>
      <w:r>
        <w:rPr>
          <w:rFonts w:ascii="Times New Roman" w:hAnsi="Times New Roman" w:cs="Times New Roman" w:eastAsia="Times New Roman" w:hint="default"/>
        </w:rPr>
        <w:t>79.82%</w:t>
      </w:r>
      <w:r>
        <w:rPr/>
        <w:t>。</w:t>
      </w:r>
    </w:p>
    <w:p>
      <w:pPr>
        <w:spacing w:line="240" w:lineRule="auto" w:before="3"/>
        <w:rPr>
          <w:rFonts w:ascii="宋体" w:hAnsi="宋体" w:cs="宋体" w:eastAsia="宋体" w:hint="default"/>
          <w:sz w:val="18"/>
          <w:szCs w:val="18"/>
        </w:rPr>
      </w:pPr>
    </w:p>
    <w:p>
      <w:pPr>
        <w:pStyle w:val="BodyText"/>
        <w:spacing w:line="273" w:lineRule="auto"/>
        <w:ind w:right="1131" w:firstLine="480"/>
        <w:jc w:val="both"/>
      </w:pPr>
      <w:r>
        <w:rPr>
          <w:spacing w:val="-2"/>
        </w:rPr>
        <w:t>第三，公司目前中层和中层以上管理人员、重要的技术人员及营销人员均持有公司首次公开发行前股</w:t>
      </w:r>
      <w:r>
        <w:rPr/>
        <w:t> 份，其对公司的忠诚度及归属感较强。</w:t>
      </w:r>
    </w:p>
    <w:p>
      <w:pPr>
        <w:spacing w:line="240" w:lineRule="auto" w:before="12"/>
        <w:rPr>
          <w:rFonts w:ascii="宋体" w:hAnsi="宋体" w:cs="宋体" w:eastAsia="宋体" w:hint="default"/>
          <w:sz w:val="18"/>
          <w:szCs w:val="18"/>
        </w:rPr>
      </w:pPr>
    </w:p>
    <w:p>
      <w:pPr>
        <w:pStyle w:val="BodyText"/>
        <w:spacing w:line="240" w:lineRule="auto"/>
        <w:ind w:left="1613" w:right="0"/>
        <w:jc w:val="left"/>
      </w:pPr>
      <w:r>
        <w:rPr/>
        <w:t>稳定的高管团队和优秀的员工队伍，将成为公司未来可持续发展的有力保证。</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03"/>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right="0" w:firstLine="420"/>
        <w:jc w:val="left"/>
      </w:pPr>
      <w:r>
        <w:rPr>
          <w:rFonts w:ascii="Times New Roman" w:hAnsi="Times New Roman" w:cs="Times New Roman" w:eastAsia="Times New Roman" w:hint="default"/>
          <w:spacing w:val="-1"/>
        </w:rPr>
        <w:t>2015</w:t>
      </w:r>
      <w:r>
        <w:rPr>
          <w:spacing w:val="-1"/>
        </w:rPr>
        <w:t>年是公司上市后的首个年度和第一个十年起步。面对国内外错综复杂的经济环境，公司董事会和</w:t>
      </w:r>
      <w:r>
        <w:rPr/>
        <w:t> 管理层锐意进取，以创业者的姿态出发，一方面始终坚持以</w:t>
      </w:r>
      <w:r>
        <w:rPr>
          <w:rFonts w:ascii="Times New Roman" w:hAnsi="Times New Roman" w:cs="Times New Roman" w:eastAsia="Times New Roman" w:hint="default"/>
        </w:rPr>
        <w:t>“</w:t>
      </w:r>
      <w:r>
        <w:rPr/>
        <w:t>产品可靠</w:t>
      </w:r>
      <w:r>
        <w:rPr>
          <w:rFonts w:ascii="Times New Roman" w:hAnsi="Times New Roman" w:cs="Times New Roman" w:eastAsia="Times New Roman" w:hint="default"/>
        </w:rPr>
        <w:t>+</w:t>
      </w:r>
      <w:r>
        <w:rPr/>
        <w:t>服务营销</w:t>
      </w:r>
      <w:r>
        <w:rPr>
          <w:rFonts w:ascii="Times New Roman" w:hAnsi="Times New Roman" w:cs="Times New Roman" w:eastAsia="Times New Roman" w:hint="default"/>
        </w:rPr>
        <w:t>”</w:t>
      </w:r>
      <w:r>
        <w:rPr/>
        <w:t>的经营理念，为客户提 </w:t>
      </w:r>
      <w:r>
        <w:rPr>
          <w:spacing w:val="-1"/>
        </w:rPr>
        <w:t>供完善的电力设备状态检修整体解决方案；另一方面紧跟国家政策导向，科学、有序地优化公司业务结构</w:t>
      </w:r>
      <w:r>
        <w:rPr>
          <w:spacing w:val="-83"/>
        </w:rPr>
        <w:t> </w:t>
      </w:r>
      <w:r>
        <w:rPr>
          <w:spacing w:val="-83"/>
        </w:rPr>
      </w:r>
      <w:r>
        <w:rPr/>
        <w:t>和进行产业布局，公司经营业绩保持了高速增长。</w:t>
      </w:r>
    </w:p>
    <w:p>
      <w:pPr>
        <w:pStyle w:val="BodyText"/>
        <w:spacing w:line="256" w:lineRule="auto" w:before="18"/>
        <w:ind w:right="1130" w:firstLine="420"/>
        <w:jc w:val="both"/>
      </w:pPr>
      <w:r>
        <w:rPr>
          <w:spacing w:val="-1"/>
        </w:rPr>
        <w:t>报告期内，公司实现营业收入</w:t>
      </w:r>
      <w:r>
        <w:rPr>
          <w:rFonts w:ascii="Times New Roman" w:hAnsi="Times New Roman" w:cs="Times New Roman" w:eastAsia="Times New Roman" w:hint="default"/>
          <w:spacing w:val="-1"/>
        </w:rPr>
        <w:t>305,254,632.75</w:t>
      </w:r>
      <w:r>
        <w:rPr>
          <w:spacing w:val="-1"/>
        </w:rPr>
        <w:t>元，同比增长</w:t>
      </w:r>
      <w:r>
        <w:rPr>
          <w:rFonts w:ascii="Times New Roman" w:hAnsi="Times New Roman" w:cs="Times New Roman" w:eastAsia="Times New Roman" w:hint="default"/>
          <w:spacing w:val="-1"/>
        </w:rPr>
        <w:t>14.07%</w:t>
      </w:r>
      <w:r>
        <w:rPr>
          <w:spacing w:val="-1"/>
        </w:rPr>
        <w:t>；营业利润</w:t>
      </w:r>
      <w:r>
        <w:rPr>
          <w:rFonts w:ascii="Times New Roman" w:hAnsi="Times New Roman" w:cs="Times New Roman" w:eastAsia="Times New Roman" w:hint="default"/>
          <w:spacing w:val="-1"/>
        </w:rPr>
        <w:t>71,649,575.60</w:t>
      </w:r>
      <w:r>
        <w:rPr>
          <w:spacing w:val="-1"/>
        </w:rPr>
        <w:t>元，同比增</w:t>
      </w:r>
      <w:r>
        <w:rPr/>
        <w:t> </w:t>
      </w:r>
      <w:r>
        <w:rPr>
          <w:spacing w:val="-3"/>
        </w:rPr>
        <w:t>长</w:t>
      </w:r>
      <w:r>
        <w:rPr>
          <w:rFonts w:ascii="Times New Roman" w:hAnsi="Times New Roman" w:cs="Times New Roman" w:eastAsia="Times New Roman" w:hint="default"/>
          <w:spacing w:val="-3"/>
        </w:rPr>
        <w:t>15.78%</w:t>
      </w:r>
      <w:r>
        <w:rPr>
          <w:spacing w:val="-3"/>
        </w:rPr>
        <w:t>；利润总额</w:t>
      </w:r>
      <w:r>
        <w:rPr>
          <w:rFonts w:ascii="Times New Roman" w:hAnsi="Times New Roman" w:cs="Times New Roman" w:eastAsia="Times New Roman" w:hint="default"/>
          <w:spacing w:val="-3"/>
        </w:rPr>
        <w:t>87,924,878.82</w:t>
      </w:r>
      <w:r>
        <w:rPr>
          <w:spacing w:val="-3"/>
        </w:rPr>
        <w:t>元，同比增长</w:t>
      </w:r>
      <w:r>
        <w:rPr>
          <w:rFonts w:ascii="Times New Roman" w:hAnsi="Times New Roman" w:cs="Times New Roman" w:eastAsia="Times New Roman" w:hint="default"/>
          <w:spacing w:val="-3"/>
        </w:rPr>
        <w:t>33.12%</w:t>
      </w:r>
      <w:r>
        <w:rPr>
          <w:spacing w:val="-3"/>
        </w:rPr>
        <w:t>，归属于上市公司普通股股东的净利润</w:t>
      </w:r>
      <w:r>
        <w:rPr>
          <w:rFonts w:ascii="Times New Roman" w:hAnsi="Times New Roman" w:cs="Times New Roman" w:eastAsia="Times New Roman" w:hint="default"/>
          <w:spacing w:val="-3"/>
        </w:rPr>
        <w:t>70,937,874.33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元，同比增长</w:t>
      </w:r>
      <w:r>
        <w:rPr>
          <w:rFonts w:ascii="Times New Roman" w:hAnsi="Times New Roman" w:cs="Times New Roman" w:eastAsia="Times New Roman" w:hint="default"/>
        </w:rPr>
        <w:t>25.99%</w:t>
      </w:r>
      <w:r>
        <w:rPr/>
        <w:t>。</w:t>
      </w:r>
    </w:p>
    <w:p>
      <w:pPr>
        <w:pStyle w:val="BodyText"/>
        <w:spacing w:line="240" w:lineRule="auto" w:before="5"/>
        <w:ind w:left="1554" w:right="0"/>
        <w:jc w:val="left"/>
      </w:pPr>
      <w:r>
        <w:rPr/>
        <w:t>报告期内，公司主要开展以下工作：</w:t>
      </w:r>
    </w:p>
    <w:p>
      <w:pPr>
        <w:spacing w:line="256" w:lineRule="auto" w:before="37"/>
        <w:ind w:left="1554" w:right="112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、根据公司发展战略需要，优化公司组织结构</w:t>
      </w:r>
      <w:r>
        <w:rPr>
          <w:rFonts w:ascii="宋体" w:hAnsi="宋体" w:cs="宋体" w:eastAsia="宋体" w:hint="default"/>
          <w:b/>
          <w:bCs/>
          <w:w w:val="99"/>
          <w:sz w:val="21"/>
          <w:szCs w:val="21"/>
        </w:rPr>
        <w:t> </w:t>
      </w:r>
      <w:r>
        <w:rPr>
          <w:rFonts w:ascii="宋体" w:hAnsi="宋体" w:cs="宋体" w:eastAsia="宋体" w:hint="default"/>
          <w:spacing w:val="-2"/>
          <w:sz w:val="21"/>
          <w:szCs w:val="21"/>
        </w:rPr>
        <w:t>为了进一步适应公司发展战略需要，提高公司运营效率，充分发挥公司组织结构优势</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公司两度对组织</w:t>
      </w:r>
    </w:p>
    <w:p>
      <w:pPr>
        <w:pStyle w:val="BodyText"/>
        <w:spacing w:line="273" w:lineRule="auto" w:before="5"/>
        <w:ind w:right="1132"/>
        <w:jc w:val="both"/>
      </w:pPr>
      <w:r>
        <w:rPr>
          <w:spacing w:val="-1"/>
        </w:rPr>
        <w:t>结构进行调整，增设轨道事业部、发电事业部；将投融资部拆分为投资中心、财务管理中心；将物流部拆</w:t>
      </w:r>
      <w:r>
        <w:rPr>
          <w:spacing w:val="-82"/>
        </w:rPr>
        <w:t> </w:t>
      </w:r>
      <w:r>
        <w:rPr>
          <w:spacing w:val="-82"/>
        </w:rPr>
      </w:r>
      <w:r>
        <w:rPr>
          <w:spacing w:val="-1"/>
        </w:rPr>
        <w:t>分为物资采购部、仓储运输部；将行政人事部拆分为行政管理部、人力资源部，加快公司精细化管理，夯</w:t>
      </w:r>
      <w:r>
        <w:rPr>
          <w:spacing w:val="-83"/>
        </w:rPr>
        <w:t> </w:t>
      </w:r>
      <w:r>
        <w:rPr>
          <w:spacing w:val="-83"/>
        </w:rPr>
      </w:r>
      <w:r>
        <w:rPr/>
        <w:t>实企业发展基础，为公司未来发展战略的切实有效执行，创造有利条件。</w:t>
      </w:r>
    </w:p>
    <w:p>
      <w:pPr>
        <w:spacing w:line="256" w:lineRule="auto" w:before="7"/>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、成立厦门红相信息科技有限公司，提升产品信息化水平</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报告期内，结合公司产品发展规划，成立了厦门红相信息科技有限公司，将公司产品与互联网信息化</w:t>
      </w:r>
    </w:p>
    <w:p>
      <w:pPr>
        <w:pStyle w:val="BodyText"/>
        <w:spacing w:line="273" w:lineRule="auto" w:before="22"/>
        <w:ind w:right="1133"/>
        <w:jc w:val="both"/>
      </w:pPr>
      <w:r>
        <w:rPr>
          <w:spacing w:val="-1"/>
        </w:rPr>
        <w:t>进一步融合，构建以设备、数据、信息、增值服务为轴线的基于信息互联的业务发展布局，提升公司的核</w:t>
      </w:r>
      <w:r>
        <w:rPr>
          <w:spacing w:val="-83"/>
        </w:rPr>
        <w:t> </w:t>
      </w:r>
      <w:r>
        <w:rPr>
          <w:spacing w:val="-83"/>
        </w:rPr>
      </w:r>
      <w:r>
        <w:rPr/>
        <w:t>心竞争力，更好的满足市场需求。</w:t>
      </w:r>
    </w:p>
    <w:p>
      <w:pPr>
        <w:pStyle w:val="Heading4"/>
        <w:spacing w:line="240" w:lineRule="auto" w:before="7"/>
        <w:ind w:left="1556" w:right="0"/>
        <w:jc w:val="left"/>
        <w:rPr>
          <w:b w:val="0"/>
          <w:bCs w:val="0"/>
        </w:rPr>
      </w:pPr>
      <w:r>
        <w:rPr>
          <w:rFonts w:ascii="Times New Roman" w:hAnsi="Times New Roman" w:cs="Times New Roman" w:eastAsia="Times New Roman" w:hint="default"/>
        </w:rPr>
        <w:t>3</w:t>
      </w:r>
      <w:r>
        <w:rPr/>
        <w:t>、参股售电公司，布局售电侧市场</w:t>
      </w:r>
      <w:r>
        <w:rPr>
          <w:b w:val="0"/>
          <w:bCs w:val="0"/>
        </w:rPr>
      </w:r>
    </w:p>
    <w:p>
      <w:pPr>
        <w:pStyle w:val="BodyText"/>
        <w:spacing w:line="261" w:lineRule="auto" w:before="21"/>
        <w:ind w:right="1131" w:firstLine="420"/>
        <w:jc w:val="both"/>
      </w:pPr>
      <w:r>
        <w:rPr>
          <w:rFonts w:ascii="Times New Roman" w:hAnsi="Times New Roman" w:cs="Times New Roman" w:eastAsia="Times New Roman" w:hint="default"/>
          <w:spacing w:val="-1"/>
        </w:rPr>
        <w:t>2015</w:t>
      </w:r>
      <w:r>
        <w:rPr>
          <w:spacing w:val="-1"/>
        </w:rPr>
        <w:t>年，中共中央、国务院、发改委等有关部门先后出台了电力体制改革方案及配套文件，文件除要</w:t>
      </w:r>
      <w:r>
        <w:rPr/>
        <w:t> 求</w:t>
      </w:r>
      <w:r>
        <w:rPr>
          <w:rFonts w:ascii="Times New Roman" w:hAnsi="Times New Roman" w:cs="Times New Roman" w:eastAsia="Times New Roman" w:hint="default"/>
        </w:rPr>
        <w:t>“</w:t>
      </w:r>
      <w:r>
        <w:rPr/>
        <w:t>稳步推进售电侧改革，有序向社会资本放开售电业务</w:t>
      </w:r>
      <w:r>
        <w:rPr>
          <w:rFonts w:ascii="Times New Roman" w:hAnsi="Times New Roman" w:cs="Times New Roman" w:eastAsia="Times New Roman" w:hint="default"/>
        </w:rPr>
        <w:t>”</w:t>
      </w:r>
      <w:r>
        <w:rPr/>
        <w:t>外，还</w:t>
      </w:r>
      <w:r>
        <w:rPr>
          <w:rFonts w:ascii="Times New Roman" w:hAnsi="Times New Roman" w:cs="Times New Roman" w:eastAsia="Times New Roman" w:hint="default"/>
        </w:rPr>
        <w:t>“</w:t>
      </w:r>
      <w:r>
        <w:rPr/>
        <w:t>鼓励以混合所有制方式发展配电业务</w:t>
      </w:r>
      <w:r>
        <w:rPr>
          <w:rFonts w:ascii="Times New Roman" w:hAnsi="Times New Roman" w:cs="Times New Roman" w:eastAsia="Times New Roman" w:hint="default"/>
        </w:rPr>
        <w:t>”</w:t>
      </w:r>
      <w:r>
        <w:rPr/>
        <w:t>。</w:t>
      </w:r>
      <w:r>
        <w:rPr>
          <w:spacing w:val="-84"/>
        </w:rPr>
        <w:t> </w:t>
      </w:r>
      <w:r>
        <w:rPr>
          <w:spacing w:val="-1"/>
        </w:rPr>
        <w:t>为抓住新一轮电力体制改革所带来的重大发展机遇，分享政策红利，</w:t>
      </w:r>
      <w:r>
        <w:rPr>
          <w:rFonts w:ascii="Times New Roman" w:hAnsi="Times New Roman" w:cs="Times New Roman" w:eastAsia="Times New Roman" w:hint="default"/>
          <w:spacing w:val="-1"/>
        </w:rPr>
        <w:t>2015</w:t>
      </w:r>
      <w:r>
        <w:rPr>
          <w:spacing w:val="-1"/>
        </w:rPr>
        <w:t>年，红相电力与厦门火炬集团有</w:t>
      </w:r>
      <w:r>
        <w:rPr>
          <w:spacing w:val="-82"/>
        </w:rPr>
        <w:t> </w:t>
      </w:r>
      <w:r>
        <w:rPr>
          <w:spacing w:val="-82"/>
        </w:rPr>
      </w:r>
      <w:r>
        <w:rPr>
          <w:spacing w:val="-1"/>
        </w:rPr>
        <w:t>限公司和厦门信息集团有限公司两家大型国有企业集团共同签订了《合作框架协议》，拟共同出资成立合</w:t>
      </w:r>
      <w:r>
        <w:rPr>
          <w:spacing w:val="-83"/>
        </w:rPr>
        <w:t> </w:t>
      </w:r>
      <w:r>
        <w:rPr>
          <w:spacing w:val="-83"/>
        </w:rPr>
      </w:r>
      <w:r>
        <w:rPr/>
        <w:t>资售电公司，以混合所有制的企业性质提前布局福建地区的售电和用电服务市场。</w:t>
      </w:r>
    </w:p>
    <w:p>
      <w:pPr>
        <w:pStyle w:val="Heading4"/>
        <w:spacing w:line="240" w:lineRule="auto" w:before="18"/>
        <w:ind w:left="1556" w:right="0"/>
        <w:jc w:val="left"/>
        <w:rPr>
          <w:b w:val="0"/>
          <w:bCs w:val="0"/>
        </w:rPr>
      </w:pPr>
      <w:r>
        <w:rPr>
          <w:rFonts w:ascii="Times New Roman" w:hAnsi="Times New Roman" w:cs="Times New Roman" w:eastAsia="Times New Roman" w:hint="default"/>
        </w:rPr>
        <w:t>4</w:t>
      </w:r>
      <w:r>
        <w:rPr/>
        <w:t>、充分利用资本平台推动公司外延式发展</w:t>
      </w:r>
      <w:r>
        <w:rPr>
          <w:b w:val="0"/>
          <w:bCs w:val="0"/>
        </w:rPr>
      </w:r>
    </w:p>
    <w:p>
      <w:pPr>
        <w:pStyle w:val="BodyText"/>
        <w:spacing w:line="256" w:lineRule="auto" w:before="21"/>
        <w:ind w:right="1080" w:firstLine="420"/>
        <w:jc w:val="both"/>
      </w:pPr>
      <w:r>
        <w:rPr>
          <w:rFonts w:ascii="Times New Roman" w:hAnsi="Times New Roman" w:cs="Times New Roman" w:eastAsia="Times New Roman" w:hint="default"/>
        </w:rPr>
        <w:t>2015</w:t>
      </w:r>
      <w:r>
        <w:rPr/>
        <w:t>年度，公司以现金方式收购了浙江涵普电力科技有限公司</w:t>
      </w:r>
      <w:r>
        <w:rPr>
          <w:rFonts w:ascii="Times New Roman" w:hAnsi="Times New Roman" w:cs="Times New Roman" w:eastAsia="Times New Roman" w:hint="default"/>
        </w:rPr>
        <w:t>51%</w:t>
      </w:r>
      <w:r>
        <w:rPr/>
        <w:t>股权，并在与其签署的《对外投资 协议》中承诺在涵普电力达到相关业务指标后收购涵普电力部分剩余股权。根据国家能源局在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spacing w:val="-23"/>
        </w:rPr>
        <w:t> </w:t>
      </w:r>
      <w:r>
        <w:rPr/>
        <w:t>发布的《配电网建设改造行动计划（</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期间配电网累计投资不低于</w:t>
      </w:r>
      <w:r>
        <w:rPr>
          <w:rFonts w:ascii="Times New Roman" w:hAnsi="Times New Roman" w:cs="Times New Roman" w:eastAsia="Times New Roman" w:hint="default"/>
        </w:rPr>
        <w:t>1.7</w:t>
      </w:r>
      <w:r>
        <w:rPr/>
        <w:t>万亿元， 其中直接投资于配网自动化改造的金额为</w:t>
      </w:r>
      <w:r>
        <w:rPr>
          <w:rFonts w:ascii="Times New Roman" w:hAnsi="Times New Roman" w:cs="Times New Roman" w:eastAsia="Times New Roman" w:hint="default"/>
        </w:rPr>
        <w:t>850</w:t>
      </w:r>
      <w:r>
        <w:rPr/>
        <w:t>亿元，若算上</w:t>
      </w:r>
      <w:r>
        <w:rPr>
          <w:rFonts w:ascii="Times New Roman" w:hAnsi="Times New Roman" w:cs="Times New Roman" w:eastAsia="Times New Roman" w:hint="default"/>
        </w:rPr>
        <w:t>“</w:t>
      </w:r>
      <w:r>
        <w:rPr/>
        <w:t>中心城市核心区域高可靠示范区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新型城镇</w:t>
      </w:r>
      <w:r>
        <w:rPr>
          <w:spacing w:val="-97"/>
        </w:rPr>
        <w:t> </w:t>
      </w:r>
      <w:r>
        <w:rPr>
          <w:spacing w:val="-97"/>
        </w:rPr>
      </w:r>
      <w:r>
        <w:rPr/>
        <w:t>化配电网示范区</w:t>
      </w:r>
      <w:r>
        <w:rPr>
          <w:rFonts w:ascii="Times New Roman" w:hAnsi="Times New Roman" w:cs="Times New Roman" w:eastAsia="Times New Roman" w:hint="default"/>
        </w:rPr>
        <w:t>”</w:t>
      </w:r>
      <w:r>
        <w:rPr/>
        <w:t>等新建的供电保障行动计划，未来五年配网自动化的市场容量将不低于</w:t>
      </w:r>
      <w:r>
        <w:rPr>
          <w:rFonts w:ascii="Times New Roman" w:hAnsi="Times New Roman" w:cs="Times New Roman" w:eastAsia="Times New Roman" w:hint="default"/>
        </w:rPr>
        <w:t>1000</w:t>
      </w:r>
      <w:r>
        <w:rPr/>
        <w:t>亿元。</w:t>
      </w:r>
    </w:p>
    <w:p>
      <w:pPr>
        <w:pStyle w:val="BodyText"/>
        <w:spacing w:line="271" w:lineRule="auto" w:before="5"/>
        <w:ind w:left="1134" w:right="1131" w:firstLine="420"/>
        <w:jc w:val="both"/>
      </w:pPr>
      <w:r>
        <w:rPr>
          <w:spacing w:val="-1"/>
        </w:rPr>
        <w:t>通过本次并购，红相电力不仅快速获取了涵普电力在配网自动化领域的核心技术和人才队伍，实现了</w:t>
      </w:r>
      <w:r>
        <w:rPr/>
        <w:t> </w:t>
      </w:r>
      <w:r>
        <w:rPr>
          <w:spacing w:val="-1"/>
        </w:rPr>
        <w:t>公司产品结构的纵深拓展，有效把握配电网建设改造的市场机遇；而且也获得了涵普电力在发电领域领先</w:t>
      </w:r>
      <w:r>
        <w:rPr>
          <w:spacing w:val="-81"/>
        </w:rPr>
        <w:t> </w:t>
      </w:r>
      <w:r>
        <w:rPr>
          <w:spacing w:val="-81"/>
        </w:rPr>
      </w:r>
      <w:r>
        <w:rPr/>
        <w:t>的细分市场份额和优质的客户资源。</w:t>
      </w:r>
    </w:p>
    <w:p>
      <w:pPr>
        <w:pStyle w:val="BodyText"/>
        <w:spacing w:line="273" w:lineRule="auto" w:before="10"/>
        <w:ind w:left="1134" w:right="1131" w:firstLine="420"/>
        <w:jc w:val="both"/>
      </w:pPr>
      <w:r>
        <w:rPr>
          <w:spacing w:val="-1"/>
        </w:rPr>
        <w:t>本次并购完成后公司与涵普电力在技术研发、客户资源等方面产生较强的协同效应，双方的市场拓展</w:t>
      </w:r>
      <w:r>
        <w:rPr/>
        <w:t> 能力和盈利能力都得到了较大的提升，同时也增厚了红相电力的整体业绩。</w:t>
      </w:r>
    </w:p>
    <w:p>
      <w:pPr>
        <w:pStyle w:val="BodyText"/>
        <w:spacing w:line="280" w:lineRule="auto" w:before="8"/>
        <w:ind w:left="1554" w:right="1092"/>
        <w:jc w:val="left"/>
      </w:pPr>
      <w:r>
        <w:rPr/>
        <w:t>此外，本次并购也是公司上市后首次利用资本平台的新尝试，标志着公司资本运作开启了新的篇章。 </w:t>
      </w:r>
      <w:r>
        <w:rPr>
          <w:rFonts w:ascii="Times New Roman" w:hAnsi="Times New Roman" w:cs="Times New Roman" w:eastAsia="Times New Roman" w:hint="default"/>
          <w:b/>
          <w:bCs/>
        </w:rPr>
        <w:t>5</w:t>
      </w:r>
      <w:r>
        <w:rPr>
          <w:rFonts w:ascii="宋体" w:hAnsi="宋体" w:cs="宋体" w:eastAsia="宋体" w:hint="default"/>
          <w:b/>
          <w:bCs/>
        </w:rPr>
        <w:t>、加大研发投入，促进技术持续创新</w:t>
      </w:r>
      <w:r>
        <w:rPr>
          <w:rFonts w:ascii="宋体" w:hAnsi="宋体" w:cs="宋体" w:eastAsia="宋体" w:hint="default"/>
          <w:b/>
          <w:bCs/>
          <w:w w:val="99"/>
        </w:rPr>
        <w:t> </w:t>
      </w:r>
      <w:r>
        <w:rPr>
          <w:spacing w:val="-1"/>
        </w:rPr>
        <w:t>报告期内，公司继续加大研发投入，</w:t>
      </w:r>
      <w:r>
        <w:rPr>
          <w:rFonts w:ascii="Times New Roman" w:hAnsi="Times New Roman" w:cs="Times New Roman" w:eastAsia="Times New Roman" w:hint="default"/>
          <w:spacing w:val="-1"/>
        </w:rPr>
        <w:t>2015</w:t>
      </w:r>
      <w:r>
        <w:rPr>
          <w:spacing w:val="-1"/>
        </w:rPr>
        <w:t>年度公司及其子公司围绕目前市场进行产品开发或升级的直</w:t>
      </w:r>
    </w:p>
    <w:p>
      <w:pPr>
        <w:pStyle w:val="BodyText"/>
        <w:spacing w:line="272" w:lineRule="exact"/>
        <w:ind w:left="1134" w:right="0"/>
        <w:jc w:val="both"/>
      </w:pPr>
      <w:r>
        <w:rPr/>
        <w:t>接项目研发项目共计</w:t>
      </w:r>
      <w:r>
        <w:rPr>
          <w:rFonts w:ascii="Times New Roman" w:hAnsi="Times New Roman" w:cs="Times New Roman" w:eastAsia="Times New Roman" w:hint="default"/>
        </w:rPr>
        <w:t>23</w:t>
      </w:r>
      <w:r>
        <w:rPr/>
        <w:t>个，研发费用</w:t>
      </w:r>
      <w:r>
        <w:rPr>
          <w:rFonts w:ascii="Times New Roman" w:hAnsi="Times New Roman" w:cs="Times New Roman" w:eastAsia="Times New Roman" w:hint="default"/>
        </w:rPr>
        <w:t>17,014,668.12</w:t>
      </w:r>
      <w:r>
        <w:rPr/>
        <w:t>元，较去年同期增加</w:t>
      </w:r>
      <w:r>
        <w:rPr>
          <w:rFonts w:ascii="Times New Roman" w:hAnsi="Times New Roman" w:cs="Times New Roman" w:eastAsia="Times New Roman" w:hint="default"/>
        </w:rPr>
        <w:t>40.33%</w:t>
      </w:r>
      <w:r>
        <w:rPr/>
        <w:t>，涵盖了状态检测、监测、</w:t>
      </w:r>
    </w:p>
    <w:p>
      <w:pPr>
        <w:spacing w:after="0" w:line="272" w:lineRule="exact"/>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配网自动化、电能、计量等多个产品领域，丰富现有产品线，提升市场竞争力。同时针对市场的发展需要</w:t>
      </w:r>
      <w:r>
        <w:rPr>
          <w:spacing w:val="-83"/>
        </w:rPr>
        <w:t> </w:t>
      </w:r>
      <w:r>
        <w:rPr>
          <w:spacing w:val="-83"/>
        </w:rPr>
      </w:r>
      <w:r>
        <w:rPr>
          <w:spacing w:val="-1"/>
        </w:rPr>
        <w:t>和细分行业的发展特点，着手进行状态检测、监测产品的智能化规划和设计；基于互联网架构进行分布式</w:t>
      </w:r>
      <w:r>
        <w:rPr>
          <w:spacing w:val="-83"/>
        </w:rPr>
        <w:t> </w:t>
      </w:r>
      <w:r>
        <w:rPr>
          <w:spacing w:val="-83"/>
        </w:rPr>
      </w:r>
      <w:r>
        <w:rPr>
          <w:spacing w:val="-1"/>
        </w:rPr>
        <w:t>运算子站、数据节点和智能传感器系统构架设计；逐步建立面向客户的智能数据中心，通过数据的维护和</w:t>
      </w:r>
      <w:r>
        <w:rPr>
          <w:spacing w:val="-83"/>
        </w:rPr>
        <w:t> </w:t>
      </w:r>
      <w:r>
        <w:rPr>
          <w:spacing w:val="-83"/>
        </w:rPr>
      </w:r>
      <w:r>
        <w:rPr/>
        <w:t>接入，完善和提高公司状态检测、监测产品辅助决策系统应用水平，提高公司的核心竞争力。</w:t>
      </w:r>
    </w:p>
    <w:p>
      <w:pPr>
        <w:pStyle w:val="BodyText"/>
        <w:spacing w:line="273" w:lineRule="auto" w:before="46"/>
        <w:ind w:right="1132" w:firstLine="420"/>
        <w:jc w:val="both"/>
      </w:pPr>
      <w:r>
        <w:rPr>
          <w:spacing w:val="-1"/>
        </w:rPr>
        <w:t>报告期内，公司的持续性研发投入使产品在智能化、互联网应用、分布式运算、大数据应用等将有长</w:t>
      </w:r>
      <w:r>
        <w:rPr/>
        <w:t> 足的进步和发展，从而奠定行业的领先地位，适时引领细分行业的发展方向</w:t>
      </w:r>
      <w:r>
        <w:rPr>
          <w:rFonts w:ascii="Times New Roman" w:hAnsi="Times New Roman" w:cs="Times New Roman" w:eastAsia="Times New Roman" w:hint="default"/>
        </w:rPr>
        <w:t>,</w:t>
      </w:r>
      <w:r>
        <w:rPr/>
        <w:t>促进技术持续创新。</w:t>
      </w:r>
    </w:p>
    <w:p>
      <w:pPr>
        <w:spacing w:line="357" w:lineRule="auto" w:before="28"/>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、科学安排募集资金，优化资源配置</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报告期内，公司科学安排募集资金投资进程，根据投资计划，规范、合理利用暂时闲置募集资金，更</w:t>
      </w:r>
    </w:p>
    <w:p>
      <w:pPr>
        <w:pStyle w:val="BodyText"/>
        <w:spacing w:line="209" w:lineRule="exact"/>
        <w:ind w:left="1134" w:right="0"/>
        <w:jc w:val="left"/>
      </w:pPr>
      <w:r>
        <w:rPr/>
        <w:t>好的实现募集资金使用效益，提升公司的综合盈利能力。</w:t>
      </w:r>
    </w:p>
    <w:p>
      <w:pPr>
        <w:pStyle w:val="BodyText"/>
        <w:spacing w:line="256" w:lineRule="auto" w:before="157"/>
        <w:ind w:left="1134" w:right="1132" w:firstLine="420"/>
        <w:jc w:val="both"/>
      </w:pPr>
      <w:r>
        <w:rPr>
          <w:rFonts w:ascii="Times New Roman" w:hAnsi="Times New Roman" w:cs="Times New Roman" w:eastAsia="Times New Roman" w:hint="default"/>
        </w:rPr>
        <w:t>2015</w:t>
      </w:r>
      <w:r>
        <w:rPr/>
        <w:t>年，经股东大会审批，公司终止了</w:t>
      </w:r>
      <w:r>
        <w:rPr>
          <w:rFonts w:ascii="Times New Roman" w:hAnsi="Times New Roman" w:cs="Times New Roman" w:eastAsia="Times New Roman" w:hint="default"/>
        </w:rPr>
        <w:t>“</w:t>
      </w:r>
      <w:r>
        <w:rPr/>
        <w:t>一次设备状态检测、监测生产改造项目</w:t>
      </w:r>
      <w:r>
        <w:rPr>
          <w:rFonts w:ascii="Times New Roman" w:hAnsi="Times New Roman" w:cs="Times New Roman" w:eastAsia="Times New Roman" w:hint="default"/>
        </w:rPr>
        <w:t>”</w:t>
      </w:r>
      <w:r>
        <w:rPr/>
        <w:t>，将原该项目的资金 投入变更为以货币增资方式取得涵普电力</w:t>
      </w:r>
      <w:r>
        <w:rPr>
          <w:rFonts w:ascii="Times New Roman" w:hAnsi="Times New Roman" w:cs="Times New Roman" w:eastAsia="Times New Roman" w:hint="default"/>
        </w:rPr>
        <w:t>51%</w:t>
      </w:r>
      <w:r>
        <w:rPr/>
        <w:t>股权项目，从而更有效的提高该部分资金使用效率，为全体</w:t>
      </w:r>
      <w:r>
        <w:rPr>
          <w:spacing w:val="-97"/>
        </w:rPr>
        <w:t> </w:t>
      </w:r>
      <w:r>
        <w:rPr>
          <w:spacing w:val="-97"/>
        </w:rPr>
      </w:r>
      <w:r>
        <w:rPr/>
        <w:t>股东带来更大收益。</w:t>
      </w:r>
    </w:p>
    <w:p>
      <w:pPr>
        <w:pStyle w:val="BodyText"/>
        <w:spacing w:line="266" w:lineRule="auto" w:before="142"/>
        <w:ind w:right="1130" w:firstLine="420"/>
        <w:jc w:val="both"/>
      </w:pPr>
      <w:r>
        <w:rPr>
          <w:rFonts w:ascii="Times New Roman" w:hAnsi="Times New Roman" w:cs="Times New Roman" w:eastAsia="Times New Roman" w:hint="default"/>
          <w:spacing w:val="-2"/>
        </w:rPr>
        <w:t>2016</w:t>
      </w:r>
      <w:r>
        <w:rPr>
          <w:spacing w:val="-2"/>
        </w:rPr>
        <w:t>年，经股东大会审批，公司终止了</w:t>
      </w:r>
      <w:r>
        <w:rPr>
          <w:rFonts w:ascii="Times New Roman" w:hAnsi="Times New Roman" w:cs="Times New Roman" w:eastAsia="Times New Roman" w:hint="default"/>
          <w:spacing w:val="-2"/>
        </w:rPr>
        <w:t>“</w:t>
      </w:r>
      <w:r>
        <w:rPr>
          <w:spacing w:val="-2"/>
        </w:rPr>
        <w:t>计量装置检测、监测设备生产改造项目</w:t>
      </w:r>
      <w:r>
        <w:rPr>
          <w:rFonts w:ascii="Times New Roman" w:hAnsi="Times New Roman" w:cs="Times New Roman" w:eastAsia="Times New Roman" w:hint="default"/>
          <w:spacing w:val="-2"/>
        </w:rPr>
        <w:t>”,</w:t>
      </w:r>
      <w:r>
        <w:rPr>
          <w:spacing w:val="-2"/>
        </w:rPr>
        <w:t>将原该项目的资金变</w:t>
      </w:r>
      <w:r>
        <w:rPr/>
        <w:t> 更为拟投入</w:t>
      </w:r>
      <w:r>
        <w:rPr>
          <w:rFonts w:ascii="Times New Roman" w:hAnsi="Times New Roman" w:cs="Times New Roman" w:eastAsia="Times New Roman" w:hint="default"/>
        </w:rPr>
        <w:t>“</w:t>
      </w:r>
      <w:r>
        <w:rPr/>
        <w:t>高压电气设备故障仿真试验室建设项目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高压电气设备故障仿真试验室</w:t>
      </w:r>
      <w:r>
        <w:rPr>
          <w:rFonts w:ascii="Times New Roman" w:hAnsi="Times New Roman" w:cs="Times New Roman" w:eastAsia="Times New Roman" w:hint="default"/>
        </w:rPr>
        <w:t>”</w:t>
      </w:r>
      <w:r>
        <w:rPr/>
        <w:t>是在公司目前的高</w:t>
      </w:r>
      <w:r>
        <w:rPr>
          <w:spacing w:val="-85"/>
        </w:rPr>
        <w:t> </w:t>
      </w:r>
      <w:r>
        <w:rPr>
          <w:spacing w:val="-85"/>
        </w:rPr>
      </w:r>
      <w:r>
        <w:rPr>
          <w:spacing w:val="3"/>
        </w:rPr>
        <w:t>压试验室的基础上进行升级扩建，项目建设完成后可以实现模拟高压电气设备在运行工况下出现的多类</w:t>
      </w:r>
      <w:r>
        <w:rPr>
          <w:spacing w:val="-82"/>
        </w:rPr>
        <w:t> </w:t>
      </w:r>
      <w:r>
        <w:rPr>
          <w:spacing w:val="-82"/>
        </w:rPr>
      </w:r>
      <w:r>
        <w:rPr>
          <w:spacing w:val="-1"/>
        </w:rPr>
        <w:t>别、多样化的故障；针对绝缘介质特点模拟自由金属颗粒、尖端、气隙、悬浮电位体、沿面、树枝状放电</w:t>
      </w:r>
      <w:r>
        <w:rPr>
          <w:spacing w:val="-85"/>
        </w:rPr>
        <w:t> </w:t>
      </w:r>
      <w:r>
        <w:rPr>
          <w:spacing w:val="-85"/>
        </w:rPr>
      </w:r>
      <w:r>
        <w:rPr/>
        <w:t>等多种放电类型。通过</w:t>
      </w:r>
      <w:r>
        <w:rPr>
          <w:rFonts w:ascii="Times New Roman" w:hAnsi="Times New Roman" w:cs="Times New Roman" w:eastAsia="Times New Roman" w:hint="default"/>
        </w:rPr>
        <w:t>“</w:t>
      </w:r>
      <w:r>
        <w:rPr/>
        <w:t>高压电气设备故障仿真试验室</w:t>
      </w:r>
      <w:r>
        <w:rPr>
          <w:rFonts w:ascii="Times New Roman" w:hAnsi="Times New Roman" w:cs="Times New Roman" w:eastAsia="Times New Roman" w:hint="default"/>
        </w:rPr>
        <w:t>”</w:t>
      </w:r>
      <w:r>
        <w:rPr/>
        <w:t>提供的仿真试验平台可以进行局部放电产生机理、 </w:t>
      </w:r>
      <w:r>
        <w:rPr>
          <w:spacing w:val="-1"/>
        </w:rPr>
        <w:t>局部放电对绝缘介质劣化影响、局放电伴生信号演变的基础性研究，该实验室的建成将使公司成为国内首</w:t>
      </w:r>
      <w:r>
        <w:rPr>
          <w:spacing w:val="-81"/>
        </w:rPr>
        <w:t> </w:t>
      </w:r>
      <w:r>
        <w:rPr>
          <w:spacing w:val="-81"/>
        </w:rPr>
      </w:r>
      <w:r>
        <w:rPr>
          <w:spacing w:val="-1"/>
        </w:rPr>
        <w:t>家建设全类别缺陷模型仿真试验室的厂家，实现了各种类型缺陷的试验室准备评估，为研发产品的技术优</w:t>
      </w:r>
      <w:r>
        <w:rPr>
          <w:spacing w:val="-81"/>
        </w:rPr>
        <w:t> </w:t>
      </w:r>
      <w:r>
        <w:rPr>
          <w:spacing w:val="-81"/>
        </w:rPr>
      </w:r>
      <w:r>
        <w:rPr/>
        <w:t>势奠定了坚实的基础。</w:t>
      </w:r>
    </w:p>
    <w:p>
      <w:pPr>
        <w:spacing w:line="290" w:lineRule="auto" w:before="134"/>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、加大人才培养力度，健全人才梯队建设机制</w:t>
      </w:r>
      <w:r>
        <w:rPr>
          <w:rFonts w:ascii="宋体" w:hAnsi="宋体" w:cs="宋体" w:eastAsia="宋体" w:hint="default"/>
          <w:b/>
          <w:bCs/>
          <w:w w:val="99"/>
          <w:sz w:val="21"/>
          <w:szCs w:val="21"/>
        </w:rPr>
        <w:t> </w:t>
      </w:r>
      <w:r>
        <w:rPr>
          <w:rFonts w:ascii="宋体" w:hAnsi="宋体" w:cs="宋体" w:eastAsia="宋体" w:hint="default"/>
          <w:spacing w:val="-1"/>
          <w:sz w:val="21"/>
          <w:szCs w:val="21"/>
        </w:rPr>
        <w:t>公司始终坚持人才第一、以人为本的经营理念，把提高员工素质、引进和培养高层次人才作为企业发</w:t>
      </w:r>
    </w:p>
    <w:p>
      <w:pPr>
        <w:pStyle w:val="BodyText"/>
        <w:spacing w:line="297" w:lineRule="auto"/>
        <w:ind w:left="1554" w:right="0" w:hanging="420"/>
        <w:jc w:val="left"/>
      </w:pPr>
      <w:r>
        <w:rPr/>
        <w:t>展的重中之重，不断完善人才培养和激励机制，以多种方式为员工谋福利，使员工和公司共同成长。 </w:t>
      </w:r>
      <w:r>
        <w:rPr>
          <w:rFonts w:ascii="Times New Roman" w:hAnsi="Times New Roman" w:cs="Times New Roman" w:eastAsia="Times New Roman" w:hint="default"/>
          <w:b/>
          <w:bCs/>
        </w:rPr>
        <w:t>8</w:t>
      </w:r>
      <w:r>
        <w:rPr>
          <w:rFonts w:ascii="宋体" w:hAnsi="宋体" w:cs="宋体" w:eastAsia="宋体" w:hint="default"/>
          <w:b/>
          <w:bCs/>
        </w:rPr>
        <w:t>、重视投资者关系管理，切实维护投资者权益</w:t>
      </w:r>
      <w:r>
        <w:rPr>
          <w:rFonts w:ascii="宋体" w:hAnsi="宋体" w:cs="宋体" w:eastAsia="宋体" w:hint="default"/>
          <w:b/>
          <w:bCs/>
          <w:w w:val="99"/>
        </w:rPr>
        <w:t> </w:t>
      </w:r>
      <w:r>
        <w:rPr>
          <w:spacing w:val="-1"/>
        </w:rPr>
        <w:t>公司建立多渠道、多样化的投资者沟通模式，保持与投资者，特别是中小投资者的沟通交流，在日常</w:t>
      </w:r>
    </w:p>
    <w:p>
      <w:pPr>
        <w:pStyle w:val="BodyText"/>
        <w:spacing w:line="262" w:lineRule="exact"/>
        <w:ind w:left="1134" w:right="0"/>
        <w:jc w:val="left"/>
      </w:pPr>
      <w:r>
        <w:rPr/>
        <w:t>工作中，始终认真对待投资者的每一次来访、来电及提问。同时，公司坚持不断完善治理结构，规范运作</w:t>
      </w:r>
    </w:p>
    <w:p>
      <w:pPr>
        <w:pStyle w:val="BodyText"/>
        <w:spacing w:line="273" w:lineRule="auto" w:before="37"/>
        <w:ind w:left="1134" w:right="1110"/>
        <w:jc w:val="both"/>
      </w:pPr>
      <w:r>
        <w:rPr>
          <w:spacing w:val="-1"/>
        </w:rPr>
        <w:t>董事会、监事会、股东大会；坚持加强内部控制，督促公司大股东、董事、监事、高级管理人员等根据公</w:t>
      </w:r>
      <w:r>
        <w:rPr>
          <w:spacing w:val="-85"/>
        </w:rPr>
        <w:t> </w:t>
      </w:r>
      <w:r>
        <w:rPr>
          <w:spacing w:val="-85"/>
        </w:rPr>
      </w:r>
      <w:r>
        <w:rPr/>
        <w:t>司章程、各项议事规则、制度等相关规定规范行为，及时履行职责，积极配合并切实履行信息披露义务， </w:t>
      </w:r>
      <w:r>
        <w:rPr>
          <w:spacing w:val="-1"/>
        </w:rPr>
        <w:t>从实际工作出发切实维护广大投资者的合法权益。最后，公司坚定积极执行利润分配政策，让广大投资者</w:t>
      </w:r>
      <w:r>
        <w:rPr>
          <w:spacing w:val="-83"/>
        </w:rPr>
        <w:t> </w:t>
      </w:r>
      <w:r>
        <w:rPr>
          <w:spacing w:val="-83"/>
        </w:rPr>
      </w:r>
      <w:r>
        <w:rPr/>
        <w:t>分享公司成长及收益，切实保障投资者的合法权益。</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136.759995pt;margin-top:193.099976pt;width:79.2pt;height:28pt;mso-position-horizontal-relative:page;mso-position-vertical-relative:page;z-index:-925240" coordorigin="2735,3862" coordsize="1584,560">
            <v:group style="position:absolute;left:2735;top:3862;width:1584;height:156" coordorigin="2735,3862" coordsize="1584,156">
              <v:shape style="position:absolute;left:2735;top:3862;width:1584;height:156" coordorigin="2735,3862" coordsize="1584,156" path="m2735,4018l4319,4018,4319,3862,2735,3862,2735,4018xe" filled="true" fillcolor="#ffffff" stroked="false">
                <v:path arrowok="t"/>
                <v:fill type="solid"/>
              </v:shape>
            </v:group>
            <v:group style="position:absolute;left:2747;top:4018;width:2;height:393" coordorigin="2747,4018" coordsize="2,393">
              <v:shape style="position:absolute;left:2747;top:4018;width:2;height:393" coordorigin="2747,4018" coordsize="0,393" path="m2747,4018l2747,4410e" filled="false" stroked="true" strokeweight="1.140pt" strokecolor="#ffffff">
                <v:path arrowok="t"/>
              </v:shape>
            </v:group>
            <v:group style="position:absolute;left:2758;top:4018;width:1539;height:393" coordorigin="2758,4018" coordsize="1539,393">
              <v:shape style="position:absolute;left:2758;top:4018;width:1539;height:393" coordorigin="2758,4018" coordsize="1539,393" path="m2758,4410l4296,4410,4296,4018,2758,4018,2758,441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305,254,632.75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267,597,005.07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电力设备制造业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305,254,632.75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267,597,005.07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电力设备状态检测 监测产品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436" w:right="0"/>
              <w:jc w:val="left"/>
              <w:rPr>
                <w:rFonts w:ascii="Times New Roman" w:hAnsi="Times New Roman" w:cs="Times New Roman" w:eastAsia="Times New Roman" w:hint="default"/>
                <w:sz w:val="18"/>
                <w:szCs w:val="18"/>
              </w:rPr>
            </w:pPr>
            <w:r>
              <w:rPr>
                <w:rFonts w:ascii="Times New Roman"/>
                <w:sz w:val="18"/>
              </w:rPr>
              <w:t>189,609,032.56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185,052,670.44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电能表及用电管理 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102,627,875.16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78,437,941.20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配网终端产品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5,925,658.78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其他电力设备产品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7,092,066.25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4,106,393.43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292,094,186.87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263,212,037.66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13,160,445.88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4,384,967.41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305,254,632.75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152,204,330.74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电力设备状态检 测、监测产品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189,609,032.56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97,967,911.84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电能表及用电管 理系统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102,627,875.16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46,019,581.77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37,877,712.83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11,228,294.20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67,637,486.08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39,622,533.70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59,593,044.18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29,382,985.44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88,031,346.01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50,926,714.94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电力设备制造行业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57" w:lineRule="auto"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1855" w:space="706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电力设备状态检 测、监测产品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97,967,911.84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81,293,646.14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电能表及用电管 理系统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46,019,581.77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49,045,074.90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配网终端产品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4,930,406.05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其他电力设备产 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3,286,431.10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2,914,685.77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12.75%</w:t>
            </w:r>
          </w:p>
        </w:tc>
      </w:tr>
    </w:tbl>
    <w:p>
      <w:pPr>
        <w:spacing w:line="357" w:lineRule="auto" w:before="51"/>
        <w:ind w:left="1134" w:right="1039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240" w:lineRule="auto" w:before="2"/>
        <w:rPr>
          <w:rFonts w:ascii="宋体" w:hAnsi="宋体" w:cs="宋体" w:eastAsia="宋体" w:hint="default"/>
          <w:sz w:val="20"/>
          <w:szCs w:val="20"/>
        </w:rPr>
      </w:pPr>
    </w:p>
    <w:p>
      <w:pPr>
        <w:pStyle w:val="Heading4"/>
        <w:spacing w:line="240" w:lineRule="auto"/>
        <w:ind w:left="1134"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line="319" w:lineRule="auto" w:before="0"/>
        <w:ind w:left="1133" w:right="112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日召开的第三届董事会第四次会议审议通过了《关于公司投资设立厦门红相信息科技有限公司的议案》，同 </w:t>
      </w:r>
      <w:r>
        <w:rPr>
          <w:rFonts w:ascii="宋体" w:hAnsi="宋体" w:cs="宋体" w:eastAsia="宋体" w:hint="default"/>
          <w:spacing w:val="-2"/>
          <w:sz w:val="18"/>
          <w:szCs w:val="18"/>
        </w:rPr>
        <w:t>意公司投资设立全资子公司厦门红相信息科技有限公司，注册资本为</w:t>
      </w:r>
      <w:r>
        <w:rPr>
          <w:rFonts w:ascii="Times New Roman" w:hAnsi="Times New Roman" w:cs="Times New Roman" w:eastAsia="Times New Roman" w:hint="default"/>
          <w:spacing w:val="-2"/>
          <w:sz w:val="18"/>
          <w:szCs w:val="18"/>
        </w:rPr>
        <w:t>200</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日已办理工商登记手续，自</w:t>
      </w:r>
      <w:r>
        <w:rPr>
          <w:rFonts w:ascii="Times New Roman" w:hAnsi="Times New Roman" w:cs="Times New Roman" w:eastAsia="Times New Roman" w:hint="default"/>
          <w:spacing w:val="-2"/>
          <w:sz w:val="18"/>
          <w:szCs w:val="18"/>
        </w:rPr>
        <w:t>2015</w:t>
      </w:r>
    </w:p>
    <w:p>
      <w:pPr>
        <w:spacing w:line="300" w:lineRule="auto"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月起将其纳入合并范围。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年第五次临时股东大会审议通过了《关于终止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2"/>
          <w:sz w:val="18"/>
          <w:szCs w:val="18"/>
        </w:rPr>
        <w:t>及变更募集资金投资项目的议案》，同意公司终止实施原计划中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一次设备状态检测、监测产品生产改造项目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，并且将其中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
          <w:sz w:val="18"/>
          <w:szCs w:val="18"/>
        </w:rPr>
        <w:t>的募集资金</w:t>
      </w:r>
      <w:r>
        <w:rPr>
          <w:rFonts w:ascii="Times New Roman" w:hAnsi="Times New Roman" w:cs="Times New Roman" w:eastAsia="Times New Roman" w:hint="default"/>
          <w:spacing w:val="-1"/>
          <w:sz w:val="18"/>
          <w:szCs w:val="18"/>
        </w:rPr>
        <w:t>5,492.56</w:t>
      </w:r>
      <w:r>
        <w:rPr>
          <w:rFonts w:ascii="宋体" w:hAnsi="宋体" w:cs="宋体" w:eastAsia="宋体" w:hint="default"/>
          <w:spacing w:val="-1"/>
          <w:sz w:val="18"/>
          <w:szCs w:val="18"/>
        </w:rPr>
        <w:t>万元，投入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以货币增资方式取得浙江涵普电力科技有限公司</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的项目。</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日已完成工</w:t>
      </w:r>
      <w:r>
        <w:rPr>
          <w:rFonts w:ascii="宋体" w:hAnsi="宋体" w:cs="宋体" w:eastAsia="宋体" w:hint="default"/>
          <w:spacing w:val="-64"/>
          <w:sz w:val="18"/>
          <w:szCs w:val="18"/>
        </w:rPr>
        <w:t> </w:t>
      </w:r>
      <w:r>
        <w:rPr>
          <w:rFonts w:ascii="宋体" w:hAnsi="宋体" w:cs="宋体" w:eastAsia="宋体" w:hint="default"/>
          <w:sz w:val="18"/>
          <w:szCs w:val="18"/>
        </w:rPr>
        <w:t>商变更登记手续，自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月起将其纳入合并报表范围。</w:t>
      </w:r>
    </w:p>
    <w:p>
      <w:pPr>
        <w:spacing w:after="0" w:line="30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72,105,123.71</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16,994,037.47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17,558,550.22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13,013,623.08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12,714,410.28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11,824,502.66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72,105,123.71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45,429,223.73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22,885,264.96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7,640,053.01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5,370,815.37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4,768,816.89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4,764,273.50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45,429,223.73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40,788,485.15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32,884,360.42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24.04%</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3"/>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公司加大市场调研和推广的力度， 导致市场调研及市场推广费增加；</w:t>
            </w:r>
            <w:r>
              <w:rPr>
                <w:rFonts w:ascii="Times New Roman" w:hAnsi="Times New Roman" w:cs="Times New Roman" w:eastAsia="Times New Roman" w:hint="default"/>
                <w:sz w:val="18"/>
                <w:szCs w:val="18"/>
              </w:rPr>
              <w:t>b. </w:t>
            </w:r>
            <w:r>
              <w:rPr>
                <w:rFonts w:ascii="宋体" w:hAnsi="宋体" w:cs="宋体" w:eastAsia="宋体" w:hint="default"/>
                <w:sz w:val="18"/>
                <w:szCs w:val="18"/>
              </w:rPr>
              <w:t>报告期内新增了控股子公司浙江涵 普电力科技有限公司的销售费用</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4"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39,102,665.41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31,938,906.26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研发费用投入的增加导致的</w:t>
            </w:r>
            <w:r>
              <w:rPr>
                <w:rFonts w:ascii="Times New Roman" w:hAnsi="Times New Roman" w:cs="Times New Roman" w:eastAsia="Times New Roman" w:hint="default"/>
                <w:sz w:val="18"/>
                <w:szCs w:val="18"/>
              </w:rPr>
              <w:t>;b.</w:t>
            </w:r>
            <w:r>
              <w:rPr>
                <w:rFonts w:ascii="宋体" w:hAnsi="宋体" w:cs="宋体" w:eastAsia="宋体" w:hint="default"/>
                <w:sz w:val="18"/>
                <w:szCs w:val="18"/>
              </w:rPr>
              <w:t>报告 期内新增了控股子公司浙江涵普电 力科技有限公司的管理费用</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-632,829.63</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330,919.11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-291.23%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报告期内募集资金到位，利息收入增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加导致财务费用减少。</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6" w:lineRule="auto" w:before="77"/>
        <w:ind w:right="1131" w:firstLine="420"/>
        <w:jc w:val="both"/>
      </w:pPr>
      <w:r>
        <w:rPr>
          <w:spacing w:val="-1"/>
        </w:rPr>
        <w:t>报告期内，公司继续加大研发投入，</w:t>
      </w:r>
      <w:r>
        <w:rPr>
          <w:rFonts w:ascii="Times New Roman" w:hAnsi="Times New Roman" w:cs="Times New Roman" w:eastAsia="Times New Roman" w:hint="default"/>
          <w:spacing w:val="-1"/>
        </w:rPr>
        <w:t>2015</w:t>
      </w:r>
      <w:r>
        <w:rPr>
          <w:spacing w:val="-1"/>
        </w:rPr>
        <w:t>年度公司及其子公司围绕目前市场进行产品开发或升级的直</w:t>
      </w:r>
      <w:r>
        <w:rPr/>
        <w:t> 接项目研发项目共计</w:t>
      </w:r>
      <w:r>
        <w:rPr>
          <w:rFonts w:ascii="Times New Roman" w:hAnsi="Times New Roman" w:cs="Times New Roman" w:eastAsia="Times New Roman" w:hint="default"/>
        </w:rPr>
        <w:t>23</w:t>
      </w:r>
      <w:r>
        <w:rPr/>
        <w:t>个，研发费用</w:t>
      </w:r>
      <w:r>
        <w:rPr>
          <w:rFonts w:ascii="Times New Roman" w:hAnsi="Times New Roman" w:cs="Times New Roman" w:eastAsia="Times New Roman" w:hint="default"/>
        </w:rPr>
        <w:t>17,014,668.12</w:t>
      </w:r>
      <w:r>
        <w:rPr/>
        <w:t>元，较去年同期增加</w:t>
      </w:r>
      <w:r>
        <w:rPr>
          <w:rFonts w:ascii="Times New Roman" w:hAnsi="Times New Roman" w:cs="Times New Roman" w:eastAsia="Times New Roman" w:hint="default"/>
        </w:rPr>
        <w:t>40.33%</w:t>
      </w:r>
      <w:r>
        <w:rPr/>
        <w:t>，涵盖了状态检测、监测、 </w:t>
      </w:r>
      <w:r>
        <w:rPr>
          <w:spacing w:val="-1"/>
        </w:rPr>
        <w:t>配网自动化、电能、计量等多个产品领域，丰富现有产品线，提升市场竞争力。同时针对市场的发展需要</w:t>
      </w:r>
      <w:r>
        <w:rPr>
          <w:spacing w:val="-83"/>
        </w:rPr>
        <w:t> </w:t>
      </w:r>
      <w:r>
        <w:rPr>
          <w:spacing w:val="-83"/>
        </w:rPr>
      </w:r>
      <w:r>
        <w:rPr>
          <w:spacing w:val="-1"/>
        </w:rPr>
        <w:t>和细分行业的发展特点，着手进行状态检测、监测产品的智能化规划和设计；基于互联网架构进行分布式</w:t>
      </w:r>
      <w:r>
        <w:rPr>
          <w:spacing w:val="-83"/>
        </w:rPr>
        <w:t> </w:t>
      </w:r>
      <w:r>
        <w:rPr>
          <w:spacing w:val="-83"/>
        </w:rPr>
      </w:r>
      <w:r>
        <w:rPr>
          <w:spacing w:val="-1"/>
        </w:rPr>
        <w:t>运算子站、数据节点和智能传感器系统构架设计；逐步建立面向客户的智能数据中心，通过数据的维护和</w:t>
      </w:r>
      <w:r>
        <w:rPr>
          <w:spacing w:val="-83"/>
        </w:rPr>
        <w:t> </w:t>
      </w:r>
      <w:r>
        <w:rPr>
          <w:spacing w:val="-83"/>
        </w:rPr>
      </w:r>
      <w:r>
        <w:rPr/>
        <w:t>接入，完善和提高公司状态检测、监测产品辅助决策系统应用水平，提高公司的核心竞争力。</w:t>
      </w:r>
    </w:p>
    <w:p>
      <w:pPr>
        <w:pStyle w:val="BodyText"/>
        <w:spacing w:line="273" w:lineRule="auto" w:before="52"/>
        <w:ind w:right="1133" w:firstLine="420"/>
        <w:jc w:val="both"/>
      </w:pPr>
      <w:r>
        <w:rPr>
          <w:spacing w:val="-1"/>
        </w:rPr>
        <w:t>报告期内，公司的持续性研发投入使产品在智能化、互联网应用、分布式运算、大数据应用等将有长</w:t>
      </w:r>
      <w:r>
        <w:rPr/>
        <w:t> 足的进步和发展，从而奠定行业的领先地位，适时引领细分行业的发展方向</w:t>
      </w:r>
      <w:r>
        <w:rPr>
          <w:rFonts w:ascii="Times New Roman" w:hAnsi="Times New Roman" w:cs="Times New Roman" w:eastAsia="Times New Roman" w:hint="default"/>
        </w:rPr>
        <w:t>,</w:t>
      </w:r>
      <w:r>
        <w:rPr/>
        <w:t>促进技术持续创新。</w:t>
      </w:r>
    </w:p>
    <w:p>
      <w:pPr>
        <w:pStyle w:val="BodyText"/>
        <w:spacing w:line="240" w:lineRule="auto" w:before="27"/>
        <w:ind w:left="1487" w:right="0"/>
        <w:jc w:val="left"/>
      </w:pPr>
      <w:r>
        <w:rPr/>
        <w:t>报告期内，公司及子公司在报告期内正在从事的研发项目进展情况如下表：</w:t>
      </w:r>
    </w:p>
    <w:p>
      <w:pPr>
        <w:spacing w:line="240" w:lineRule="auto" w:before="4"/>
        <w:rPr>
          <w:rFonts w:ascii="宋体" w:hAnsi="宋体" w:cs="宋体" w:eastAsia="宋体" w:hint="default"/>
          <w:sz w:val="19"/>
          <w:szCs w:val="19"/>
        </w:rPr>
      </w:pPr>
    </w:p>
    <w:tbl>
      <w:tblPr>
        <w:tblW w:w="0" w:type="auto"/>
        <w:jc w:val="left"/>
        <w:tblInd w:w="1126" w:type="dxa"/>
        <w:tblLayout w:type="fixed"/>
        <w:tblCellMar>
          <w:top w:w="0" w:type="dxa"/>
          <w:left w:w="0" w:type="dxa"/>
          <w:bottom w:w="0" w:type="dxa"/>
          <w:right w:w="0" w:type="dxa"/>
        </w:tblCellMar>
        <w:tblLook w:val="01E0"/>
      </w:tblPr>
      <w:tblGrid>
        <w:gridCol w:w="676"/>
        <w:gridCol w:w="1842"/>
        <w:gridCol w:w="1844"/>
        <w:gridCol w:w="2126"/>
        <w:gridCol w:w="2127"/>
      </w:tblGrid>
      <w:tr>
        <w:trPr>
          <w:trHeight w:val="5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9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项目进展情况</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拟达到的目标</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b/>
                <w:bCs/>
                <w:sz w:val="21"/>
                <w:szCs w:val="21"/>
              </w:rPr>
              <w:t>对公司未来的影响</w:t>
            </w:r>
            <w:r>
              <w:rPr>
                <w:rFonts w:ascii="宋体" w:hAnsi="宋体" w:cs="宋体" w:eastAsia="宋体" w:hint="default"/>
                <w:sz w:val="21"/>
                <w:szCs w:val="21"/>
              </w:rPr>
            </w:r>
          </w:p>
        </w:tc>
      </w:tr>
      <w:tr>
        <w:trPr>
          <w:trHeight w:val="11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3" w:right="72"/>
              <w:jc w:val="both"/>
              <w:rPr>
                <w:rFonts w:ascii="宋体" w:hAnsi="宋体" w:cs="宋体" w:eastAsia="宋体" w:hint="default"/>
                <w:sz w:val="21"/>
                <w:szCs w:val="21"/>
              </w:rPr>
            </w:pPr>
            <w:r>
              <w:rPr>
                <w:rFonts w:ascii="宋体" w:hAnsi="宋体" w:cs="宋体" w:eastAsia="宋体" w:hint="default"/>
                <w:sz w:val="21"/>
                <w:szCs w:val="21"/>
              </w:rPr>
              <w:t>基于状态和风险评 估的电力系统资产 管理体系应用研究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both"/>
              <w:rPr>
                <w:rFonts w:ascii="宋体" w:hAnsi="宋体" w:cs="宋体" w:eastAsia="宋体" w:hint="default"/>
                <w:sz w:val="21"/>
                <w:szCs w:val="21"/>
              </w:rPr>
            </w:pPr>
            <w:r>
              <w:rPr>
                <w:rFonts w:ascii="宋体" w:hAnsi="宋体" w:cs="宋体" w:eastAsia="宋体" w:hint="default"/>
                <w:sz w:val="21"/>
                <w:szCs w:val="21"/>
              </w:rPr>
              <w:t>完成了电力设备状 态评估和风险评估 方法的改进研究</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both"/>
              <w:rPr>
                <w:rFonts w:ascii="宋体" w:hAnsi="宋体" w:cs="宋体" w:eastAsia="宋体" w:hint="default"/>
                <w:sz w:val="21"/>
                <w:szCs w:val="21"/>
              </w:rPr>
            </w:pPr>
            <w:r>
              <w:rPr>
                <w:rFonts w:ascii="宋体" w:hAnsi="宋体" w:cs="宋体" w:eastAsia="宋体" w:hint="default"/>
                <w:sz w:val="21"/>
                <w:szCs w:val="21"/>
              </w:rPr>
              <w:t>构建电力设备的状态评 价和风险评估模型，实 现电力设备的量化评估</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117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3" w:right="72"/>
              <w:jc w:val="center"/>
              <w:rPr>
                <w:rFonts w:ascii="宋体" w:hAnsi="宋体" w:cs="宋体" w:eastAsia="宋体" w:hint="default"/>
                <w:sz w:val="21"/>
                <w:szCs w:val="21"/>
              </w:rPr>
            </w:pPr>
            <w:r>
              <w:rPr>
                <w:rFonts w:ascii="宋体" w:hAnsi="宋体" w:cs="宋体" w:eastAsia="宋体" w:hint="default"/>
                <w:sz w:val="21"/>
                <w:szCs w:val="21"/>
              </w:rPr>
              <w:t>开关柜局部放电短 期在线监测项目研 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center"/>
              <w:rPr>
                <w:rFonts w:ascii="宋体" w:hAnsi="宋体" w:cs="宋体" w:eastAsia="宋体" w:hint="default"/>
                <w:sz w:val="21"/>
                <w:szCs w:val="21"/>
              </w:rPr>
            </w:pPr>
            <w:r>
              <w:rPr>
                <w:rFonts w:ascii="宋体" w:hAnsi="宋体" w:cs="宋体" w:eastAsia="宋体" w:hint="default"/>
                <w:sz w:val="21"/>
                <w:szCs w:val="21"/>
              </w:rPr>
              <w:t>已完成开关柜局部 放电短期在线监测 仪器研发。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开发具备先进性的开关 柜局部放电短期在线监 测仪器。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5" w:right="5" w:hanging="631"/>
              <w:jc w:val="left"/>
              <w:rPr>
                <w:rFonts w:ascii="宋体" w:hAnsi="宋体" w:cs="宋体" w:eastAsia="宋体" w:hint="default"/>
                <w:sz w:val="21"/>
                <w:szCs w:val="21"/>
              </w:rPr>
            </w:pPr>
            <w:r>
              <w:rPr>
                <w:rFonts w:ascii="宋体" w:hAnsi="宋体" w:cs="宋体" w:eastAsia="宋体" w:hint="default"/>
                <w:sz w:val="21"/>
                <w:szCs w:val="21"/>
              </w:rPr>
              <w:t>丰富产品线，提高市场 竞争力。</w:t>
            </w:r>
          </w:p>
        </w:tc>
      </w:tr>
      <w:tr>
        <w:trPr>
          <w:trHeight w:val="117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8" w:right="72" w:hanging="316"/>
              <w:jc w:val="left"/>
              <w:rPr>
                <w:rFonts w:ascii="宋体" w:hAnsi="宋体" w:cs="宋体" w:eastAsia="宋体" w:hint="default"/>
                <w:sz w:val="21"/>
                <w:szCs w:val="21"/>
              </w:rPr>
            </w:pPr>
            <w:r>
              <w:rPr>
                <w:rFonts w:ascii="宋体" w:hAnsi="宋体" w:cs="宋体" w:eastAsia="宋体" w:hint="default"/>
                <w:sz w:val="21"/>
                <w:szCs w:val="21"/>
              </w:rPr>
              <w:t>光学特性成像检测 设备的研制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center"/>
              <w:rPr>
                <w:rFonts w:ascii="宋体" w:hAnsi="宋体" w:cs="宋体" w:eastAsia="宋体" w:hint="default"/>
                <w:sz w:val="21"/>
                <w:szCs w:val="21"/>
              </w:rPr>
            </w:pPr>
            <w:r>
              <w:rPr>
                <w:rFonts w:ascii="宋体" w:hAnsi="宋体" w:cs="宋体" w:eastAsia="宋体" w:hint="default"/>
                <w:sz w:val="21"/>
                <w:szCs w:val="21"/>
              </w:rPr>
              <w:t>完成光学特性成像 检测技术及相应设 备的开发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用于检测电力设备的运 行状态，及时发现异常 升温现象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117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center"/>
              <w:rPr>
                <w:rFonts w:ascii="宋体" w:hAnsi="宋体" w:cs="宋体" w:eastAsia="宋体" w:hint="default"/>
                <w:sz w:val="21"/>
                <w:szCs w:val="21"/>
              </w:rPr>
            </w:pPr>
            <w:r>
              <w:rPr>
                <w:rFonts w:ascii="宋体" w:hAnsi="宋体" w:cs="宋体" w:eastAsia="宋体" w:hint="default"/>
                <w:spacing w:val="-8"/>
                <w:sz w:val="21"/>
                <w:szCs w:val="21"/>
              </w:rPr>
              <w:t>电网资产评估、检修</w:t>
            </w:r>
            <w:r>
              <w:rPr>
                <w:rFonts w:ascii="宋体" w:hAnsi="宋体" w:cs="宋体" w:eastAsia="宋体" w:hint="default"/>
                <w:sz w:val="21"/>
                <w:szCs w:val="21"/>
              </w:rPr>
              <w:t> 管理及决策系统开 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both"/>
              <w:rPr>
                <w:rFonts w:ascii="宋体" w:hAnsi="宋体" w:cs="宋体" w:eastAsia="宋体" w:hint="default"/>
                <w:sz w:val="21"/>
                <w:szCs w:val="21"/>
              </w:rPr>
            </w:pPr>
            <w:r>
              <w:rPr>
                <w:rFonts w:ascii="宋体" w:hAnsi="宋体" w:cs="宋体" w:eastAsia="宋体" w:hint="default"/>
                <w:sz w:val="21"/>
                <w:szCs w:val="21"/>
              </w:rPr>
              <w:t>完成了电力设备检 修策略辅助决策系 统的研究和开发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1" w:right="5" w:hanging="106"/>
              <w:jc w:val="left"/>
              <w:rPr>
                <w:rFonts w:ascii="宋体" w:hAnsi="宋体" w:cs="宋体" w:eastAsia="宋体" w:hint="default"/>
                <w:sz w:val="21"/>
                <w:szCs w:val="21"/>
              </w:rPr>
            </w:pPr>
            <w:r>
              <w:rPr>
                <w:rFonts w:ascii="宋体" w:hAnsi="宋体" w:cs="宋体" w:eastAsia="宋体" w:hint="default"/>
                <w:sz w:val="21"/>
                <w:szCs w:val="21"/>
              </w:rPr>
              <w:t>实现电力设备资产优化 评估和检修策略分析</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117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08" w:right="72" w:hanging="736"/>
              <w:jc w:val="left"/>
              <w:rPr>
                <w:rFonts w:ascii="宋体" w:hAnsi="宋体" w:cs="宋体" w:eastAsia="宋体" w:hint="default"/>
                <w:sz w:val="21"/>
                <w:szCs w:val="21"/>
              </w:rPr>
            </w:pPr>
            <w:r>
              <w:rPr>
                <w:rFonts w:ascii="宋体" w:hAnsi="宋体" w:cs="宋体" w:eastAsia="宋体" w:hint="default"/>
                <w:sz w:val="21"/>
                <w:szCs w:val="21"/>
              </w:rPr>
              <w:t>互感器智能检测技 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94" w:right="0" w:hanging="491"/>
              <w:jc w:val="left"/>
              <w:rPr>
                <w:rFonts w:ascii="宋体" w:hAnsi="宋体" w:cs="宋体" w:eastAsia="宋体" w:hint="default"/>
                <w:sz w:val="21"/>
                <w:szCs w:val="21"/>
              </w:rPr>
            </w:pPr>
            <w:r>
              <w:rPr>
                <w:rFonts w:ascii="宋体" w:hAnsi="宋体" w:cs="宋体" w:eastAsia="宋体" w:hint="default"/>
                <w:spacing w:val="-8"/>
                <w:sz w:val="21"/>
                <w:szCs w:val="21"/>
              </w:rPr>
              <w:t>已完成研发，形成产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品销售。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实现互感器全智能化检 测，解决现有技术的各 种缺陷。</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提升公司技术水平，拓 展产品线，同时提高产 品竞争力。</w:t>
            </w:r>
          </w:p>
        </w:tc>
      </w:tr>
      <w:tr>
        <w:trPr>
          <w:trHeight w:val="11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firstLine="7"/>
              <w:jc w:val="both"/>
              <w:rPr>
                <w:rFonts w:ascii="宋体" w:hAnsi="宋体" w:cs="宋体" w:eastAsia="宋体" w:hint="default"/>
                <w:sz w:val="21"/>
                <w:szCs w:val="21"/>
              </w:rPr>
            </w:pPr>
            <w:r>
              <w:rPr>
                <w:rFonts w:ascii="宋体" w:hAnsi="宋体" w:cs="宋体" w:eastAsia="宋体" w:hint="default"/>
                <w:sz w:val="21"/>
                <w:szCs w:val="21"/>
              </w:rPr>
              <w:t>高压电气设备中</w:t>
            </w:r>
            <w:r>
              <w:rPr>
                <w:rFonts w:ascii="Times New Roman" w:hAnsi="Times New Roman" w:cs="Times New Roman" w:eastAsia="Times New Roman" w:hint="default"/>
                <w:sz w:val="21"/>
                <w:szCs w:val="21"/>
              </w:rPr>
              <w:t>SF6</w:t>
            </w:r>
            <w:r>
              <w:rPr>
                <w:rFonts w:ascii="Times New Roman" w:hAnsi="Times New Roman" w:cs="Times New Roman" w:eastAsia="Times New Roman" w:hint="default"/>
                <w:spacing w:val="-1"/>
                <w:w w:val="99"/>
                <w:sz w:val="21"/>
                <w:szCs w:val="21"/>
              </w:rPr>
              <w:t> </w:t>
            </w:r>
            <w:r>
              <w:rPr>
                <w:rFonts w:ascii="宋体" w:hAnsi="宋体" w:cs="宋体" w:eastAsia="宋体" w:hint="default"/>
                <w:sz w:val="21"/>
                <w:szCs w:val="21"/>
              </w:rPr>
              <w:t>气体特性检测（监 </w:t>
            </w:r>
            <w:r>
              <w:rPr>
                <w:rFonts w:ascii="宋体" w:hAnsi="宋体" w:cs="宋体" w:eastAsia="宋体" w:hint="default"/>
                <w:spacing w:val="-8"/>
                <w:sz w:val="21"/>
                <w:szCs w:val="21"/>
              </w:rPr>
              <w:t>测）及回收净化技术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74" w:right="9" w:hanging="64"/>
              <w:jc w:val="both"/>
              <w:rPr>
                <w:rFonts w:ascii="宋体" w:hAnsi="宋体" w:cs="宋体" w:eastAsia="宋体" w:hint="default"/>
                <w:sz w:val="21"/>
                <w:szCs w:val="21"/>
              </w:rPr>
            </w:pPr>
            <w:r>
              <w:rPr>
                <w:rFonts w:ascii="宋体" w:hAnsi="宋体" w:cs="宋体" w:eastAsia="宋体" w:hint="default"/>
                <w:sz w:val="21"/>
                <w:szCs w:val="21"/>
              </w:rPr>
              <w:t>完成了</w:t>
            </w:r>
            <w:r>
              <w:rPr>
                <w:rFonts w:ascii="Times New Roman" w:hAnsi="Times New Roman" w:cs="Times New Roman" w:eastAsia="Times New Roman" w:hint="default"/>
                <w:sz w:val="21"/>
                <w:szCs w:val="21"/>
              </w:rPr>
              <w:t>SF6</w:t>
            </w:r>
            <w:r>
              <w:rPr>
                <w:rFonts w:ascii="宋体" w:hAnsi="宋体" w:cs="宋体" w:eastAsia="宋体" w:hint="default"/>
                <w:sz w:val="21"/>
                <w:szCs w:val="21"/>
              </w:rPr>
              <w:t>气体特性 检测及回收净化全 套解决方案开发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5" w:right="5"/>
              <w:jc w:val="center"/>
              <w:rPr>
                <w:rFonts w:ascii="宋体" w:hAnsi="宋体" w:cs="宋体" w:eastAsia="宋体" w:hint="default"/>
                <w:sz w:val="21"/>
                <w:szCs w:val="21"/>
              </w:rPr>
            </w:pPr>
            <w:r>
              <w:rPr>
                <w:rFonts w:ascii="宋体" w:hAnsi="宋体" w:cs="宋体" w:eastAsia="宋体" w:hint="default"/>
                <w:sz w:val="21"/>
                <w:szCs w:val="21"/>
              </w:rPr>
              <w:t>用于检测</w:t>
            </w:r>
            <w:r>
              <w:rPr>
                <w:rFonts w:ascii="Times New Roman" w:hAnsi="Times New Roman" w:cs="Times New Roman" w:eastAsia="Times New Roman" w:hint="default"/>
                <w:sz w:val="21"/>
                <w:szCs w:val="21"/>
              </w:rPr>
              <w:t>SF6</w:t>
            </w:r>
            <w:r>
              <w:rPr>
                <w:rFonts w:ascii="宋体" w:hAnsi="宋体" w:cs="宋体" w:eastAsia="宋体" w:hint="default"/>
                <w:sz w:val="21"/>
                <w:szCs w:val="21"/>
              </w:rPr>
              <w:t>气体绝缘 状态及回收净化循环和 再利用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bl>
    <w:p>
      <w:pPr>
        <w:spacing w:after="0" w:line="273"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34pt;margin-top:71.999985pt;width:431.85pt;height:687.8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6"/>
                    <w:gridCol w:w="1842"/>
                    <w:gridCol w:w="1844"/>
                    <w:gridCol w:w="2126"/>
                    <w:gridCol w:w="2127"/>
                  </w:tblGrid>
                  <w:tr>
                    <w:trPr>
                      <w:trHeight w:val="547" w:hRule="exact"/>
                    </w:trPr>
                    <w:tc>
                      <w:tcPr>
                        <w:tcW w:w="67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应用研究</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11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77" w:right="0"/>
                          <w:jc w:val="left"/>
                          <w:rPr>
                            <w:rFonts w:ascii="Times New Roman" w:hAnsi="Times New Roman" w:cs="Times New Roman" w:eastAsia="Times New Roman" w:hint="default"/>
                            <w:sz w:val="21"/>
                            <w:szCs w:val="21"/>
                          </w:rPr>
                        </w:pPr>
                        <w:r>
                          <w:rPr>
                            <w:rFonts w:ascii="Times New Roman"/>
                            <w:sz w:val="21"/>
                          </w:rPr>
                          <w:t>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73" w:right="72" w:firstLine="30"/>
                          <w:jc w:val="left"/>
                          <w:rPr>
                            <w:rFonts w:ascii="宋体" w:hAnsi="宋体" w:cs="宋体" w:eastAsia="宋体" w:hint="default"/>
                            <w:sz w:val="21"/>
                            <w:szCs w:val="21"/>
                          </w:rPr>
                        </w:pPr>
                        <w:r>
                          <w:rPr>
                            <w:rFonts w:ascii="Times New Roman" w:hAnsi="Times New Roman" w:cs="Times New Roman" w:eastAsia="Times New Roman" w:hint="default"/>
                            <w:sz w:val="21"/>
                            <w:szCs w:val="21"/>
                          </w:rPr>
                          <w:t>PDT-200</w:t>
                        </w:r>
                        <w:r>
                          <w:rPr>
                            <w:rFonts w:ascii="宋体" w:hAnsi="宋体" w:cs="宋体" w:eastAsia="宋体" w:hint="default"/>
                            <w:sz w:val="21"/>
                            <w:szCs w:val="21"/>
                          </w:rPr>
                          <w:t>型配电设</w:t>
                        </w:r>
                        <w:r>
                          <w:rPr>
                            <w:rFonts w:ascii="宋体" w:hAnsi="宋体" w:cs="宋体" w:eastAsia="宋体" w:hint="default"/>
                            <w:w w:val="99"/>
                            <w:sz w:val="21"/>
                            <w:szCs w:val="21"/>
                          </w:rPr>
                          <w:t> </w:t>
                        </w:r>
                        <w:r>
                          <w:rPr>
                            <w:rFonts w:ascii="宋体" w:hAnsi="宋体" w:cs="宋体" w:eastAsia="宋体" w:hint="default"/>
                            <w:sz w:val="21"/>
                            <w:szCs w:val="21"/>
                          </w:rPr>
                          <w:t>备局部放电巡检仪</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39" w:right="37"/>
                          <w:jc w:val="center"/>
                          <w:rPr>
                            <w:rFonts w:ascii="宋体" w:hAnsi="宋体" w:cs="宋体" w:eastAsia="宋体" w:hint="default"/>
                            <w:sz w:val="21"/>
                            <w:szCs w:val="21"/>
                          </w:rPr>
                        </w:pPr>
                        <w:r>
                          <w:rPr>
                            <w:rFonts w:ascii="宋体" w:hAnsi="宋体" w:cs="宋体" w:eastAsia="宋体" w:hint="default"/>
                            <w:sz w:val="21"/>
                            <w:szCs w:val="21"/>
                          </w:rPr>
                          <w:t>完成</w:t>
                        </w:r>
                        <w:r>
                          <w:rPr>
                            <w:rFonts w:ascii="Times New Roman" w:hAnsi="Times New Roman" w:cs="Times New Roman" w:eastAsia="Times New Roman" w:hint="default"/>
                            <w:sz w:val="21"/>
                            <w:szCs w:val="21"/>
                          </w:rPr>
                          <w:t>AE</w:t>
                        </w:r>
                        <w:r>
                          <w:rPr>
                            <w:rFonts w:ascii="宋体" w:hAnsi="宋体" w:cs="宋体" w:eastAsia="宋体" w:hint="default"/>
                            <w:sz w:val="21"/>
                            <w:szCs w:val="21"/>
                          </w:rPr>
                          <w:t>和</w:t>
                        </w:r>
                        <w:r>
                          <w:rPr>
                            <w:rFonts w:ascii="Times New Roman" w:hAnsi="Times New Roman" w:cs="Times New Roman" w:eastAsia="Times New Roman" w:hint="default"/>
                            <w:sz w:val="21"/>
                            <w:szCs w:val="21"/>
                          </w:rPr>
                          <w:t>UHF</w:t>
                        </w:r>
                        <w:r>
                          <w:rPr>
                            <w:rFonts w:ascii="宋体" w:hAnsi="宋体" w:cs="宋体" w:eastAsia="宋体" w:hint="default"/>
                            <w:sz w:val="21"/>
                            <w:szCs w:val="21"/>
                          </w:rPr>
                          <w:t>两种 检测技术相关功能 的开发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5" w:right="5" w:hanging="1"/>
                          <w:jc w:val="center"/>
                          <w:rPr>
                            <w:rFonts w:ascii="宋体" w:hAnsi="宋体" w:cs="宋体" w:eastAsia="宋体" w:hint="default"/>
                            <w:sz w:val="21"/>
                            <w:szCs w:val="21"/>
                          </w:rPr>
                        </w:pPr>
                        <w:r>
                          <w:rPr>
                            <w:rFonts w:ascii="宋体" w:hAnsi="宋体" w:cs="宋体" w:eastAsia="宋体" w:hint="default"/>
                            <w:sz w:val="21"/>
                            <w:szCs w:val="21"/>
                          </w:rPr>
                          <w:t>结合</w:t>
                        </w:r>
                        <w:r>
                          <w:rPr>
                            <w:rFonts w:ascii="Times New Roman" w:hAnsi="Times New Roman" w:cs="Times New Roman" w:eastAsia="Times New Roman" w:hint="default"/>
                            <w:sz w:val="21"/>
                            <w:szCs w:val="21"/>
                          </w:rPr>
                          <w:t>2014</w:t>
                        </w:r>
                        <w:r>
                          <w:rPr>
                            <w:rFonts w:ascii="宋体" w:hAnsi="宋体" w:cs="宋体" w:eastAsia="宋体" w:hint="default"/>
                            <w:sz w:val="21"/>
                            <w:szCs w:val="21"/>
                          </w:rPr>
                          <w:t>年成果，实现 五种检测技术相关功能 的开发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可以充分应对市场对相 关类型产品的招标需 求，提升竞争力</w:t>
                        </w:r>
                      </w:p>
                    </w:tc>
                  </w:tr>
                  <w:tr>
                    <w:trPr>
                      <w:trHeight w:val="117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77" w:right="0"/>
                          <w:jc w:val="left"/>
                          <w:rPr>
                            <w:rFonts w:ascii="Times New Roman" w:hAnsi="Times New Roman" w:cs="Times New Roman" w:eastAsia="Times New Roman" w:hint="default"/>
                            <w:sz w:val="21"/>
                            <w:szCs w:val="21"/>
                          </w:rPr>
                        </w:pPr>
                        <w:r>
                          <w:rPr>
                            <w:rFonts w:ascii="Times New Roman"/>
                            <w:sz w:val="21"/>
                          </w:rPr>
                          <w:t>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8" w:right="72" w:hanging="316"/>
                          <w:jc w:val="left"/>
                          <w:rPr>
                            <w:rFonts w:ascii="宋体" w:hAnsi="宋体" w:cs="宋体" w:eastAsia="宋体" w:hint="default"/>
                            <w:sz w:val="21"/>
                            <w:szCs w:val="21"/>
                          </w:rPr>
                        </w:pPr>
                        <w:r>
                          <w:rPr>
                            <w:rFonts w:ascii="宋体" w:hAnsi="宋体" w:cs="宋体" w:eastAsia="宋体" w:hint="default"/>
                            <w:sz w:val="21"/>
                            <w:szCs w:val="21"/>
                          </w:rPr>
                          <w:t>振动声学指纹诊断 设备的研制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hanging="2"/>
                          <w:jc w:val="center"/>
                          <w:rPr>
                            <w:rFonts w:ascii="宋体" w:hAnsi="宋体" w:cs="宋体" w:eastAsia="宋体" w:hint="default"/>
                            <w:sz w:val="21"/>
                            <w:szCs w:val="21"/>
                          </w:rPr>
                        </w:pPr>
                        <w:r>
                          <w:rPr>
                            <w:rFonts w:ascii="宋体" w:hAnsi="宋体" w:cs="宋体" w:eastAsia="宋体" w:hint="default"/>
                            <w:sz w:val="21"/>
                            <w:szCs w:val="21"/>
                          </w:rPr>
                          <w:t>完成振动声学信号 </w:t>
                        </w:r>
                        <w:r>
                          <w:rPr>
                            <w:rFonts w:ascii="宋体" w:hAnsi="宋体" w:cs="宋体" w:eastAsia="宋体" w:hint="default"/>
                            <w:spacing w:val="-8"/>
                            <w:sz w:val="21"/>
                            <w:szCs w:val="21"/>
                          </w:rPr>
                          <w:t>采集、数据管理分析</w:t>
                        </w:r>
                        <w:r>
                          <w:rPr>
                            <w:rFonts w:ascii="宋体" w:hAnsi="宋体" w:cs="宋体" w:eastAsia="宋体" w:hint="default"/>
                            <w:sz w:val="21"/>
                            <w:szCs w:val="21"/>
                          </w:rPr>
                          <w:t> 系统的设计与开发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用于在线或离线诊断变 压器有载调压开关运行 情况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117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77" w:right="0"/>
                          <w:jc w:val="left"/>
                          <w:rPr>
                            <w:rFonts w:ascii="Times New Roman" w:hAnsi="Times New Roman" w:cs="Times New Roman" w:eastAsia="Times New Roman" w:hint="default"/>
                            <w:sz w:val="21"/>
                            <w:szCs w:val="21"/>
                          </w:rPr>
                        </w:pPr>
                        <w:r>
                          <w:rPr>
                            <w:rFonts w:ascii="Times New Roman"/>
                            <w:sz w:val="21"/>
                          </w:rPr>
                          <w:t>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8" w:right="72" w:hanging="106"/>
                          <w:jc w:val="left"/>
                          <w:rPr>
                            <w:rFonts w:ascii="宋体" w:hAnsi="宋体" w:cs="宋体" w:eastAsia="宋体" w:hint="default"/>
                            <w:sz w:val="21"/>
                            <w:szCs w:val="21"/>
                          </w:rPr>
                        </w:pPr>
                        <w:r>
                          <w:rPr>
                            <w:rFonts w:ascii="宋体" w:hAnsi="宋体" w:cs="宋体" w:eastAsia="宋体" w:hint="default"/>
                            <w:sz w:val="21"/>
                            <w:szCs w:val="21"/>
                          </w:rPr>
                          <w:t>配网线路智能检测 与控制技术研究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center"/>
                          <w:rPr>
                            <w:rFonts w:ascii="宋体" w:hAnsi="宋体" w:cs="宋体" w:eastAsia="宋体" w:hint="default"/>
                            <w:sz w:val="21"/>
                            <w:szCs w:val="21"/>
                          </w:rPr>
                        </w:pPr>
                        <w:r>
                          <w:rPr>
                            <w:rFonts w:ascii="宋体" w:hAnsi="宋体" w:cs="宋体" w:eastAsia="宋体" w:hint="default"/>
                            <w:sz w:val="21"/>
                            <w:szCs w:val="21"/>
                          </w:rPr>
                          <w:t>完成配网线路智能 检测技术及部分产 品开发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firstLine="1"/>
                          <w:jc w:val="center"/>
                          <w:rPr>
                            <w:rFonts w:ascii="宋体" w:hAnsi="宋体" w:cs="宋体" w:eastAsia="宋体" w:hint="default"/>
                            <w:sz w:val="21"/>
                            <w:szCs w:val="21"/>
                          </w:rPr>
                        </w:pPr>
                        <w:r>
                          <w:rPr>
                            <w:rFonts w:ascii="宋体" w:hAnsi="宋体" w:cs="宋体" w:eastAsia="宋体" w:hint="default"/>
                            <w:sz w:val="21"/>
                            <w:szCs w:val="21"/>
                          </w:rPr>
                          <w:t>用于配网线路故障识 别、隔离和对非故障区 间供电的恢复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8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4" w:right="0"/>
                          <w:jc w:val="left"/>
                          <w:rPr>
                            <w:rFonts w:ascii="Times New Roman" w:hAnsi="Times New Roman" w:cs="Times New Roman" w:eastAsia="Times New Roman" w:hint="default"/>
                            <w:sz w:val="21"/>
                            <w:szCs w:val="21"/>
                          </w:rPr>
                        </w:pPr>
                        <w:r>
                          <w:rPr>
                            <w:rFonts w:ascii="Times New Roman"/>
                            <w:sz w:val="21"/>
                          </w:rPr>
                          <w:t>10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数字式电能表研发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61" w:right="0" w:hanging="258"/>
                          <w:jc w:val="left"/>
                          <w:rPr>
                            <w:rFonts w:ascii="宋体" w:hAnsi="宋体" w:cs="宋体" w:eastAsia="宋体" w:hint="default"/>
                            <w:sz w:val="21"/>
                            <w:szCs w:val="21"/>
                          </w:rPr>
                        </w:pPr>
                        <w:r>
                          <w:rPr>
                            <w:rFonts w:ascii="宋体" w:hAnsi="宋体" w:cs="宋体" w:eastAsia="宋体" w:hint="default"/>
                            <w:spacing w:val="-8"/>
                            <w:sz w:val="21"/>
                            <w:szCs w:val="21"/>
                          </w:rPr>
                          <w:t>已完成产品研发，获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得</w:t>
                        </w:r>
                        <w:r>
                          <w:rPr>
                            <w:rFonts w:ascii="Times New Roman" w:hAnsi="Times New Roman" w:cs="Times New Roman" w:eastAsia="Times New Roman" w:hint="default"/>
                            <w:sz w:val="21"/>
                            <w:szCs w:val="21"/>
                          </w:rPr>
                          <w:t>CMC</w:t>
                        </w:r>
                        <w:r>
                          <w:rPr>
                            <w:rFonts w:ascii="宋体" w:hAnsi="宋体" w:cs="宋体" w:eastAsia="宋体" w:hint="default"/>
                            <w:sz w:val="21"/>
                            <w:szCs w:val="21"/>
                          </w:rPr>
                          <w:t>认证。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5" w:right="5" w:hanging="420"/>
                          <w:jc w:val="left"/>
                          <w:rPr>
                            <w:rFonts w:ascii="宋体" w:hAnsi="宋体" w:cs="宋体" w:eastAsia="宋体" w:hint="default"/>
                            <w:sz w:val="21"/>
                            <w:szCs w:val="21"/>
                          </w:rPr>
                        </w:pPr>
                        <w:r>
                          <w:rPr>
                            <w:rFonts w:ascii="宋体" w:hAnsi="宋体" w:cs="宋体" w:eastAsia="宋体" w:hint="default"/>
                            <w:sz w:val="21"/>
                            <w:szCs w:val="21"/>
                          </w:rPr>
                          <w:t>用于智能变电站（数字 化）的计量。</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5" w:right="5" w:hanging="631"/>
                          <w:jc w:val="left"/>
                          <w:rPr>
                            <w:rFonts w:ascii="宋体" w:hAnsi="宋体" w:cs="宋体" w:eastAsia="宋体" w:hint="default"/>
                            <w:sz w:val="21"/>
                            <w:szCs w:val="21"/>
                          </w:rPr>
                        </w:pPr>
                        <w:r>
                          <w:rPr>
                            <w:rFonts w:ascii="宋体" w:hAnsi="宋体" w:cs="宋体" w:eastAsia="宋体" w:hint="default"/>
                            <w:sz w:val="21"/>
                            <w:szCs w:val="21"/>
                          </w:rPr>
                          <w:t>丰富产品线，提高市场 竞争力。</w:t>
                        </w:r>
                      </w:p>
                    </w:tc>
                  </w:tr>
                  <w:tr>
                    <w:trPr>
                      <w:trHeight w:val="1483"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4" w:right="0"/>
                          <w:jc w:val="left"/>
                          <w:rPr>
                            <w:rFonts w:ascii="Times New Roman" w:hAnsi="Times New Roman" w:cs="Times New Roman" w:eastAsia="Times New Roman" w:hint="default"/>
                            <w:sz w:val="21"/>
                            <w:szCs w:val="21"/>
                          </w:rPr>
                        </w:pPr>
                        <w:r>
                          <w:rPr>
                            <w:rFonts w:ascii="Times New Roman"/>
                            <w:sz w:val="21"/>
                          </w:rPr>
                          <w:t>11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3" w:right="72"/>
                          <w:jc w:val="center"/>
                          <w:rPr>
                            <w:rFonts w:ascii="宋体" w:hAnsi="宋体" w:cs="宋体" w:eastAsia="宋体" w:hint="default"/>
                            <w:sz w:val="21"/>
                            <w:szCs w:val="21"/>
                          </w:rPr>
                        </w:pPr>
                        <w:r>
                          <w:rPr>
                            <w:rFonts w:ascii="宋体" w:hAnsi="宋体" w:cs="宋体" w:eastAsia="宋体" w:hint="default"/>
                            <w:sz w:val="21"/>
                            <w:szCs w:val="21"/>
                          </w:rPr>
                          <w:t>基于多通道大容量 分布式光纤传感技 术的电力电缆温度 监测系统研究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pacing w:val="-8"/>
                            <w:sz w:val="21"/>
                            <w:szCs w:val="21"/>
                          </w:rPr>
                          <w:t>完成了大容量、多通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道电力电缆分布式 光纤测温系统开发</w:t>
                        </w:r>
                      </w:p>
                      <w:p>
                        <w:pPr>
                          <w:pStyle w:val="TableParagraph"/>
                          <w:spacing w:line="240" w:lineRule="auto" w:before="7"/>
                          <w:ind w:left="179" w:right="0"/>
                          <w:jc w:val="left"/>
                          <w:rPr>
                            <w:rFonts w:ascii="宋体" w:hAnsi="宋体" w:cs="宋体" w:eastAsia="宋体" w:hint="default"/>
                            <w:sz w:val="21"/>
                            <w:szCs w:val="21"/>
                          </w:rPr>
                        </w:pPr>
                        <w:r>
                          <w:rPr>
                            <w:rFonts w:ascii="宋体" w:hAnsi="宋体" w:cs="宋体" w:eastAsia="宋体" w:hint="default"/>
                            <w:sz w:val="21"/>
                            <w:szCs w:val="21"/>
                          </w:rPr>
                          <w:t>试验与初步应用</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left"/>
                          <w:rPr>
                            <w:rFonts w:ascii="宋体" w:hAnsi="宋体" w:cs="宋体" w:eastAsia="宋体" w:hint="default"/>
                            <w:sz w:val="21"/>
                            <w:szCs w:val="21"/>
                          </w:rPr>
                        </w:pPr>
                        <w:r>
                          <w:rPr>
                            <w:rFonts w:ascii="宋体" w:hAnsi="宋体" w:cs="宋体" w:eastAsia="宋体" w:hint="default"/>
                            <w:sz w:val="21"/>
                            <w:szCs w:val="21"/>
                          </w:rPr>
                          <w:t>用于高压电力电缆的温 度实时在线监测管理、</w:t>
                        </w:r>
                      </w:p>
                      <w:p>
                        <w:pPr>
                          <w:pStyle w:val="TableParagraph"/>
                          <w:spacing w:line="240" w:lineRule="auto" w:before="7"/>
                          <w:ind w:left="-16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sz w:val="21"/>
                            <w:szCs w:val="21"/>
                          </w:rPr>
                          <w:t>异常温升故障定位。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11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4" w:right="0"/>
                          <w:jc w:val="left"/>
                          <w:rPr>
                            <w:rFonts w:ascii="Times New Roman" w:hAnsi="Times New Roman" w:cs="Times New Roman" w:eastAsia="Times New Roman" w:hint="default"/>
                            <w:sz w:val="21"/>
                            <w:szCs w:val="21"/>
                          </w:rPr>
                        </w:pPr>
                        <w:r>
                          <w:rPr>
                            <w:rFonts w:ascii="Times New Roman"/>
                            <w:sz w:val="21"/>
                          </w:rPr>
                          <w:t>12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3" w:right="72"/>
                          <w:jc w:val="center"/>
                          <w:rPr>
                            <w:rFonts w:ascii="宋体" w:hAnsi="宋体" w:cs="宋体" w:eastAsia="宋体" w:hint="default"/>
                            <w:sz w:val="21"/>
                            <w:szCs w:val="21"/>
                          </w:rPr>
                        </w:pPr>
                        <w:r>
                          <w:rPr>
                            <w:rFonts w:ascii="宋体" w:hAnsi="宋体" w:cs="宋体" w:eastAsia="宋体" w:hint="default"/>
                            <w:sz w:val="21"/>
                            <w:szCs w:val="21"/>
                          </w:rPr>
                          <w:t>计量装置远程校验 监测系统远方管理 平台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center"/>
                          <w:rPr>
                            <w:rFonts w:ascii="宋体" w:hAnsi="宋体" w:cs="宋体" w:eastAsia="宋体" w:hint="default"/>
                            <w:sz w:val="21"/>
                            <w:szCs w:val="21"/>
                          </w:rPr>
                        </w:pPr>
                        <w:r>
                          <w:rPr>
                            <w:rFonts w:ascii="宋体" w:hAnsi="宋体" w:cs="宋体" w:eastAsia="宋体" w:hint="default"/>
                            <w:sz w:val="21"/>
                            <w:szCs w:val="21"/>
                          </w:rPr>
                          <w:t>已完成平台软件的 整体开发、检测验 收。</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开发一款满足山西本省 功能需求的远方管理平 台软件。</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58" w:firstLine="55"/>
                          <w:jc w:val="center"/>
                          <w:rPr>
                            <w:rFonts w:ascii="宋体" w:hAnsi="宋体" w:cs="宋体" w:eastAsia="宋体" w:hint="default"/>
                            <w:sz w:val="21"/>
                            <w:szCs w:val="21"/>
                          </w:rPr>
                        </w:pPr>
                        <w:r>
                          <w:rPr>
                            <w:rFonts w:ascii="宋体" w:hAnsi="宋体" w:cs="宋体" w:eastAsia="宋体" w:hint="default"/>
                            <w:sz w:val="21"/>
                            <w:szCs w:val="21"/>
                          </w:rPr>
                          <w:t>提升</w:t>
                        </w:r>
                        <w:r>
                          <w:rPr>
                            <w:rFonts w:ascii="Times New Roman" w:hAnsi="Times New Roman" w:cs="Times New Roman" w:eastAsia="Times New Roman" w:hint="default"/>
                            <w:sz w:val="21"/>
                            <w:szCs w:val="21"/>
                          </w:rPr>
                          <w:t>809</w:t>
                        </w:r>
                        <w:r>
                          <w:rPr>
                            <w:rFonts w:ascii="宋体" w:hAnsi="宋体" w:cs="宋体" w:eastAsia="宋体" w:hint="default"/>
                            <w:sz w:val="21"/>
                            <w:szCs w:val="21"/>
                          </w:rPr>
                          <w:t>型产品的品牌 </w:t>
                        </w:r>
                        <w:r>
                          <w:rPr>
                            <w:rFonts w:ascii="宋体" w:hAnsi="宋体" w:cs="宋体" w:eastAsia="宋体" w:hint="default"/>
                            <w:spacing w:val="-11"/>
                            <w:sz w:val="21"/>
                            <w:szCs w:val="21"/>
                          </w:rPr>
                          <w:t>印象，利于产品的推广</w:t>
                        </w:r>
                        <w:r>
                          <w:rPr>
                            <w:rFonts w:ascii="宋体" w:hAnsi="宋体" w:cs="宋体" w:eastAsia="宋体" w:hint="default"/>
                            <w:sz w:val="21"/>
                            <w:szCs w:val="21"/>
                          </w:rPr>
                          <w:t> 提高销售业绩。</w:t>
                        </w:r>
                      </w:p>
                    </w:tc>
                  </w:tr>
                  <w:tr>
                    <w:trPr>
                      <w:trHeight w:val="1483"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4" w:right="0"/>
                          <w:jc w:val="left"/>
                          <w:rPr>
                            <w:rFonts w:ascii="Times New Roman" w:hAnsi="Times New Roman" w:cs="Times New Roman" w:eastAsia="Times New Roman" w:hint="default"/>
                            <w:sz w:val="21"/>
                            <w:szCs w:val="21"/>
                          </w:rPr>
                        </w:pPr>
                        <w:r>
                          <w:rPr>
                            <w:rFonts w:ascii="Times New Roman"/>
                            <w:sz w:val="21"/>
                          </w:rPr>
                          <w:t>13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98" w:right="72" w:hanging="526"/>
                          <w:jc w:val="left"/>
                          <w:rPr>
                            <w:rFonts w:ascii="宋体" w:hAnsi="宋体" w:cs="宋体" w:eastAsia="宋体" w:hint="default"/>
                            <w:sz w:val="21"/>
                            <w:szCs w:val="21"/>
                          </w:rPr>
                        </w:pPr>
                        <w:r>
                          <w:rPr>
                            <w:rFonts w:ascii="宋体" w:hAnsi="宋体" w:cs="宋体" w:eastAsia="宋体" w:hint="default"/>
                            <w:sz w:val="21"/>
                            <w:szCs w:val="21"/>
                          </w:rPr>
                          <w:t>便携式局部放电检 测技术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center"/>
                          <w:rPr>
                            <w:rFonts w:ascii="宋体" w:hAnsi="宋体" w:cs="宋体" w:eastAsia="宋体" w:hint="default"/>
                            <w:sz w:val="21"/>
                            <w:szCs w:val="21"/>
                          </w:rPr>
                        </w:pPr>
                        <w:r>
                          <w:rPr>
                            <w:rFonts w:ascii="宋体" w:hAnsi="宋体" w:cs="宋体" w:eastAsia="宋体" w:hint="default"/>
                            <w:sz w:val="21"/>
                            <w:szCs w:val="21"/>
                          </w:rPr>
                          <w:t>已完成特高频和超 声波结合的便携式 局部放电检测仪器 研发。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研究特高频和超声波相 结合的便携式局部放电 检测技术。</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0" w:right="5" w:hanging="316"/>
                          <w:jc w:val="left"/>
                          <w:rPr>
                            <w:rFonts w:ascii="宋体" w:hAnsi="宋体" w:cs="宋体" w:eastAsia="宋体" w:hint="default"/>
                            <w:sz w:val="21"/>
                            <w:szCs w:val="21"/>
                          </w:rPr>
                        </w:pPr>
                        <w:r>
                          <w:rPr>
                            <w:rFonts w:ascii="宋体" w:hAnsi="宋体" w:cs="宋体" w:eastAsia="宋体" w:hint="default"/>
                            <w:sz w:val="21"/>
                            <w:szCs w:val="21"/>
                          </w:rPr>
                          <w:t>提升产品技术水平，提 高市场竞争力。</w:t>
                        </w:r>
                      </w:p>
                    </w:tc>
                  </w:tr>
                  <w:tr>
                    <w:trPr>
                      <w:trHeight w:val="148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4" w:right="0"/>
                          <w:jc w:val="left"/>
                          <w:rPr>
                            <w:rFonts w:ascii="Times New Roman" w:hAnsi="Times New Roman" w:cs="Times New Roman" w:eastAsia="Times New Roman" w:hint="default"/>
                            <w:sz w:val="21"/>
                            <w:szCs w:val="21"/>
                          </w:rPr>
                        </w:pPr>
                        <w:r>
                          <w:rPr>
                            <w:rFonts w:ascii="Times New Roman"/>
                            <w:sz w:val="21"/>
                          </w:rPr>
                          <w:t>14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83" w:right="19" w:hanging="262"/>
                          <w:jc w:val="left"/>
                          <w:rPr>
                            <w:rFonts w:ascii="宋体" w:hAnsi="宋体" w:cs="宋体" w:eastAsia="宋体" w:hint="default"/>
                            <w:sz w:val="21"/>
                            <w:szCs w:val="21"/>
                          </w:rPr>
                        </w:pPr>
                        <w:r>
                          <w:rPr>
                            <w:rFonts w:ascii="Times New Roman" w:hAnsi="Times New Roman" w:cs="Times New Roman" w:eastAsia="Times New Roman" w:hint="default"/>
                            <w:sz w:val="21"/>
                            <w:szCs w:val="21"/>
                          </w:rPr>
                          <w:t>TID-100</w:t>
                        </w:r>
                        <w:r>
                          <w:rPr>
                            <w:rFonts w:ascii="宋体" w:hAnsi="宋体" w:cs="宋体" w:eastAsia="宋体" w:hint="default"/>
                            <w:sz w:val="21"/>
                            <w:szCs w:val="21"/>
                          </w:rPr>
                          <w:t>变压器油纸 绝缘分析技术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21" w:hanging="25"/>
                          <w:jc w:val="center"/>
                          <w:rPr>
                            <w:rFonts w:ascii="宋体" w:hAnsi="宋体" w:cs="宋体" w:eastAsia="宋体" w:hint="default"/>
                            <w:sz w:val="21"/>
                            <w:szCs w:val="21"/>
                          </w:rPr>
                        </w:pPr>
                        <w:r>
                          <w:rPr>
                            <w:rFonts w:ascii="宋体" w:hAnsi="宋体" w:cs="宋体" w:eastAsia="宋体" w:hint="default"/>
                            <w:sz w:val="21"/>
                            <w:szCs w:val="21"/>
                          </w:rPr>
                          <w:t>完成变压器油纸绝 </w:t>
                        </w:r>
                        <w:r>
                          <w:rPr>
                            <w:rFonts w:ascii="宋体" w:hAnsi="宋体" w:cs="宋体" w:eastAsia="宋体" w:hint="default"/>
                            <w:spacing w:val="-5"/>
                            <w:sz w:val="21"/>
                            <w:szCs w:val="21"/>
                          </w:rPr>
                          <w:t>缘检测系统的开发，</w:t>
                        </w:r>
                        <w:r>
                          <w:rPr>
                            <w:rFonts w:ascii="宋体" w:hAnsi="宋体" w:cs="宋体" w:eastAsia="宋体" w:hint="default"/>
                            <w:spacing w:val="-44"/>
                            <w:sz w:val="21"/>
                            <w:szCs w:val="21"/>
                          </w:rPr>
                          <w:t> </w:t>
                        </w:r>
                        <w:r>
                          <w:rPr>
                            <w:rFonts w:ascii="宋体" w:hAnsi="宋体" w:cs="宋体" w:eastAsia="宋体" w:hint="default"/>
                            <w:sz w:val="21"/>
                            <w:szCs w:val="21"/>
                          </w:rPr>
                          <w:t>累计部分现场测试</w:t>
                        </w:r>
                        <w:r>
                          <w:rPr>
                            <w:rFonts w:ascii="宋体" w:hAnsi="宋体" w:cs="宋体" w:eastAsia="宋体" w:hint="default"/>
                            <w:sz w:val="21"/>
                            <w:szCs w:val="21"/>
                          </w:rPr>
                          <w:t> 案例</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left"/>
                          <w:rPr>
                            <w:rFonts w:ascii="宋体" w:hAnsi="宋体" w:cs="宋体" w:eastAsia="宋体" w:hint="default"/>
                            <w:sz w:val="21"/>
                            <w:szCs w:val="21"/>
                          </w:rPr>
                        </w:pPr>
                        <w:r>
                          <w:rPr>
                            <w:rFonts w:ascii="宋体" w:hAnsi="宋体" w:cs="宋体" w:eastAsia="宋体" w:hint="default"/>
                            <w:sz w:val="21"/>
                            <w:szCs w:val="21"/>
                          </w:rPr>
                          <w:t>用于无损检测变压器油 纸绝缘系统的绝缘状态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117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4" w:right="0"/>
                          <w:jc w:val="left"/>
                          <w:rPr>
                            <w:rFonts w:ascii="Times New Roman" w:hAnsi="Times New Roman" w:cs="Times New Roman" w:eastAsia="Times New Roman" w:hint="default"/>
                            <w:sz w:val="21"/>
                            <w:szCs w:val="21"/>
                          </w:rPr>
                        </w:pPr>
                        <w:r>
                          <w:rPr>
                            <w:rFonts w:ascii="Times New Roman"/>
                            <w:sz w:val="21"/>
                          </w:rPr>
                          <w:t>15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3" w:right="72"/>
                          <w:jc w:val="center"/>
                          <w:rPr>
                            <w:rFonts w:ascii="宋体" w:hAnsi="宋体" w:cs="宋体" w:eastAsia="宋体" w:hint="default"/>
                            <w:sz w:val="21"/>
                            <w:szCs w:val="21"/>
                          </w:rPr>
                        </w:pPr>
                        <w:r>
                          <w:rPr>
                            <w:rFonts w:ascii="宋体" w:hAnsi="宋体" w:cs="宋体" w:eastAsia="宋体" w:hint="default"/>
                            <w:sz w:val="21"/>
                            <w:szCs w:val="21"/>
                          </w:rPr>
                          <w:t>接地网状态检测与 故障诊断新技术研 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center"/>
                          <w:rPr>
                            <w:rFonts w:ascii="宋体" w:hAnsi="宋体" w:cs="宋体" w:eastAsia="宋体" w:hint="default"/>
                            <w:sz w:val="21"/>
                            <w:szCs w:val="21"/>
                          </w:rPr>
                        </w:pPr>
                        <w:r>
                          <w:rPr>
                            <w:rFonts w:ascii="宋体" w:hAnsi="宋体" w:cs="宋体" w:eastAsia="宋体" w:hint="default"/>
                            <w:sz w:val="21"/>
                            <w:szCs w:val="21"/>
                          </w:rPr>
                          <w:t>完成接地网状态及 腐蚀断点诊断评估 技术开发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用于地网运行状态检测 及其潜在腐蚀断点故障 诊断评估</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11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4" w:right="0"/>
                          <w:jc w:val="left"/>
                          <w:rPr>
                            <w:rFonts w:ascii="Times New Roman" w:hAnsi="Times New Roman" w:cs="Times New Roman" w:eastAsia="Times New Roman" w:hint="default"/>
                            <w:sz w:val="21"/>
                            <w:szCs w:val="21"/>
                          </w:rPr>
                        </w:pPr>
                        <w:r>
                          <w:rPr>
                            <w:rFonts w:ascii="Times New Roman"/>
                            <w:sz w:val="21"/>
                          </w:rPr>
                          <w:t>16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8" w:right="72" w:hanging="316"/>
                          <w:jc w:val="left"/>
                          <w:rPr>
                            <w:rFonts w:ascii="宋体" w:hAnsi="宋体" w:cs="宋体" w:eastAsia="宋体" w:hint="default"/>
                            <w:sz w:val="21"/>
                            <w:szCs w:val="21"/>
                          </w:rPr>
                        </w:pPr>
                        <w:r>
                          <w:rPr>
                            <w:rFonts w:ascii="宋体" w:hAnsi="宋体" w:cs="宋体" w:eastAsia="宋体" w:hint="default"/>
                            <w:sz w:val="21"/>
                            <w:szCs w:val="21"/>
                          </w:rPr>
                          <w:t>高压断路器故障诊 断分析技术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both"/>
                          <w:rPr>
                            <w:rFonts w:ascii="宋体" w:hAnsi="宋体" w:cs="宋体" w:eastAsia="宋体" w:hint="default"/>
                            <w:sz w:val="21"/>
                            <w:szCs w:val="21"/>
                          </w:rPr>
                        </w:pPr>
                        <w:r>
                          <w:rPr>
                            <w:rFonts w:ascii="宋体" w:hAnsi="宋体" w:cs="宋体" w:eastAsia="宋体" w:hint="default"/>
                            <w:sz w:val="21"/>
                            <w:szCs w:val="21"/>
                          </w:rPr>
                          <w:t>完成故障诊断分析 系统及管理分析软 件的设计与开发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用于在线或离线检测断 路器的运行状态，消除 故障隐患</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丰富产品线，提升市场 竞争力</w:t>
                        </w:r>
                      </w:p>
                    </w:tc>
                  </w:tr>
                  <w:tr>
                    <w:trPr>
                      <w:trHeight w:val="8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4" w:right="0"/>
                          <w:jc w:val="left"/>
                          <w:rPr>
                            <w:rFonts w:ascii="Times New Roman" w:hAnsi="Times New Roman" w:cs="Times New Roman" w:eastAsia="Times New Roman" w:hint="default"/>
                            <w:sz w:val="21"/>
                            <w:szCs w:val="21"/>
                          </w:rPr>
                        </w:pPr>
                        <w:r>
                          <w:rPr>
                            <w:rFonts w:ascii="Times New Roman"/>
                            <w:sz w:val="21"/>
                          </w:rPr>
                          <w:t>17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83" w:right="72" w:hanging="210"/>
                          <w:jc w:val="left"/>
                          <w:rPr>
                            <w:rFonts w:ascii="宋体" w:hAnsi="宋体" w:cs="宋体" w:eastAsia="宋体" w:hint="default"/>
                            <w:sz w:val="21"/>
                            <w:szCs w:val="21"/>
                          </w:rPr>
                        </w:pPr>
                        <w:r>
                          <w:rPr>
                            <w:rFonts w:ascii="宋体" w:hAnsi="宋体" w:cs="宋体" w:eastAsia="宋体" w:hint="default"/>
                            <w:sz w:val="21"/>
                            <w:szCs w:val="21"/>
                          </w:rPr>
                          <w:t>基于复数域建模的 谐波责任研究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 w:right="72"/>
                          <w:jc w:val="left"/>
                          <w:rPr>
                            <w:rFonts w:ascii="宋体" w:hAnsi="宋体" w:cs="宋体" w:eastAsia="宋体" w:hint="default"/>
                            <w:sz w:val="21"/>
                            <w:szCs w:val="21"/>
                          </w:rPr>
                        </w:pPr>
                        <w:r>
                          <w:rPr>
                            <w:rFonts w:ascii="宋体" w:hAnsi="宋体" w:cs="宋体" w:eastAsia="宋体" w:hint="default"/>
                            <w:sz w:val="21"/>
                            <w:szCs w:val="21"/>
                          </w:rPr>
                          <w:t>完成了干扰性负荷 谐波责任定量评估</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left"/>
                          <w:rPr>
                            <w:rFonts w:ascii="宋体" w:hAnsi="宋体" w:cs="宋体" w:eastAsia="宋体" w:hint="default"/>
                            <w:sz w:val="21"/>
                            <w:szCs w:val="21"/>
                          </w:rPr>
                        </w:pPr>
                        <w:r>
                          <w:rPr>
                            <w:rFonts w:ascii="宋体" w:hAnsi="宋体" w:cs="宋体" w:eastAsia="宋体" w:hint="default"/>
                            <w:sz w:val="21"/>
                            <w:szCs w:val="21"/>
                          </w:rPr>
                          <w:t>实现工程实际中的谐波 污染责任定量评估，完</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30" w:right="5" w:hanging="526"/>
                          <w:jc w:val="left"/>
                          <w:rPr>
                            <w:rFonts w:ascii="宋体" w:hAnsi="宋体" w:cs="宋体" w:eastAsia="宋体" w:hint="default"/>
                            <w:sz w:val="21"/>
                            <w:szCs w:val="21"/>
                          </w:rPr>
                        </w:pPr>
                        <w:r>
                          <w:rPr>
                            <w:rFonts w:ascii="宋体" w:hAnsi="宋体" w:cs="宋体" w:eastAsia="宋体" w:hint="default"/>
                            <w:sz w:val="21"/>
                            <w:szCs w:val="21"/>
                          </w:rPr>
                          <w:t>扩宽研究方向，提高理 论研究水平</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35"/>
        <w:ind w:left="0" w:right="2062"/>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676"/>
        <w:gridCol w:w="1842"/>
        <w:gridCol w:w="1844"/>
        <w:gridCol w:w="2126"/>
        <w:gridCol w:w="2127"/>
      </w:tblGrid>
      <w:tr>
        <w:trPr>
          <w:trHeight w:val="547" w:hRule="exact"/>
        </w:trPr>
        <w:tc>
          <w:tcPr>
            <w:tcW w:w="67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94" w:right="0"/>
              <w:jc w:val="left"/>
              <w:rPr>
                <w:rFonts w:ascii="宋体" w:hAnsi="宋体" w:cs="宋体" w:eastAsia="宋体" w:hint="default"/>
                <w:sz w:val="21"/>
                <w:szCs w:val="21"/>
              </w:rPr>
            </w:pPr>
            <w:r>
              <w:rPr>
                <w:rFonts w:ascii="宋体" w:hAnsi="宋体" w:cs="宋体" w:eastAsia="宋体" w:hint="default"/>
                <w:sz w:val="21"/>
                <w:szCs w:val="21"/>
              </w:rPr>
              <w:t>方案设计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5" w:right="0"/>
              <w:jc w:val="left"/>
              <w:rPr>
                <w:rFonts w:ascii="宋体" w:hAnsi="宋体" w:cs="宋体" w:eastAsia="宋体" w:hint="default"/>
                <w:sz w:val="21"/>
                <w:szCs w:val="21"/>
              </w:rPr>
            </w:pPr>
            <w:r>
              <w:rPr>
                <w:rFonts w:ascii="宋体" w:hAnsi="宋体" w:cs="宋体" w:eastAsia="宋体" w:hint="default"/>
                <w:sz w:val="21"/>
                <w:szCs w:val="21"/>
              </w:rPr>
              <w:t>善谐波管理制度。</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1484"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PD-6900</w:t>
            </w:r>
          </w:p>
          <w:p>
            <w:pPr>
              <w:pStyle w:val="TableParagraph"/>
              <w:spacing w:line="240" w:lineRule="auto" w:before="11"/>
              <w:ind w:right="0"/>
              <w:jc w:val="left"/>
              <w:rPr>
                <w:rFonts w:ascii="宋体" w:hAnsi="宋体" w:cs="宋体" w:eastAsia="宋体" w:hint="default"/>
                <w:sz w:val="16"/>
                <w:szCs w:val="16"/>
              </w:rPr>
            </w:pPr>
          </w:p>
          <w:p>
            <w:pPr>
              <w:pStyle w:val="TableParagraph"/>
              <w:spacing w:line="273" w:lineRule="auto"/>
              <w:ind w:left="73" w:right="72"/>
              <w:jc w:val="center"/>
              <w:rPr>
                <w:rFonts w:ascii="宋体" w:hAnsi="宋体" w:cs="宋体" w:eastAsia="宋体" w:hint="default"/>
                <w:sz w:val="21"/>
                <w:szCs w:val="21"/>
              </w:rPr>
            </w:pPr>
            <w:r>
              <w:rPr>
                <w:rFonts w:ascii="宋体" w:hAnsi="宋体" w:cs="宋体" w:eastAsia="宋体" w:hint="default"/>
                <w:sz w:val="21"/>
                <w:szCs w:val="21"/>
              </w:rPr>
              <w:t>发电机功率变送装 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hanging="2"/>
              <w:jc w:val="center"/>
              <w:rPr>
                <w:rFonts w:ascii="宋体" w:hAnsi="宋体" w:cs="宋体" w:eastAsia="宋体" w:hint="default"/>
                <w:sz w:val="21"/>
                <w:szCs w:val="21"/>
              </w:rPr>
            </w:pPr>
            <w:r>
              <w:rPr>
                <w:rFonts w:ascii="宋体" w:hAnsi="宋体" w:cs="宋体" w:eastAsia="宋体" w:hint="default"/>
                <w:sz w:val="21"/>
                <w:szCs w:val="21"/>
              </w:rPr>
              <w:t>已完成样机试制和 </w:t>
            </w:r>
            <w:r>
              <w:rPr>
                <w:rFonts w:ascii="宋体" w:hAnsi="宋体" w:cs="宋体" w:eastAsia="宋体" w:hint="default"/>
                <w:spacing w:val="-8"/>
                <w:sz w:val="21"/>
                <w:szCs w:val="21"/>
              </w:rPr>
              <w:t>小批量试产，开始供</w:t>
            </w:r>
            <w:r>
              <w:rPr>
                <w:rFonts w:ascii="宋体" w:hAnsi="宋体" w:cs="宋体" w:eastAsia="宋体" w:hint="default"/>
                <w:sz w:val="21"/>
                <w:szCs w:val="21"/>
              </w:rPr>
              <w:t> </w:t>
            </w:r>
            <w:r>
              <w:rPr>
                <w:rFonts w:ascii="宋体" w:hAnsi="宋体" w:cs="宋体" w:eastAsia="宋体" w:hint="default"/>
                <w:spacing w:val="-8"/>
                <w:sz w:val="21"/>
                <w:szCs w:val="21"/>
              </w:rPr>
              <w:t>货。未来需继续改进</w:t>
            </w:r>
            <w:r>
              <w:rPr>
                <w:rFonts w:ascii="宋体" w:hAnsi="宋体" w:cs="宋体" w:eastAsia="宋体" w:hint="default"/>
                <w:sz w:val="21"/>
                <w:szCs w:val="21"/>
              </w:rPr>
              <w:t> 并完善设计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5" w:right="5" w:hanging="630"/>
              <w:jc w:val="left"/>
              <w:rPr>
                <w:rFonts w:ascii="宋体" w:hAnsi="宋体" w:cs="宋体" w:eastAsia="宋体" w:hint="default"/>
                <w:sz w:val="21"/>
                <w:szCs w:val="21"/>
              </w:rPr>
            </w:pPr>
            <w:r>
              <w:rPr>
                <w:rFonts w:ascii="宋体" w:hAnsi="宋体" w:cs="宋体" w:eastAsia="宋体" w:hint="default"/>
                <w:sz w:val="21"/>
                <w:szCs w:val="21"/>
              </w:rPr>
              <w:t>发电机功率调节系统的 关键产品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完成该产品开发，对稳 定公司的电厂客户业务 有重要的作用</w:t>
            </w:r>
          </w:p>
        </w:tc>
      </w:tr>
      <w:tr>
        <w:trPr>
          <w:trHeight w:val="137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PTC-8800</w:t>
            </w:r>
          </w:p>
          <w:p>
            <w:pPr>
              <w:pStyle w:val="TableParagraph"/>
              <w:spacing w:line="240" w:lineRule="auto" w:before="12"/>
              <w:ind w:right="0"/>
              <w:jc w:val="left"/>
              <w:rPr>
                <w:rFonts w:ascii="宋体" w:hAnsi="宋体" w:cs="宋体" w:eastAsia="宋体" w:hint="default"/>
                <w:sz w:val="16"/>
                <w:szCs w:val="16"/>
              </w:rPr>
            </w:pPr>
          </w:p>
          <w:p>
            <w:pPr>
              <w:pStyle w:val="TableParagraph"/>
              <w:spacing w:line="273" w:lineRule="auto"/>
              <w:ind w:left="73" w:right="72"/>
              <w:jc w:val="center"/>
              <w:rPr>
                <w:rFonts w:ascii="宋体" w:hAnsi="宋体" w:cs="宋体" w:eastAsia="宋体" w:hint="default"/>
                <w:sz w:val="21"/>
                <w:szCs w:val="21"/>
              </w:rPr>
            </w:pPr>
            <w:r>
              <w:rPr>
                <w:rFonts w:ascii="宋体" w:hAnsi="宋体" w:cs="宋体" w:eastAsia="宋体" w:hint="default"/>
                <w:sz w:val="21"/>
                <w:szCs w:val="21"/>
              </w:rPr>
              <w:t>电能信息采集仿真 模拟系统</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599" w:right="47" w:hanging="552"/>
              <w:jc w:val="left"/>
              <w:rPr>
                <w:rFonts w:ascii="宋体" w:hAnsi="宋体" w:cs="宋体" w:eastAsia="宋体" w:hint="default"/>
                <w:sz w:val="21"/>
                <w:szCs w:val="21"/>
              </w:rPr>
            </w:pPr>
            <w:r>
              <w:rPr>
                <w:rFonts w:ascii="宋体" w:hAnsi="宋体" w:cs="宋体" w:eastAsia="宋体" w:hint="default"/>
                <w:sz w:val="21"/>
                <w:szCs w:val="21"/>
              </w:rPr>
              <w:t>已完成样机试制</w:t>
            </w:r>
            <w:r>
              <w:rPr>
                <w:rFonts w:ascii="Times New Roman" w:hAnsi="Times New Roman" w:cs="Times New Roman" w:eastAsia="Times New Roman" w:hint="default"/>
                <w:sz w:val="21"/>
                <w:szCs w:val="21"/>
              </w:rPr>
              <w:t>,</w:t>
            </w:r>
            <w:r>
              <w:rPr>
                <w:rFonts w:ascii="宋体" w:hAnsi="宋体" w:cs="宋体" w:eastAsia="宋体" w:hint="default"/>
                <w:sz w:val="21"/>
                <w:szCs w:val="21"/>
              </w:rPr>
              <w:t>开 始供货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5" w:right="66" w:hanging="357"/>
              <w:jc w:val="left"/>
              <w:rPr>
                <w:rFonts w:ascii="宋体" w:hAnsi="宋体" w:cs="宋体" w:eastAsia="宋体" w:hint="default"/>
                <w:sz w:val="21"/>
                <w:szCs w:val="21"/>
              </w:rPr>
            </w:pPr>
            <w:r>
              <w:rPr>
                <w:rFonts w:ascii="宋体" w:hAnsi="宋体" w:cs="宋体" w:eastAsia="宋体" w:hint="default"/>
                <w:sz w:val="21"/>
                <w:szCs w:val="21"/>
              </w:rPr>
              <w:t>开发并完善全系列</w:t>
            </w:r>
            <w:r>
              <w:rPr>
                <w:rFonts w:ascii="宋体" w:hAnsi="宋体" w:cs="宋体" w:eastAsia="宋体" w:hint="default"/>
                <w:spacing w:val="-21"/>
                <w:sz w:val="21"/>
                <w:szCs w:val="21"/>
              </w:rPr>
              <w:t> </w:t>
            </w:r>
            <w:r>
              <w:rPr>
                <w:rFonts w:ascii="宋体" w:hAnsi="宋体" w:cs="宋体" w:eastAsia="宋体" w:hint="default"/>
                <w:sz w:val="21"/>
                <w:szCs w:val="21"/>
              </w:rPr>
              <w:t>的</w:t>
            </w:r>
            <w:r>
              <w:rPr>
                <w:rFonts w:ascii="宋体" w:hAnsi="宋体" w:cs="宋体" w:eastAsia="宋体" w:hint="default"/>
                <w:sz w:val="21"/>
                <w:szCs w:val="21"/>
              </w:rPr>
              <w:t> 电力培训产品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该产品的开发成功，有 助于公司开拓电力培训 中心的客户</w:t>
            </w:r>
          </w:p>
        </w:tc>
      </w:tr>
      <w:tr>
        <w:trPr>
          <w:trHeight w:val="13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PTC-8900</w:t>
            </w:r>
          </w:p>
          <w:p>
            <w:pPr>
              <w:pStyle w:val="TableParagraph"/>
              <w:spacing w:line="240" w:lineRule="auto" w:before="12"/>
              <w:ind w:right="0"/>
              <w:jc w:val="left"/>
              <w:rPr>
                <w:rFonts w:ascii="宋体" w:hAnsi="宋体" w:cs="宋体" w:eastAsia="宋体" w:hint="default"/>
                <w:sz w:val="16"/>
                <w:szCs w:val="16"/>
              </w:rPr>
            </w:pPr>
          </w:p>
          <w:p>
            <w:pPr>
              <w:pStyle w:val="TableParagraph"/>
              <w:spacing w:line="256" w:lineRule="auto"/>
              <w:ind w:left="85" w:right="83"/>
              <w:jc w:val="center"/>
              <w:rPr>
                <w:rFonts w:ascii="宋体" w:hAnsi="宋体" w:cs="宋体" w:eastAsia="宋体" w:hint="default"/>
                <w:sz w:val="21"/>
                <w:szCs w:val="21"/>
              </w:rPr>
            </w:pPr>
            <w:r>
              <w:rPr>
                <w:rFonts w:ascii="Times New Roman" w:hAnsi="Times New Roman" w:cs="Times New Roman" w:eastAsia="Times New Roman" w:hint="default"/>
                <w:sz w:val="21"/>
                <w:szCs w:val="21"/>
              </w:rPr>
              <w:t>PCB</w:t>
            </w:r>
            <w:r>
              <w:rPr>
                <w:rFonts w:ascii="宋体" w:hAnsi="宋体" w:cs="宋体" w:eastAsia="宋体" w:hint="default"/>
                <w:sz w:val="21"/>
                <w:szCs w:val="21"/>
              </w:rPr>
              <w:t>及外观一致性</w:t>
            </w:r>
            <w:r>
              <w:rPr>
                <w:rFonts w:ascii="宋体" w:hAnsi="宋体" w:cs="宋体" w:eastAsia="宋体" w:hint="default"/>
                <w:w w:val="99"/>
                <w:sz w:val="21"/>
                <w:szCs w:val="21"/>
              </w:rPr>
              <w:t> </w:t>
            </w:r>
            <w:r>
              <w:rPr>
                <w:rFonts w:ascii="宋体" w:hAnsi="宋体" w:cs="宋体" w:eastAsia="宋体" w:hint="default"/>
                <w:sz w:val="21"/>
                <w:szCs w:val="21"/>
              </w:rPr>
              <w:t>比对装置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599" w:right="47" w:hanging="552"/>
              <w:jc w:val="left"/>
              <w:rPr>
                <w:rFonts w:ascii="宋体" w:hAnsi="宋体" w:cs="宋体" w:eastAsia="宋体" w:hint="default"/>
                <w:sz w:val="21"/>
                <w:szCs w:val="21"/>
              </w:rPr>
            </w:pPr>
            <w:r>
              <w:rPr>
                <w:rFonts w:ascii="宋体" w:hAnsi="宋体" w:cs="宋体" w:eastAsia="宋体" w:hint="default"/>
                <w:sz w:val="21"/>
                <w:szCs w:val="21"/>
              </w:rPr>
              <w:t>已完成样机试制</w:t>
            </w:r>
            <w:r>
              <w:rPr>
                <w:rFonts w:ascii="Times New Roman" w:hAnsi="Times New Roman" w:cs="Times New Roman" w:eastAsia="Times New Roman" w:hint="default"/>
                <w:sz w:val="21"/>
                <w:szCs w:val="21"/>
              </w:rPr>
              <w:t>,</w:t>
            </w:r>
            <w:r>
              <w:rPr>
                <w:rFonts w:ascii="宋体" w:hAnsi="宋体" w:cs="宋体" w:eastAsia="宋体" w:hint="default"/>
                <w:sz w:val="21"/>
                <w:szCs w:val="21"/>
              </w:rPr>
              <w:t>开 始供货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 w:right="5" w:hanging="12"/>
              <w:jc w:val="left"/>
              <w:rPr>
                <w:rFonts w:ascii="宋体" w:hAnsi="宋体" w:cs="宋体" w:eastAsia="宋体" w:hint="default"/>
                <w:sz w:val="21"/>
                <w:szCs w:val="21"/>
              </w:rPr>
            </w:pPr>
            <w:r>
              <w:rPr>
                <w:rFonts w:ascii="宋体" w:hAnsi="宋体" w:cs="宋体" w:eastAsia="宋体" w:hint="default"/>
                <w:sz w:val="21"/>
                <w:szCs w:val="21"/>
              </w:rPr>
              <w:t>满足客户对电表终端产 品外观和</w:t>
            </w:r>
            <w:r>
              <w:rPr>
                <w:rFonts w:ascii="Times New Roman" w:hAnsi="Times New Roman" w:cs="Times New Roman" w:eastAsia="Times New Roman" w:hint="default"/>
                <w:sz w:val="21"/>
                <w:szCs w:val="21"/>
              </w:rPr>
              <w:t>PCB</w:t>
            </w:r>
            <w:r>
              <w:rPr>
                <w:rFonts w:ascii="宋体" w:hAnsi="宋体" w:cs="宋体" w:eastAsia="宋体" w:hint="default"/>
                <w:sz w:val="21"/>
                <w:szCs w:val="21"/>
              </w:rPr>
              <w:t>检验需求</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拓展电力综合实验室的 客户需求。提高公司的 竞争力</w:t>
            </w:r>
          </w:p>
        </w:tc>
      </w:tr>
      <w:tr>
        <w:trPr>
          <w:trHeight w:val="117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color w:val="404040"/>
                <w:sz w:val="21"/>
                <w:szCs w:val="21"/>
              </w:rPr>
              <w:t>PTC-8320HS</w:t>
            </w:r>
            <w:r>
              <w:rPr>
                <w:rFonts w:ascii="宋体" w:hAnsi="宋体" w:cs="宋体" w:eastAsia="宋体" w:hint="default"/>
                <w:color w:val="404040"/>
                <w:sz w:val="21"/>
                <w:szCs w:val="21"/>
              </w:rPr>
              <w:t>多表位</w:t>
            </w:r>
            <w:r>
              <w:rPr>
                <w:rFonts w:ascii="宋体" w:hAnsi="宋体" w:cs="宋体" w:eastAsia="宋体" w:hint="default"/>
                <w:sz w:val="21"/>
                <w:szCs w:val="21"/>
              </w:rPr>
            </w:r>
          </w:p>
          <w:p>
            <w:pPr>
              <w:pStyle w:val="TableParagraph"/>
              <w:spacing w:line="273" w:lineRule="auto" w:before="21"/>
              <w:ind w:left="703" w:right="72" w:hanging="630"/>
              <w:jc w:val="left"/>
              <w:rPr>
                <w:rFonts w:ascii="宋体" w:hAnsi="宋体" w:cs="宋体" w:eastAsia="宋体" w:hint="default"/>
                <w:sz w:val="21"/>
                <w:szCs w:val="21"/>
              </w:rPr>
            </w:pPr>
            <w:r>
              <w:rPr>
                <w:rFonts w:ascii="宋体" w:hAnsi="宋体" w:cs="宋体" w:eastAsia="宋体" w:hint="default"/>
                <w:color w:val="404040"/>
                <w:sz w:val="21"/>
                <w:szCs w:val="21"/>
              </w:rPr>
              <w:t>高精度电能表检验 装置</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7" w:right="46"/>
              <w:jc w:val="center"/>
              <w:rPr>
                <w:rFonts w:ascii="宋体" w:hAnsi="宋体" w:cs="宋体" w:eastAsia="宋体" w:hint="default"/>
                <w:sz w:val="21"/>
                <w:szCs w:val="21"/>
              </w:rPr>
            </w:pPr>
            <w:r>
              <w:rPr>
                <w:rFonts w:ascii="宋体" w:hAnsi="宋体" w:cs="宋体" w:eastAsia="宋体" w:hint="default"/>
                <w:sz w:val="21"/>
                <w:szCs w:val="21"/>
              </w:rPr>
              <w:t>已完成样机试制和 小批量试产</w:t>
            </w:r>
            <w:r>
              <w:rPr>
                <w:rFonts w:ascii="Times New Roman" w:hAnsi="Times New Roman" w:cs="Times New Roman" w:eastAsia="Times New Roman" w:hint="default"/>
                <w:sz w:val="21"/>
                <w:szCs w:val="21"/>
              </w:rPr>
              <w:t>,</w:t>
            </w:r>
            <w:r>
              <w:rPr>
                <w:rFonts w:ascii="宋体" w:hAnsi="宋体" w:cs="宋体" w:eastAsia="宋体" w:hint="default"/>
                <w:sz w:val="21"/>
                <w:szCs w:val="21"/>
              </w:rPr>
              <w:t>并开始 供货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完善电测装置产品线， 提高公司产品的竞争 力。</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提高公司电测检验设备 的品牌力，更好的助力 电测装置的销售</w:t>
            </w:r>
          </w:p>
        </w:tc>
      </w:tr>
      <w:tr>
        <w:trPr>
          <w:trHeight w:val="1484"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PTC-8350</w:t>
            </w:r>
          </w:p>
          <w:p>
            <w:pPr>
              <w:pStyle w:val="TableParagraph"/>
              <w:spacing w:line="240" w:lineRule="auto" w:before="12"/>
              <w:ind w:right="0"/>
              <w:jc w:val="left"/>
              <w:rPr>
                <w:rFonts w:ascii="宋体" w:hAnsi="宋体" w:cs="宋体" w:eastAsia="宋体" w:hint="default"/>
                <w:sz w:val="16"/>
                <w:szCs w:val="16"/>
              </w:rPr>
            </w:pPr>
          </w:p>
          <w:p>
            <w:pPr>
              <w:pStyle w:val="TableParagraph"/>
              <w:spacing w:line="273" w:lineRule="auto"/>
              <w:ind w:left="73" w:right="72"/>
              <w:jc w:val="center"/>
              <w:rPr>
                <w:rFonts w:ascii="宋体" w:hAnsi="宋体" w:cs="宋体" w:eastAsia="宋体" w:hint="default"/>
                <w:sz w:val="21"/>
                <w:szCs w:val="21"/>
              </w:rPr>
            </w:pPr>
            <w:r>
              <w:rPr>
                <w:rFonts w:ascii="宋体" w:hAnsi="宋体" w:cs="宋体" w:eastAsia="宋体" w:hint="default"/>
                <w:sz w:val="21"/>
                <w:szCs w:val="21"/>
              </w:rPr>
              <w:t>故障指示器测试装 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63" w:right="20" w:hanging="341"/>
              <w:jc w:val="left"/>
              <w:rPr>
                <w:rFonts w:ascii="宋体" w:hAnsi="宋体" w:cs="宋体" w:eastAsia="宋体" w:hint="default"/>
                <w:sz w:val="21"/>
                <w:szCs w:val="21"/>
              </w:rPr>
            </w:pPr>
            <w:r>
              <w:rPr>
                <w:rFonts w:ascii="宋体" w:hAnsi="宋体" w:cs="宋体" w:eastAsia="宋体" w:hint="default"/>
                <w:sz w:val="21"/>
                <w:szCs w:val="21"/>
              </w:rPr>
              <w:t>已完成第</w:t>
            </w:r>
            <w:r>
              <w:rPr>
                <w:rFonts w:ascii="Times New Roman" w:hAnsi="Times New Roman" w:cs="Times New Roman" w:eastAsia="Times New Roman" w:hint="default"/>
                <w:sz w:val="21"/>
                <w:szCs w:val="21"/>
              </w:rPr>
              <w:t>1</w:t>
            </w:r>
            <w:r>
              <w:rPr>
                <w:rFonts w:ascii="宋体" w:hAnsi="宋体" w:cs="宋体" w:eastAsia="宋体" w:hint="default"/>
                <w:sz w:val="21"/>
                <w:szCs w:val="21"/>
              </w:rPr>
              <w:t>套样机试 制</w:t>
            </w:r>
            <w:r>
              <w:rPr>
                <w:rFonts w:ascii="Times New Roman" w:hAnsi="Times New Roman" w:cs="Times New Roman" w:eastAsia="Times New Roman" w:hint="default"/>
                <w:sz w:val="21"/>
                <w:szCs w:val="21"/>
              </w:rPr>
              <w:t>,</w:t>
            </w:r>
            <w:r>
              <w:rPr>
                <w:rFonts w:ascii="宋体" w:hAnsi="宋体" w:cs="宋体" w:eastAsia="宋体" w:hint="default"/>
                <w:sz w:val="21"/>
                <w:szCs w:val="21"/>
              </w:rPr>
              <w:t>开始供货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5"/>
              <w:jc w:val="center"/>
              <w:rPr>
                <w:rFonts w:ascii="宋体" w:hAnsi="宋体" w:cs="宋体" w:eastAsia="宋体" w:hint="default"/>
                <w:sz w:val="21"/>
                <w:szCs w:val="21"/>
              </w:rPr>
            </w:pPr>
            <w:r>
              <w:rPr>
                <w:rFonts w:ascii="宋体" w:hAnsi="宋体" w:cs="宋体" w:eastAsia="宋体" w:hint="default"/>
                <w:sz w:val="21"/>
                <w:szCs w:val="21"/>
              </w:rPr>
              <w:t>拓展新的产品线，满足 客户对配网自动化的过 障指示器产品的测试需 求</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4" w:right="5" w:hanging="210"/>
              <w:jc w:val="left"/>
              <w:rPr>
                <w:rFonts w:ascii="宋体" w:hAnsi="宋体" w:cs="宋体" w:eastAsia="宋体" w:hint="default"/>
                <w:sz w:val="21"/>
                <w:szCs w:val="21"/>
              </w:rPr>
            </w:pPr>
            <w:r>
              <w:rPr>
                <w:rFonts w:ascii="宋体" w:hAnsi="宋体" w:cs="宋体" w:eastAsia="宋体" w:hint="default"/>
                <w:sz w:val="21"/>
                <w:szCs w:val="21"/>
              </w:rPr>
              <w:t>在配电自动化系统领域 寻找新的市场机会</w:t>
            </w:r>
          </w:p>
        </w:tc>
      </w:tr>
      <w:tr>
        <w:trPr>
          <w:trHeight w:val="11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PRO-6000</w:t>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火灾监测系统</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7" w:right="20" w:hanging="26"/>
              <w:jc w:val="both"/>
              <w:rPr>
                <w:rFonts w:ascii="宋体" w:hAnsi="宋体" w:cs="宋体" w:eastAsia="宋体" w:hint="default"/>
                <w:sz w:val="21"/>
                <w:szCs w:val="21"/>
              </w:rPr>
            </w:pPr>
            <w:r>
              <w:rPr>
                <w:rFonts w:ascii="宋体" w:hAnsi="宋体" w:cs="宋体" w:eastAsia="宋体" w:hint="default"/>
                <w:sz w:val="21"/>
                <w:szCs w:val="21"/>
              </w:rPr>
              <w:t>已完成第</w:t>
            </w:r>
            <w:r>
              <w:rPr>
                <w:rFonts w:ascii="Times New Roman" w:hAnsi="Times New Roman" w:cs="Times New Roman" w:eastAsia="Times New Roman" w:hint="default"/>
                <w:sz w:val="21"/>
                <w:szCs w:val="21"/>
              </w:rPr>
              <w:t>1</w:t>
            </w:r>
            <w:r>
              <w:rPr>
                <w:rFonts w:ascii="宋体" w:hAnsi="宋体" w:cs="宋体" w:eastAsia="宋体" w:hint="default"/>
                <w:sz w:val="21"/>
                <w:szCs w:val="21"/>
              </w:rPr>
              <w:t>套样机试 制</w:t>
            </w:r>
            <w:r>
              <w:rPr>
                <w:rFonts w:ascii="Times New Roman" w:hAnsi="Times New Roman" w:cs="Times New Roman" w:eastAsia="Times New Roman" w:hint="default"/>
                <w:sz w:val="21"/>
                <w:szCs w:val="21"/>
              </w:rPr>
              <w:t>,</w:t>
            </w:r>
            <w:r>
              <w:rPr>
                <w:rFonts w:ascii="宋体" w:hAnsi="宋体" w:cs="宋体" w:eastAsia="宋体" w:hint="default"/>
                <w:sz w:val="21"/>
                <w:szCs w:val="21"/>
              </w:rPr>
              <w:t>未来要进行样机 测试和产品认证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5" w:right="0"/>
              <w:jc w:val="left"/>
              <w:rPr>
                <w:rFonts w:ascii="宋体" w:hAnsi="宋体" w:cs="宋体" w:eastAsia="宋体" w:hint="default"/>
                <w:sz w:val="21"/>
                <w:szCs w:val="21"/>
              </w:rPr>
            </w:pPr>
            <w:r>
              <w:rPr>
                <w:rFonts w:ascii="宋体" w:hAnsi="宋体" w:cs="宋体" w:eastAsia="宋体" w:hint="default"/>
                <w:sz w:val="21"/>
                <w:szCs w:val="21"/>
              </w:rPr>
              <w:t>拓展新的产品线。</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在楼宇自动化监测系统 领域寻找新的市场机会</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17,014,668.12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12,124,631.28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9,585,261.11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line="338" w:lineRule="auto" w:before="44"/>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367,420,858.54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281,145,954.63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324,947,731.17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264,381,672.72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42,473,127.37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16,764,281.91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150,887,174.74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506,999.77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29,660.80%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150,561,136.23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944,613.10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15,838.92%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326,038.51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-437,613.33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206,398,200.00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63,522,958.34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19,230,063.61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142,875,241.66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-19,230,063.61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185,336,381.22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-2,893,045.90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6,506.27%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133" w:right="1128"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）报告期经营活动产生的现金流量净额为</w:t>
      </w:r>
      <w:r>
        <w:rPr>
          <w:rFonts w:ascii="Times New Roman" w:hAnsi="Times New Roman" w:cs="Times New Roman" w:eastAsia="Times New Roman" w:hint="default"/>
          <w:spacing w:val="-1"/>
          <w:sz w:val="18"/>
          <w:szCs w:val="18"/>
        </w:rPr>
        <w:t>42,473,127.37</w:t>
      </w:r>
      <w:r>
        <w:rPr>
          <w:rFonts w:ascii="宋体" w:hAnsi="宋体" w:cs="宋体" w:eastAsia="宋体" w:hint="default"/>
          <w:spacing w:val="-1"/>
          <w:sz w:val="18"/>
          <w:szCs w:val="18"/>
        </w:rPr>
        <w:t>元，比上年同期上升了</w:t>
      </w:r>
      <w:r>
        <w:rPr>
          <w:rFonts w:ascii="Times New Roman" w:hAnsi="Times New Roman" w:cs="Times New Roman" w:eastAsia="Times New Roman" w:hint="default"/>
          <w:spacing w:val="-1"/>
          <w:sz w:val="18"/>
          <w:szCs w:val="18"/>
        </w:rPr>
        <w:t>153.35%</w:t>
      </w:r>
      <w:r>
        <w:rPr>
          <w:rFonts w:ascii="宋体" w:hAnsi="宋体" w:cs="宋体" w:eastAsia="宋体" w:hint="default"/>
          <w:spacing w:val="-1"/>
          <w:sz w:val="18"/>
          <w:szCs w:val="18"/>
        </w:rPr>
        <w:t>。主要是报告期新增了控股子公司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浙江涵普电力科技有限公司的经营活动现金流量。</w:t>
      </w:r>
    </w:p>
    <w:p>
      <w:pPr>
        <w:spacing w:before="31"/>
        <w:ind w:left="11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）报告期投资活动现金流入为</w:t>
      </w:r>
      <w:r>
        <w:rPr>
          <w:rFonts w:ascii="Times New Roman" w:hAnsi="Times New Roman" w:cs="Times New Roman" w:eastAsia="Times New Roman" w:hint="default"/>
          <w:sz w:val="18"/>
          <w:szCs w:val="18"/>
        </w:rPr>
        <w:t>150,887,174.74</w:t>
      </w:r>
      <w:r>
        <w:rPr>
          <w:rFonts w:ascii="宋体" w:hAnsi="宋体" w:cs="宋体" w:eastAsia="宋体" w:hint="default"/>
          <w:sz w:val="18"/>
          <w:szCs w:val="18"/>
        </w:rPr>
        <w:t>元，比上年同期上升了</w:t>
      </w:r>
      <w:r>
        <w:rPr>
          <w:rFonts w:ascii="Times New Roman" w:hAnsi="Times New Roman" w:cs="Times New Roman" w:eastAsia="Times New Roman" w:hint="default"/>
          <w:sz w:val="18"/>
          <w:szCs w:val="18"/>
        </w:rPr>
        <w:t>29,660.80%</w:t>
      </w:r>
      <w:r>
        <w:rPr>
          <w:rFonts w:ascii="宋体" w:hAnsi="宋体" w:cs="宋体" w:eastAsia="宋体" w:hint="default"/>
          <w:sz w:val="18"/>
          <w:szCs w:val="18"/>
        </w:rPr>
        <w:t>，主要本报告期购买理财产品所致。</w:t>
      </w:r>
    </w:p>
    <w:p>
      <w:pPr>
        <w:spacing w:line="300" w:lineRule="auto" w:before="63"/>
        <w:ind w:left="1134"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）报告期投资活动现金流出为</w:t>
      </w:r>
      <w:r>
        <w:rPr>
          <w:rFonts w:ascii="Times New Roman" w:hAnsi="Times New Roman" w:cs="Times New Roman" w:eastAsia="Times New Roman" w:hint="default"/>
          <w:spacing w:val="-1"/>
          <w:sz w:val="18"/>
          <w:szCs w:val="18"/>
        </w:rPr>
        <w:t>150,561,136.23</w:t>
      </w:r>
      <w:r>
        <w:rPr>
          <w:rFonts w:ascii="宋体" w:hAnsi="宋体" w:cs="宋体" w:eastAsia="宋体" w:hint="default"/>
          <w:spacing w:val="-1"/>
          <w:sz w:val="18"/>
          <w:szCs w:val="18"/>
        </w:rPr>
        <w:t>元，比上年同期增加了</w:t>
      </w:r>
      <w:r>
        <w:rPr>
          <w:rFonts w:ascii="Times New Roman" w:hAnsi="Times New Roman" w:cs="Times New Roman" w:eastAsia="Times New Roman" w:hint="default"/>
          <w:spacing w:val="-1"/>
          <w:sz w:val="18"/>
          <w:szCs w:val="18"/>
        </w:rPr>
        <w:t>15,838.92%</w:t>
      </w:r>
      <w:r>
        <w:rPr>
          <w:rFonts w:ascii="宋体" w:hAnsi="宋体" w:cs="宋体" w:eastAsia="宋体" w:hint="default"/>
          <w:spacing w:val="-1"/>
          <w:sz w:val="18"/>
          <w:szCs w:val="18"/>
        </w:rPr>
        <w:t>，主要系报告期内募投项目的投入和购买</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理财产品所致。</w:t>
      </w:r>
    </w:p>
    <w:p>
      <w:pPr>
        <w:spacing w:before="31"/>
        <w:ind w:left="1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）报告期筹资活动现金流入为</w:t>
      </w:r>
      <w:r>
        <w:rPr>
          <w:rFonts w:ascii="Times New Roman" w:hAnsi="Times New Roman" w:cs="Times New Roman" w:eastAsia="Times New Roman" w:hint="default"/>
          <w:sz w:val="18"/>
          <w:szCs w:val="18"/>
        </w:rPr>
        <w:t>206,398,200.00</w:t>
      </w:r>
      <w:r>
        <w:rPr>
          <w:rFonts w:ascii="宋体" w:hAnsi="宋体" w:cs="宋体" w:eastAsia="宋体" w:hint="default"/>
          <w:sz w:val="18"/>
          <w:szCs w:val="18"/>
        </w:rPr>
        <w:t>元，主要系报告期内首次公开发行股票募集资金到位所致。</w:t>
      </w:r>
    </w:p>
    <w:p>
      <w:pPr>
        <w:spacing w:line="300" w:lineRule="auto" w:before="63"/>
        <w:ind w:left="1133" w:right="1128"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）报告期筹资活动现金流出为</w:t>
      </w:r>
      <w:r>
        <w:rPr>
          <w:rFonts w:ascii="Times New Roman" w:hAnsi="Times New Roman" w:cs="Times New Roman" w:eastAsia="Times New Roman" w:hint="default"/>
          <w:spacing w:val="-1"/>
          <w:sz w:val="18"/>
          <w:szCs w:val="18"/>
        </w:rPr>
        <w:t>63,552,958.34</w:t>
      </w:r>
      <w:r>
        <w:rPr>
          <w:rFonts w:ascii="宋体" w:hAnsi="宋体" w:cs="宋体" w:eastAsia="宋体" w:hint="default"/>
          <w:spacing w:val="-1"/>
          <w:sz w:val="18"/>
          <w:szCs w:val="18"/>
        </w:rPr>
        <w:t>元，比上年同期增加了</w:t>
      </w:r>
      <w:r>
        <w:rPr>
          <w:rFonts w:ascii="Times New Roman" w:hAnsi="Times New Roman" w:cs="Times New Roman" w:eastAsia="Times New Roman" w:hint="default"/>
          <w:spacing w:val="-1"/>
          <w:sz w:val="18"/>
          <w:szCs w:val="18"/>
        </w:rPr>
        <w:t>230.33%</w:t>
      </w:r>
      <w:r>
        <w:rPr>
          <w:rFonts w:ascii="宋体" w:hAnsi="宋体" w:cs="宋体" w:eastAsia="宋体" w:hint="default"/>
          <w:spacing w:val="-1"/>
          <w:sz w:val="18"/>
          <w:szCs w:val="18"/>
        </w:rPr>
        <w:t>，主要系报告期首次公开发行股票支付的发行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费用以及新增控股子公司支付的少数股东的现金股利。</w:t>
      </w:r>
    </w:p>
    <w:p>
      <w:pPr>
        <w:spacing w:line="240" w:lineRule="auto" w:before="0"/>
        <w:rPr>
          <w:rFonts w:ascii="宋体" w:hAnsi="宋体" w:cs="宋体" w:eastAsia="宋体" w:hint="default"/>
          <w:sz w:val="18"/>
          <w:szCs w:val="18"/>
        </w:rPr>
      </w:pPr>
    </w:p>
    <w:p>
      <w:pPr>
        <w:spacing w:before="148"/>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28" w:lineRule="auto" w:before="117"/>
        <w:ind w:left="1133" w:right="12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报告期内公司经营活动产生的现金净流量与本年度净利润存在差异的主要原因是经营性应收项目的增加和经营性应付项目 的减少。报期经营性应收项目增加了</w:t>
      </w:r>
      <w:r>
        <w:rPr>
          <w:rFonts w:ascii="Times New Roman" w:hAnsi="Times New Roman" w:cs="Times New Roman" w:eastAsia="Times New Roman" w:hint="default"/>
          <w:sz w:val="18"/>
          <w:szCs w:val="18"/>
        </w:rPr>
        <w:t>1,234.21</w:t>
      </w:r>
      <w:r>
        <w:rPr>
          <w:rFonts w:ascii="宋体" w:hAnsi="宋体" w:cs="宋体" w:eastAsia="宋体" w:hint="default"/>
          <w:sz w:val="18"/>
          <w:szCs w:val="18"/>
        </w:rPr>
        <w:t>万元；经营性应付项目减少了</w:t>
      </w:r>
      <w:r>
        <w:rPr>
          <w:rFonts w:ascii="Times New Roman" w:hAnsi="Times New Roman" w:cs="Times New Roman" w:eastAsia="Times New Roman" w:hint="default"/>
          <w:sz w:val="18"/>
          <w:szCs w:val="18"/>
        </w:rPr>
        <w:t>3,065.06</w:t>
      </w:r>
      <w:r>
        <w:rPr>
          <w:rFonts w:ascii="宋体" w:hAnsi="宋体" w:cs="宋体" w:eastAsia="宋体" w:hint="default"/>
          <w:sz w:val="18"/>
          <w:szCs w:val="18"/>
        </w:rPr>
        <w:t>万元。</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4,746,518.94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4,456,948.42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主要系计提的坏账损失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16,479,478.54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18.74%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both"/>
              <w:rPr>
                <w:rFonts w:ascii="宋体" w:hAnsi="宋体" w:cs="宋体" w:eastAsia="宋体" w:hint="default"/>
                <w:sz w:val="18"/>
                <w:szCs w:val="18"/>
              </w:rPr>
            </w:pPr>
            <w:r>
              <w:rPr>
                <w:rFonts w:ascii="宋体" w:hAnsi="宋体" w:cs="宋体" w:eastAsia="宋体" w:hint="default"/>
                <w:sz w:val="18"/>
                <w:szCs w:val="18"/>
              </w:rPr>
              <w:t>主要系政府补助和企业合并 投资成本低于被合并企业净 资产公允价值的差额</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204,175.32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287,993,878.4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37.91%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102,891,861.62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24.26%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13.65%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货币资金期末金额增加主要系首次 公开发行股票所筹集的募集资金到 账所致。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268,835,560.7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35.39%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226,657,311.14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53.45%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-18.06%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主要本报告期末新增非同一控制下 </w:t>
            </w:r>
            <w:r>
              <w:rPr>
                <w:rFonts w:ascii="宋体" w:hAnsi="宋体" w:cs="宋体" w:eastAsia="宋体" w:hint="default"/>
                <w:spacing w:val="-2"/>
                <w:sz w:val="18"/>
                <w:szCs w:val="18"/>
              </w:rPr>
              <w:t>子公司的净资产，导致报告期末总资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产增加，应收账款占比下降。</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58,646,760.30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21,558,233.53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58,668,020.10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37,132,977.14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1,076,174.36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3,354,166.82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6,229,166.90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2"/>
      <w:bookmarkEnd w:id="42"/>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4"/>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56,925,589.52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5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浙江涵 普电力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备、配 电开关 控制设 备、配 电网自 动化设 备等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54,925,</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589.52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海盐众 普电力 科技有 限公 司、海 盐城普 电子科 技有限 公司、 红相电 力、特 盟国际 经贸有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20,400,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4,991,2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86.24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2" w:right="23"/>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54,925,</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589.52</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20,400,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4,991,2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86.24</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855"/>
        <w:gridCol w:w="863"/>
        <w:gridCol w:w="877"/>
        <w:gridCol w:w="870"/>
        <w:gridCol w:w="870"/>
        <w:gridCol w:w="869"/>
        <w:gridCol w:w="870"/>
        <w:gridCol w:w="870"/>
        <w:gridCol w:w="870"/>
        <w:gridCol w:w="870"/>
        <w:gridCol w:w="858"/>
      </w:tblGrid>
      <w:tr>
        <w:trPr>
          <w:trHeight w:val="383"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5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66"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本期已使</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已累计使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 w:right="0"/>
              <w:jc w:val="left"/>
              <w:rPr>
                <w:rFonts w:ascii="宋体" w:hAnsi="宋体" w:cs="宋体" w:eastAsia="宋体" w:hint="default"/>
                <w:sz w:val="18"/>
                <w:szCs w:val="18"/>
              </w:rPr>
            </w:pPr>
            <w:r>
              <w:rPr>
                <w:rFonts w:ascii="宋体" w:hAnsi="宋体" w:cs="宋体" w:eastAsia="宋体" w:hint="default"/>
                <w:sz w:val="18"/>
                <w:szCs w:val="18"/>
              </w:rPr>
              <w:t>闲置两年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986"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9" w:hanging="90"/>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8" w:right="68"/>
              <w:jc w:val="both"/>
              <w:rPr>
                <w:rFonts w:ascii="宋体" w:hAnsi="宋体" w:cs="宋体" w:eastAsia="宋体" w:hint="default"/>
                <w:sz w:val="18"/>
                <w:szCs w:val="18"/>
              </w:rPr>
            </w:pPr>
            <w:r>
              <w:rPr>
                <w:rFonts w:ascii="宋体" w:hAnsi="宋体" w:cs="宋体" w:eastAsia="宋体" w:hint="default"/>
                <w:sz w:val="18"/>
                <w:szCs w:val="18"/>
              </w:rPr>
              <w:t>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center"/>
              <w:rPr>
                <w:rFonts w:ascii="宋体" w:hAnsi="宋体" w:cs="宋体" w:eastAsia="宋体" w:hint="default"/>
                <w:sz w:val="18"/>
                <w:szCs w:val="18"/>
              </w:rPr>
            </w:pPr>
            <w:r>
              <w:rPr>
                <w:rFonts w:ascii="宋体" w:hAnsi="宋体" w:cs="宋体" w:eastAsia="宋体" w:hint="default"/>
                <w:sz w:val="18"/>
                <w:szCs w:val="18"/>
              </w:rPr>
              <w:t>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both"/>
              <w:rPr>
                <w:rFonts w:ascii="宋体" w:hAnsi="宋体" w:cs="宋体" w:eastAsia="宋体" w:hint="default"/>
                <w:sz w:val="18"/>
                <w:szCs w:val="18"/>
              </w:rPr>
            </w:pPr>
            <w:r>
              <w:rPr>
                <w:rFonts w:ascii="宋体" w:hAnsi="宋体" w:cs="宋体" w:eastAsia="宋体" w:hint="default"/>
                <w:sz w:val="18"/>
                <w:szCs w:val="18"/>
              </w:rPr>
              <w:t>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0"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center"/>
              <w:rPr>
                <w:rFonts w:ascii="宋体" w:hAnsi="宋体" w:cs="宋体" w:eastAsia="宋体" w:hint="default"/>
                <w:sz w:val="18"/>
                <w:szCs w:val="18"/>
              </w:rPr>
            </w:pPr>
            <w:r>
              <w:rPr>
                <w:rFonts w:ascii="宋体" w:hAnsi="宋体" w:cs="宋体" w:eastAsia="宋体" w:hint="default"/>
                <w:sz w:val="18"/>
                <w:szCs w:val="18"/>
              </w:rPr>
              <w:t>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8" w:right="68"/>
              <w:jc w:val="left"/>
              <w:rPr>
                <w:rFonts w:ascii="宋体" w:hAnsi="宋体" w:cs="宋体" w:eastAsia="宋体" w:hint="default"/>
                <w:sz w:val="18"/>
                <w:szCs w:val="18"/>
              </w:rPr>
            </w:pPr>
            <w:r>
              <w:rPr>
                <w:rFonts w:ascii="宋体" w:hAnsi="宋体" w:cs="宋体" w:eastAsia="宋体" w:hint="default"/>
                <w:sz w:val="18"/>
                <w:szCs w:val="18"/>
              </w:rPr>
              <w:t>以上募集 资金金额</w:t>
            </w:r>
          </w:p>
        </w:tc>
      </w:tr>
      <w:tr>
        <w:trPr>
          <w:trHeight w:val="664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00" w:right="0"/>
              <w:jc w:val="center"/>
              <w:rPr>
                <w:rFonts w:ascii="Times New Roman" w:hAnsi="Times New Roman" w:cs="Times New Roman" w:eastAsia="Times New Roman" w:hint="default"/>
                <w:sz w:val="18"/>
                <w:szCs w:val="18"/>
              </w:rPr>
            </w:pPr>
            <w:r>
              <w:rPr>
                <w:rFonts w:ascii="Times New Roman"/>
                <w:sz w:val="18"/>
              </w:rPr>
              <w:t>18,676.94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3" w:right="0"/>
              <w:jc w:val="center"/>
              <w:rPr>
                <w:rFonts w:ascii="Times New Roman" w:hAnsi="Times New Roman" w:cs="Times New Roman" w:eastAsia="Times New Roman" w:hint="default"/>
                <w:sz w:val="18"/>
                <w:szCs w:val="18"/>
              </w:rPr>
            </w:pPr>
            <w:r>
              <w:rPr>
                <w:rFonts w:ascii="Times New Roman"/>
                <w:sz w:val="18"/>
              </w:rPr>
              <w:t>14,340.94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2" w:right="0"/>
              <w:jc w:val="center"/>
              <w:rPr>
                <w:rFonts w:ascii="Times New Roman" w:hAnsi="Times New Roman" w:cs="Times New Roman" w:eastAsia="Times New Roman" w:hint="default"/>
                <w:sz w:val="18"/>
                <w:szCs w:val="18"/>
              </w:rPr>
            </w:pPr>
            <w:r>
              <w:rPr>
                <w:rFonts w:ascii="Times New Roman"/>
                <w:sz w:val="18"/>
              </w:rPr>
              <w:t>14,340.94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5,492.56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5,492.56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29.41%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4,779.6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尚未使用 募集资金 将用于募 投项目后 续资金支 出；截止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尚未使用 的募集资 </w:t>
            </w:r>
            <w:r>
              <w:rPr>
                <w:rFonts w:ascii="宋体" w:hAnsi="宋体" w:cs="宋体" w:eastAsia="宋体" w:hint="default"/>
                <w:spacing w:val="-18"/>
                <w:sz w:val="18"/>
                <w:szCs w:val="18"/>
              </w:rPr>
              <w:t>金中，暂时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用于购买 理财产品 金额为</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1,894.00</w:t>
            </w:r>
          </w:p>
          <w:p>
            <w:pPr>
              <w:pStyle w:val="TableParagraph"/>
              <w:spacing w:line="316" w:lineRule="auto" w:before="65"/>
              <w:ind w:left="22" w:right="23"/>
              <w:jc w:val="left"/>
              <w:rPr>
                <w:rFonts w:ascii="宋体" w:hAnsi="宋体" w:cs="宋体" w:eastAsia="宋体" w:hint="default"/>
                <w:sz w:val="18"/>
                <w:szCs w:val="18"/>
              </w:rPr>
            </w:pPr>
            <w:r>
              <w:rPr>
                <w:rFonts w:ascii="宋体" w:hAnsi="宋体" w:cs="宋体" w:eastAsia="宋体" w:hint="default"/>
                <w:spacing w:val="-18"/>
                <w:sz w:val="18"/>
                <w:szCs w:val="18"/>
              </w:rPr>
              <w:t>万元，存放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于募集资 金账户金 额为</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2,885.60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18,676.94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14,340.94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14,340.94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5,492.56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5,492.56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29.41%</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4,779.6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号核准，并经深圳证券交易所同意，本公司由主承销商长江证券承销保 荐有限公司通过深圳证券交易所系统于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日采用全部向二级市场投资者定价配售方式，向社会公众公开发行</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了普通股（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日，本公司共募集资金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23,189.82</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4,512.88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18,676.94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万元。上述募集资金净额已经致同会计师事务所（特殊 </w:t>
            </w:r>
            <w:r>
              <w:rPr>
                <w:rFonts w:ascii="宋体" w:hAnsi="宋体" w:cs="宋体" w:eastAsia="宋体" w:hint="default"/>
                <w:spacing w:val="-4"/>
                <w:sz w:val="18"/>
                <w:szCs w:val="18"/>
              </w:rPr>
              <w:t>普通合伙）出具的致同验字（</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320ZA0005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号《验资报告》验证。公司对募集资金采取了专户存储制度。截至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
                <w:sz w:val="18"/>
                <w:szCs w:val="18"/>
              </w:rPr>
              <w:t>日，募集资金累计投入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14,340.94</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万元，尚未使用的金额为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4,779.60 </w:t>
            </w:r>
            <w:r>
              <w:rPr>
                <w:rFonts w:ascii="宋体" w:hAnsi="宋体" w:cs="宋体" w:eastAsia="宋体" w:hint="default"/>
                <w:spacing w:val="-10"/>
                <w:sz w:val="18"/>
                <w:szCs w:val="18"/>
              </w:rPr>
              <w:t>万元。（其中募集资金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4,336.00 </w:t>
            </w:r>
            <w:r>
              <w:rPr>
                <w:rFonts w:ascii="宋体" w:hAnsi="宋体" w:cs="宋体" w:eastAsia="宋体" w:hint="default"/>
                <w:spacing w:val="-2"/>
                <w:sz w:val="18"/>
                <w:szCs w:val="18"/>
              </w:rPr>
              <w:t>万元，专户</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存储累计利息扣除手续费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720"/>
        <w:gridCol w:w="718"/>
        <w:gridCol w:w="716"/>
        <w:gridCol w:w="719"/>
        <w:gridCol w:w="718"/>
        <w:gridCol w:w="718"/>
        <w:gridCol w:w="714"/>
      </w:tblGrid>
      <w:tr>
        <w:trPr>
          <w:trHeight w:val="1338"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7"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82" w:right="83"/>
              <w:jc w:val="both"/>
              <w:rPr>
                <w:rFonts w:ascii="宋体" w:hAnsi="宋体" w:cs="宋体" w:eastAsia="宋体" w:hint="default"/>
                <w:sz w:val="18"/>
                <w:szCs w:val="18"/>
              </w:rPr>
            </w:pPr>
            <w:r>
              <w:rPr>
                <w:rFonts w:ascii="宋体" w:hAnsi="宋体" w:cs="宋体" w:eastAsia="宋体" w:hint="default"/>
                <w:sz w:val="18"/>
                <w:szCs w:val="18"/>
              </w:rPr>
              <w:t>项目达 到预定 可使用 状态日</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83" w:right="83"/>
              <w:jc w:val="both"/>
              <w:rPr>
                <w:rFonts w:ascii="宋体" w:hAnsi="宋体" w:cs="宋体" w:eastAsia="宋体" w:hint="default"/>
                <w:sz w:val="18"/>
                <w:szCs w:val="18"/>
              </w:rPr>
            </w:pPr>
            <w:r>
              <w:rPr>
                <w:rFonts w:ascii="宋体" w:hAnsi="宋体" w:cs="宋体" w:eastAsia="宋体" w:hint="default"/>
                <w:sz w:val="18"/>
                <w:szCs w:val="18"/>
              </w:rPr>
              <w:t>截止报 告期末 累计实 现的效</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82" w:right="79"/>
              <w:jc w:val="both"/>
              <w:rPr>
                <w:rFonts w:ascii="宋体" w:hAnsi="宋体" w:cs="宋体" w:eastAsia="宋体" w:hint="default"/>
                <w:sz w:val="18"/>
                <w:szCs w:val="18"/>
              </w:rPr>
            </w:pPr>
            <w:r>
              <w:rPr>
                <w:rFonts w:ascii="宋体" w:hAnsi="宋体" w:cs="宋体" w:eastAsia="宋体" w:hint="default"/>
                <w:sz w:val="18"/>
                <w:szCs w:val="18"/>
              </w:rPr>
              <w:t>项目可 行性是 否发生 重大变</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96.2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59"/>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一次设备状态检测、 监测产品生产改造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6,193.59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6,193.59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5,544.24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5,544.24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89.52%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499.13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499.13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计量装置检测、监测</w:t>
                        </w:r>
                        <w:r>
                          <w:rPr>
                            <w:rFonts w:ascii="宋体" w:hAnsi="宋体" w:cs="宋体" w:eastAsia="宋体" w:hint="default"/>
                            <w:sz w:val="18"/>
                            <w:szCs w:val="18"/>
                          </w:rPr>
                          <w:t> 设备生产改造项目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1,537.94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1,537.94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2,956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2,956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499.53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499.53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16.90%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7,989.41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7,989.41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8,261.47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8,261.47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103.41%</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14,340.9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14,340.9</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499.13</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499.13</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14,340.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94</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499.13</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499.13</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r>
                  <w:tr>
                    <w:trPr>
                      <w:trHeight w:val="334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、一次设备状态检测、监测产品生产改造项目</w:t>
                        </w:r>
                      </w:p>
                      <w:p>
                        <w:pPr>
                          <w:pStyle w:val="TableParagraph"/>
                          <w:spacing w:line="307" w:lineRule="auto" w:before="102"/>
                          <w:ind w:left="16" w:right="-34"/>
                          <w:jc w:val="left"/>
                          <w:rPr>
                            <w:rFonts w:ascii="宋体" w:hAnsi="宋体" w:cs="宋体" w:eastAsia="宋体" w:hint="default"/>
                            <w:sz w:val="18"/>
                            <w:szCs w:val="18"/>
                          </w:rPr>
                        </w:pPr>
                        <w:r>
                          <w:rPr>
                            <w:rFonts w:ascii="宋体" w:hAnsi="宋体" w:cs="宋体" w:eastAsia="宋体" w:hint="default"/>
                            <w:sz w:val="18"/>
                            <w:szCs w:val="18"/>
                          </w:rPr>
                          <w:t>一次设备状态检测、监测产品生产改造项目于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年立项，该项目主要是完善一次设备状态检测、 </w:t>
                        </w:r>
                        <w:r>
                          <w:rPr>
                            <w:rFonts w:ascii="宋体" w:hAnsi="宋体" w:cs="宋体" w:eastAsia="宋体" w:hint="default"/>
                            <w:spacing w:val="-2"/>
                            <w:sz w:val="18"/>
                            <w:szCs w:val="18"/>
                          </w:rPr>
                          <w:t>监测产品的生产工艺、提升产品检测水平、实验能力等。目前该项目的可行性报告编制已近三年，这</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三年中</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公司已经通过自筹资金投入设备、委托生产等方式解决了大部分生产工艺提升的需求，并且 一定程度上完善了产品检测和实验能力，</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年一次设备状态检测、监测产品销量分别为 </w:t>
                        </w:r>
                        <w:r>
                          <w:rPr>
                            <w:rFonts w:ascii="Times New Roman" w:hAnsi="Times New Roman" w:cs="Times New Roman" w:eastAsia="Times New Roman" w:hint="default"/>
                            <w:sz w:val="18"/>
                            <w:szCs w:val="18"/>
                          </w:rPr>
                          <w:t>235 </w:t>
                        </w:r>
                        <w:r>
                          <w:rPr>
                            <w:rFonts w:ascii="宋体" w:hAnsi="宋体" w:cs="宋体" w:eastAsia="宋体" w:hint="default"/>
                            <w:sz w:val="18"/>
                            <w:szCs w:val="18"/>
                          </w:rPr>
                          <w:t>标准台、</w:t>
                        </w:r>
                        <w:r>
                          <w:rPr>
                            <w:rFonts w:ascii="Times New Roman" w:hAnsi="Times New Roman" w:cs="Times New Roman" w:eastAsia="Times New Roman" w:hint="default"/>
                            <w:sz w:val="18"/>
                            <w:szCs w:val="18"/>
                          </w:rPr>
                          <w:t>249 </w:t>
                        </w: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283 </w:t>
                        </w:r>
                        <w:r>
                          <w:rPr>
                            <w:rFonts w:ascii="宋体" w:hAnsi="宋体" w:cs="宋体" w:eastAsia="宋体" w:hint="default"/>
                            <w:sz w:val="18"/>
                            <w:szCs w:val="18"/>
                          </w:rPr>
                          <w:t>标准台，销量稳步提升。目前公司整体的产能及工艺、试验及检测 </w:t>
                        </w:r>
                        <w:r>
                          <w:rPr>
                            <w:rFonts w:ascii="宋体" w:hAnsi="宋体" w:cs="宋体" w:eastAsia="宋体" w:hint="default"/>
                            <w:spacing w:val="-2"/>
                            <w:sz w:val="18"/>
                            <w:szCs w:val="18"/>
                          </w:rPr>
                          <w:t>能力预计能够满足公司现阶段及未来一段时间增长的市场需要。同时，由于公司产品生产工艺集中在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组装和调试环节，该部分的产能建设耗时较短，因此公司可以在需要时投入建设，及时满足需求。基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于以上原因，为了更好的实现募集资金使用效益，提升公司的综合盈利能力，公司于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月终 止了</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的建设，同时变更为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 普电力科技有限公司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4" w:lineRule="auto" w:before="45"/>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、计量装置检测、监测设备生产改造项目计量装置检测、监测设备生产改造项目于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年立项， 该项目主要是完善计量装置检测、监测产品的生产工艺、提升产品检测水平、实验能力等， 目前该 项目的可行性报告编制已近三年，外部的经济形势和市场环境发生了较大变化</w:t>
                        </w:r>
                        <w:r>
                          <w:rPr>
                            <w:rFonts w:ascii="Times New Roman" w:hAnsi="Times New Roman" w:cs="Times New Roman" w:eastAsia="Times New Roman" w:hint="default"/>
                            <w:sz w:val="18"/>
                            <w:szCs w:val="18"/>
                          </w:rPr>
                          <w:t>,</w:t>
                        </w:r>
                        <w:r>
                          <w:rPr>
                            <w:rFonts w:ascii="宋体" w:hAnsi="宋体" w:cs="宋体" w:eastAsia="宋体" w:hint="default"/>
                            <w:sz w:val="18"/>
                            <w:szCs w:val="18"/>
                          </w:rPr>
                          <w:t>在公司内部</w:t>
                        </w:r>
                        <w:r>
                          <w:rPr>
                            <w:rFonts w:ascii="Times New Roman" w:hAnsi="Times New Roman" w:cs="Times New Roman" w:eastAsia="Times New Roman" w:hint="default"/>
                            <w:sz w:val="18"/>
                            <w:szCs w:val="18"/>
                          </w:rPr>
                          <w:t>,</w:t>
                        </w:r>
                        <w:r>
                          <w:rPr>
                            <w:rFonts w:ascii="宋体" w:hAnsi="宋体" w:cs="宋体" w:eastAsia="宋体" w:hint="default"/>
                            <w:sz w:val="18"/>
                            <w:szCs w:val="18"/>
                          </w:rPr>
                          <w:t>已经通过 </w:t>
                        </w:r>
                        <w:r>
                          <w:rPr>
                            <w:rFonts w:ascii="宋体" w:hAnsi="宋体" w:cs="宋体" w:eastAsia="宋体" w:hint="default"/>
                            <w:spacing w:val="-3"/>
                            <w:sz w:val="18"/>
                            <w:szCs w:val="18"/>
                          </w:rPr>
                          <w:t>自筹资金投入设备、委托生产等方式解决了生产工艺的需求，并且提升了产品检测和实验能力，</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年计量装置检测、监测设备销量分别为 </w:t>
                        </w:r>
                        <w:r>
                          <w:rPr>
                            <w:rFonts w:ascii="Times New Roman" w:hAnsi="Times New Roman" w:cs="Times New Roman" w:eastAsia="Times New Roman" w:hint="default"/>
                            <w:sz w:val="18"/>
                            <w:szCs w:val="18"/>
                          </w:rPr>
                          <w:t>198 </w:t>
                        </w:r>
                        <w:r>
                          <w:rPr>
                            <w:rFonts w:ascii="宋体" w:hAnsi="宋体" w:cs="宋体" w:eastAsia="宋体" w:hint="default"/>
                            <w:sz w:val="18"/>
                            <w:szCs w:val="18"/>
                          </w:rPr>
                          <w:t>标准台、</w:t>
                        </w:r>
                        <w:r>
                          <w:rPr>
                            <w:rFonts w:ascii="Times New Roman" w:hAnsi="Times New Roman" w:cs="Times New Roman" w:eastAsia="Times New Roman" w:hint="default"/>
                            <w:sz w:val="18"/>
                            <w:szCs w:val="18"/>
                          </w:rPr>
                          <w:t>243 </w:t>
                        </w: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标准台。考虑到公 </w:t>
                        </w:r>
                        <w:r>
                          <w:rPr>
                            <w:rFonts w:ascii="宋体" w:hAnsi="宋体" w:cs="宋体" w:eastAsia="宋体" w:hint="default"/>
                            <w:spacing w:val="-2"/>
                            <w:sz w:val="18"/>
                            <w:szCs w:val="18"/>
                          </w:rPr>
                          <w:t>司现有的设备可以满足未来三年市场的发展需要，为了提升公司资金使用效益，提升公司的综合盈利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能力，公司拟终止计量装置检测、监测设备生产改造项目，并将资金转投可以提升公司研发能力的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高</w:t>
                        </w:r>
                        <w:r>
                          <w:rPr>
                            <w:rFonts w:ascii="宋体" w:hAnsi="宋体" w:cs="宋体" w:eastAsia="宋体" w:hint="default"/>
                            <w:spacing w:val="-58"/>
                            <w:sz w:val="18"/>
                            <w:szCs w:val="18"/>
                          </w:rPr>
                          <w:t> </w:t>
                        </w:r>
                        <w:r>
                          <w:rPr>
                            <w:rFonts w:ascii="宋体" w:hAnsi="宋体" w:cs="宋体" w:eastAsia="宋体" w:hint="default"/>
                            <w:spacing w:val="-5"/>
                            <w:w w:val="100"/>
                            <w:sz w:val="18"/>
                            <w:szCs w:val="18"/>
                          </w:rPr>
                          <w:t>压电气设备故障仿真试验室建设项目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2016</w:t>
                        </w:r>
                        <w:r>
                          <w:rPr>
                            <w:rFonts w:ascii="Times New Roman" w:hAnsi="Times New Roman" w:cs="Times New Roman" w:eastAsia="Times New Roman" w:hint="default"/>
                            <w:spacing w:val="-7"/>
                            <w:w w:val="10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月，公司分别于第三届董事会第十四次会议以及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0"/>
                            <w:sz w:val="18"/>
                            <w:szCs w:val="18"/>
                          </w:rPr>
                          <w:t> </w:t>
                        </w:r>
                        <w:r>
                          <w:rPr>
                            <w:rFonts w:ascii="宋体" w:hAnsi="宋体" w:cs="宋体" w:eastAsia="宋体" w:hint="default"/>
                            <w:spacing w:val="-1"/>
                            <w:sz w:val="18"/>
                            <w:szCs w:val="18"/>
                          </w:rPr>
                          <w:t>年第二次临时股东大会审议通过了《关于终止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计量装置检测、监测设备生产改造项目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及变更募集资</w:t>
                        </w:r>
                        <w:r>
                          <w:rPr>
                            <w:rFonts w:ascii="宋体" w:hAnsi="宋体" w:cs="宋体" w:eastAsia="宋体" w:hint="default"/>
                            <w:sz w:val="18"/>
                            <w:szCs w:val="18"/>
                          </w:rPr>
                          <w:t> </w:t>
                        </w:r>
                        <w:r>
                          <w:rPr>
                            <w:rFonts w:ascii="宋体" w:hAnsi="宋体" w:cs="宋体" w:eastAsia="宋体" w:hint="default"/>
                            <w:spacing w:val="-3"/>
                            <w:w w:val="100"/>
                            <w:sz w:val="18"/>
                            <w:szCs w:val="18"/>
                          </w:rPr>
                          <w:t>金投资项目的议案》，终止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计量装置检测、监测设备生产改造项目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的建设，同时变更为</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高压电气设</w:t>
                        </w:r>
                        <w:r>
                          <w:rPr>
                            <w:rFonts w:ascii="宋体" w:hAnsi="宋体" w:cs="宋体" w:eastAsia="宋体" w:hint="default"/>
                            <w:spacing w:val="-77"/>
                            <w:w w:val="100"/>
                            <w:sz w:val="18"/>
                            <w:szCs w:val="18"/>
                          </w:rPr>
                          <w:t> </w:t>
                        </w:r>
                        <w:r>
                          <w:rPr>
                            <w:rFonts w:ascii="宋体" w:hAnsi="宋体" w:cs="宋体" w:eastAsia="宋体" w:hint="default"/>
                            <w:spacing w:val="-77"/>
                            <w:w w:val="100"/>
                            <w:sz w:val="18"/>
                            <w:szCs w:val="18"/>
                          </w:rPr>
                        </w:r>
                        <w:r>
                          <w:rPr>
                            <w:rFonts w:ascii="宋体" w:hAnsi="宋体" w:cs="宋体" w:eastAsia="宋体" w:hint="default"/>
                            <w:sz w:val="18"/>
                            <w:szCs w:val="18"/>
                          </w:rPr>
                          <w:t>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2" w:lineRule="auto" w:before="48"/>
                          <w:ind w:left="16"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、研发中心扩建项目研发中心扩建项目旨在提升公司综合研发实力，进一步增强公司竞争力，为实 </w:t>
                        </w:r>
                        <w:r>
                          <w:rPr>
                            <w:rFonts w:ascii="宋体" w:hAnsi="宋体" w:cs="宋体" w:eastAsia="宋体" w:hint="default"/>
                            <w:spacing w:val="-4"/>
                            <w:sz w:val="18"/>
                            <w:szCs w:val="18"/>
                          </w:rPr>
                          <w:t>现公司长远发展目标提供技术保障，因此该项目的效益无法反映在公司的整体效益中，无法单独核算</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334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、一次设备状态检测、监测产品生产改造项目一次设备状态检测、监测产品生产改造项目于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立项，该项目主要是完善一次设备状态检测、监测产品的生产工艺、提升产品检测水平、实验能力等</w:t>
                        </w:r>
                      </w:p>
                    </w:tc>
                  </w:tr>
                  <w:tr>
                    <w:trPr>
                      <w:trHeight w:val="35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w:t>
                        </w:r>
                      </w:p>
                    </w:tc>
                    <w:tc>
                      <w:tcPr>
                        <w:tcW w:w="7912" w:type="dxa"/>
                        <w:gridSpan w:val="11"/>
                        <w:vMerge/>
                        <w:tcBorders>
                          <w:left w:val="single" w:sz="9" w:space="0" w:color="D2D2D2"/>
                          <w:right w:val="single" w:sz="4" w:space="0" w:color="000000"/>
                        </w:tcBorders>
                      </w:tcPr>
                      <w:p>
                        <w:pPr/>
                      </w:p>
                    </w:tc>
                  </w:tr>
                  <w:tr>
                    <w:trPr>
                      <w:trHeight w:val="162"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6018" w:hRule="exact"/>
        </w:trPr>
        <w:tc>
          <w:tcPr>
            <w:tcW w:w="165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大变化的情况说明</w:t>
            </w:r>
          </w:p>
        </w:tc>
        <w:tc>
          <w:tcPr>
            <w:tcW w:w="7912" w:type="dxa"/>
            <w:tcBorders>
              <w:top w:val="single" w:sz="4" w:space="0" w:color="000000"/>
              <w:left w:val="single" w:sz="4" w:space="0" w:color="000000"/>
              <w:bottom w:val="single" w:sz="4" w:space="0" w:color="FFFFFF"/>
              <w:right w:val="single" w:sz="4" w:space="0" w:color="000000"/>
            </w:tcBorders>
          </w:tcPr>
          <w:p>
            <w:pPr>
              <w:pStyle w:val="TableParagraph"/>
              <w:spacing w:line="307"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目前该项目的可行性报告编制已近三年，这三年中</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公司已经通过自筹资金投入设备、委托生产等方 </w:t>
            </w:r>
            <w:r>
              <w:rPr>
                <w:rFonts w:ascii="宋体" w:hAnsi="宋体" w:cs="宋体" w:eastAsia="宋体" w:hint="default"/>
                <w:spacing w:val="-4"/>
                <w:sz w:val="18"/>
                <w:szCs w:val="18"/>
              </w:rPr>
              <w:t>式解决了大部分生产工艺提升的需求，并且一定程度上完善了产品检测和实验能力，</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一次设备状态检测、监测产品销量分别为 </w:t>
            </w:r>
            <w:r>
              <w:rPr>
                <w:rFonts w:ascii="Times New Roman" w:hAnsi="Times New Roman" w:cs="Times New Roman" w:eastAsia="Times New Roman" w:hint="default"/>
                <w:sz w:val="18"/>
                <w:szCs w:val="18"/>
              </w:rPr>
              <w:t>235 </w:t>
            </w:r>
            <w:r>
              <w:rPr>
                <w:rFonts w:ascii="宋体" w:hAnsi="宋体" w:cs="宋体" w:eastAsia="宋体" w:hint="default"/>
                <w:sz w:val="18"/>
                <w:szCs w:val="18"/>
              </w:rPr>
              <w:t>标准台、</w:t>
            </w:r>
            <w:r>
              <w:rPr>
                <w:rFonts w:ascii="Times New Roman" w:hAnsi="Times New Roman" w:cs="Times New Roman" w:eastAsia="Times New Roman" w:hint="default"/>
                <w:sz w:val="18"/>
                <w:szCs w:val="18"/>
              </w:rPr>
              <w:t>249 </w:t>
            </w: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283 </w:t>
            </w:r>
            <w:r>
              <w:rPr>
                <w:rFonts w:ascii="宋体" w:hAnsi="宋体" w:cs="宋体" w:eastAsia="宋体" w:hint="default"/>
                <w:sz w:val="18"/>
                <w:szCs w:val="18"/>
              </w:rPr>
              <w:t>标准台，销量稳步提升。 </w:t>
            </w:r>
            <w:r>
              <w:rPr>
                <w:rFonts w:ascii="宋体" w:hAnsi="宋体" w:cs="宋体" w:eastAsia="宋体" w:hint="default"/>
                <w:spacing w:val="-2"/>
                <w:sz w:val="18"/>
                <w:szCs w:val="18"/>
              </w:rPr>
              <w:t>目前公司整体的产能及工艺、试验及检测能力预计能够满足公司现阶段及未来一段时间增长的市场需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要。同时，由于公司产品生产工艺集中在组装和调试环节，该部分的产能建设耗时较短，因此公司可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以在需要时投入建设，及时满足需求。基于以上原因，为了更好的实现募集资金使用效益，提升公司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的综合盈利能力，公司于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月终止了</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 同时变更为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4" w:lineRule="auto" w:before="46"/>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、计量装置检测、监测设备生产改造项目计量装置检测、监测设备生产改造项目于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年立项， 该项目主要是完善计量装置检测、监测产品的生产工艺、提升产品检测水平、实验能力等， 目前该 项目的可行性报告编制已近三年，外部的经济形势和市场环境发生了较大变化</w:t>
            </w:r>
            <w:r>
              <w:rPr>
                <w:rFonts w:ascii="Times New Roman" w:hAnsi="Times New Roman" w:cs="Times New Roman" w:eastAsia="Times New Roman" w:hint="default"/>
                <w:sz w:val="18"/>
                <w:szCs w:val="18"/>
              </w:rPr>
              <w:t>,</w:t>
            </w:r>
            <w:r>
              <w:rPr>
                <w:rFonts w:ascii="宋体" w:hAnsi="宋体" w:cs="宋体" w:eastAsia="宋体" w:hint="default"/>
                <w:sz w:val="18"/>
                <w:szCs w:val="18"/>
              </w:rPr>
              <w:t>在公司内部</w:t>
            </w:r>
            <w:r>
              <w:rPr>
                <w:rFonts w:ascii="Times New Roman" w:hAnsi="Times New Roman" w:cs="Times New Roman" w:eastAsia="Times New Roman" w:hint="default"/>
                <w:sz w:val="18"/>
                <w:szCs w:val="18"/>
              </w:rPr>
              <w:t>,</w:t>
            </w:r>
            <w:r>
              <w:rPr>
                <w:rFonts w:ascii="宋体" w:hAnsi="宋体" w:cs="宋体" w:eastAsia="宋体" w:hint="default"/>
                <w:sz w:val="18"/>
                <w:szCs w:val="18"/>
              </w:rPr>
              <w:t>已经通过 </w:t>
            </w:r>
            <w:r>
              <w:rPr>
                <w:rFonts w:ascii="宋体" w:hAnsi="宋体" w:cs="宋体" w:eastAsia="宋体" w:hint="default"/>
                <w:spacing w:val="-3"/>
                <w:sz w:val="18"/>
                <w:szCs w:val="18"/>
              </w:rPr>
              <w:t>自筹资金投入设备、委托生产等方式解决了生产工艺的需求，并且提升了产品检测和实验能力，</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年计量装置检测、监测设备销量分别为 </w:t>
            </w:r>
            <w:r>
              <w:rPr>
                <w:rFonts w:ascii="Times New Roman" w:hAnsi="Times New Roman" w:cs="Times New Roman" w:eastAsia="Times New Roman" w:hint="default"/>
                <w:sz w:val="18"/>
                <w:szCs w:val="18"/>
              </w:rPr>
              <w:t>198 </w:t>
            </w:r>
            <w:r>
              <w:rPr>
                <w:rFonts w:ascii="宋体" w:hAnsi="宋体" w:cs="宋体" w:eastAsia="宋体" w:hint="default"/>
                <w:sz w:val="18"/>
                <w:szCs w:val="18"/>
              </w:rPr>
              <w:t>标准台、</w:t>
            </w:r>
            <w:r>
              <w:rPr>
                <w:rFonts w:ascii="Times New Roman" w:hAnsi="Times New Roman" w:cs="Times New Roman" w:eastAsia="Times New Roman" w:hint="default"/>
                <w:sz w:val="18"/>
                <w:szCs w:val="18"/>
              </w:rPr>
              <w:t>243 </w:t>
            </w: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标准台。考虑到公 </w:t>
            </w:r>
            <w:r>
              <w:rPr>
                <w:rFonts w:ascii="宋体" w:hAnsi="宋体" w:cs="宋体" w:eastAsia="宋体" w:hint="default"/>
                <w:spacing w:val="-2"/>
                <w:sz w:val="18"/>
                <w:szCs w:val="18"/>
              </w:rPr>
              <w:t>司现有的设备可以满足未来三年市场的发展需要，为了提升公司资金使用效益，提升公司的综合盈利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能力，公司拟终止计量装置检测、监测设备生产改造项目，并将资金转投可以提升公司研发能力的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高</w:t>
            </w:r>
            <w:r>
              <w:rPr>
                <w:rFonts w:ascii="宋体" w:hAnsi="宋体" w:cs="宋体" w:eastAsia="宋体" w:hint="default"/>
                <w:spacing w:val="-58"/>
                <w:sz w:val="18"/>
                <w:szCs w:val="18"/>
              </w:rPr>
              <w:t> </w:t>
            </w:r>
            <w:r>
              <w:rPr>
                <w:rFonts w:ascii="宋体" w:hAnsi="宋体" w:cs="宋体" w:eastAsia="宋体" w:hint="default"/>
                <w:spacing w:val="-5"/>
                <w:w w:val="100"/>
                <w:sz w:val="18"/>
                <w:szCs w:val="18"/>
              </w:rPr>
              <w:t>压电气设备故障仿真试验室建设项目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2016</w:t>
            </w:r>
            <w:r>
              <w:rPr>
                <w:rFonts w:ascii="Times New Roman" w:hAnsi="Times New Roman" w:cs="Times New Roman" w:eastAsia="Times New Roman" w:hint="default"/>
                <w:spacing w:val="-7"/>
                <w:w w:val="10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月，公司分别于第三届董事会第十四次会议以及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1"/>
                <w:sz w:val="18"/>
                <w:szCs w:val="18"/>
              </w:rPr>
              <w:t> </w:t>
            </w:r>
            <w:r>
              <w:rPr>
                <w:rFonts w:ascii="宋体" w:hAnsi="宋体" w:cs="宋体" w:eastAsia="宋体" w:hint="default"/>
                <w:spacing w:val="-1"/>
                <w:sz w:val="18"/>
                <w:szCs w:val="18"/>
              </w:rPr>
              <w:t>年第二次临时股东大会审议通过了《关于终止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计量装置检测、监测设备生产改造项目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及变更募集资</w:t>
            </w:r>
            <w:r>
              <w:rPr>
                <w:rFonts w:ascii="宋体" w:hAnsi="宋体" w:cs="宋体" w:eastAsia="宋体" w:hint="default"/>
                <w:sz w:val="18"/>
                <w:szCs w:val="18"/>
              </w:rPr>
              <w:t> </w:t>
            </w:r>
            <w:r>
              <w:rPr>
                <w:rFonts w:ascii="宋体" w:hAnsi="宋体" w:cs="宋体" w:eastAsia="宋体" w:hint="default"/>
                <w:spacing w:val="-3"/>
                <w:w w:val="100"/>
                <w:sz w:val="18"/>
                <w:szCs w:val="18"/>
              </w:rPr>
              <w:t>金投资项目的议案》，终止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计量装置检测、监测设备生产改造项目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的建设，同时变更为</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高压电气设</w:t>
            </w:r>
            <w:r>
              <w:rPr>
                <w:rFonts w:ascii="宋体" w:hAnsi="宋体" w:cs="宋体" w:eastAsia="宋体" w:hint="default"/>
                <w:spacing w:val="-77"/>
                <w:w w:val="100"/>
                <w:sz w:val="18"/>
                <w:szCs w:val="18"/>
              </w:rPr>
              <w:t> </w:t>
            </w:r>
            <w:r>
              <w:rPr>
                <w:rFonts w:ascii="宋体" w:hAnsi="宋体" w:cs="宋体" w:eastAsia="宋体" w:hint="default"/>
                <w:spacing w:val="-77"/>
                <w:w w:val="100"/>
                <w:sz w:val="18"/>
                <w:szCs w:val="18"/>
              </w:rPr>
            </w:r>
            <w:r>
              <w:rPr>
                <w:rFonts w:ascii="宋体" w:hAnsi="宋体" w:cs="宋体" w:eastAsia="宋体" w:hint="default"/>
                <w:sz w:val="18"/>
                <w:szCs w:val="18"/>
              </w:rPr>
              <w:t>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65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5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月，公司分别于第三届董事会第十次会议以及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年第五次临时股东大会审议通过了《关</w:t>
            </w:r>
            <w:r>
              <w:rPr>
                <w:rFonts w:ascii="宋体" w:hAnsi="宋体" w:cs="宋体" w:eastAsia="宋体" w:hint="default"/>
                <w:sz w:val="18"/>
                <w:szCs w:val="18"/>
              </w:rPr>
              <w:t> </w:t>
            </w:r>
            <w:r>
              <w:rPr>
                <w:rFonts w:ascii="宋体" w:hAnsi="宋体" w:cs="宋体" w:eastAsia="宋体" w:hint="default"/>
                <w:spacing w:val="-3"/>
                <w:w w:val="100"/>
                <w:sz w:val="18"/>
                <w:szCs w:val="18"/>
              </w:rPr>
              <w:t>于终止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一次设备状态检测、监测产品生产改造项目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及变更募集资金投资项目的议案》，终止了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w:t>
            </w:r>
            <w:r>
              <w:rPr>
                <w:rFonts w:ascii="宋体" w:hAnsi="宋体" w:cs="宋体" w:eastAsia="宋体" w:hint="default"/>
                <w:spacing w:val="-78"/>
                <w:w w:val="100"/>
                <w:sz w:val="18"/>
                <w:szCs w:val="18"/>
              </w:rPr>
              <w:t> </w:t>
            </w:r>
            <w:r>
              <w:rPr>
                <w:rFonts w:ascii="宋体" w:hAnsi="宋体" w:cs="宋体" w:eastAsia="宋体" w:hint="default"/>
                <w:spacing w:val="-1"/>
                <w:sz w:val="18"/>
                <w:szCs w:val="18"/>
              </w:rPr>
              <w:t>设备状态检测、监测产品生产改造项目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的建设，同时变更为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以货币增资方式取得浙江涵普电力科技</w:t>
            </w:r>
            <w:r>
              <w:rPr>
                <w:rFonts w:ascii="宋体" w:hAnsi="宋体" w:cs="宋体" w:eastAsia="宋体" w:hint="default"/>
                <w:sz w:val="18"/>
                <w:szCs w:val="18"/>
              </w:rPr>
              <w:t>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。本次变更同时导致该项目的实施地点由福建省厦门市变更为浙江省嘉兴市海盐 县。</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5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月，公司分别于第三届董事会第十次会议以及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年第五次临时股东大会审议通过了《关</w:t>
            </w:r>
            <w:r>
              <w:rPr>
                <w:rFonts w:ascii="宋体" w:hAnsi="宋体" w:cs="宋体" w:eastAsia="宋体" w:hint="default"/>
                <w:sz w:val="18"/>
                <w:szCs w:val="18"/>
              </w:rPr>
              <w:t> </w:t>
            </w:r>
            <w:r>
              <w:rPr>
                <w:rFonts w:ascii="宋体" w:hAnsi="宋体" w:cs="宋体" w:eastAsia="宋体" w:hint="default"/>
                <w:spacing w:val="-3"/>
                <w:w w:val="100"/>
                <w:sz w:val="18"/>
                <w:szCs w:val="18"/>
              </w:rPr>
              <w:t>于终止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一次设备状态检测、监测产品生产改造项目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及变更募集资金投资项目的议案》，终止了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w:t>
            </w:r>
            <w:r>
              <w:rPr>
                <w:rFonts w:ascii="宋体" w:hAnsi="宋体" w:cs="宋体" w:eastAsia="宋体" w:hint="default"/>
                <w:spacing w:val="-78"/>
                <w:w w:val="100"/>
                <w:sz w:val="18"/>
                <w:szCs w:val="18"/>
              </w:rPr>
              <w:t> </w:t>
            </w:r>
            <w:r>
              <w:rPr>
                <w:rFonts w:ascii="宋体" w:hAnsi="宋体" w:cs="宋体" w:eastAsia="宋体" w:hint="default"/>
                <w:spacing w:val="-1"/>
                <w:sz w:val="18"/>
                <w:szCs w:val="18"/>
              </w:rPr>
              <w:t>设备状态检测、监测产品生产改造项目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的建设，同时变更为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以货币增资方式取得浙江涵普电力科技</w:t>
            </w:r>
            <w:r>
              <w:rPr>
                <w:rFonts w:ascii="宋体" w:hAnsi="宋体" w:cs="宋体" w:eastAsia="宋体" w:hint="default"/>
                <w:sz w:val="18"/>
                <w:szCs w:val="18"/>
              </w:rPr>
              <w:t>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。本次变更同时导致该项目的实施地点由福建省厦门市变更为浙江省嘉兴市海盐 县。</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日，尚未使用的募集资金中，暂时用于购买理财产品金额为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1,894.00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放于募集资金账户金额为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2,885.60 </w:t>
            </w:r>
            <w:r>
              <w:rPr>
                <w:rFonts w:ascii="宋体" w:hAnsi="宋体" w:cs="宋体" w:eastAsia="宋体" w:hint="default"/>
                <w:sz w:val="18"/>
                <w:szCs w:val="18"/>
              </w:rPr>
              <w:t>万元；此尚未使用的募集资金将用于募投项目后续资金支出。</w:t>
            </w:r>
          </w:p>
        </w:tc>
      </w:tr>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发生变更前，该项目已投入募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月，公司分别于第三届董事会第十四次会议以及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东大会审议通过将该项目投入的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万元以自有资金进行置换。公司</w:t>
            </w:r>
            <w:r>
              <w:rPr>
                <w:rFonts w:ascii="Times New Roman" w:hAnsi="Times New Roman" w:cs="Times New Roman" w:eastAsia="Times New Roman" w:hint="default"/>
                <w:sz w:val="18"/>
                <w:szCs w:val="18"/>
              </w:rPr>
              <w:t>"</w:t>
            </w:r>
            <w:r>
              <w:rPr>
                <w:rFonts w:ascii="宋体" w:hAnsi="宋体" w:cs="宋体" w:eastAsia="宋体" w:hint="default"/>
                <w:sz w:val="18"/>
                <w:szCs w:val="18"/>
              </w:rPr>
              <w:t>补充营运资金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项目截至期末</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累计投入金额超过承诺投入金额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272.06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年度补充营运资金项目投资理财产品产生的收 益。</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以货币增资 方式取得浙 江涵普电力 科技有限公 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 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both"/>
              <w:rPr>
                <w:rFonts w:ascii="宋体" w:hAnsi="宋体" w:cs="宋体" w:eastAsia="宋体" w:hint="default"/>
                <w:sz w:val="18"/>
                <w:szCs w:val="18"/>
              </w:rPr>
            </w:pPr>
            <w:r>
              <w:rPr>
                <w:rFonts w:ascii="宋体" w:hAnsi="宋体" w:cs="宋体" w:eastAsia="宋体" w:hint="default"/>
                <w:sz w:val="18"/>
                <w:szCs w:val="18"/>
              </w:rPr>
              <w:t>一次设备状 态检测、监 测产品生产 改造项目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5,492.56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5,492.56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5,492.56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499.13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520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一、一次设备状态检测、监测产品生产改造项目变更主要有以下两方面原因</w:t>
            </w:r>
            <w:r>
              <w:rPr>
                <w:rFonts w:ascii="Times New Roman" w:hAnsi="Times New Roman" w:cs="Times New Roman" w:eastAsia="Times New Roman" w:hint="default"/>
                <w:sz w:val="18"/>
                <w:szCs w:val="18"/>
              </w:rPr>
              <w:t>:</w:t>
            </w:r>
          </w:p>
          <w:p>
            <w:pPr>
              <w:pStyle w:val="TableParagraph"/>
              <w:spacing w:line="319" w:lineRule="auto" w:before="102"/>
              <w:ind w:left="23" w:right="22"/>
              <w:jc w:val="left"/>
              <w:rPr>
                <w:rFonts w:ascii="宋体" w:hAnsi="宋体" w:cs="宋体" w:eastAsia="宋体" w:hint="default"/>
                <w:sz w:val="18"/>
                <w:szCs w:val="18"/>
              </w:rPr>
            </w:pPr>
            <w:r>
              <w:rPr>
                <w:rFonts w:ascii="宋体" w:hAnsi="宋体" w:cs="宋体" w:eastAsia="宋体" w:hint="default"/>
                <w:spacing w:val="-1"/>
                <w:sz w:val="18"/>
                <w:szCs w:val="18"/>
              </w:rPr>
              <w:t>①公司已先期投入资金完善一次设备状态检测、监测产品生产环节，目前产能和工艺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能力基本能够满足现阶段及未来一段时间的需求，继续投入的紧迫性不大。</w:t>
            </w:r>
          </w:p>
          <w:p>
            <w:pPr>
              <w:pStyle w:val="TableParagraph"/>
              <w:spacing w:line="312" w:lineRule="auto" w:before="55"/>
              <w:ind w:left="23" w:right="20"/>
              <w:jc w:val="left"/>
              <w:rPr>
                <w:rFonts w:ascii="宋体" w:hAnsi="宋体" w:cs="宋体" w:eastAsia="宋体" w:hint="default"/>
                <w:sz w:val="18"/>
                <w:szCs w:val="18"/>
              </w:rPr>
            </w:pPr>
            <w:r>
              <w:rPr>
                <w:rFonts w:ascii="宋体" w:hAnsi="宋体" w:cs="宋体" w:eastAsia="宋体" w:hint="default"/>
                <w:sz w:val="18"/>
                <w:szCs w:val="18"/>
              </w:rPr>
              <w:t>② 利用募集资金进行合适的外延式并购更有利于提升公司盈利能力。公司战略发展 </w:t>
            </w:r>
            <w:r>
              <w:rPr>
                <w:rFonts w:ascii="宋体" w:hAnsi="宋体" w:cs="宋体" w:eastAsia="宋体" w:hint="default"/>
                <w:spacing w:val="-1"/>
                <w:sz w:val="18"/>
                <w:szCs w:val="18"/>
              </w:rPr>
              <w:t>策略分为两个方向，一是围绕公司目前的核心产品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电力设备检测、监测产品在电网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以外的其他应用领域上进行拓展，包括在发电企业、铁路与轨道交通、军工、石油石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化等领域；二是利用公司在电网市场深厚的积淀，在该领域拓展十三五规划以及电力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体制改革发展方向上的产品和服务。根据公司发展战略，公司将通过包括并购在内的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各种方式在上述两个方向上快速获取优质资源，完善产品和市场覆盖能力。本次变更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募集资金投向，将原</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的资金投入变更为 </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项目，符合公司的战略发 展方向，能更有效的提高该部分资金使用效率，为全体股东带来更大收益。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二、决策程序</w:t>
            </w: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日召开的公司第三届董事会第十次会议、第三届监事会第六次会议及</w:t>
            </w:r>
          </w:p>
          <w:p>
            <w:pPr>
              <w:pStyle w:val="TableParagraph"/>
              <w:spacing w:line="300"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年第五次临时股东大会审议通过了《关于终止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z w:val="18"/>
                <w:szCs w:val="18"/>
              </w:rPr>
              <w:t> </w:t>
            </w:r>
            <w:r>
              <w:rPr>
                <w:rFonts w:ascii="宋体" w:hAnsi="宋体" w:cs="宋体" w:eastAsia="宋体" w:hint="default"/>
                <w:spacing w:val="-3"/>
                <w:sz w:val="18"/>
                <w:szCs w:val="18"/>
              </w:rPr>
              <w:t>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及变更募集资金投资项目的议案》，终止实</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72"/>
        <w:gridCol w:w="6699"/>
      </w:tblGrid>
      <w:tr>
        <w:trPr>
          <w:trHeight w:val="5787"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0"/>
              <w:jc w:val="left"/>
              <w:rPr>
                <w:rFonts w:ascii="宋体" w:hAnsi="宋体" w:cs="宋体" w:eastAsia="宋体" w:hint="default"/>
                <w:sz w:val="18"/>
                <w:szCs w:val="18"/>
              </w:rPr>
            </w:pPr>
            <w:r>
              <w:rPr>
                <w:rFonts w:ascii="宋体" w:hAnsi="宋体" w:cs="宋体" w:eastAsia="宋体" w:hint="default"/>
                <w:spacing w:val="-4"/>
                <w:sz w:val="18"/>
                <w:szCs w:val="18"/>
              </w:rPr>
              <w:t>施原计划中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一次设备状态检测、监测产品生产改造项目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，并将其中募集资金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5,492.56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以货币增资方式取得浙江涵普电力科技股份有限公司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项目。公 司独立董事、监事会以及保荐机构长江证券承销保荐有限公司对上述事项发表了意 见。</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三、信息披露情况</w:t>
            </w:r>
          </w:p>
          <w:p>
            <w:pPr>
              <w:pStyle w:val="TableParagraph"/>
              <w:spacing w:line="302" w:lineRule="auto" w:before="115"/>
              <w:ind w:left="23"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日，公司于中国证监会指定信息披露网站巨潮资讯网上披露了《独</w:t>
            </w:r>
            <w:r>
              <w:rPr>
                <w:rFonts w:ascii="宋体" w:hAnsi="宋体" w:cs="宋体" w:eastAsia="宋体" w:hint="default"/>
                <w:sz w:val="18"/>
                <w:szCs w:val="18"/>
              </w:rPr>
              <w:t> 立董事关于终止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及变更募集资金投资项 </w:t>
            </w:r>
            <w:r>
              <w:rPr>
                <w:rFonts w:ascii="宋体" w:hAnsi="宋体" w:cs="宋体" w:eastAsia="宋体" w:hint="default"/>
                <w:spacing w:val="-10"/>
                <w:sz w:val="18"/>
                <w:szCs w:val="18"/>
              </w:rPr>
              <w:t>目的独立意见》、《关于变更部分募集资金用途暨对外投资之可行性分析》、《长江证券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承销保荐有限公司关于厦门红相电力设备股份有限公司终止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 </w:t>
            </w:r>
            <w:r>
              <w:rPr>
                <w:rFonts w:ascii="宋体" w:hAnsi="宋体" w:cs="宋体" w:eastAsia="宋体" w:hint="default"/>
                <w:spacing w:val="-5"/>
                <w:sz w:val="18"/>
                <w:szCs w:val="18"/>
              </w:rPr>
              <w:t>测产品生产改造项目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及变更募集资金投资项目的核查意见》、《厦门红相电力设备股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w w:val="100"/>
                <w:sz w:val="18"/>
                <w:szCs w:val="18"/>
              </w:rPr>
              <w:t>份有限公司第三届董事会第十次会议决议公告》（公告编码</w:t>
            </w:r>
            <w:r>
              <w:rPr>
                <w:rFonts w:ascii="Times New Roman" w:hAnsi="Times New Roman" w:cs="Times New Roman" w:eastAsia="Times New Roman" w:hint="default"/>
                <w:spacing w:val="-8"/>
                <w:w w:val="100"/>
                <w:sz w:val="18"/>
                <w:szCs w:val="18"/>
              </w:rPr>
              <w:t>“2015</w:t>
            </w:r>
            <w:r>
              <w:rPr>
                <w:rFonts w:ascii="Times New Roman" w:hAnsi="Times New Roman" w:cs="Times New Roman" w:eastAsia="Times New Roman" w:hint="default"/>
                <w:spacing w:val="-8"/>
                <w:w w:val="100"/>
                <w:sz w:val="18"/>
                <w:szCs w:val="18"/>
              </w:rPr>
              <w:t>-062</w:t>
            </w:r>
            <w:r>
              <w:rPr>
                <w:rFonts w:ascii="宋体" w:hAnsi="宋体" w:cs="宋体" w:eastAsia="宋体" w:hint="default"/>
                <w:spacing w:val="-8"/>
                <w:w w:val="100"/>
                <w:sz w:val="18"/>
                <w:szCs w:val="18"/>
              </w:rPr>
              <w:t>）、《关于终止</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一</w:t>
            </w:r>
            <w:r>
              <w:rPr>
                <w:rFonts w:ascii="宋体" w:hAnsi="宋体" w:cs="宋体" w:eastAsia="宋体" w:hint="default"/>
                <w:spacing w:val="-68"/>
                <w:w w:val="100"/>
                <w:sz w:val="18"/>
                <w:szCs w:val="18"/>
              </w:rPr>
              <w:t> </w:t>
            </w:r>
            <w:r>
              <w:rPr>
                <w:rFonts w:ascii="宋体" w:hAnsi="宋体" w:cs="宋体" w:eastAsia="宋体" w:hint="default"/>
                <w:w w:val="100"/>
                <w:sz w:val="18"/>
                <w:szCs w:val="18"/>
              </w:rPr>
              <w:t>次设备状态检测、监测产品生产改造项目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及变更募集资金投资项目的公告 </w:t>
            </w:r>
            <w:r>
              <w:rPr>
                <w:rFonts w:ascii="宋体" w:hAnsi="宋体" w:cs="宋体" w:eastAsia="宋体" w:hint="default"/>
                <w:spacing w:val="-23"/>
                <w:sz w:val="18"/>
                <w:szCs w:val="18"/>
              </w:rPr>
              <w:t>》（公告</w:t>
            </w:r>
            <w:r>
              <w:rPr>
                <w:rFonts w:ascii="宋体" w:hAnsi="宋体" w:cs="宋体" w:eastAsia="宋体" w:hint="default"/>
                <w:sz w:val="18"/>
                <w:szCs w:val="18"/>
              </w:rPr>
              <w:t> </w:t>
            </w:r>
            <w:r>
              <w:rPr>
                <w:rFonts w:ascii="宋体" w:hAnsi="宋体" w:cs="宋体" w:eastAsia="宋体" w:hint="default"/>
                <w:spacing w:val="-5"/>
                <w:sz w:val="18"/>
                <w:szCs w:val="18"/>
              </w:rPr>
              <w:t>编码：</w:t>
            </w:r>
            <w:r>
              <w:rPr>
                <w:rFonts w:ascii="Times New Roman" w:hAnsi="Times New Roman" w:cs="Times New Roman" w:eastAsia="Times New Roman" w:hint="default"/>
                <w:spacing w:val="-5"/>
                <w:sz w:val="18"/>
                <w:szCs w:val="18"/>
              </w:rPr>
              <w:t>2015-063</w:t>
            </w:r>
            <w:r>
              <w:rPr>
                <w:rFonts w:ascii="宋体" w:hAnsi="宋体" w:cs="宋体" w:eastAsia="宋体" w:hint="default"/>
                <w:spacing w:val="-5"/>
                <w:sz w:val="18"/>
                <w:szCs w:val="18"/>
              </w:rPr>
              <w:t>）、《厦门红相电力设备股份有限公司第三届监事会第六次会议决议公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5"/>
                <w:sz w:val="18"/>
                <w:szCs w:val="18"/>
              </w:rPr>
              <w:t>告》（公告编码：</w:t>
            </w:r>
            <w:r>
              <w:rPr>
                <w:rFonts w:ascii="Times New Roman" w:hAnsi="Times New Roman" w:cs="Times New Roman" w:eastAsia="Times New Roman" w:hint="default"/>
                <w:spacing w:val="-15"/>
                <w:sz w:val="18"/>
                <w:szCs w:val="18"/>
              </w:rPr>
              <w:t>2015-065</w:t>
            </w:r>
            <w:r>
              <w:rPr>
                <w:rFonts w:ascii="宋体" w:hAnsi="宋体" w:cs="宋体" w:eastAsia="宋体" w:hint="default"/>
                <w:spacing w:val="-15"/>
                <w:sz w:val="18"/>
                <w:szCs w:val="18"/>
              </w:rPr>
              <w:t>）。</w:t>
            </w:r>
            <w:r>
              <w:rPr>
                <w:rFonts w:ascii="宋体" w:hAnsi="宋体" w:cs="宋体" w:eastAsia="宋体" w:hint="default"/>
                <w:sz w:val="18"/>
                <w:szCs w:val="18"/>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日，公司于中国证监会指定信息披露网站巨潮资讯网上披露了《厦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门红相电力设备股份有限公司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五</w:t>
            </w:r>
            <w:r>
              <w:rPr>
                <w:rFonts w:ascii="宋体" w:hAnsi="宋体" w:cs="宋体" w:eastAsia="宋体" w:hint="default"/>
                <w:sz w:val="18"/>
                <w:szCs w:val="18"/>
              </w:rPr>
              <w:t>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（公告编码：</w:t>
            </w:r>
          </w:p>
          <w:p>
            <w:pPr>
              <w:pStyle w:val="TableParagraph"/>
              <w:spacing w:line="302" w:lineRule="auto" w:before="63"/>
              <w:ind w:left="23"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2015-069</w:t>
            </w:r>
            <w:r>
              <w:rPr>
                <w:rFonts w:ascii="宋体" w:hAnsi="宋体" w:cs="宋体" w:eastAsia="宋体" w:hint="default"/>
                <w:spacing w:val="-90"/>
                <w:sz w:val="18"/>
                <w:szCs w:val="18"/>
              </w:rPr>
              <w:t>）、</w:t>
            </w:r>
            <w:r>
              <w:rPr>
                <w:rFonts w:ascii="宋体" w:hAnsi="宋体" w:cs="宋体" w:eastAsia="宋体" w:hint="default"/>
                <w:sz w:val="18"/>
                <w:szCs w:val="18"/>
              </w:rPr>
              <w:t>《北京市尚公律师事务所关于厦门红相电力设备股份有限公司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五次临时股东大会的法律意见书</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浙江涵普电 力科技有限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电力设备生 产及销售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69,551,701.0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190,607,140.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133,888,958.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36,966,672.0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10,125,074.1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10,076,503.4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增资控股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从购买日至报告期期末实现净利润</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1,007.65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万元，已并入了合并报表。</w:t>
            </w:r>
          </w:p>
        </w:tc>
      </w:tr>
    </w:tbl>
    <w:p>
      <w:pPr>
        <w:spacing w:line="357" w:lineRule="auto" w:before="51"/>
        <w:ind w:left="1134" w:right="8592"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无</w:t>
      </w:r>
    </w:p>
    <w:p>
      <w:pPr>
        <w:spacing w:line="240" w:lineRule="auto" w:before="5"/>
        <w:rPr>
          <w:rFonts w:ascii="宋体" w:hAnsi="宋体" w:cs="宋体" w:eastAsia="宋体" w:hint="default"/>
          <w:sz w:val="18"/>
          <w:szCs w:val="18"/>
        </w:rPr>
      </w:pPr>
    </w:p>
    <w:p>
      <w:pPr>
        <w:pStyle w:val="Heading2"/>
        <w:spacing w:line="240" w:lineRule="auto"/>
        <w:ind w:left="1134"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553" w:right="0" w:hanging="60"/>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宋体" w:hAnsi="宋体" w:cs="宋体" w:eastAsia="宋体" w:hint="default"/>
          <w:b/>
          <w:bCs/>
        </w:rPr>
        <w:t>行业格局和趋势</w:t>
      </w:r>
      <w:r>
        <w:rPr>
          <w:rFonts w:ascii="宋体" w:hAnsi="宋体" w:cs="宋体" w:eastAsia="宋体" w:hint="default"/>
          <w:b/>
          <w:bCs/>
          <w:w w:val="99"/>
        </w:rPr>
        <w:t> </w:t>
      </w:r>
      <w:r>
        <w:rPr>
          <w:spacing w:val="-1"/>
        </w:rPr>
        <w:t>在我国，电力设备状态检测、监测行业属于近几年发展起来的新兴行业。随着状态检修方式的全面推</w:t>
      </w:r>
    </w:p>
    <w:p>
      <w:pPr>
        <w:pStyle w:val="BodyText"/>
        <w:spacing w:line="273" w:lineRule="auto" w:before="22"/>
        <w:ind w:right="1131"/>
        <w:jc w:val="both"/>
      </w:pPr>
      <w:r>
        <w:rPr>
          <w:spacing w:val="-1"/>
        </w:rPr>
        <w:t>行以及智能电网建设的全面启动，电力设备状态检测、监测行业逐步进入成长阶段。同时，该行业目前尚</w:t>
      </w:r>
      <w:r>
        <w:rPr>
          <w:spacing w:val="-85"/>
        </w:rPr>
        <w:t> </w:t>
      </w:r>
      <w:r>
        <w:rPr>
          <w:spacing w:val="-85"/>
        </w:rPr>
      </w:r>
      <w:r>
        <w:rPr>
          <w:spacing w:val="-1"/>
        </w:rPr>
        <w:t>处于成长初期，行业毛利率水平较高，竞争呈现出国外品牌代理商较多，具备自主生产能力的国内生产厂</w:t>
      </w:r>
      <w:r>
        <w:rPr>
          <w:spacing w:val="-83"/>
        </w:rPr>
        <w:t> </w:t>
      </w:r>
      <w:r>
        <w:rPr>
          <w:spacing w:val="-83"/>
        </w:rPr>
      </w:r>
      <w:r>
        <w:rPr>
          <w:spacing w:val="-1"/>
        </w:rPr>
        <w:t>家相对较少的特点。但广阔的市场发展前景及较高的毛利率水平必然会吸引更多的企业进入本行业，并推</w:t>
      </w:r>
      <w:r>
        <w:rPr>
          <w:spacing w:val="-81"/>
        </w:rPr>
        <w:t> </w:t>
      </w:r>
      <w:r>
        <w:rPr>
          <w:spacing w:val="-81"/>
        </w:rPr>
      </w:r>
      <w:r>
        <w:rPr/>
        <w:t>动行业的进一步发展及竞争的不断加剧。</w:t>
      </w:r>
    </w:p>
    <w:p>
      <w:pPr>
        <w:pStyle w:val="BodyText"/>
        <w:spacing w:line="259" w:lineRule="auto" w:before="8"/>
        <w:ind w:right="1110" w:firstLine="315"/>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月，国务院出台《关于进一步深化电力体制改革的若干意见》（中发（</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w:t>
      </w:r>
      <w:r>
        <w:rPr/>
        <w:t>号文），其核 心改革是有序向社会开放售电市场，鼓励社会资本投资参与售配电业务。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月，国家发改委、财政</w:t>
      </w:r>
      <w:r>
        <w:rPr>
          <w:spacing w:val="-28"/>
        </w:rPr>
        <w:t> </w:t>
      </w:r>
      <w:r>
        <w:rPr>
          <w:spacing w:val="-28"/>
        </w:rPr>
      </w:r>
      <w:r>
        <w:rPr/>
        <w:t>部联合下发了《关于完善电力应急机制做好电力需求侧管理城市综合试点工作的通知》等电改配套文件， 要求加强电力需求侧管理平台建设，发展电能服务业，引导用户实现用电在线监测。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月，根据国</w:t>
      </w:r>
      <w:r>
        <w:rPr>
          <w:spacing w:val="-26"/>
        </w:rPr>
        <w:t> </w:t>
      </w:r>
      <w:r>
        <w:rPr>
          <w:spacing w:val="-26"/>
        </w:rPr>
      </w:r>
      <w:r>
        <w:rPr/>
        <w:t>家能源局下发的《配电网建设改造行动计划（</w:t>
      </w:r>
      <w:r>
        <w:rPr>
          <w:rFonts w:ascii="Times New Roman" w:hAnsi="Times New Roman" w:cs="Times New Roman" w:eastAsia="Times New Roman" w:hint="default"/>
        </w:rPr>
        <w:t>2015-2020</w:t>
      </w:r>
      <w:r>
        <w:rPr/>
        <w:t>年）》配电网建设改造投资不低于</w:t>
      </w:r>
      <w:r>
        <w:rPr>
          <w:rFonts w:ascii="Times New Roman" w:hAnsi="Times New Roman" w:cs="Times New Roman" w:eastAsia="Times New Roman" w:hint="default"/>
        </w:rPr>
        <w:t>2</w:t>
      </w:r>
      <w:r>
        <w:rPr/>
        <w:t>万亿元。根据</w:t>
      </w:r>
      <w:r>
        <w:rPr>
          <w:spacing w:val="-98"/>
        </w:rPr>
        <w:t> </w:t>
      </w:r>
      <w:r>
        <w:rPr>
          <w:spacing w:val="-98"/>
        </w:rPr>
      </w:r>
      <w:r>
        <w:rPr>
          <w:spacing w:val="-1"/>
        </w:rPr>
        <w:t>国家电网公司</w:t>
      </w:r>
      <w:r>
        <w:rPr>
          <w:rFonts w:ascii="Times New Roman" w:hAnsi="Times New Roman" w:cs="Times New Roman" w:eastAsia="Times New Roman" w:hint="default"/>
          <w:spacing w:val="-1"/>
        </w:rPr>
        <w:t>2016</w:t>
      </w:r>
      <w:r>
        <w:rPr>
          <w:spacing w:val="-1"/>
        </w:rPr>
        <w:t>年工作会议规划，</w:t>
      </w:r>
      <w:r>
        <w:rPr>
          <w:rFonts w:ascii="Times New Roman" w:hAnsi="Times New Roman" w:cs="Times New Roman" w:eastAsia="Times New Roman" w:hint="default"/>
          <w:spacing w:val="-1"/>
        </w:rPr>
        <w:t>2016</w:t>
      </w:r>
      <w:r>
        <w:rPr>
          <w:spacing w:val="-1"/>
        </w:rPr>
        <w:t>年国家电网公司计划投资</w:t>
      </w:r>
      <w:r>
        <w:rPr>
          <w:rFonts w:ascii="Times New Roman" w:hAnsi="Times New Roman" w:cs="Times New Roman" w:eastAsia="Times New Roman" w:hint="default"/>
          <w:spacing w:val="-1"/>
        </w:rPr>
        <w:t>4390</w:t>
      </w:r>
      <w:r>
        <w:rPr>
          <w:spacing w:val="-1"/>
        </w:rPr>
        <w:t>亿元，用于电网建设。随着相关政</w:t>
      </w:r>
      <w:r>
        <w:rPr>
          <w:spacing w:val="-81"/>
        </w:rPr>
        <w:t> </w:t>
      </w:r>
      <w:r>
        <w:rPr>
          <w:spacing w:val="-81"/>
        </w:rPr>
      </w:r>
      <w:r>
        <w:rPr/>
        <w:t>策的逐步落地，电力、电网领域企业将迎来重大发展良机。</w:t>
      </w:r>
    </w:p>
    <w:p>
      <w:pPr>
        <w:pStyle w:val="BodyText"/>
        <w:spacing w:line="273" w:lineRule="auto" w:before="20"/>
        <w:ind w:left="1553" w:right="0" w:hanging="150"/>
        <w:jc w:val="left"/>
      </w:pPr>
      <w:r>
        <w:rPr>
          <w:rFonts w:ascii="宋体" w:hAnsi="宋体" w:cs="宋体" w:eastAsia="宋体" w:hint="default"/>
          <w:b/>
          <w:bCs/>
        </w:rPr>
        <w:t>（二）公司发展战略</w:t>
      </w:r>
      <w:r>
        <w:rPr>
          <w:rFonts w:ascii="宋体" w:hAnsi="宋体" w:cs="宋体" w:eastAsia="宋体" w:hint="default"/>
          <w:b/>
          <w:bCs/>
          <w:w w:val="99"/>
        </w:rPr>
        <w:t> </w:t>
      </w:r>
      <w:r>
        <w:rPr>
          <w:spacing w:val="-1"/>
        </w:rPr>
        <w:t>公司战略发展策略分为两个方向，一是围绕公司目前的核心产品</w:t>
      </w:r>
      <w:r>
        <w:rPr>
          <w:rFonts w:ascii="Times New Roman" w:hAnsi="Times New Roman" w:cs="Times New Roman" w:eastAsia="Times New Roman" w:hint="default"/>
          <w:spacing w:val="-1"/>
        </w:rPr>
        <w:t>—</w:t>
      </w:r>
      <w:r>
        <w:rPr>
          <w:spacing w:val="-1"/>
        </w:rPr>
        <w:t>电力设备检测、监测产品在电网以</w:t>
      </w:r>
    </w:p>
    <w:p>
      <w:pPr>
        <w:pStyle w:val="BodyText"/>
        <w:spacing w:line="273" w:lineRule="auto"/>
        <w:ind w:right="0"/>
        <w:jc w:val="left"/>
      </w:pPr>
      <w:r>
        <w:rPr>
          <w:spacing w:val="-1"/>
        </w:rPr>
        <w:t>外的其他应用领域上进行拓展，包括在发电企业、铁路与轨道交通、军工、石油石化等领域；二是利用公</w:t>
      </w:r>
      <w:r>
        <w:rPr>
          <w:spacing w:val="-83"/>
        </w:rPr>
        <w:t> </w:t>
      </w:r>
      <w:r>
        <w:rPr>
          <w:spacing w:val="-83"/>
        </w:rPr>
      </w:r>
      <w:r>
        <w:rPr/>
        <w:t>司在电网市场深厚的积淀，在该领域拓展十三五规划以及电力体制改革发展方向上的产品和服务。</w:t>
      </w:r>
    </w:p>
    <w:p>
      <w:pPr>
        <w:pStyle w:val="Heading4"/>
        <w:spacing w:line="240" w:lineRule="auto" w:before="7"/>
        <w:ind w:left="1403" w:right="0"/>
        <w:jc w:val="left"/>
        <w:rPr>
          <w:b w:val="0"/>
          <w:bCs w:val="0"/>
        </w:rPr>
      </w:pPr>
      <w:r>
        <w:rPr/>
        <w:t>（三）</w:t>
      </w:r>
      <w:r>
        <w:rPr>
          <w:rFonts w:ascii="Times New Roman" w:hAnsi="Times New Roman" w:cs="Times New Roman" w:eastAsia="Times New Roman" w:hint="default"/>
        </w:rPr>
        <w:t>2016</w:t>
      </w:r>
      <w:r>
        <w:rPr/>
        <w:t>年经营计划</w:t>
      </w:r>
      <w:r>
        <w:rPr>
          <w:b w:val="0"/>
          <w:bCs w:val="0"/>
        </w:rPr>
      </w:r>
    </w:p>
    <w:p>
      <w:pPr>
        <w:pStyle w:val="BodyText"/>
        <w:spacing w:line="256" w:lineRule="auto" w:before="21"/>
        <w:ind w:left="1554" w:right="0" w:hanging="84"/>
        <w:jc w:val="left"/>
      </w:pPr>
      <w:r>
        <w:rPr>
          <w:rFonts w:ascii="Times New Roman" w:hAnsi="Times New Roman" w:cs="Times New Roman" w:eastAsia="Times New Roman" w:hint="default"/>
        </w:rPr>
        <w:t>1</w:t>
      </w:r>
      <w:r>
        <w:rPr/>
        <w:t>、自主创新能力建设计划 </w:t>
      </w:r>
      <w:r>
        <w:rPr>
          <w:spacing w:val="-1"/>
        </w:rPr>
        <w:t>随着公司研发中心扩建项目的逐步实施，公司研发设备及条件不断改进，为公司先进产品、技术、服</w:t>
      </w:r>
    </w:p>
    <w:p>
      <w:pPr>
        <w:pStyle w:val="BodyText"/>
        <w:spacing w:line="273" w:lineRule="auto" w:before="22"/>
        <w:ind w:left="1134" w:right="1092"/>
        <w:jc w:val="left"/>
      </w:pPr>
      <w:r>
        <w:rPr/>
        <w:t>务的研发、升级、应用提供了有利保证。同时，公司将科学规划高压电气设备故障仿真试验室建设项目， 为公司研发产品的技术优势奠定坚实基础。</w:t>
      </w:r>
    </w:p>
    <w:p>
      <w:pPr>
        <w:pStyle w:val="BodyText"/>
        <w:spacing w:line="268" w:lineRule="auto" w:before="7"/>
        <w:ind w:left="1134" w:right="1110" w:firstLine="420"/>
        <w:jc w:val="both"/>
      </w:pPr>
      <w:r>
        <w:rPr>
          <w:rFonts w:ascii="Times New Roman" w:hAnsi="Times New Roman" w:cs="Times New Roman" w:eastAsia="Times New Roman" w:hint="default"/>
          <w:spacing w:val="-1"/>
        </w:rPr>
        <w:t>2016</w:t>
      </w:r>
      <w:r>
        <w:rPr>
          <w:spacing w:val="-1"/>
        </w:rPr>
        <w:t>年，公司将进一步理顺公司研发机制，增强研发与销售部门的互动，落实以市场需求导向的研发</w:t>
      </w:r>
      <w:r>
        <w:rPr/>
        <w:t> </w:t>
      </w:r>
      <w:r>
        <w:rPr>
          <w:spacing w:val="-1"/>
        </w:rPr>
        <w:t>战略，优化技术开发和产品开发两级开发体系。完善公司研发基础平台，为公司的研发项目提供实验和测</w:t>
      </w:r>
      <w:r>
        <w:rPr>
          <w:spacing w:val="-83"/>
        </w:rPr>
        <w:t> </w:t>
      </w:r>
      <w:r>
        <w:rPr>
          <w:spacing w:val="-83"/>
        </w:rPr>
      </w:r>
      <w:r>
        <w:rPr/>
        <w:t>试支持，加快新技术的实际应用和产业化速度，提高企业的基础检测水平，进一步提高研发效率和质量； 在营销体系中培养和增加一定的技术研发力量，及时响应客户个性化需求。</w:t>
      </w:r>
    </w:p>
    <w:p>
      <w:pPr>
        <w:pStyle w:val="BodyText"/>
        <w:spacing w:line="273" w:lineRule="auto" w:before="12"/>
        <w:ind w:right="1026" w:firstLine="420"/>
        <w:jc w:val="both"/>
      </w:pPr>
      <w:r>
        <w:rPr>
          <w:spacing w:val="-3"/>
        </w:rPr>
        <w:t>同时，公司坚持以加强内部人才培养与建立广泛技术合作联盟相结合的技术开发资源平台，建立灵活、</w:t>
      </w:r>
      <w:r>
        <w:rPr/>
        <w:t> 高效、规范的技术开发项目运作流程，加强项目目标、计划和过程管理，确保项目完成率和交付率质量。</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left="1469" w:right="0"/>
        <w:jc w:val="left"/>
      </w:pPr>
      <w:r>
        <w:rPr>
          <w:rFonts w:ascii="Times New Roman" w:hAnsi="Times New Roman" w:cs="Times New Roman" w:eastAsia="Times New Roman" w:hint="default"/>
        </w:rPr>
        <w:t>2</w:t>
      </w:r>
      <w:r>
        <w:rPr/>
        <w:t>、营销与市场扩展计划</w:t>
      </w:r>
    </w:p>
    <w:p>
      <w:pPr>
        <w:pStyle w:val="BodyText"/>
        <w:spacing w:line="256" w:lineRule="auto" w:before="21"/>
        <w:ind w:left="1554" w:right="0"/>
        <w:jc w:val="left"/>
      </w:pPr>
      <w:r>
        <w:rPr/>
        <w:t>（</w:t>
      </w:r>
      <w:r>
        <w:rPr>
          <w:rFonts w:ascii="Times New Roman" w:hAnsi="Times New Roman" w:cs="Times New Roman" w:eastAsia="Times New Roman" w:hint="default"/>
        </w:rPr>
        <w:t>1</w:t>
      </w:r>
      <w:r>
        <w:rPr/>
        <w:t>）</w:t>
      </w:r>
      <w:r>
        <w:rPr>
          <w:spacing w:val="-21"/>
        </w:rPr>
        <w:t> </w:t>
      </w:r>
      <w:r>
        <w:rPr/>
        <w:t>及时把握行业政策动向，积极实施市场扩展</w:t>
      </w:r>
      <w:r>
        <w:rPr/>
        <w:t> </w:t>
      </w:r>
      <w:r>
        <w:rPr>
          <w:spacing w:val="-1"/>
        </w:rPr>
        <w:t>根据国家电力改革、配电网建设改造计划及铁路与轨道交通领域的发展规划，充分发挥公司发电事业</w:t>
      </w:r>
    </w:p>
    <w:p>
      <w:pPr>
        <w:pStyle w:val="BodyText"/>
        <w:spacing w:line="273" w:lineRule="auto" w:before="22"/>
        <w:ind w:left="1134" w:right="1131"/>
        <w:jc w:val="both"/>
      </w:pPr>
      <w:r>
        <w:rPr>
          <w:spacing w:val="-1"/>
        </w:rPr>
        <w:t>部、轨道事业部的业务发展能力及子公司涵普电力在配电网领域的技术优势，及时把握市场需求，不断丰</w:t>
      </w:r>
      <w:r>
        <w:rPr>
          <w:spacing w:val="-83"/>
        </w:rPr>
        <w:t> </w:t>
      </w:r>
      <w:r>
        <w:rPr>
          <w:spacing w:val="-83"/>
        </w:rPr>
      </w:r>
      <w:r>
        <w:rPr/>
        <w:t>富公司产品线，积极开拓市场，扩大公司产品的市场覆盖率。</w:t>
      </w:r>
    </w:p>
    <w:p>
      <w:pPr>
        <w:pStyle w:val="BodyText"/>
        <w:spacing w:line="256" w:lineRule="auto" w:before="7"/>
        <w:ind w:left="1553" w:right="0"/>
        <w:jc w:val="left"/>
      </w:pPr>
      <w:r>
        <w:rPr/>
        <w:t>（</w:t>
      </w:r>
      <w:r>
        <w:rPr>
          <w:rFonts w:ascii="Times New Roman" w:hAnsi="Times New Roman" w:cs="Times New Roman" w:eastAsia="Times New Roman" w:hint="default"/>
        </w:rPr>
        <w:t>2</w:t>
      </w:r>
      <w:r>
        <w:rPr/>
        <w:t>）完善激励和考核机制，提高营销团队市场开拓积极性 </w:t>
      </w:r>
      <w:r>
        <w:rPr>
          <w:spacing w:val="-1"/>
        </w:rPr>
        <w:t>公司将营销目标任务层层分解，落实到人，实行定期与临时重大事项考核相结合的方式。结合销售目</w:t>
      </w:r>
    </w:p>
    <w:p>
      <w:pPr>
        <w:pStyle w:val="BodyText"/>
        <w:spacing w:line="273" w:lineRule="auto" w:before="22"/>
        <w:ind w:right="1131"/>
        <w:jc w:val="both"/>
      </w:pPr>
      <w:r>
        <w:rPr>
          <w:spacing w:val="-1"/>
        </w:rPr>
        <w:t>标的完成、应收账款回收、客户满意度的提升及新项目的开拓等情况进行全员考核和激励，严格执行优胜</w:t>
      </w:r>
      <w:r>
        <w:rPr>
          <w:spacing w:val="-83"/>
        </w:rPr>
        <w:t> </w:t>
      </w:r>
      <w:r>
        <w:rPr>
          <w:spacing w:val="-83"/>
        </w:rPr>
      </w:r>
      <w:r>
        <w:rPr>
          <w:spacing w:val="-1"/>
        </w:rPr>
        <w:t>劣汰机制。利用良好的激励机制充分激发营销团队的工作热情，提升营销水平，为市场扩展工作的稳步持</w:t>
      </w:r>
      <w:r>
        <w:rPr>
          <w:spacing w:val="-83"/>
        </w:rPr>
        <w:t> </w:t>
      </w:r>
      <w:r>
        <w:rPr>
          <w:spacing w:val="-83"/>
        </w:rPr>
      </w:r>
      <w:r>
        <w:rPr/>
        <w:t>续发展奠定基础。</w:t>
      </w:r>
    </w:p>
    <w:p>
      <w:pPr>
        <w:pStyle w:val="BodyText"/>
        <w:spacing w:line="256" w:lineRule="auto" w:before="7"/>
        <w:ind w:left="1659" w:right="0" w:hanging="190"/>
        <w:jc w:val="left"/>
      </w:pPr>
      <w:r>
        <w:rPr>
          <w:rFonts w:ascii="Times New Roman" w:hAnsi="Times New Roman" w:cs="Times New Roman" w:eastAsia="Times New Roman" w:hint="default"/>
        </w:rPr>
        <w:t>3</w:t>
      </w:r>
      <w:r>
        <w:rPr/>
        <w:t>、人力资源开发及组织结构优化计划 随着公司并购等资本运作，公司规模不断扩大，公司将不断加大人力资源开发和管理力度，进一步</w:t>
      </w:r>
    </w:p>
    <w:p>
      <w:pPr>
        <w:pStyle w:val="BodyText"/>
        <w:spacing w:line="240" w:lineRule="auto" w:before="22"/>
        <w:ind w:right="0"/>
        <w:jc w:val="both"/>
      </w:pPr>
      <w:r>
        <w:rPr/>
        <w:t>加强管理团队建设，增强公司人才优势及管理优势。</w:t>
      </w:r>
    </w:p>
    <w:p>
      <w:pPr>
        <w:pStyle w:val="BodyText"/>
        <w:spacing w:line="256" w:lineRule="auto" w:before="37"/>
        <w:ind w:left="1659" w:right="0" w:hanging="106"/>
        <w:jc w:val="left"/>
      </w:pPr>
      <w:r>
        <w:rPr/>
        <w:t>（</w:t>
      </w:r>
      <w:r>
        <w:rPr>
          <w:rFonts w:ascii="Times New Roman" w:hAnsi="Times New Roman" w:cs="Times New Roman" w:eastAsia="Times New Roman" w:hint="default"/>
        </w:rPr>
        <w:t>1</w:t>
      </w:r>
      <w:r>
        <w:rPr/>
        <w:t>）深化调整组织结构 进一步完善公司法人治理结构，完善公司经理层工作制度，建立科学有效的公司决策机制、市场快</w:t>
      </w:r>
    </w:p>
    <w:p>
      <w:pPr>
        <w:pStyle w:val="BodyText"/>
        <w:spacing w:line="273" w:lineRule="auto" w:before="22"/>
        <w:ind w:right="1131"/>
        <w:jc w:val="both"/>
      </w:pPr>
      <w:r>
        <w:rPr>
          <w:spacing w:val="-1"/>
        </w:rPr>
        <w:t>速反应机制和风险防范机制。加速信息化系统建设，在公司及其子公司范围内深化工作流程改革，保证资</w:t>
      </w:r>
      <w:r>
        <w:rPr>
          <w:spacing w:val="-83"/>
        </w:rPr>
        <w:t> </w:t>
      </w:r>
      <w:r>
        <w:rPr>
          <w:spacing w:val="-83"/>
        </w:rPr>
      </w:r>
      <w:r>
        <w:rPr>
          <w:spacing w:val="-1"/>
        </w:rPr>
        <w:t>源的合理利用和信息的有效及时传递，提升整体效率，实现企业信息化管理，使公司组织运作更高效、灵</w:t>
      </w:r>
      <w:r>
        <w:rPr>
          <w:spacing w:val="-85"/>
        </w:rPr>
        <w:t> </w:t>
      </w:r>
      <w:r>
        <w:rPr>
          <w:spacing w:val="-85"/>
        </w:rPr>
      </w:r>
      <w:r>
        <w:rPr/>
        <w:t>活。</w:t>
      </w:r>
    </w:p>
    <w:p>
      <w:pPr>
        <w:pStyle w:val="BodyText"/>
        <w:spacing w:line="256" w:lineRule="auto" w:before="7"/>
        <w:ind w:left="1660" w:right="0"/>
        <w:jc w:val="left"/>
      </w:pPr>
      <w:r>
        <w:rPr/>
        <w:t>（</w:t>
      </w:r>
      <w:r>
        <w:rPr>
          <w:rFonts w:ascii="Times New Roman" w:hAnsi="Times New Roman" w:cs="Times New Roman" w:eastAsia="Times New Roman" w:hint="default"/>
        </w:rPr>
        <w:t>2</w:t>
      </w:r>
      <w:r>
        <w:rPr/>
        <w:t>）引进和培养人才相结合，注重人才结构优化 为满足公司规模扩张、市场开拓等因素产生的高级人才需求，公司进一步加强管理团队建设，通过</w:t>
      </w:r>
    </w:p>
    <w:p>
      <w:pPr>
        <w:pStyle w:val="BodyText"/>
        <w:spacing w:line="273" w:lineRule="auto" w:before="22"/>
        <w:ind w:left="1134" w:right="1023"/>
        <w:jc w:val="left"/>
      </w:pPr>
      <w:r>
        <w:rPr/>
        <w:t>内部培养与外部引进两种方式建立业务队伍，一方面积极引进高素质的技术开发人才，另一方面公司内部 </w:t>
      </w:r>
      <w:r>
        <w:rPr>
          <w:spacing w:val="-3"/>
        </w:rPr>
        <w:t>积极培养、选拔、引进营销人才、管理人才。在人才结构方面，注重协调研发、营销、服务、技术、生产、</w:t>
      </w:r>
      <w:r>
        <w:rPr>
          <w:spacing w:val="-95"/>
        </w:rPr>
        <w:t> </w:t>
      </w:r>
      <w:r>
        <w:rPr>
          <w:spacing w:val="-95"/>
        </w:rPr>
      </w:r>
      <w:r>
        <w:rPr/>
        <w:t>管理等方面的人员比例，注意不同年龄结构配比，科学、合理配置和优化人才结构。</w:t>
      </w:r>
    </w:p>
    <w:p>
      <w:pPr>
        <w:pStyle w:val="BodyText"/>
        <w:spacing w:line="256" w:lineRule="auto" w:before="7"/>
        <w:ind w:left="1660" w:right="0"/>
        <w:jc w:val="left"/>
      </w:pPr>
      <w:r>
        <w:rPr/>
        <w:t>（</w:t>
      </w:r>
      <w:r>
        <w:rPr>
          <w:rFonts w:ascii="Times New Roman" w:hAnsi="Times New Roman" w:cs="Times New Roman" w:eastAsia="Times New Roman" w:hint="default"/>
        </w:rPr>
        <w:t>3</w:t>
      </w:r>
      <w:r>
        <w:rPr/>
        <w:t>）完善岗位责任制和绩效评价体系 建立有序的岗位竞争、激励、淘汰机制，增加岗位流通性，充分发挥员工的主观能动性，为员工提</w:t>
      </w:r>
    </w:p>
    <w:p>
      <w:pPr>
        <w:pStyle w:val="BodyText"/>
        <w:spacing w:line="240" w:lineRule="auto" w:before="22"/>
        <w:ind w:left="1134" w:right="0"/>
        <w:jc w:val="left"/>
      </w:pPr>
      <w:r>
        <w:rPr/>
        <w:t>供职业发展的广阔空间与平台。</w:t>
      </w:r>
    </w:p>
    <w:p>
      <w:pPr>
        <w:pStyle w:val="BodyText"/>
        <w:spacing w:line="256" w:lineRule="auto" w:before="37"/>
        <w:ind w:left="1660" w:right="1116"/>
        <w:jc w:val="left"/>
      </w:pPr>
      <w:r>
        <w:rPr>
          <w:rFonts w:ascii="Times New Roman" w:hAnsi="Times New Roman" w:cs="Times New Roman" w:eastAsia="Times New Roman" w:hint="default"/>
        </w:rPr>
        <w:t>4</w:t>
      </w:r>
      <w:r>
        <w:rPr/>
        <w:t>、并购计划 为加快自身发展，公司在坚持自主研发和生产的基础上，积极把握适当的外部并购机会。公司积极</w:t>
      </w:r>
    </w:p>
    <w:p>
      <w:pPr>
        <w:pStyle w:val="BodyText"/>
        <w:spacing w:line="273" w:lineRule="auto" w:before="22"/>
        <w:ind w:left="1134" w:right="0"/>
        <w:jc w:val="left"/>
      </w:pPr>
      <w:r>
        <w:rPr>
          <w:spacing w:val="-1"/>
        </w:rPr>
        <w:t>寻求在技术上、成本上以及客户资源等方面能为公司提供协同价值的企业。公司通过自主发展和外部并购</w:t>
      </w:r>
      <w:r>
        <w:rPr>
          <w:spacing w:val="-81"/>
        </w:rPr>
        <w:t> </w:t>
      </w:r>
      <w:r>
        <w:rPr>
          <w:spacing w:val="-81"/>
        </w:rPr>
      </w:r>
      <w:r>
        <w:rPr/>
        <w:t>相结合的战略，不断扩大自身产品体系，为客户提供更加全面的服务。</w:t>
      </w:r>
    </w:p>
    <w:p>
      <w:pPr>
        <w:pStyle w:val="Heading4"/>
        <w:spacing w:line="240" w:lineRule="auto" w:before="7"/>
        <w:ind w:left="1492" w:right="0"/>
        <w:jc w:val="left"/>
        <w:rPr>
          <w:b w:val="0"/>
          <w:bCs w:val="0"/>
        </w:rPr>
      </w:pPr>
      <w:r>
        <w:rPr/>
        <w:t>（四）可能面对的风险</w:t>
      </w:r>
      <w:r>
        <w:rPr>
          <w:b w:val="0"/>
          <w:bCs w:val="0"/>
        </w:rPr>
      </w:r>
    </w:p>
    <w:p>
      <w:pPr>
        <w:pStyle w:val="BodyText"/>
        <w:spacing w:line="256" w:lineRule="auto" w:before="37"/>
        <w:ind w:left="1553" w:right="0" w:firstLine="106"/>
        <w:jc w:val="left"/>
      </w:pPr>
      <w:r>
        <w:rPr>
          <w:rFonts w:ascii="Times New Roman" w:hAnsi="Times New Roman" w:cs="Times New Roman" w:eastAsia="Times New Roman" w:hint="default"/>
        </w:rPr>
        <w:t>1</w:t>
      </w:r>
      <w:r>
        <w:rPr/>
        <w:t>、电力设备状态检测、监测行业发展速度存在不确定性的风险 </w:t>
      </w:r>
      <w:r>
        <w:rPr>
          <w:spacing w:val="-1"/>
        </w:rPr>
        <w:t>电力设备状态检测、监测行业目前正处于成长阶段，电力建设产业政策和投资规模的变动以及电力系</w:t>
      </w:r>
    </w:p>
    <w:p>
      <w:pPr>
        <w:pStyle w:val="BodyText"/>
        <w:spacing w:line="273" w:lineRule="auto" w:before="22"/>
        <w:ind w:right="0"/>
        <w:jc w:val="left"/>
      </w:pPr>
      <w:r>
        <w:rPr>
          <w:spacing w:val="-1"/>
        </w:rPr>
        <w:t>统企业推广状态检修策略进程的延缓，都会影响本行业的发展。因此，行业具体发展速度存在着一定的不</w:t>
      </w:r>
      <w:r>
        <w:rPr>
          <w:spacing w:val="-83"/>
        </w:rPr>
        <w:t> </w:t>
      </w:r>
      <w:r>
        <w:rPr>
          <w:spacing w:val="-83"/>
        </w:rPr>
      </w:r>
      <w:r>
        <w:rPr/>
        <w:t>确定性的风险。</w:t>
      </w:r>
    </w:p>
    <w:p>
      <w:pPr>
        <w:pStyle w:val="BodyText"/>
        <w:spacing w:line="256" w:lineRule="auto" w:before="7"/>
        <w:ind w:left="1553" w:right="0"/>
        <w:jc w:val="left"/>
      </w:pPr>
      <w:r>
        <w:rPr>
          <w:rFonts w:ascii="Times New Roman" w:hAnsi="Times New Roman" w:cs="Times New Roman" w:eastAsia="Times New Roman" w:hint="default"/>
        </w:rPr>
        <w:t>2</w:t>
      </w:r>
      <w:r>
        <w:rPr/>
        <w:t>、电网公司整体发展战略、投资规划、采购模式发生重大变化的风险 </w:t>
      </w:r>
      <w:r>
        <w:rPr>
          <w:spacing w:val="-1"/>
        </w:rPr>
        <w:t>公司主要客户相对集中于两大电网公司及其下属企业。但在两大电网公司的具体采购方式上，包括由</w:t>
      </w:r>
    </w:p>
    <w:p>
      <w:pPr>
        <w:pStyle w:val="BodyText"/>
        <w:spacing w:line="273" w:lineRule="auto" w:before="22"/>
        <w:ind w:right="1130"/>
        <w:jc w:val="both"/>
      </w:pPr>
      <w:r>
        <w:rPr>
          <w:spacing w:val="-1"/>
        </w:rPr>
        <w:t>总部直接组织实施、由网省公司负责组织实施或由地市级电力企业组织实施等不同的采购模式，决策并非</w:t>
      </w:r>
      <w:r>
        <w:rPr>
          <w:spacing w:val="-80"/>
        </w:rPr>
        <w:t> </w:t>
      </w:r>
      <w:r>
        <w:rPr>
          <w:spacing w:val="-80"/>
        </w:rPr>
      </w:r>
      <w:r>
        <w:rPr>
          <w:spacing w:val="-1"/>
        </w:rPr>
        <w:t>完全集中在公司总部。以省级电网公司口径或单体客户口径分析，公司对主要客户并不存在重大依赖。但</w:t>
      </w:r>
      <w:r>
        <w:rPr>
          <w:spacing w:val="-83"/>
        </w:rPr>
        <w:t> </w:t>
      </w:r>
      <w:r>
        <w:rPr>
          <w:spacing w:val="-83"/>
        </w:rPr>
      </w:r>
      <w:r>
        <w:rPr>
          <w:spacing w:val="-1"/>
        </w:rPr>
        <w:t>是如果两大电网公司整体发展战略和投资规划、采购模式发生重大变化，将会对公司未来的盈利能力和成</w:t>
      </w:r>
      <w:r>
        <w:rPr>
          <w:spacing w:val="-81"/>
        </w:rPr>
        <w:t> </w:t>
      </w:r>
      <w:r>
        <w:rPr>
          <w:spacing w:val="-81"/>
        </w:rPr>
      </w:r>
      <w:r>
        <w:rPr/>
        <w:t>长性产生重大影响。</w:t>
      </w:r>
    </w:p>
    <w:p>
      <w:pPr>
        <w:pStyle w:val="BodyText"/>
        <w:spacing w:line="256" w:lineRule="auto" w:before="7"/>
        <w:ind w:left="1553" w:right="0"/>
        <w:jc w:val="left"/>
      </w:pPr>
      <w:r>
        <w:rPr>
          <w:rFonts w:ascii="Times New Roman" w:hAnsi="Times New Roman" w:cs="Times New Roman" w:eastAsia="Times New Roman" w:hint="default"/>
        </w:rPr>
        <w:t>3</w:t>
      </w:r>
      <w:r>
        <w:rPr/>
        <w:t>、经营业绩存在季节性波动的风险 </w:t>
      </w:r>
      <w:r>
        <w:rPr>
          <w:spacing w:val="-1"/>
        </w:rPr>
        <w:t>公司产品主要应用于电力行业。由于电力系统企业一般在每年下半年进行投资计划立项，次年的一季</w:t>
      </w:r>
    </w:p>
    <w:p>
      <w:pPr>
        <w:pStyle w:val="BodyText"/>
        <w:spacing w:line="240" w:lineRule="auto" w:before="22"/>
        <w:ind w:right="0"/>
        <w:jc w:val="left"/>
      </w:pPr>
      <w:r>
        <w:rPr/>
        <w:t>度对该些项目进行审批，其采购和资金支付往往主要集中在第三季度末和第四季度，第一季度和第二季度</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0"/>
        <w:jc w:val="both"/>
      </w:pPr>
      <w:r>
        <w:rPr>
          <w:spacing w:val="-1"/>
        </w:rPr>
        <w:t>也会有少量的采购，因此，报告期公司经营业绩呈现较明显的季节性特征，公司营业收入主要在下半年实</w:t>
      </w:r>
      <w:r>
        <w:rPr>
          <w:spacing w:val="-82"/>
        </w:rPr>
        <w:t> </w:t>
      </w:r>
      <w:r>
        <w:rPr>
          <w:spacing w:val="-82"/>
        </w:rPr>
      </w:r>
      <w:r>
        <w:rPr>
          <w:spacing w:val="-1"/>
        </w:rPr>
        <w:t>现，特别是第四季度营业收入占全年的比例超过一半以上。受公司上半年营业收入占比较低及固定运营成</w:t>
      </w:r>
      <w:r>
        <w:rPr>
          <w:spacing w:val="-81"/>
        </w:rPr>
        <w:t> </w:t>
      </w:r>
      <w:r>
        <w:rPr>
          <w:spacing w:val="-81"/>
        </w:rPr>
      </w:r>
      <w:r>
        <w:rPr/>
        <w:t>本的影响，公司上半年净利润较少，甚至存在季度亏损的风险。</w:t>
      </w:r>
    </w:p>
    <w:p>
      <w:pPr>
        <w:pStyle w:val="BodyText"/>
        <w:spacing w:line="256" w:lineRule="auto" w:before="7"/>
        <w:ind w:left="1553" w:right="1117"/>
        <w:jc w:val="left"/>
      </w:pPr>
      <w:r>
        <w:rPr>
          <w:rFonts w:ascii="Times New Roman" w:hAnsi="Times New Roman" w:cs="Times New Roman" w:eastAsia="Times New Roman" w:hint="default"/>
        </w:rPr>
        <w:t>4</w:t>
      </w:r>
      <w:r>
        <w:rPr/>
        <w:t>、备货生产增加导致期末库存无法及时结转销售收入的风险 公司主要通过招投标方式取得销售合同，并主要采取</w:t>
      </w:r>
      <w:r>
        <w:rPr>
          <w:rFonts w:ascii="Times New Roman" w:hAnsi="Times New Roman" w:cs="Times New Roman" w:eastAsia="Times New Roman" w:hint="default"/>
        </w:rPr>
        <w:t>“</w:t>
      </w:r>
      <w:r>
        <w:rPr/>
        <w:t>以销定产</w:t>
      </w:r>
      <w:r>
        <w:rPr>
          <w:rFonts w:ascii="Times New Roman" w:hAnsi="Times New Roman" w:cs="Times New Roman" w:eastAsia="Times New Roman" w:hint="default"/>
        </w:rPr>
        <w:t>”</w:t>
      </w:r>
      <w:r>
        <w:rPr/>
        <w:t>的模式组织生产。但随着市场需求的</w:t>
      </w:r>
    </w:p>
    <w:p>
      <w:pPr>
        <w:pStyle w:val="BodyText"/>
        <w:spacing w:line="273" w:lineRule="auto" w:before="5"/>
        <w:ind w:right="1131"/>
        <w:jc w:val="both"/>
      </w:pPr>
      <w:r>
        <w:rPr>
          <w:spacing w:val="-1"/>
        </w:rPr>
        <w:t>增加，公司为确保如期交货，根据市场潜在需求以及预期中标成功率情况，提前安排销售把握较大产品的</w:t>
      </w:r>
      <w:r>
        <w:rPr>
          <w:spacing w:val="-83"/>
        </w:rPr>
        <w:t> </w:t>
      </w:r>
      <w:r>
        <w:rPr>
          <w:spacing w:val="-83"/>
        </w:rPr>
      </w:r>
      <w:r>
        <w:rPr>
          <w:spacing w:val="-1"/>
        </w:rPr>
        <w:t>生产。公司库存商品与发出商品期末余额的高低主要取决于生产交货、客户验收确认速度的快慢以及预先</w:t>
      </w:r>
      <w:r>
        <w:rPr>
          <w:spacing w:val="-81"/>
        </w:rPr>
        <w:t> </w:t>
      </w:r>
      <w:r>
        <w:rPr>
          <w:spacing w:val="-81"/>
        </w:rPr>
      </w:r>
      <w:r>
        <w:rPr>
          <w:spacing w:val="-1"/>
        </w:rPr>
        <w:t>备货生产项目的增减变动。公司报告期期末存货的总体金额不大，但随着备货生产的增加，公司存在因客</w:t>
      </w:r>
      <w:r>
        <w:rPr>
          <w:spacing w:val="-83"/>
        </w:rPr>
        <w:t> </w:t>
      </w:r>
      <w:r>
        <w:rPr>
          <w:spacing w:val="-83"/>
        </w:rPr>
      </w:r>
      <w:r>
        <w:rPr/>
        <w:t>户项目取消、变更以及未能成功中标等情况而无法及时结转销售收入的风险。</w:t>
      </w:r>
    </w:p>
    <w:p>
      <w:pPr>
        <w:pStyle w:val="BodyText"/>
        <w:spacing w:line="256" w:lineRule="auto" w:before="7"/>
        <w:ind w:left="1553" w:right="0"/>
        <w:jc w:val="left"/>
      </w:pPr>
      <w:r>
        <w:rPr>
          <w:rFonts w:ascii="Times New Roman" w:hAnsi="Times New Roman" w:cs="Times New Roman" w:eastAsia="Times New Roman" w:hint="default"/>
        </w:rPr>
        <w:t>5</w:t>
      </w:r>
      <w:r>
        <w:rPr/>
        <w:t>、应收账款无法及时收回的风险 </w:t>
      </w:r>
      <w:r>
        <w:rPr>
          <w:spacing w:val="-1"/>
        </w:rPr>
        <w:t>公司主要客户来自电力系统企业，受到其结算惯例的影响，公司应收账款收款周期相对较长，导致期</w:t>
      </w:r>
    </w:p>
    <w:p>
      <w:pPr>
        <w:pStyle w:val="BodyText"/>
        <w:spacing w:line="273" w:lineRule="auto" w:before="22"/>
        <w:ind w:right="1131"/>
        <w:jc w:val="both"/>
      </w:pPr>
      <w:r>
        <w:rPr>
          <w:spacing w:val="-1"/>
        </w:rPr>
        <w:t>末应收账款相对较高。随着公司经营规模的不断扩大，应收账款的规模可能会持续增长，如果国内经济环</w:t>
      </w:r>
      <w:r>
        <w:rPr>
          <w:spacing w:val="-83"/>
        </w:rPr>
        <w:t> </w:t>
      </w:r>
      <w:r>
        <w:rPr>
          <w:spacing w:val="-83"/>
        </w:rPr>
      </w:r>
      <w:r>
        <w:rPr>
          <w:spacing w:val="-1"/>
        </w:rPr>
        <w:t>境、客户信用状况等发生变化，公司存在应收账款不能够及时回收，从而影响公司资金流动性和利用效率</w:t>
      </w:r>
      <w:r>
        <w:rPr>
          <w:spacing w:val="-83"/>
        </w:rPr>
        <w:t> </w:t>
      </w:r>
      <w:r>
        <w:rPr>
          <w:spacing w:val="-83"/>
        </w:rPr>
      </w:r>
      <w:r>
        <w:rPr/>
        <w:t>的风险。</w:t>
      </w:r>
    </w:p>
    <w:p>
      <w:pPr>
        <w:pStyle w:val="BodyText"/>
        <w:spacing w:line="256" w:lineRule="auto" w:before="7"/>
        <w:ind w:left="1553" w:right="0"/>
        <w:jc w:val="left"/>
      </w:pPr>
      <w:r>
        <w:rPr>
          <w:rFonts w:ascii="Times New Roman" w:hAnsi="Times New Roman" w:cs="Times New Roman" w:eastAsia="Times New Roman" w:hint="default"/>
        </w:rPr>
        <w:t>6</w:t>
      </w:r>
      <w:r>
        <w:rPr/>
        <w:t>、技术跟不上行业发展的风险 </w:t>
      </w:r>
      <w:r>
        <w:rPr>
          <w:spacing w:val="-1"/>
        </w:rPr>
        <w:t>电力设备状态检测、监测产品研发具有多学科交叉的特征，具体涉及微电子技术、测控技术、通信技</w:t>
      </w:r>
    </w:p>
    <w:p>
      <w:pPr>
        <w:pStyle w:val="BodyText"/>
        <w:spacing w:line="273" w:lineRule="auto" w:before="22"/>
        <w:ind w:right="1131"/>
        <w:jc w:val="both"/>
      </w:pPr>
      <w:r>
        <w:rPr>
          <w:spacing w:val="-1"/>
        </w:rPr>
        <w:t>术、嵌入式软件技术、计算机应用软件技术、故障诊断技术、信息融合技术、人工智能技术以及环境适应</w:t>
      </w:r>
      <w:r>
        <w:rPr>
          <w:spacing w:val="-83"/>
        </w:rPr>
        <w:t> </w:t>
      </w:r>
      <w:r>
        <w:rPr>
          <w:spacing w:val="-83"/>
        </w:rPr>
      </w:r>
      <w:r>
        <w:rPr>
          <w:spacing w:val="-1"/>
        </w:rPr>
        <w:t>技术等多个领域。如果公司未来研发人员数量、研发人员的知识结构更新无法跟上上述相关领域技术发展</w:t>
      </w:r>
      <w:r>
        <w:rPr>
          <w:spacing w:val="-81"/>
        </w:rPr>
        <w:t> </w:t>
      </w:r>
      <w:r>
        <w:rPr>
          <w:spacing w:val="-81"/>
        </w:rPr>
      </w:r>
      <w:r>
        <w:rPr>
          <w:spacing w:val="-1"/>
        </w:rPr>
        <w:t>的趋势或者公司研发项目储备、研发投入不足，则可能导致公司的技术研发能力无法跟上整个行业发展步</w:t>
      </w:r>
      <w:r>
        <w:rPr>
          <w:spacing w:val="-81"/>
        </w:rPr>
        <w:t> </w:t>
      </w:r>
      <w:r>
        <w:rPr>
          <w:spacing w:val="-81"/>
        </w:rPr>
      </w:r>
      <w:r>
        <w:rPr/>
        <w:t>伐，从而给公司的可持续发展带来不利影响。</w:t>
      </w:r>
    </w:p>
    <w:p>
      <w:pPr>
        <w:pStyle w:val="BodyText"/>
        <w:spacing w:line="290" w:lineRule="auto" w:before="7"/>
        <w:ind w:left="1553" w:right="1018"/>
        <w:jc w:val="left"/>
      </w:pPr>
      <w:r>
        <w:rPr>
          <w:rFonts w:ascii="Times New Roman" w:hAnsi="Times New Roman" w:cs="Times New Roman" w:eastAsia="Times New Roman" w:hint="default"/>
        </w:rPr>
        <w:t>7</w:t>
      </w:r>
      <w:r>
        <w:rPr/>
        <w:t>、规模快速扩张引致的风险 </w:t>
      </w:r>
      <w:r>
        <w:rPr>
          <w:spacing w:val="-3"/>
        </w:rPr>
        <w:t>为扩大产能，公司将通过并购等多种资本运作方式，扩大生产经营规模，这将对公司现有的战略规划、</w:t>
      </w:r>
    </w:p>
    <w:p>
      <w:pPr>
        <w:pStyle w:val="BodyText"/>
        <w:spacing w:line="273" w:lineRule="auto"/>
        <w:ind w:left="1134" w:right="1131"/>
        <w:jc w:val="both"/>
      </w:pPr>
      <w:r>
        <w:rPr>
          <w:spacing w:val="-1"/>
        </w:rPr>
        <w:t>制度建设、组织设置、营运管理、财务管理、内部控制等方面带来较大挑战。如果公司管理层不能及时调</w:t>
      </w:r>
      <w:r>
        <w:rPr>
          <w:spacing w:val="-83"/>
        </w:rPr>
        <w:t> </w:t>
      </w:r>
      <w:r>
        <w:rPr>
          <w:spacing w:val="-83"/>
        </w:rPr>
      </w:r>
      <w:r>
        <w:rPr>
          <w:spacing w:val="-1"/>
        </w:rPr>
        <w:t>整公司管理体制，未能良好把握调整时机或者选任相关职位的管理人员决策不当，都可能阻碍公司业务的</w:t>
      </w:r>
      <w:r>
        <w:rPr>
          <w:spacing w:val="-81"/>
        </w:rPr>
        <w:t> </w:t>
      </w:r>
      <w:r>
        <w:rPr>
          <w:spacing w:val="-81"/>
        </w:rPr>
      </w:r>
      <w:r>
        <w:rPr/>
        <w:t>正常开展或者错失发展良机。</w:t>
      </w:r>
    </w:p>
    <w:p>
      <w:pPr>
        <w:pStyle w:val="BodyText"/>
        <w:spacing w:line="256" w:lineRule="auto" w:before="47"/>
        <w:ind w:left="1554" w:right="0"/>
        <w:jc w:val="left"/>
      </w:pPr>
      <w:r>
        <w:rPr>
          <w:rFonts w:ascii="Times New Roman" w:hAnsi="Times New Roman" w:cs="Times New Roman" w:eastAsia="Times New Roman" w:hint="default"/>
        </w:rPr>
        <w:t>8</w:t>
      </w:r>
      <w:r>
        <w:rPr/>
        <w:t>、人才流失的风险 </w:t>
      </w:r>
      <w:r>
        <w:rPr>
          <w:spacing w:val="-1"/>
        </w:rPr>
        <w:t>人才是企业发展的基石。公司之前的发展与公司建立起的高管团队、营销团队及研发团队有着密切的</w:t>
      </w:r>
    </w:p>
    <w:p>
      <w:pPr>
        <w:pStyle w:val="BodyText"/>
        <w:spacing w:line="273" w:lineRule="auto" w:before="22"/>
        <w:ind w:left="1134" w:right="1133"/>
        <w:jc w:val="both"/>
      </w:pPr>
      <w:r>
        <w:rPr>
          <w:spacing w:val="-1"/>
        </w:rPr>
        <w:t>关系。未来，随着公司发展战略的逐步实施，公司对生产、管理、技术、研发、销售等方面的人才的需求</w:t>
      </w:r>
      <w:r>
        <w:rPr>
          <w:spacing w:val="-85"/>
        </w:rPr>
        <w:t> </w:t>
      </w:r>
      <w:r>
        <w:rPr>
          <w:spacing w:val="-85"/>
        </w:rPr>
      </w:r>
      <w:r>
        <w:rPr>
          <w:spacing w:val="-1"/>
        </w:rPr>
        <w:t>将会逐步增加。如果公司无法制定行之有效的人力资源管理制度来留住人才、吸引人才，那么，公司将会</w:t>
      </w:r>
      <w:r>
        <w:rPr>
          <w:spacing w:val="-86"/>
        </w:rPr>
        <w:t> </w:t>
      </w:r>
      <w:r>
        <w:rPr>
          <w:spacing w:val="-86"/>
        </w:rPr>
      </w:r>
      <w:r>
        <w:rPr/>
        <w:t>面临人才流失的风险和无法引进优秀人才的风险，从而影响公司的长远发展。</w:t>
      </w:r>
    </w:p>
    <w:p>
      <w:pPr>
        <w:pStyle w:val="BodyText"/>
        <w:spacing w:line="273" w:lineRule="auto" w:before="7"/>
        <w:ind w:left="1134" w:right="1133" w:firstLine="420"/>
        <w:jc w:val="both"/>
      </w:pPr>
      <w:r>
        <w:rPr>
          <w:spacing w:val="-1"/>
        </w:rPr>
        <w:t>应对措施：公司将密切关注可能出现的风险因素的动态变化，关注本行业、相关领域及上、下游行业</w:t>
      </w:r>
      <w:r>
        <w:rPr/>
        <w:t> </w:t>
      </w:r>
      <w:r>
        <w:rPr>
          <w:spacing w:val="-1"/>
        </w:rPr>
        <w:t>的变化趋势。若风险因素已经较明显显现，公司将采取调整规划、调整规划实施方案等措施，并采用多渠</w:t>
      </w:r>
      <w:r>
        <w:rPr>
          <w:spacing w:val="-86"/>
        </w:rPr>
        <w:t> </w:t>
      </w:r>
      <w:r>
        <w:rPr>
          <w:spacing w:val="-86"/>
        </w:rPr>
      </w:r>
      <w:r>
        <w:rPr/>
        <w:t>道、多种灵活方式实现公司战略目标。</w:t>
      </w:r>
    </w:p>
    <w:p>
      <w:pPr>
        <w:spacing w:line="240" w:lineRule="auto" w:before="11"/>
        <w:rPr>
          <w:rFonts w:ascii="宋体" w:hAnsi="宋体" w:cs="宋体" w:eastAsia="宋体" w:hint="default"/>
          <w:sz w:val="21"/>
          <w:szCs w:val="21"/>
        </w:rPr>
      </w:pPr>
    </w:p>
    <w:p>
      <w:pPr>
        <w:pStyle w:val="Heading2"/>
        <w:spacing w:line="240" w:lineRule="auto"/>
        <w:ind w:left="1134" w:right="0"/>
        <w:jc w:val="both"/>
        <w:rPr>
          <w:b w:val="0"/>
          <w:bCs w:val="0"/>
        </w:rPr>
      </w:pPr>
      <w:bookmarkStart w:name="十、接待调研、沟通、采访等活动情况" w:id="57"/>
      <w:bookmarkEnd w:id="57"/>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4" w:lineRule="auto" w:before="75"/>
        <w:ind w:right="1132" w:firstLine="357"/>
        <w:jc w:val="both"/>
      </w:pPr>
      <w:r>
        <w:rPr/>
        <w:t>报告期内，公司严格按照《公司章程》、公司股利分配政策及公司未来三年的分红回报规划，制定利 </w:t>
      </w:r>
      <w:r>
        <w:rPr>
          <w:spacing w:val="-1"/>
        </w:rPr>
        <w:t>润分配方案。《关于公司</w:t>
      </w:r>
      <w:r>
        <w:rPr>
          <w:rFonts w:ascii="Times New Roman" w:hAnsi="Times New Roman" w:cs="Times New Roman" w:eastAsia="Times New Roman" w:hint="default"/>
          <w:spacing w:val="-1"/>
        </w:rPr>
        <w:t>2014</w:t>
      </w:r>
      <w:r>
        <w:rPr>
          <w:spacing w:val="-1"/>
        </w:rPr>
        <w:t>年度利润分配的议案》经由公司董事会、监事会和股东大会审议通过，独立</w:t>
      </w:r>
      <w:r>
        <w:rPr>
          <w:spacing w:val="-82"/>
        </w:rPr>
        <w:t> </w:t>
      </w:r>
      <w:r>
        <w:rPr>
          <w:spacing w:val="-82"/>
        </w:rPr>
      </w:r>
      <w:r>
        <w:rPr/>
        <w:t>董事发表独立意见，并在规定时间内进行实施，切实保证了全体股东的利益。</w:t>
      </w:r>
    </w:p>
    <w:p>
      <w:pPr>
        <w:pStyle w:val="BodyText"/>
        <w:spacing w:line="256" w:lineRule="auto" w:before="16"/>
        <w:ind w:right="0" w:firstLine="357"/>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日公司召开的第三届董事会第六次会议、第三届监事会第四次会议及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日召开的</w:t>
      </w:r>
      <w:r>
        <w:rPr>
          <w:rFonts w:ascii="Times New Roman" w:hAnsi="Times New Roman" w:cs="Times New Roman" w:eastAsia="Times New Roman" w:hint="default"/>
        </w:rPr>
        <w:t>2015</w:t>
      </w:r>
      <w:r>
        <w:rPr/>
        <w:t>年第三次临时股东大会审议通过的</w:t>
      </w:r>
      <w:r>
        <w:rPr>
          <w:rFonts w:ascii="Times New Roman" w:hAnsi="Times New Roman" w:cs="Times New Roman" w:eastAsia="Times New Roman" w:hint="default"/>
        </w:rPr>
        <w:t>2014</w:t>
      </w:r>
      <w:r>
        <w:rPr/>
        <w:t>年度利润分配方案为：以截至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日的总股 </w:t>
      </w:r>
      <w:r>
        <w:rPr>
          <w:spacing w:val="-3"/>
        </w:rPr>
        <w:t>本</w:t>
      </w:r>
      <w:r>
        <w:rPr>
          <w:rFonts w:ascii="Times New Roman" w:hAnsi="Times New Roman" w:cs="Times New Roman" w:eastAsia="Times New Roman" w:hint="default"/>
          <w:spacing w:val="-3"/>
        </w:rPr>
        <w:t>8867</w:t>
      </w:r>
      <w:r>
        <w:rPr>
          <w:spacing w:val="-3"/>
        </w:rPr>
        <w:t>万股为基数，向全体股东每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1.8</w:t>
      </w:r>
      <w:r>
        <w:rPr>
          <w:spacing w:val="-3"/>
        </w:rPr>
        <w:t>元（含税），共计派发股利人民币</w:t>
      </w:r>
      <w:r>
        <w:rPr>
          <w:rFonts w:ascii="Times New Roman" w:hAnsi="Times New Roman" w:cs="Times New Roman" w:eastAsia="Times New Roman" w:hint="default"/>
          <w:spacing w:val="-3"/>
        </w:rPr>
        <w:t>15,960,600.00</w:t>
      </w:r>
      <w:r>
        <w:rPr>
          <w:spacing w:val="-3"/>
        </w:rPr>
        <w:t>元。</w:t>
      </w:r>
    </w:p>
    <w:p>
      <w:pPr>
        <w:pStyle w:val="BodyText"/>
        <w:spacing w:line="256" w:lineRule="auto" w:before="5"/>
        <w:ind w:right="1130" w:firstLine="357"/>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日，公司在中国证监会指定信息披露网站巨潮资讯网刊登了《厦门红相电力设备股份有限 </w:t>
      </w:r>
      <w:r>
        <w:rPr>
          <w:spacing w:val="-1"/>
        </w:rPr>
        <w:t>公司</w:t>
      </w:r>
      <w:r>
        <w:rPr>
          <w:rFonts w:ascii="Times New Roman" w:hAnsi="Times New Roman" w:cs="Times New Roman" w:eastAsia="Times New Roman" w:hint="default"/>
          <w:spacing w:val="-1"/>
        </w:rPr>
        <w:t>2014</w:t>
      </w:r>
      <w:r>
        <w:rPr>
          <w:spacing w:val="-1"/>
        </w:rPr>
        <w:t>年年度权益分派实施公告》。本次分红的股权登记日为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12</w:t>
      </w:r>
      <w:r>
        <w:rPr>
          <w:spacing w:val="-1"/>
        </w:rPr>
        <w:t>日，除权除息日为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spacing w:val="-78"/>
        </w:rPr>
        <w:t> </w:t>
      </w:r>
      <w:r>
        <w:rPr>
          <w:rFonts w:ascii="Times New Roman" w:hAnsi="Times New Roman" w:cs="Times New Roman" w:eastAsia="Times New Roman" w:hint="default"/>
        </w:rPr>
        <w:t>13</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44"/>
        <w:ind w:left="0" w:right="1139" w:firstLine="0"/>
        <w:jc w:val="right"/>
        <w:rPr>
          <w:rFonts w:ascii="宋体" w:hAnsi="宋体" w:cs="宋体" w:eastAsia="宋体" w:hint="default"/>
          <w:sz w:val="18"/>
          <w:szCs w:val="18"/>
        </w:rPr>
      </w:pPr>
      <w:r>
        <w:rPr/>
        <w:pict>
          <v:shape style="position:absolute;margin-left:57.029999pt;margin-top:-144.868271pt;width:478.6pt;height:172.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不适用（报告期内公司现金分红政策未进行任何调整及变更</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21"/>
          <w:szCs w:val="21"/>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88,670,000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16,847,300.00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190,804,425.45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300" w:lineRule="auto" w:before="103"/>
        <w:ind w:left="1133" w:right="1132" w:firstLine="434"/>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年度，经致同会计师事务所（特殊普通合伙）审计，母公司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年实现净利润为人民币</w:t>
      </w:r>
      <w:r>
        <w:rPr>
          <w:rFonts w:ascii="Times New Roman" w:hAnsi="Times New Roman" w:cs="Times New Roman" w:eastAsia="Times New Roman" w:hint="default"/>
          <w:spacing w:val="-1"/>
          <w:sz w:val="18"/>
          <w:szCs w:val="18"/>
        </w:rPr>
        <w:t>52,964,990.57</w:t>
      </w:r>
      <w:r>
        <w:rPr>
          <w:rFonts w:ascii="宋体" w:hAnsi="宋体" w:cs="宋体" w:eastAsia="宋体" w:hint="default"/>
          <w:spacing w:val="-1"/>
          <w:sz w:val="18"/>
          <w:szCs w:val="18"/>
        </w:rPr>
        <w:t>元，扣除</w:t>
      </w:r>
      <w:r>
        <w:rPr>
          <w:rFonts w:ascii="宋体" w:hAnsi="宋体" w:cs="宋体" w:eastAsia="宋体" w:hint="default"/>
          <w:sz w:val="18"/>
          <w:szCs w:val="18"/>
        </w:rPr>
        <w:t> 应计提的法定盈余公积</w:t>
      </w:r>
      <w:r>
        <w:rPr>
          <w:rFonts w:ascii="Times New Roman" w:hAnsi="Times New Roman" w:cs="Times New Roman" w:eastAsia="Times New Roman" w:hint="default"/>
          <w:sz w:val="18"/>
          <w:szCs w:val="18"/>
        </w:rPr>
        <w:t>10%</w:t>
      </w:r>
      <w:r>
        <w:rPr>
          <w:rFonts w:ascii="宋体" w:hAnsi="宋体" w:cs="宋体" w:eastAsia="宋体" w:hint="default"/>
          <w:sz w:val="18"/>
          <w:szCs w:val="18"/>
        </w:rPr>
        <w:t>即人民币</w:t>
      </w:r>
      <w:r>
        <w:rPr>
          <w:rFonts w:ascii="Times New Roman" w:hAnsi="Times New Roman" w:cs="Times New Roman" w:eastAsia="Times New Roman" w:hint="default"/>
          <w:sz w:val="18"/>
          <w:szCs w:val="18"/>
        </w:rPr>
        <w:t>5,296,499.06</w:t>
      </w:r>
      <w:r>
        <w:rPr>
          <w:rFonts w:ascii="宋体" w:hAnsi="宋体" w:cs="宋体" w:eastAsia="宋体" w:hint="default"/>
          <w:sz w:val="18"/>
          <w:szCs w:val="18"/>
        </w:rPr>
        <w:t>元后，当年可供股东分配的利润为人民币</w:t>
      </w:r>
      <w:r>
        <w:rPr>
          <w:rFonts w:ascii="Times New Roman" w:hAnsi="Times New Roman" w:cs="Times New Roman" w:eastAsia="Times New Roman" w:hint="default"/>
          <w:sz w:val="18"/>
          <w:szCs w:val="18"/>
        </w:rPr>
        <w:t>47,668,491.51 </w:t>
      </w:r>
      <w:r>
        <w:rPr>
          <w:rFonts w:ascii="宋体" w:hAnsi="宋体" w:cs="宋体" w:eastAsia="宋体" w:hint="default"/>
          <w:sz w:val="18"/>
          <w:szCs w:val="18"/>
        </w:rPr>
        <w:t>元。</w:t>
      </w:r>
      <w:r>
        <w:rPr>
          <w:rFonts w:ascii="宋体" w:hAnsi="宋体" w:cs="宋体" w:eastAsia="宋体" w:hint="default"/>
          <w:spacing w:val="-13"/>
          <w:sz w:val="18"/>
          <w:szCs w:val="18"/>
        </w:rPr>
        <w:t> </w:t>
      </w:r>
      <w:r>
        <w:rPr>
          <w:rFonts w:ascii="宋体" w:hAnsi="宋体" w:cs="宋体" w:eastAsia="宋体" w:hint="default"/>
          <w:sz w:val="18"/>
          <w:szCs w:val="18"/>
        </w:rPr>
        <w:t>根据上述可供</w:t>
      </w:r>
      <w:r>
        <w:rPr>
          <w:rFonts w:ascii="宋体" w:hAnsi="宋体" w:cs="宋体" w:eastAsia="宋体" w:hint="default"/>
          <w:sz w:val="18"/>
          <w:szCs w:val="18"/>
        </w:rPr>
        <w:t> 股东分配的利润，本次利润分配方案为：以总股本</w:t>
      </w:r>
      <w:r>
        <w:rPr>
          <w:rFonts w:ascii="Times New Roman" w:hAnsi="Times New Roman" w:cs="Times New Roman" w:eastAsia="Times New Roman" w:hint="default"/>
          <w:sz w:val="18"/>
          <w:szCs w:val="18"/>
        </w:rPr>
        <w:t>6650</w:t>
      </w:r>
      <w:r>
        <w:rPr>
          <w:rFonts w:ascii="宋体" w:hAnsi="宋体" w:cs="宋体" w:eastAsia="宋体" w:hint="default"/>
          <w:sz w:val="18"/>
          <w:szCs w:val="18"/>
        </w:rPr>
        <w:t>万股为基数，每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股派送现金</w:t>
      </w:r>
      <w:r>
        <w:rPr>
          <w:rFonts w:ascii="Times New Roman" w:hAnsi="Times New Roman" w:cs="Times New Roman" w:eastAsia="Times New Roman" w:hint="default"/>
          <w:sz w:val="18"/>
          <w:szCs w:val="18"/>
        </w:rPr>
        <w:t>2.2</w:t>
      </w:r>
      <w:r>
        <w:rPr>
          <w:rFonts w:ascii="宋体" w:hAnsi="宋体" w:cs="宋体" w:eastAsia="宋体" w:hint="default"/>
          <w:sz w:val="18"/>
          <w:szCs w:val="18"/>
        </w:rPr>
        <w:t>元（含税），共计派送现金人民币 </w:t>
      </w:r>
      <w:r>
        <w:rPr>
          <w:rFonts w:ascii="Times New Roman" w:hAnsi="Times New Roman" w:cs="Times New Roman" w:eastAsia="Times New Roman" w:hint="default"/>
          <w:sz w:val="18"/>
          <w:szCs w:val="18"/>
        </w:rPr>
        <w:t>1463.00</w:t>
      </w:r>
      <w:r>
        <w:rPr>
          <w:rFonts w:ascii="宋体" w:hAnsi="宋体" w:cs="宋体" w:eastAsia="宋体" w:hint="default"/>
          <w:sz w:val="18"/>
          <w:szCs w:val="18"/>
        </w:rPr>
        <w:t>万元。</w:t>
      </w:r>
    </w:p>
    <w:p>
      <w:pPr>
        <w:spacing w:line="300" w:lineRule="auto" w:before="13"/>
        <w:ind w:left="1133" w:right="1132" w:firstLine="29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年度，经致同会计师事务所（特殊普通合伙）审计，母公司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年实现净利润为人民币</w:t>
      </w:r>
      <w:r>
        <w:rPr>
          <w:rFonts w:ascii="Times New Roman" w:hAnsi="Times New Roman" w:cs="Times New Roman" w:eastAsia="Times New Roman" w:hint="default"/>
          <w:sz w:val="18"/>
          <w:szCs w:val="18"/>
        </w:rPr>
        <w:t>38,162,033.29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元，扣除 </w:t>
      </w:r>
      <w:r>
        <w:rPr>
          <w:rFonts w:ascii="宋体" w:hAnsi="宋体" w:cs="宋体" w:eastAsia="宋体" w:hint="default"/>
          <w:spacing w:val="-1"/>
          <w:sz w:val="18"/>
          <w:szCs w:val="18"/>
        </w:rPr>
        <w:t>应计提的法定盈余公积</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即人民币</w:t>
      </w:r>
      <w:r>
        <w:rPr>
          <w:rFonts w:ascii="Times New Roman" w:hAnsi="Times New Roman" w:cs="Times New Roman" w:eastAsia="Times New Roman" w:hint="default"/>
          <w:spacing w:val="-1"/>
          <w:sz w:val="18"/>
          <w:szCs w:val="18"/>
        </w:rPr>
        <w:t>3,816,203.33</w:t>
      </w:r>
      <w:r>
        <w:rPr>
          <w:rFonts w:ascii="宋体" w:hAnsi="宋体" w:cs="宋体" w:eastAsia="宋体" w:hint="default"/>
          <w:spacing w:val="-1"/>
          <w:sz w:val="18"/>
          <w:szCs w:val="18"/>
        </w:rPr>
        <w:t>元后，当年可供股东分配的利润为人民币</w:t>
      </w:r>
      <w:r>
        <w:rPr>
          <w:rFonts w:ascii="Times New Roman" w:hAnsi="Times New Roman" w:cs="Times New Roman" w:eastAsia="Times New Roman" w:hint="default"/>
          <w:spacing w:val="-1"/>
          <w:sz w:val="18"/>
          <w:szCs w:val="18"/>
        </w:rPr>
        <w:t>34,345,829.96</w:t>
      </w:r>
      <w:r>
        <w:rPr>
          <w:rFonts w:ascii="宋体" w:hAnsi="宋体" w:cs="宋体" w:eastAsia="宋体" w:hint="default"/>
          <w:spacing w:val="-1"/>
          <w:sz w:val="18"/>
          <w:szCs w:val="18"/>
        </w:rPr>
        <w:t>元。鉴于公司正处于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发展期，统筹考虑公司资金使用情况，</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年利润分配方案案为：以截至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8867</w:t>
      </w:r>
      <w:r>
        <w:rPr>
          <w:rFonts w:ascii="宋体" w:hAnsi="宋体" w:cs="宋体" w:eastAsia="宋体" w:hint="default"/>
          <w:sz w:val="18"/>
          <w:szCs w:val="18"/>
        </w:rPr>
        <w:t>万股为基数，向全体 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1.8</w:t>
      </w:r>
      <w:r>
        <w:rPr>
          <w:rFonts w:ascii="宋体" w:hAnsi="宋体" w:cs="宋体" w:eastAsia="宋体" w:hint="default"/>
          <w:sz w:val="18"/>
          <w:szCs w:val="18"/>
        </w:rPr>
        <w:t>元（含税），共计派发股利人民币</w:t>
      </w:r>
      <w:r>
        <w:rPr>
          <w:rFonts w:ascii="Times New Roman" w:hAnsi="Times New Roman" w:cs="Times New Roman" w:eastAsia="Times New Roman" w:hint="default"/>
          <w:sz w:val="18"/>
          <w:szCs w:val="18"/>
        </w:rPr>
        <w:t>15,960,600.00</w:t>
      </w:r>
      <w:r>
        <w:rPr>
          <w:rFonts w:ascii="宋体" w:hAnsi="宋体" w:cs="宋体" w:eastAsia="宋体" w:hint="default"/>
          <w:sz w:val="18"/>
          <w:szCs w:val="18"/>
        </w:rPr>
        <w:t>元。</w:t>
      </w:r>
    </w:p>
    <w:p>
      <w:pPr>
        <w:spacing w:line="300" w:lineRule="auto" w:before="13"/>
        <w:ind w:left="1496" w:right="1035" w:hanging="7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公司第三届董事会第十五次会议审议通过了《关于公司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年度利润分配预案的议案》，</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年利润分配预案如下：</w:t>
      </w:r>
      <w:r>
        <w:rPr>
          <w:rFonts w:ascii="宋体" w:hAnsi="宋体" w:cs="宋体" w:eastAsia="宋体" w:hint="default"/>
          <w:spacing w:val="-85"/>
          <w:sz w:val="18"/>
          <w:szCs w:val="18"/>
        </w:rPr>
        <w:t> </w:t>
      </w:r>
      <w:r>
        <w:rPr>
          <w:rFonts w:ascii="宋体" w:hAnsi="宋体" w:cs="宋体" w:eastAsia="宋体" w:hint="default"/>
          <w:sz w:val="18"/>
          <w:szCs w:val="18"/>
        </w:rPr>
        <w:t>经致同会计师事务所（特殊普通合伙）审计，母公司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年实现净利润为人民币</w:t>
      </w:r>
      <w:r>
        <w:rPr>
          <w:rFonts w:ascii="Times New Roman" w:hAnsi="Times New Roman" w:cs="Times New Roman" w:eastAsia="Times New Roman" w:hint="default"/>
          <w:sz w:val="18"/>
          <w:szCs w:val="18"/>
        </w:rPr>
        <w:t>52,619,428.57</w:t>
      </w:r>
      <w:r>
        <w:rPr>
          <w:rFonts w:ascii="宋体" w:hAnsi="宋体" w:cs="宋体" w:eastAsia="宋体" w:hint="default"/>
          <w:sz w:val="18"/>
          <w:szCs w:val="18"/>
        </w:rPr>
        <w:t>元，合并报表归属母公司</w:t>
      </w:r>
    </w:p>
    <w:p>
      <w:pPr>
        <w:spacing w:line="300" w:lineRule="auto" w:before="13"/>
        <w:ind w:left="1133" w:right="0" w:firstLine="0"/>
        <w:jc w:val="left"/>
        <w:rPr>
          <w:rFonts w:ascii="宋体" w:hAnsi="宋体" w:cs="宋体" w:eastAsia="宋体" w:hint="default"/>
          <w:sz w:val="18"/>
          <w:szCs w:val="18"/>
        </w:rPr>
      </w:pPr>
      <w:r>
        <w:rPr>
          <w:rFonts w:ascii="宋体" w:hAnsi="宋体" w:cs="宋体" w:eastAsia="宋体" w:hint="default"/>
          <w:spacing w:val="-3"/>
          <w:sz w:val="18"/>
          <w:szCs w:val="18"/>
        </w:rPr>
        <w:t>所有者净利润为</w:t>
      </w:r>
      <w:r>
        <w:rPr>
          <w:rFonts w:ascii="Times New Roman" w:hAnsi="Times New Roman" w:cs="Times New Roman" w:eastAsia="Times New Roman" w:hint="default"/>
          <w:spacing w:val="-3"/>
          <w:sz w:val="18"/>
          <w:szCs w:val="18"/>
        </w:rPr>
        <w:t>70,937,874.33</w:t>
      </w:r>
      <w:r>
        <w:rPr>
          <w:rFonts w:ascii="宋体" w:hAnsi="宋体" w:cs="宋体" w:eastAsia="宋体" w:hint="default"/>
          <w:spacing w:val="-3"/>
          <w:sz w:val="18"/>
          <w:szCs w:val="18"/>
        </w:rPr>
        <w:t>元。根据《公司章程》等相关规定，扣除应计提的法定盈余公积</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即人民币</w:t>
      </w:r>
      <w:r>
        <w:rPr>
          <w:rFonts w:ascii="Times New Roman" w:hAnsi="Times New Roman" w:cs="Times New Roman" w:eastAsia="Times New Roman" w:hint="default"/>
          <w:spacing w:val="-3"/>
          <w:sz w:val="18"/>
          <w:szCs w:val="18"/>
        </w:rPr>
        <w:t>5,261,942.86</w:t>
      </w:r>
      <w:r>
        <w:rPr>
          <w:rFonts w:ascii="宋体" w:hAnsi="宋体" w:cs="宋体" w:eastAsia="宋体" w:hint="default"/>
          <w:spacing w:val="-3"/>
          <w:sz w:val="18"/>
          <w:szCs w:val="18"/>
        </w:rPr>
        <w:t>元后，</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当年可供股东分配的利润为人民币</w:t>
      </w:r>
      <w:r>
        <w:rPr>
          <w:rFonts w:ascii="Times New Roman" w:hAnsi="Times New Roman" w:cs="Times New Roman" w:eastAsia="Times New Roman" w:hint="default"/>
          <w:sz w:val="18"/>
          <w:szCs w:val="18"/>
        </w:rPr>
        <w:t>47,357,485.71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元，加上以前年度累计可供分配利润，母公司累计可供股东分配的利润为 </w:t>
      </w:r>
      <w:r>
        <w:rPr>
          <w:rFonts w:ascii="Times New Roman" w:hAnsi="Times New Roman" w:cs="Times New Roman" w:eastAsia="Times New Roman" w:hint="default"/>
          <w:sz w:val="18"/>
          <w:szCs w:val="18"/>
        </w:rPr>
        <w:t>190,804,425.45</w:t>
      </w:r>
      <w:r>
        <w:rPr>
          <w:rFonts w:ascii="宋体" w:hAnsi="宋体" w:cs="宋体" w:eastAsia="宋体" w:hint="default"/>
          <w:sz w:val="18"/>
          <w:szCs w:val="18"/>
        </w:rPr>
        <w:t>元，资本公积余额为</w:t>
      </w:r>
      <w:r>
        <w:rPr>
          <w:rFonts w:ascii="Times New Roman" w:hAnsi="Times New Roman" w:cs="Times New Roman" w:eastAsia="Times New Roman" w:hint="default"/>
          <w:sz w:val="18"/>
          <w:szCs w:val="18"/>
        </w:rPr>
        <w:t>199,524,557.81</w:t>
      </w:r>
      <w:r>
        <w:rPr>
          <w:rFonts w:ascii="宋体" w:hAnsi="宋体" w:cs="宋体" w:eastAsia="宋体" w:hint="default"/>
          <w:sz w:val="18"/>
          <w:szCs w:val="18"/>
        </w:rPr>
        <w:t>元。</w:t>
      </w:r>
    </w:p>
    <w:p>
      <w:pPr>
        <w:spacing w:line="300" w:lineRule="auto" w:before="13"/>
        <w:ind w:left="1133" w:right="1130" w:firstLine="480"/>
        <w:jc w:val="both"/>
        <w:rPr>
          <w:rFonts w:ascii="宋体" w:hAnsi="宋体" w:cs="宋体" w:eastAsia="宋体" w:hint="default"/>
          <w:sz w:val="18"/>
          <w:szCs w:val="18"/>
        </w:rPr>
      </w:pPr>
      <w:r>
        <w:rPr>
          <w:rFonts w:ascii="宋体" w:hAnsi="宋体" w:cs="宋体" w:eastAsia="宋体" w:hint="default"/>
          <w:spacing w:val="-1"/>
          <w:sz w:val="18"/>
          <w:szCs w:val="18"/>
        </w:rPr>
        <w:t>鉴于公司正处于发展期，统筹考虑公司资金使用情况及公司控股股东、实际控制人的合理提议，</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年利润分配预案</w:t>
      </w:r>
      <w:r>
        <w:rPr>
          <w:rFonts w:ascii="宋体" w:hAnsi="宋体" w:cs="宋体" w:eastAsia="宋体" w:hint="default"/>
          <w:sz w:val="18"/>
          <w:szCs w:val="18"/>
        </w:rPr>
        <w:t> 为：以截止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8867</w:t>
      </w:r>
      <w:r>
        <w:rPr>
          <w:rFonts w:ascii="宋体" w:hAnsi="宋体" w:cs="宋体" w:eastAsia="宋体" w:hint="default"/>
          <w:sz w:val="18"/>
          <w:szCs w:val="18"/>
        </w:rPr>
        <w:t>万股为基数，以未分配利润向全体股东每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1.9</w:t>
      </w:r>
      <w:r>
        <w:rPr>
          <w:rFonts w:ascii="宋体" w:hAnsi="宋体" w:cs="宋体" w:eastAsia="宋体" w:hint="default"/>
          <w:sz w:val="18"/>
          <w:szCs w:val="18"/>
        </w:rPr>
        <w:t>元（含税），共 计派发股利人民币</w:t>
      </w:r>
      <w:r>
        <w:rPr>
          <w:rFonts w:ascii="Times New Roman" w:hAnsi="Times New Roman" w:cs="Times New Roman" w:eastAsia="Times New Roman" w:hint="default"/>
          <w:sz w:val="18"/>
          <w:szCs w:val="18"/>
        </w:rPr>
        <w:t>16,847,300</w:t>
      </w:r>
      <w:r>
        <w:rPr>
          <w:rFonts w:ascii="宋体" w:hAnsi="宋体" w:cs="宋体" w:eastAsia="宋体" w:hint="default"/>
          <w:sz w:val="18"/>
          <w:szCs w:val="18"/>
        </w:rPr>
        <w:t>元；以资本公积向全体股东每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22</w:t>
      </w:r>
      <w:r>
        <w:rPr>
          <w:rFonts w:ascii="宋体" w:hAnsi="宋体" w:cs="宋体" w:eastAsia="宋体" w:hint="default"/>
          <w:sz w:val="18"/>
          <w:szCs w:val="18"/>
        </w:rPr>
        <w:t>股，共计转增股份</w:t>
      </w:r>
      <w:r>
        <w:rPr>
          <w:rFonts w:ascii="Times New Roman" w:hAnsi="Times New Roman" w:cs="Times New Roman" w:eastAsia="Times New Roman" w:hint="default"/>
          <w:sz w:val="18"/>
          <w:szCs w:val="18"/>
        </w:rPr>
        <w:t>195,074,000</w:t>
      </w:r>
      <w:r>
        <w:rPr>
          <w:rFonts w:ascii="宋体" w:hAnsi="宋体" w:cs="宋体" w:eastAsia="宋体" w:hint="default"/>
          <w:sz w:val="18"/>
          <w:szCs w:val="18"/>
        </w:rPr>
        <w:t>股。</w:t>
      </w:r>
    </w:p>
    <w:p>
      <w:pPr>
        <w:spacing w:before="53"/>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16,847,300.00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70,937,874.33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56,305,338.14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53,073,797.45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7"/>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1"/>
              <w:jc w:val="right"/>
              <w:rPr>
                <w:rFonts w:ascii="宋体" w:hAnsi="宋体" w:cs="宋体" w:eastAsia="宋体" w:hint="default"/>
                <w:sz w:val="18"/>
                <w:szCs w:val="18"/>
              </w:rPr>
            </w:pPr>
            <w:r>
              <w:rPr>
                <w:rFonts w:ascii="宋体" w:hAnsi="宋体" w:cs="宋体" w:eastAsia="宋体" w:hint="default"/>
                <w:sz w:val="18"/>
                <w:szCs w:val="18"/>
              </w:rPr>
              <w:t>不进行重大</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根据《上市公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22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资产重组承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司重大资产 重组管理办 法》等法律、 法规及规范 性文件的规 定，公司承诺 在股票停牌 期限内终止 筹划发行股 份购买资产 并募集配套 资金事项的</w:t>
            </w:r>
            <w:r>
              <w:rPr>
                <w:rFonts w:ascii="Times New Roman" w:hAnsi="Times New Roman" w:cs="Times New Roman" w:eastAsia="Times New Roman" w:hint="default"/>
                <w:sz w:val="18"/>
                <w:szCs w:val="18"/>
              </w:rPr>
              <w:t>, </w:t>
            </w:r>
            <w:r>
              <w:rPr>
                <w:rFonts w:ascii="宋体" w:hAnsi="宋体" w:cs="宋体" w:eastAsia="宋体" w:hint="default"/>
                <w:sz w:val="18"/>
                <w:szCs w:val="18"/>
              </w:rPr>
              <w:t>公司将及时 披露终止筹 划事项相关 公告</w:t>
            </w:r>
            <w:r>
              <w:rPr>
                <w:rFonts w:ascii="Times New Roman" w:hAnsi="Times New Roman" w:cs="Times New Roman" w:eastAsia="Times New Roman" w:hint="default"/>
                <w:sz w:val="18"/>
                <w:szCs w:val="18"/>
              </w:rPr>
              <w:t>,</w:t>
            </w:r>
            <w:r>
              <w:rPr>
                <w:rFonts w:ascii="宋体" w:hAnsi="宋体" w:cs="宋体" w:eastAsia="宋体" w:hint="default"/>
                <w:sz w:val="18"/>
                <w:szCs w:val="18"/>
              </w:rPr>
              <w:t>并承诺 自复牌之日 起六个月内 不再筹划发 行股份购买 资产并募集 配套资金事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杨保田、杨 成、杨力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股份锁定的 </w:t>
            </w:r>
            <w:r>
              <w:rPr>
                <w:rFonts w:ascii="宋体" w:hAnsi="宋体" w:cs="宋体" w:eastAsia="宋体" w:hint="default"/>
                <w:spacing w:val="-2"/>
                <w:sz w:val="18"/>
                <w:szCs w:val="18"/>
              </w:rPr>
              <w:t>承诺：除本次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公开发售的 </w:t>
            </w:r>
            <w:r>
              <w:rPr>
                <w:rFonts w:ascii="宋体" w:hAnsi="宋体" w:cs="宋体" w:eastAsia="宋体" w:hint="default"/>
                <w:spacing w:val="-2"/>
                <w:sz w:val="18"/>
                <w:szCs w:val="18"/>
              </w:rPr>
              <w:t>股份，自公司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股票上市之 日起三十六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 他人管理所 持有的公司 公开发行股 票前已发行 </w:t>
            </w:r>
            <w:r>
              <w:rPr>
                <w:rFonts w:ascii="宋体" w:hAnsi="宋体" w:cs="宋体" w:eastAsia="宋体" w:hint="default"/>
                <w:spacing w:val="-2"/>
                <w:sz w:val="18"/>
                <w:szCs w:val="18"/>
              </w:rPr>
              <w:t>的股份，也不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由公司回购 所持有的公 司公开发行 股票前已发 </w:t>
            </w:r>
            <w:r>
              <w:rPr>
                <w:rFonts w:ascii="宋体" w:hAnsi="宋体" w:cs="宋体" w:eastAsia="宋体" w:hint="default"/>
                <w:spacing w:val="-2"/>
                <w:sz w:val="18"/>
                <w:szCs w:val="18"/>
              </w:rPr>
              <w:t>行的股份。若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本人未履行 </w:t>
            </w:r>
            <w:r>
              <w:rPr>
                <w:rFonts w:ascii="宋体" w:hAnsi="宋体" w:cs="宋体" w:eastAsia="宋体" w:hint="default"/>
                <w:spacing w:val="-2"/>
                <w:sz w:val="18"/>
                <w:szCs w:val="18"/>
              </w:rPr>
              <w:t>上述承诺，所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份的收益应 归公司所有。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26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持股意向及 减持意向的 承诺：在公司 上市后将严 格遵守所做 出的股份锁 定及减持限 制措施承诺， 本人所持有 的公司股份 在锁定期满 后两年内减 持的，每年减 持数量不超 过本人持有 的公司股份</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，且减</w:t>
            </w:r>
            <w:r>
              <w:rPr>
                <w:rFonts w:ascii="宋体" w:hAnsi="宋体" w:cs="宋体" w:eastAsia="宋体" w:hint="default"/>
                <w:sz w:val="18"/>
                <w:szCs w:val="18"/>
              </w:rPr>
              <w:t> 持价格不低 于发行价格； 如遇除权除 息事项，上述 发行价作相 应调整。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所持股票在 锁定期满后 两年内减持 </w:t>
            </w:r>
            <w:r>
              <w:rPr>
                <w:rFonts w:ascii="宋体" w:hAnsi="宋体" w:cs="宋体" w:eastAsia="宋体" w:hint="default"/>
                <w:spacing w:val="-2"/>
                <w:sz w:val="18"/>
                <w:szCs w:val="18"/>
              </w:rPr>
              <w:t>的，其减持价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格不低于发 </w:t>
            </w:r>
            <w:r>
              <w:rPr>
                <w:rFonts w:ascii="宋体" w:hAnsi="宋体" w:cs="宋体" w:eastAsia="宋体" w:hint="default"/>
                <w:spacing w:val="-2"/>
                <w:sz w:val="18"/>
                <w:szCs w:val="18"/>
              </w:rPr>
              <w:t>行价；公司上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 如公司股票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价均低于发 </w:t>
            </w:r>
            <w:r>
              <w:rPr>
                <w:rFonts w:ascii="宋体" w:hAnsi="宋体" w:cs="宋体" w:eastAsia="宋体" w:hint="default"/>
                <w:spacing w:val="-2"/>
                <w:sz w:val="18"/>
                <w:szCs w:val="18"/>
              </w:rPr>
              <w:t>行价，或者上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 末收盘价低 </w:t>
            </w:r>
            <w:r>
              <w:rPr>
                <w:rFonts w:ascii="宋体" w:hAnsi="宋体" w:cs="宋体" w:eastAsia="宋体" w:hint="default"/>
                <w:spacing w:val="-2"/>
                <w:sz w:val="18"/>
                <w:szCs w:val="18"/>
              </w:rPr>
              <w:t>于发行价，持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有公司股票 的锁定期限 自动延长至 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间公司如有 派发股利、送 股、转增股本 等除权除息 事项，上述价 格相应调整。 若本人未履 行上述承诺， 所转让公司 股份的收益 应归公司所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控股股东、实 际控制人杨 保田、杨成承 诺：招股说明 书有虚假记 载、误导性陈 述或者重大 遗漏，对判断 公司是否符 合法律规定 的发行条件 构成重大、实 质影响的，本 人将督促公 司依法回购 首次公开发 行的全部新 股，并且本人 将依法购回 公司首次公 开发行股票 时本人公开 发售的股份。 购回价格为 发行价格加 上同期银行 存款利息。公 司上市后发 生派发股利、 送股、转增股 本等除权除 息事项的，上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5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述购回价格 和购回股份 数量将进行 相应调整。本 人将在收到 中国证监会 等有权部门 有关违法事 实认定的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交易日内制 订股份购回 方案并予以 公告。 因发 行人招股说 明书及其他 信息披露资 料有虚假记 载、误导性陈 述或者重大 遗漏，致使投 资者在证券 发行和交易 中遭受损失 的，将依法赔 偿投资者损 失。若本人违 反上述承诺， 则在违反上 述承诺发生 之日起停止 在公司领取 股东分红，且 所持的公司 股份不得转 让，直至其按 上述承诺采 取相应的购 回或赔偿措 施并实施完 毕时为止。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稳定股价的 承诺：公司自 股票上市之 日起三年内，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4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若出现连续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公司股票收 盘价均低于 公司上一个 会计年度末 经审计的每 </w:t>
            </w:r>
            <w:r>
              <w:rPr>
                <w:rFonts w:ascii="宋体" w:hAnsi="宋体" w:cs="宋体" w:eastAsia="宋体" w:hint="default"/>
                <w:spacing w:val="-2"/>
                <w:sz w:val="18"/>
                <w:szCs w:val="18"/>
              </w:rPr>
              <w:t>股净资产（每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 并财务报表 中归属于母 公司普通股 股东的所有 者权益</w:t>
            </w:r>
            <w:r>
              <w:rPr>
                <w:rFonts w:ascii="Times New Roman" w:hAnsi="Times New Roman" w:cs="Times New Roman" w:eastAsia="Times New Roman" w:hint="default"/>
                <w:sz w:val="18"/>
                <w:szCs w:val="18"/>
              </w:rPr>
              <w:t>÷</w:t>
            </w:r>
            <w:r>
              <w:rPr>
                <w:rFonts w:ascii="宋体" w:hAnsi="宋体" w:cs="宋体" w:eastAsia="宋体" w:hint="default"/>
                <w:sz w:val="18"/>
                <w:szCs w:val="18"/>
              </w:rPr>
              <w:t>年末 公司股份总 </w:t>
            </w:r>
            <w:r>
              <w:rPr>
                <w:rFonts w:ascii="宋体" w:hAnsi="宋体" w:cs="宋体" w:eastAsia="宋体" w:hint="default"/>
                <w:spacing w:val="-2"/>
                <w:sz w:val="18"/>
                <w:szCs w:val="18"/>
              </w:rPr>
              <w:t>数，下同）的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情形（若因除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权除息等事 项致使上述 股票收盘价 与公司上一 会计年度末 经审计的每 股净资产不</w:t>
            </w:r>
          </w:p>
          <w:p>
            <w:pPr>
              <w:pStyle w:val="TableParagraph"/>
              <w:spacing w:line="319"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具可比性的， 上述股票收 盘价应做相 应调整）则立 即启动股价 稳定预案。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公司承诺：招 股说明书有 虚假记载、误 导性陈述或 者重大遗漏， 对判断公司 是否符合法 律规定的发 行条件构成 重大、实质影 响的，公司将 依法回购首 次公开发行 的全部新股。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回购价格为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上同期银行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存款利息。公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司上市后发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生派发股利、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本等除权除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息事项的，上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述回购价格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数量将进行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相应调整。公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司将在收到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等有权部门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违法事实认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定的当日进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行公告，并在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定召开董事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会并发出召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开临时股东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大会的通知，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审议具体回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购方案；在股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通过回购公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案后，公司将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依法通知债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权人，并向中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主管部门报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送相关材料，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办理审批或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备案手续，然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后启动并实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施股份回购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程序。如公司 招股说明书 有虚假记载、 误导性陈述 或者重大遗 漏，致使投资 者在证券交 易中遭受损 失的，公司将 依法赔偿投 资者损失。如 公司届时未 履行上述公 开承诺，公司 将在未履行 上述承诺的 事实得到确 认后的次一 交易日公告 相关情况，公 司法定代表 人将在证监 会指定的信 息披露媒体 上公开作出 解释并向投 资者道歉。同 时，公司将按 照法律法规 的规定及监 管部门的要 求承担相应 的责任。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利润分配政 策的承诺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填补被摊薄 即期回报的 措施及承诺： 若本次公开 发行并在创 业板上市成 功，将获取募 集资金并扩 大公司股本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规模，但募集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资金到位当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期无法立即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产生效益，因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此会影响公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司该期间的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每股收益及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率；同时，若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行并在创业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板上市后未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能实现募投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项目计划贡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献率，且公司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原有业务未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能获得相应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幅度的增长，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公司每股收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益和净资产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收益率等指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标有可能在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短期内会出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现下降，请投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资者注意公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司即期回报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被摊薄的风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险。填补被摊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薄即期回报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的措施如下：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、加快募投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项目实施，提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升投资回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 。本次募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资于一次设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备状态检测、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监测产品生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产改造项目，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计量装置检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测、监测设备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生产改造项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目，研发中心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扩建项目以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及补充营运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资金，募投项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目的实施可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以有效解决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产能瓶颈，提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升销售规模。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公司已对上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述募投项目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进行可行性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研究论证，符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合行业发展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趋势，若募投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项目顺利实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施，将大幅提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高公司的盈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将加快募投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项目实施，提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升投资回报，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降低上市后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即期回报被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摊薄的风险。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、加强募集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资金管理。为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规范募集资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金的管理和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使用，确保本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次发行募集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资金专款专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用，公司将根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定以及《厦门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公司募集资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的要求，将募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集资金存放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于董事会指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定的专用账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户进行存储，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做到专款专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用。同时，公 司将严格按 照相关法律、 法规和规范 性文件的规 定以及《厦门 红相电力设 备股份有限 公司募集资 金管理制度》 的要求使用 募集资金，并 接受保荐机 构、开户银 行、证券交易 所和其他有 权部门的监 督。 </w:t>
            </w:r>
            <w:r>
              <w:rPr>
                <w:rFonts w:ascii="Times New Roman" w:hAnsi="Times New Roman" w:cs="Times New Roman" w:eastAsia="Times New Roman" w:hint="default"/>
                <w:sz w:val="18"/>
                <w:szCs w:val="18"/>
              </w:rPr>
              <w:t>3</w:t>
            </w:r>
            <w:r>
              <w:rPr>
                <w:rFonts w:ascii="宋体" w:hAnsi="宋体" w:cs="宋体" w:eastAsia="宋体" w:hint="default"/>
                <w:sz w:val="18"/>
                <w:szCs w:val="18"/>
              </w:rPr>
              <w:t>、保 持并发展公 司现有业务。 本公司主要 从事电力设 备状态检测、 监测产品和 电能表的研 发、生产和销 售，并提供相 关技术服务。 未来，公司将 充分利用智 能电网建设 所带来的机 遇，立足自己 的优势产品， 突出发展重 点，保持并进 一步发展公 司业务，提升 公司盈利能 力，以降低上 市后即期回 报被摊薄的 风险。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杨保田、杨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公司全体董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53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成、杨力、吴 志阳、唐炎 钊、尹久远、 陈守德、陈耀 高、王新火、 林庆乙、罗 媛、马露萍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事、监事及高 级管理人员 承诺：因发行 人招股说明 书及其他信 息披露资料 有虚假记载、 误导性陈述 或者重大遗 漏，致使投资 者在证券发 行和交易中 遭受损失的， 将依法赔偿 投资者损失。 若本人违反 上述承诺，则 自愿接受以 下约束措施： 不得作为股 权激励对象， 或调整出已 开始实施的 股权激励方 案的行权名 单；视情节轻 重，可以对本 人采取扣减 绩效薪酬、降 薪、降职、停 职、撤职等处 罚措施；同时 本人所持有 的公司股份 将不得转让， 直至按承诺 采取相应的 赔偿措施并 实施完毕时 为止。</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为维护公司 及公司其他 股东的合法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权益，避免未 来可能发生 的同业竞争， 公司控股股 东杨保田、实 际控制人杨 保田及杨成 已于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p>
          <w:p>
            <w:pPr>
              <w:pStyle w:val="TableParagraph"/>
              <w:spacing w:line="309" w:lineRule="auto"/>
              <w:ind w:left="2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 公司提交了 书面承诺函。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针对公司可 能面临的因 社会保险和 住房公积金 缴交不规范 而可能受到 有关主管部 门追缴或处 罚等情况，公 司实际控制 人杨保田和 杨成已作出 </w:t>
            </w:r>
            <w:r>
              <w:rPr>
                <w:rFonts w:ascii="宋体" w:hAnsi="宋体" w:cs="宋体" w:eastAsia="宋体" w:hint="default"/>
                <w:spacing w:val="-13"/>
                <w:w w:val="100"/>
                <w:sz w:val="18"/>
                <w:szCs w:val="18"/>
              </w:rPr>
              <w:t>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若厦门</w:t>
            </w:r>
            <w:r>
              <w:rPr>
                <w:rFonts w:ascii="宋体" w:hAnsi="宋体" w:cs="宋体" w:eastAsia="宋体" w:hint="default"/>
                <w:sz w:val="18"/>
                <w:szCs w:val="18"/>
              </w:rPr>
              <w:t> 红相电力设 备股份有限 公司因上市 前社会保险 和住房公积 金缴交不规 范而受到有 关主管部门 的追缴或处 罚，或任何利</w:t>
            </w:r>
            <w:r>
              <w:rPr>
                <w:rFonts w:ascii="宋体" w:hAnsi="宋体" w:cs="宋体" w:eastAsia="宋体" w:hint="default"/>
                <w:sz w:val="18"/>
                <w:szCs w:val="18"/>
              </w:rPr>
              <w:t> 益相关方以 此为由向公 司提出权利 要求，且该等 要求获得主 管部门支持， 则公司利益 受到的一切 损失均由杨 保田及杨成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全额承担，且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杨保田与杨 成之间互相 承担连带责 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134"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151"/>
        <w:jc w:val="left"/>
      </w:pPr>
      <w:r>
        <w:rPr/>
        <w:t>本期纳入合并财务报表范围的主体较上期相比发生变化，详见</w:t>
      </w:r>
      <w:r>
        <w:rPr>
          <w:rFonts w:ascii="Times New Roman" w:hAnsi="Times New Roman" w:cs="Times New Roman" w:eastAsia="Times New Roman" w:hint="default"/>
        </w:rPr>
        <w:t>2015</w:t>
      </w:r>
      <w:r>
        <w:rPr/>
        <w:t>年年度报告</w:t>
      </w:r>
      <w:r>
        <w:rPr>
          <w:rFonts w:ascii="Times New Roman" w:hAnsi="Times New Roman" w:cs="Times New Roman" w:eastAsia="Times New Roman" w:hint="default"/>
        </w:rPr>
        <w:t>“</w:t>
      </w:r>
      <w:r>
        <w:rPr/>
        <w:t>第十节</w:t>
      </w:r>
      <w:r>
        <w:rPr>
          <w:spacing w:val="-23"/>
        </w:rPr>
        <w:t> </w:t>
      </w:r>
      <w:r>
        <w:rPr/>
        <w:t>财务报告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八、 合并范围的变更</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1"/>
          <w:szCs w:val="21"/>
        </w:rPr>
      </w:pPr>
    </w:p>
    <w:p>
      <w:pPr>
        <w:pStyle w:val="Heading2"/>
        <w:spacing w:line="240" w:lineRule="auto"/>
        <w:ind w:left="1134"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刘维、吴乐霖</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line="338" w:lineRule="auto" w:before="44"/>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4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6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40" w:lineRule="auto"/>
        <w:ind w:right="0"/>
        <w:jc w:val="left"/>
      </w:pPr>
      <w:r>
        <w:rPr/>
        <w:t>①购买理财产品</w:t>
      </w:r>
    </w:p>
    <w:p>
      <w:pPr>
        <w:spacing w:line="240" w:lineRule="auto" w:before="3"/>
        <w:rPr>
          <w:rFonts w:ascii="宋体" w:hAnsi="宋体" w:cs="宋体" w:eastAsia="宋体" w:hint="default"/>
          <w:sz w:val="24"/>
          <w:szCs w:val="24"/>
        </w:rPr>
      </w:pPr>
    </w:p>
    <w:p>
      <w:pPr>
        <w:pStyle w:val="BodyText"/>
        <w:spacing w:line="259" w:lineRule="auto"/>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日，公司向长江证券股份有限公司购买两项保本理财型产品，合计</w:t>
      </w:r>
      <w:r>
        <w:rPr>
          <w:rFonts w:ascii="Times New Roman" w:hAnsi="Times New Roman" w:cs="Times New Roman" w:eastAsia="Times New Roman" w:hint="default"/>
        </w:rPr>
        <w:t>1.4</w:t>
      </w:r>
      <w:r>
        <w:rPr/>
        <w:t>亿元。</w:t>
      </w:r>
      <w:r>
        <w:rPr>
          <w:rFonts w:ascii="Times New Roman" w:hAnsi="Times New Roman" w:cs="Times New Roman" w:eastAsia="Times New Roman" w:hint="default"/>
        </w:rPr>
        <w:t>2015</w:t>
      </w:r>
      <w:r>
        <w:rPr/>
        <w:t>年度共取得</w:t>
      </w:r>
      <w:r>
        <w:rPr>
          <w:spacing w:val="-79"/>
        </w:rPr>
        <w:t> </w:t>
      </w:r>
      <w:r>
        <w:rPr>
          <w:spacing w:val="-79"/>
        </w:rPr>
      </w:r>
      <w:r>
        <w:rPr/>
        <w:t>理财产品投资收益</w:t>
      </w:r>
      <w:r>
        <w:rPr>
          <w:rFonts w:ascii="Times New Roman" w:hAnsi="Times New Roman" w:cs="Times New Roman" w:eastAsia="Times New Roman" w:hint="default"/>
        </w:rPr>
        <w:t>4,746,518.94</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44"/>
        <w:ind w:left="1133"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vMerge w:val="restart"/>
            <w:tcBorders>
              <w:top w:val="single" w:sz="4" w:space="0" w:color="000000"/>
              <w:left w:val="single" w:sz="4" w:space="0" w:color="000000"/>
              <w:right w:val="single" w:sz="4" w:space="0" w:color="000000"/>
            </w:tcBorders>
          </w:tcPr>
          <w:p>
            <w:pPr>
              <w:pStyle w:val="TableParagraph"/>
              <w:spacing w:line="316" w:lineRule="auto" w:before="97"/>
              <w:ind w:left="22" w:right="185"/>
              <w:jc w:val="left"/>
              <w:rPr>
                <w:rFonts w:ascii="宋体" w:hAnsi="宋体" w:cs="宋体" w:eastAsia="宋体" w:hint="default"/>
                <w:sz w:val="18"/>
                <w:szCs w:val="18"/>
              </w:rPr>
            </w:pPr>
            <w:r>
              <w:rPr>
                <w:rFonts w:ascii="宋体" w:hAnsi="宋体" w:cs="宋体" w:eastAsia="宋体" w:hint="default"/>
                <w:sz w:val="18"/>
                <w:szCs w:val="18"/>
              </w:rPr>
              <w:t>厦门红相电力设备股份有限公司关联交易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3460"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line="300" w:lineRule="auto" w:before="44"/>
        <w:ind w:left="1424" w:right="2902" w:firstLine="0"/>
        <w:jc w:val="left"/>
        <w:rPr>
          <w:rFonts w:ascii="宋体" w:hAnsi="宋体" w:cs="宋体" w:eastAsia="宋体" w:hint="default"/>
          <w:sz w:val="18"/>
          <w:szCs w:val="18"/>
        </w:rPr>
      </w:pPr>
      <w:r>
        <w:rPr>
          <w:rFonts w:ascii="宋体" w:hAnsi="宋体" w:cs="宋体" w:eastAsia="宋体" w:hint="default"/>
          <w:sz w:val="18"/>
          <w:szCs w:val="18"/>
        </w:rPr>
        <w:t>报告期内，公司及其子公司租赁的主要房产有</w:t>
      </w:r>
      <w:r>
        <w:rPr>
          <w:rFonts w:ascii="Times New Roman" w:hAnsi="Times New Roman" w:cs="Times New Roman" w:eastAsia="Times New Roman" w:hint="default"/>
          <w:sz w:val="18"/>
          <w:szCs w:val="18"/>
        </w:rPr>
        <w:t>56</w:t>
      </w:r>
      <w:r>
        <w:rPr>
          <w:rFonts w:ascii="宋体" w:hAnsi="宋体" w:cs="宋体" w:eastAsia="宋体" w:hint="default"/>
          <w:sz w:val="18"/>
          <w:szCs w:val="18"/>
        </w:rPr>
        <w:t>处，用于公司及其子公司、联络处的生产经营。 该等租赁的房产的具体情况如下：</w:t>
      </w:r>
    </w:p>
    <w:p>
      <w:pPr>
        <w:spacing w:line="240" w:lineRule="auto" w:before="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28"/>
        <w:gridCol w:w="650"/>
        <w:gridCol w:w="703"/>
        <w:gridCol w:w="1999"/>
        <w:gridCol w:w="441"/>
        <w:gridCol w:w="728"/>
        <w:gridCol w:w="2331"/>
        <w:gridCol w:w="1175"/>
        <w:gridCol w:w="1428"/>
      </w:tblGrid>
      <w:tr>
        <w:trPr>
          <w:trHeight w:val="1278" w:hRule="exact"/>
        </w:trPr>
        <w:tc>
          <w:tcPr>
            <w:tcW w:w="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50" w:right="50"/>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6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11" w:right="105" w:hanging="105"/>
              <w:jc w:val="left"/>
              <w:rPr>
                <w:rFonts w:ascii="宋体" w:hAnsi="宋体" w:cs="宋体" w:eastAsia="宋体" w:hint="default"/>
                <w:sz w:val="21"/>
                <w:szCs w:val="21"/>
              </w:rPr>
            </w:pPr>
            <w:r>
              <w:rPr>
                <w:rFonts w:ascii="宋体" w:hAnsi="宋体" w:cs="宋体" w:eastAsia="宋体" w:hint="default"/>
                <w:b/>
                <w:bCs/>
                <w:sz w:val="21"/>
                <w:szCs w:val="21"/>
              </w:rPr>
              <w:t>出租</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w:t>
            </w:r>
            <w:r>
              <w:rPr>
                <w:rFonts w:ascii="宋体" w:hAnsi="宋体" w:cs="宋体" w:eastAsia="宋体" w:hint="default"/>
                <w:sz w:val="21"/>
                <w:szCs w:val="21"/>
              </w:rPr>
            </w:r>
          </w:p>
        </w:tc>
        <w:tc>
          <w:tcPr>
            <w:tcW w:w="7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b/>
                <w:bCs/>
                <w:sz w:val="21"/>
                <w:szCs w:val="21"/>
              </w:rPr>
              <w:t>承租方</w:t>
            </w:r>
            <w:r>
              <w:rPr>
                <w:rFonts w:ascii="宋体" w:hAnsi="宋体" w:cs="宋体" w:eastAsia="宋体" w:hint="default"/>
                <w:sz w:val="21"/>
                <w:szCs w:val="21"/>
              </w:rPr>
            </w:r>
          </w:p>
        </w:tc>
        <w:tc>
          <w:tcPr>
            <w:tcW w:w="19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房屋位置</w:t>
            </w:r>
            <w:r>
              <w:rPr>
                <w:rFonts w:ascii="宋体" w:hAnsi="宋体" w:cs="宋体" w:eastAsia="宋体" w:hint="default"/>
                <w:sz w:val="21"/>
                <w:szCs w:val="21"/>
              </w:rPr>
            </w:r>
          </w:p>
        </w:tc>
        <w:tc>
          <w:tcPr>
            <w:tcW w:w="4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7" w:right="107"/>
              <w:jc w:val="both"/>
              <w:rPr>
                <w:rFonts w:ascii="宋体" w:hAnsi="宋体" w:cs="宋体" w:eastAsia="宋体" w:hint="default"/>
                <w:sz w:val="21"/>
                <w:szCs w:val="21"/>
              </w:rPr>
            </w:pPr>
            <w:r>
              <w:rPr>
                <w:rFonts w:ascii="宋体" w:hAnsi="宋体" w:cs="宋体" w:eastAsia="宋体" w:hint="default"/>
                <w:b/>
                <w:bCs/>
                <w:sz w:val="21"/>
                <w:szCs w:val="21"/>
              </w:rPr>
              <w:t>房</w:t>
            </w:r>
            <w:r>
              <w:rPr>
                <w:rFonts w:ascii="宋体" w:hAnsi="宋体" w:cs="宋体" w:eastAsia="宋体" w:hint="default"/>
                <w:b/>
                <w:bCs/>
                <w:w w:val="99"/>
                <w:sz w:val="21"/>
                <w:szCs w:val="21"/>
              </w:rPr>
              <w:t> </w:t>
            </w:r>
            <w:r>
              <w:rPr>
                <w:rFonts w:ascii="宋体" w:hAnsi="宋体" w:cs="宋体" w:eastAsia="宋体" w:hint="default"/>
                <w:b/>
                <w:bCs/>
                <w:sz w:val="21"/>
                <w:szCs w:val="21"/>
              </w:rPr>
              <w:t>屋</w:t>
            </w:r>
            <w:r>
              <w:rPr>
                <w:rFonts w:ascii="宋体" w:hAnsi="宋体" w:cs="宋体" w:eastAsia="宋体" w:hint="default"/>
                <w:b/>
                <w:bCs/>
                <w:w w:val="99"/>
                <w:sz w:val="21"/>
                <w:szCs w:val="21"/>
              </w:rPr>
              <w:t> </w:t>
            </w:r>
            <w:r>
              <w:rPr>
                <w:rFonts w:ascii="宋体" w:hAnsi="宋体" w:cs="宋体" w:eastAsia="宋体" w:hint="default"/>
                <w:b/>
                <w:bCs/>
                <w:sz w:val="21"/>
                <w:szCs w:val="21"/>
              </w:rPr>
              <w:t>用</w:t>
            </w:r>
            <w:r>
              <w:rPr>
                <w:rFonts w:ascii="宋体" w:hAnsi="宋体" w:cs="宋体" w:eastAsia="宋体" w:hint="default"/>
                <w:b/>
                <w:bCs/>
                <w:w w:val="99"/>
                <w:sz w:val="21"/>
                <w:szCs w:val="21"/>
              </w:rPr>
              <w:t> </w:t>
            </w:r>
            <w:r>
              <w:rPr>
                <w:rFonts w:ascii="宋体" w:hAnsi="宋体" w:cs="宋体" w:eastAsia="宋体" w:hint="default"/>
                <w:b/>
                <w:bCs/>
                <w:sz w:val="21"/>
                <w:szCs w:val="21"/>
              </w:rPr>
              <w:t>途</w:t>
            </w:r>
            <w:r>
              <w:rPr>
                <w:rFonts w:ascii="宋体" w:hAnsi="宋体" w:cs="宋体" w:eastAsia="宋体" w:hint="default"/>
                <w:sz w:val="21"/>
                <w:szCs w:val="21"/>
              </w:rPr>
            </w:r>
          </w:p>
        </w:tc>
        <w:tc>
          <w:tcPr>
            <w:tcW w:w="7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40" w:right="37"/>
              <w:jc w:val="both"/>
              <w:rPr>
                <w:rFonts w:ascii="宋体" w:hAnsi="宋体" w:cs="宋体" w:eastAsia="宋体" w:hint="default"/>
                <w:sz w:val="21"/>
                <w:szCs w:val="21"/>
              </w:rPr>
            </w:pPr>
            <w:r>
              <w:rPr>
                <w:rFonts w:ascii="宋体" w:hAnsi="宋体" w:cs="宋体" w:eastAsia="宋体" w:hint="default"/>
                <w:b/>
                <w:bCs/>
                <w:sz w:val="21"/>
                <w:szCs w:val="21"/>
              </w:rPr>
              <w:t>租赁面</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积（平</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方米）</w:t>
            </w:r>
            <w:r>
              <w:rPr>
                <w:rFonts w:ascii="宋体" w:hAnsi="宋体" w:cs="宋体" w:eastAsia="宋体" w:hint="default"/>
                <w:sz w:val="21"/>
                <w:szCs w:val="21"/>
              </w:rPr>
            </w:r>
          </w:p>
        </w:tc>
        <w:tc>
          <w:tcPr>
            <w:tcW w:w="23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房屋产权证号</w:t>
            </w:r>
            <w:r>
              <w:rPr>
                <w:rFonts w:ascii="宋体" w:hAnsi="宋体" w:cs="宋体" w:eastAsia="宋体" w:hint="default"/>
                <w:sz w:val="21"/>
                <w:szCs w:val="21"/>
              </w:rPr>
            </w:r>
          </w:p>
        </w:tc>
        <w:tc>
          <w:tcPr>
            <w:tcW w:w="1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b/>
                <w:bCs/>
                <w:sz w:val="21"/>
                <w:szCs w:val="21"/>
              </w:rPr>
              <w:t>租赁期限</w:t>
            </w:r>
            <w:r>
              <w:rPr>
                <w:rFonts w:ascii="宋体" w:hAnsi="宋体" w:cs="宋体" w:eastAsia="宋体" w:hint="default"/>
                <w:sz w:val="21"/>
                <w:szCs w:val="21"/>
              </w:rPr>
            </w:r>
          </w:p>
        </w:tc>
        <w:tc>
          <w:tcPr>
            <w:tcW w:w="14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租金</w:t>
            </w:r>
            <w:r>
              <w:rPr>
                <w:rFonts w:ascii="宋体" w:hAnsi="宋体" w:cs="宋体" w:eastAsia="宋体" w:hint="default"/>
                <w:sz w:val="21"/>
                <w:szCs w:val="21"/>
              </w:rPr>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叶德鸿</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厦门市思明区水仙路 </w:t>
            </w:r>
            <w:r>
              <w:rPr>
                <w:rFonts w:ascii="Times New Roman" w:hAnsi="Times New Roman" w:cs="Times New Roman" w:eastAsia="Times New Roman" w:hint="default"/>
                <w:sz w:val="21"/>
                <w:szCs w:val="21"/>
              </w:rPr>
              <w:t>33</w:t>
            </w:r>
            <w:r>
              <w:rPr>
                <w:rFonts w:ascii="宋体" w:hAnsi="宋体" w:cs="宋体" w:eastAsia="宋体" w:hint="default"/>
                <w:sz w:val="21"/>
                <w:szCs w:val="21"/>
              </w:rPr>
              <w:t>号海光大厦</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单 元</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251.2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厦地房证第</w:t>
            </w:r>
            <w:r>
              <w:rPr>
                <w:rFonts w:ascii="Times New Roman" w:hAnsi="Times New Roman" w:cs="Times New Roman" w:eastAsia="Times New Roman" w:hint="default"/>
                <w:sz w:val="21"/>
                <w:szCs w:val="21"/>
              </w:rPr>
              <w:t>00544216</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2013/12/26-2</w:t>
            </w:r>
          </w:p>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015/12/25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85" w:right="0"/>
              <w:jc w:val="left"/>
              <w:rPr>
                <w:rFonts w:ascii="宋体" w:hAnsi="宋体" w:cs="宋体" w:eastAsia="宋体" w:hint="default"/>
                <w:sz w:val="21"/>
                <w:szCs w:val="21"/>
              </w:rPr>
            </w:pPr>
            <w:r>
              <w:rPr>
                <w:rFonts w:ascii="宋体" w:hAnsi="宋体" w:cs="宋体" w:eastAsia="宋体" w:hint="default"/>
                <w:sz w:val="21"/>
                <w:szCs w:val="21"/>
              </w:rPr>
              <w:t>月租金为</w:t>
            </w:r>
          </w:p>
          <w:p>
            <w:pPr>
              <w:pStyle w:val="TableParagraph"/>
              <w:spacing w:line="240" w:lineRule="auto" w:before="37"/>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15,072</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叶德鸿</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厦门市思明区水仙路 </w:t>
            </w:r>
            <w:r>
              <w:rPr>
                <w:rFonts w:ascii="Times New Roman" w:hAnsi="Times New Roman" w:cs="Times New Roman" w:eastAsia="Times New Roman" w:hint="default"/>
                <w:sz w:val="21"/>
                <w:szCs w:val="21"/>
              </w:rPr>
              <w:t>33</w:t>
            </w:r>
            <w:r>
              <w:rPr>
                <w:rFonts w:ascii="宋体" w:hAnsi="宋体" w:cs="宋体" w:eastAsia="宋体" w:hint="default"/>
                <w:sz w:val="21"/>
                <w:szCs w:val="21"/>
              </w:rPr>
              <w:t>号海光大厦</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单 元</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251.2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厦地房证第</w:t>
            </w:r>
            <w:r>
              <w:rPr>
                <w:rFonts w:ascii="Times New Roman" w:hAnsi="Times New Roman" w:cs="Times New Roman" w:eastAsia="Times New Roman" w:hint="default"/>
                <w:sz w:val="21"/>
                <w:szCs w:val="21"/>
              </w:rPr>
              <w:t>00544216</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 w:right="0"/>
              <w:jc w:val="left"/>
              <w:rPr>
                <w:rFonts w:ascii="Times New Roman" w:hAnsi="Times New Roman" w:cs="Times New Roman" w:eastAsia="Times New Roman" w:hint="default"/>
                <w:sz w:val="21"/>
                <w:szCs w:val="21"/>
              </w:rPr>
            </w:pPr>
            <w:r>
              <w:rPr>
                <w:rFonts w:ascii="Times New Roman"/>
                <w:sz w:val="21"/>
              </w:rPr>
              <w:t>2015.12.26-</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2016.06.25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85" w:right="0"/>
              <w:jc w:val="left"/>
              <w:rPr>
                <w:rFonts w:ascii="宋体" w:hAnsi="宋体" w:cs="宋体" w:eastAsia="宋体" w:hint="default"/>
                <w:sz w:val="21"/>
                <w:szCs w:val="21"/>
              </w:rPr>
            </w:pPr>
            <w:r>
              <w:rPr>
                <w:rFonts w:ascii="宋体" w:hAnsi="宋体" w:cs="宋体" w:eastAsia="宋体" w:hint="default"/>
                <w:sz w:val="21"/>
                <w:szCs w:val="21"/>
              </w:rPr>
              <w:t>月租金为</w:t>
            </w:r>
          </w:p>
          <w:p>
            <w:pPr>
              <w:pStyle w:val="TableParagraph"/>
              <w:spacing w:line="240" w:lineRule="auto" w:before="37"/>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15,072</w:t>
            </w:r>
            <w:r>
              <w:rPr>
                <w:rFonts w:ascii="宋体" w:hAnsi="宋体" w:cs="宋体" w:eastAsia="宋体" w:hint="default"/>
                <w:sz w:val="21"/>
                <w:szCs w:val="21"/>
              </w:rPr>
              <w:t>元</w:t>
            </w:r>
          </w:p>
        </w:tc>
      </w:tr>
      <w:tr>
        <w:trPr>
          <w:trHeight w:val="972"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hanging="2"/>
              <w:jc w:val="center"/>
              <w:rPr>
                <w:rFonts w:ascii="宋体" w:hAnsi="宋体" w:cs="宋体" w:eastAsia="宋体" w:hint="default"/>
                <w:sz w:val="21"/>
                <w:szCs w:val="21"/>
              </w:rPr>
            </w:pPr>
            <w:r>
              <w:rPr>
                <w:rFonts w:ascii="宋体" w:hAnsi="宋体" w:cs="宋体" w:eastAsia="宋体" w:hint="default"/>
                <w:sz w:val="21"/>
                <w:szCs w:val="21"/>
              </w:rPr>
              <w:t>郭木 源、李 秋明</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厦门市思明区水仙路 </w:t>
            </w:r>
            <w:r>
              <w:rPr>
                <w:rFonts w:ascii="Times New Roman" w:hAnsi="Times New Roman" w:cs="Times New Roman" w:eastAsia="Times New Roman" w:hint="default"/>
                <w:sz w:val="21"/>
                <w:szCs w:val="21"/>
              </w:rPr>
              <w:t>33</w:t>
            </w:r>
            <w:r>
              <w:rPr>
                <w:rFonts w:ascii="宋体" w:hAnsi="宋体" w:cs="宋体" w:eastAsia="宋体" w:hint="default"/>
                <w:sz w:val="21"/>
                <w:szCs w:val="21"/>
              </w:rPr>
              <w:t>号海光大厦</w:t>
            </w:r>
            <w:r>
              <w:rPr>
                <w:rFonts w:ascii="Times New Roman" w:hAnsi="Times New Roman" w:cs="Times New Roman" w:eastAsia="Times New Roman" w:hint="default"/>
                <w:sz w:val="21"/>
                <w:szCs w:val="21"/>
              </w:rPr>
              <w:t>21C</w:t>
            </w:r>
            <w:r>
              <w:rPr>
                <w:rFonts w:ascii="宋体" w:hAnsi="宋体" w:cs="宋体" w:eastAsia="宋体" w:hint="default"/>
                <w:sz w:val="21"/>
                <w:szCs w:val="21"/>
              </w:rPr>
              <w:t>单 元</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116.28</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厦地房共证第</w:t>
            </w:r>
            <w:r>
              <w:rPr>
                <w:rFonts w:ascii="Times New Roman" w:hAnsi="Times New Roman" w:cs="Times New Roman" w:eastAsia="Times New Roman" w:hint="default"/>
                <w:sz w:val="21"/>
                <w:szCs w:val="21"/>
              </w:rPr>
              <w:t>00006090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2013/12/26-2</w:t>
            </w:r>
          </w:p>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015/12/25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7700</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hanging="2"/>
              <w:jc w:val="center"/>
              <w:rPr>
                <w:rFonts w:ascii="宋体" w:hAnsi="宋体" w:cs="宋体" w:eastAsia="宋体" w:hint="default"/>
                <w:sz w:val="21"/>
                <w:szCs w:val="21"/>
              </w:rPr>
            </w:pPr>
            <w:r>
              <w:rPr>
                <w:rFonts w:ascii="宋体" w:hAnsi="宋体" w:cs="宋体" w:eastAsia="宋体" w:hint="default"/>
                <w:sz w:val="21"/>
                <w:szCs w:val="21"/>
              </w:rPr>
              <w:t>郭木 源、李 秋明</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厦门市思明区水仙路 </w:t>
            </w:r>
            <w:r>
              <w:rPr>
                <w:rFonts w:ascii="Times New Roman" w:hAnsi="Times New Roman" w:cs="Times New Roman" w:eastAsia="Times New Roman" w:hint="default"/>
                <w:sz w:val="21"/>
                <w:szCs w:val="21"/>
              </w:rPr>
              <w:t>33</w:t>
            </w:r>
            <w:r>
              <w:rPr>
                <w:rFonts w:ascii="宋体" w:hAnsi="宋体" w:cs="宋体" w:eastAsia="宋体" w:hint="default"/>
                <w:sz w:val="21"/>
                <w:szCs w:val="21"/>
              </w:rPr>
              <w:t>号海光大厦</w:t>
            </w:r>
            <w:r>
              <w:rPr>
                <w:rFonts w:ascii="Times New Roman" w:hAnsi="Times New Roman" w:cs="Times New Roman" w:eastAsia="Times New Roman" w:hint="default"/>
                <w:sz w:val="21"/>
                <w:szCs w:val="21"/>
              </w:rPr>
              <w:t>21C</w:t>
            </w:r>
            <w:r>
              <w:rPr>
                <w:rFonts w:ascii="宋体" w:hAnsi="宋体" w:cs="宋体" w:eastAsia="宋体" w:hint="default"/>
                <w:sz w:val="21"/>
                <w:szCs w:val="21"/>
              </w:rPr>
              <w:t>单 元</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116.28</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sz w:val="21"/>
                <w:szCs w:val="21"/>
              </w:rPr>
              <w:t>厦地房共证第</w:t>
            </w:r>
            <w:r>
              <w:rPr>
                <w:rFonts w:ascii="Times New Roman" w:hAnsi="Times New Roman" w:cs="Times New Roman" w:eastAsia="Times New Roman" w:hint="default"/>
                <w:sz w:val="21"/>
                <w:szCs w:val="21"/>
              </w:rPr>
              <w:t>00006090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 w:right="0"/>
              <w:jc w:val="left"/>
              <w:rPr>
                <w:rFonts w:ascii="Times New Roman" w:hAnsi="Times New Roman" w:cs="Times New Roman" w:eastAsia="Times New Roman" w:hint="default"/>
                <w:sz w:val="21"/>
                <w:szCs w:val="21"/>
              </w:rPr>
            </w:pPr>
            <w:r>
              <w:rPr>
                <w:rFonts w:ascii="Times New Roman"/>
                <w:sz w:val="21"/>
              </w:rPr>
              <w:t>2015.12.16-</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2016.06.15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85" w:right="0"/>
              <w:jc w:val="left"/>
              <w:rPr>
                <w:rFonts w:ascii="宋体" w:hAnsi="宋体" w:cs="宋体" w:eastAsia="宋体" w:hint="default"/>
                <w:sz w:val="21"/>
                <w:szCs w:val="21"/>
              </w:rPr>
            </w:pPr>
            <w:r>
              <w:rPr>
                <w:rFonts w:ascii="宋体" w:hAnsi="宋体" w:cs="宋体" w:eastAsia="宋体" w:hint="default"/>
                <w:sz w:val="21"/>
                <w:szCs w:val="21"/>
              </w:rPr>
              <w:t>月租金为</w:t>
            </w:r>
          </w:p>
          <w:p>
            <w:pPr>
              <w:pStyle w:val="TableParagraph"/>
              <w:spacing w:line="240" w:lineRule="auto" w:before="37"/>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9302.4</w:t>
            </w:r>
            <w:r>
              <w:rPr>
                <w:rFonts w:ascii="宋体" w:hAnsi="宋体" w:cs="宋体" w:eastAsia="宋体" w:hint="default"/>
                <w:sz w:val="21"/>
                <w:szCs w:val="21"/>
              </w:rPr>
              <w:t>元</w:t>
            </w:r>
          </w:p>
        </w:tc>
      </w:tr>
      <w:tr>
        <w:trPr>
          <w:trHeight w:val="1595"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张伯润</w:t>
            </w:r>
          </w:p>
          <w:p>
            <w:pPr>
              <w:pStyle w:val="TableParagraph"/>
              <w:spacing w:line="273"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（代理 人李碧 山代 签）</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厦门市思明区水仙路 </w:t>
            </w:r>
            <w:r>
              <w:rPr>
                <w:rFonts w:ascii="Times New Roman" w:hAnsi="Times New Roman" w:cs="Times New Roman" w:eastAsia="Times New Roman" w:hint="default"/>
                <w:sz w:val="21"/>
                <w:szCs w:val="21"/>
              </w:rPr>
              <w:t>33</w:t>
            </w:r>
            <w:r>
              <w:rPr>
                <w:rFonts w:ascii="宋体" w:hAnsi="宋体" w:cs="宋体" w:eastAsia="宋体" w:hint="default"/>
                <w:sz w:val="21"/>
                <w:szCs w:val="21"/>
              </w:rPr>
              <w:t>号海光大厦</w:t>
            </w:r>
            <w:r>
              <w:rPr>
                <w:rFonts w:ascii="Times New Roman" w:hAnsi="Times New Roman" w:cs="Times New Roman" w:eastAsia="Times New Roman" w:hint="default"/>
                <w:sz w:val="21"/>
                <w:szCs w:val="21"/>
              </w:rPr>
              <w:t>21D</w:t>
            </w:r>
            <w:r>
              <w:rPr>
                <w:rFonts w:ascii="宋体" w:hAnsi="宋体" w:cs="宋体" w:eastAsia="宋体" w:hint="default"/>
                <w:sz w:val="21"/>
                <w:szCs w:val="21"/>
              </w:rPr>
              <w:t>单 元</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221.12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厦国土房证第</w:t>
            </w:r>
            <w:r>
              <w:rPr>
                <w:rFonts w:ascii="Times New Roman" w:hAnsi="Times New Roman" w:cs="Times New Roman" w:eastAsia="Times New Roman" w:hint="default"/>
                <w:sz w:val="21"/>
                <w:szCs w:val="21"/>
              </w:rPr>
              <w:t>01149275</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2014.5.10-</w:t>
            </w:r>
          </w:p>
          <w:p>
            <w:pPr>
              <w:pStyle w:val="TableParagraph"/>
              <w:spacing w:line="240" w:lineRule="auto" w:before="70"/>
              <w:ind w:left="212" w:right="0"/>
              <w:jc w:val="left"/>
              <w:rPr>
                <w:rFonts w:ascii="Times New Roman" w:hAnsi="Times New Roman" w:cs="Times New Roman" w:eastAsia="Times New Roman" w:hint="default"/>
                <w:sz w:val="21"/>
                <w:szCs w:val="21"/>
              </w:rPr>
            </w:pPr>
            <w:r>
              <w:rPr>
                <w:rFonts w:ascii="Times New Roman"/>
                <w:sz w:val="21"/>
              </w:rPr>
              <w:t>2016.5.9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月租金为</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17,634.32</w:t>
            </w:r>
            <w:r>
              <w:rPr>
                <w:rFonts w:ascii="宋体" w:hAnsi="宋体" w:cs="宋体" w:eastAsia="宋体" w:hint="default"/>
                <w:sz w:val="21"/>
                <w:szCs w:val="21"/>
              </w:rPr>
              <w:t>元</w:t>
            </w:r>
          </w:p>
        </w:tc>
      </w:tr>
      <w:tr>
        <w:trPr>
          <w:trHeight w:val="1907"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汇嘉</w:t>
            </w:r>
          </w:p>
          <w:p>
            <w:pPr>
              <w:pStyle w:val="TableParagraph"/>
              <w:spacing w:line="273" w:lineRule="auto" w:before="37"/>
              <w:ind w:left="2" w:right="0" w:hanging="2"/>
              <w:jc w:val="center"/>
              <w:rPr>
                <w:rFonts w:ascii="宋体" w:hAnsi="宋体" w:cs="宋体" w:eastAsia="宋体" w:hint="default"/>
                <w:sz w:val="21"/>
                <w:szCs w:val="21"/>
              </w:rPr>
            </w:pPr>
            <w:r>
              <w:rPr>
                <w:rFonts w:ascii="宋体" w:hAnsi="宋体" w:cs="宋体" w:eastAsia="宋体" w:hint="default"/>
                <w:sz w:val="21"/>
                <w:szCs w:val="21"/>
              </w:rPr>
              <w:t>（厦 门）物 业管理 有限公 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781" w:right="97" w:hanging="682"/>
              <w:jc w:val="left"/>
              <w:rPr>
                <w:rFonts w:ascii="宋体" w:hAnsi="宋体" w:cs="宋体" w:eastAsia="宋体" w:hint="default"/>
                <w:sz w:val="21"/>
                <w:szCs w:val="21"/>
              </w:rPr>
            </w:pPr>
            <w:r>
              <w:rPr>
                <w:rFonts w:ascii="宋体" w:hAnsi="宋体" w:cs="宋体" w:eastAsia="宋体" w:hint="default"/>
                <w:sz w:val="21"/>
                <w:szCs w:val="21"/>
              </w:rPr>
              <w:t>海关大厦地下室</w:t>
            </w:r>
            <w:r>
              <w:rPr>
                <w:rFonts w:ascii="Times New Roman" w:hAnsi="Times New Roman" w:cs="Times New Roman" w:eastAsia="Times New Roman" w:hint="default"/>
                <w:sz w:val="21"/>
                <w:szCs w:val="21"/>
              </w:rPr>
              <w:t>5</w:t>
            </w:r>
            <w:r>
              <w:rPr>
                <w:rFonts w:ascii="宋体" w:hAnsi="宋体" w:cs="宋体" w:eastAsia="宋体" w:hint="default"/>
                <w:sz w:val="21"/>
                <w:szCs w:val="21"/>
              </w:rPr>
              <w:t>号 仓库</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储存</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约</w:t>
            </w:r>
            <w:r>
              <w:rPr>
                <w:rFonts w:ascii="Times New Roman" w:hAnsi="Times New Roman" w:cs="Times New Roman" w:eastAsia="Times New Roman" w:hint="default"/>
                <w:sz w:val="21"/>
                <w:szCs w:val="21"/>
              </w:rPr>
              <w:t>10</w:t>
            </w:r>
          </w:p>
        </w:tc>
        <w:tc>
          <w:tcPr>
            <w:tcW w:w="233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2015.2.1-201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7.1.31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800</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7</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陈琳琳</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寿山路</w:t>
            </w:r>
            <w:r>
              <w:rPr>
                <w:rFonts w:ascii="Times New Roman" w:hAnsi="Times New Roman" w:cs="Times New Roman" w:eastAsia="Times New Roman" w:hint="default"/>
                <w:sz w:val="21"/>
                <w:szCs w:val="21"/>
              </w:rPr>
              <w:t>4</w:t>
            </w:r>
            <w:r>
              <w:rPr>
                <w:rFonts w:ascii="宋体" w:hAnsi="宋体" w:cs="宋体" w:eastAsia="宋体" w:hint="default"/>
                <w:sz w:val="21"/>
                <w:szCs w:val="21"/>
              </w:rPr>
              <w:t>号</w:t>
            </w:r>
            <w:r>
              <w:rPr>
                <w:rFonts w:ascii="Times New Roman" w:hAnsi="Times New Roman" w:cs="Times New Roman" w:eastAsia="Times New Roman" w:hint="default"/>
                <w:sz w:val="21"/>
                <w:szCs w:val="21"/>
              </w:rPr>
              <w:t>311</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住宅</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136.52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厦地房证第</w:t>
            </w:r>
            <w:r>
              <w:rPr>
                <w:rFonts w:ascii="Times New Roman" w:hAnsi="Times New Roman" w:cs="Times New Roman" w:eastAsia="Times New Roman" w:hint="default"/>
                <w:sz w:val="21"/>
                <w:szCs w:val="21"/>
              </w:rPr>
              <w:t>00066429</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2014.7.1-201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6.6.30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3300</w:t>
            </w:r>
            <w:r>
              <w:rPr>
                <w:rFonts w:ascii="宋体" w:hAnsi="宋体" w:cs="宋体" w:eastAsia="宋体" w:hint="default"/>
                <w:sz w:val="21"/>
                <w:szCs w:val="21"/>
              </w:rPr>
              <w:t>元</w:t>
            </w:r>
          </w:p>
        </w:tc>
      </w:tr>
      <w:tr>
        <w:trPr>
          <w:trHeight w:val="253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厦门新 日精工 投资管 理有限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厦门市思明区南投路</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号</w:t>
            </w:r>
            <w:r>
              <w:rPr>
                <w:rFonts w:ascii="Times New Roman" w:hAnsi="Times New Roman" w:cs="Times New Roman" w:eastAsia="Times New Roman" w:hint="default"/>
                <w:sz w:val="21"/>
                <w:szCs w:val="21"/>
              </w:rPr>
              <w:t>1002</w:t>
            </w:r>
            <w:r>
              <w:rPr>
                <w:rFonts w:ascii="宋体" w:hAnsi="宋体" w:cs="宋体" w:eastAsia="宋体" w:hint="default"/>
                <w:sz w:val="21"/>
                <w:szCs w:val="21"/>
              </w:rPr>
              <w:t>单元</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1858.04</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厦国土房证</w:t>
            </w:r>
            <w:r>
              <w:rPr>
                <w:rFonts w:ascii="Times New Roman" w:hAnsi="Times New Roman" w:cs="Times New Roman" w:eastAsia="Times New Roman" w:hint="default"/>
                <w:sz w:val="21"/>
                <w:szCs w:val="21"/>
              </w:rPr>
              <w:t>01219634</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2016.1.1-202</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0.12.31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2016.1.1-2016.2</w:t>
            </w:r>
          </w:p>
          <w:p>
            <w:pPr>
              <w:pStyle w:val="TableParagraph"/>
              <w:spacing w:line="297" w:lineRule="auto" w:before="21"/>
              <w:ind w:left="14" w:right="14" w:hanging="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.29</w:t>
            </w:r>
            <w:r>
              <w:rPr>
                <w:rFonts w:ascii="宋体" w:hAnsi="宋体" w:cs="宋体" w:eastAsia="宋体" w:hint="default"/>
                <w:sz w:val="21"/>
                <w:szCs w:val="21"/>
              </w:rPr>
              <w:t>为免租期， </w:t>
            </w:r>
            <w:r>
              <w:rPr>
                <w:rFonts w:ascii="Times New Roman" w:hAnsi="Times New Roman" w:cs="Times New Roman" w:eastAsia="Times New Roman" w:hint="default"/>
                <w:sz w:val="21"/>
                <w:szCs w:val="21"/>
              </w:rPr>
              <w:t>2016.3.1-2018.1</w:t>
            </w:r>
          </w:p>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2.31</w:t>
            </w:r>
            <w:r>
              <w:rPr>
                <w:rFonts w:ascii="宋体" w:hAnsi="宋体" w:cs="宋体" w:eastAsia="宋体" w:hint="default"/>
                <w:sz w:val="21"/>
                <w:szCs w:val="21"/>
              </w:rPr>
              <w:t>月租金</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74321.60</w:t>
            </w:r>
            <w:r>
              <w:rPr>
                <w:rFonts w:ascii="宋体" w:hAnsi="宋体" w:cs="宋体" w:eastAsia="宋体" w:hint="default"/>
                <w:sz w:val="21"/>
                <w:szCs w:val="21"/>
              </w:rPr>
              <w:t>元，</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2019.1.1-2020.1</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2.31</w:t>
            </w:r>
            <w:r>
              <w:rPr>
                <w:rFonts w:ascii="宋体" w:hAnsi="宋体" w:cs="宋体" w:eastAsia="宋体" w:hint="default"/>
                <w:sz w:val="21"/>
                <w:szCs w:val="21"/>
              </w:rPr>
              <w:t>月租金为</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81753.76</w:t>
            </w:r>
            <w:r>
              <w:rPr>
                <w:rFonts w:ascii="宋体" w:hAnsi="宋体" w:cs="宋体" w:eastAsia="宋体" w:hint="default"/>
                <w:sz w:val="21"/>
                <w:szCs w:val="21"/>
              </w:rPr>
              <w:t>元</w:t>
            </w:r>
          </w:p>
        </w:tc>
      </w:tr>
      <w:tr>
        <w:trPr>
          <w:trHeight w:val="660"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6" w:right="0" w:hanging="105"/>
              <w:jc w:val="left"/>
              <w:rPr>
                <w:rFonts w:ascii="宋体" w:hAnsi="宋体" w:cs="宋体" w:eastAsia="宋体" w:hint="default"/>
                <w:sz w:val="21"/>
                <w:szCs w:val="21"/>
              </w:rPr>
            </w:pPr>
            <w:r>
              <w:rPr>
                <w:rFonts w:ascii="宋体" w:hAnsi="宋体" w:cs="宋体" w:eastAsia="宋体" w:hint="default"/>
                <w:sz w:val="21"/>
                <w:szCs w:val="21"/>
              </w:rPr>
              <w:t>上海英 孚特</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上海红 相</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886" w:right="44" w:hanging="840"/>
              <w:jc w:val="left"/>
              <w:rPr>
                <w:rFonts w:ascii="宋体" w:hAnsi="宋体" w:cs="宋体" w:eastAsia="宋体" w:hint="default"/>
                <w:sz w:val="21"/>
                <w:szCs w:val="21"/>
              </w:rPr>
            </w:pPr>
            <w:r>
              <w:rPr>
                <w:rFonts w:ascii="宋体" w:hAnsi="宋体" w:cs="宋体" w:eastAsia="宋体" w:hint="default"/>
                <w:sz w:val="21"/>
                <w:szCs w:val="21"/>
              </w:rPr>
              <w:t>闵行区纪宏路</w:t>
            </w:r>
            <w:r>
              <w:rPr>
                <w:rFonts w:ascii="Times New Roman" w:hAnsi="Times New Roman" w:cs="Times New Roman" w:eastAsia="Times New Roman" w:hint="default"/>
                <w:sz w:val="21"/>
                <w:szCs w:val="21"/>
              </w:rPr>
              <w:t>81</w:t>
            </w:r>
            <w:r>
              <w:rPr>
                <w:rFonts w:ascii="宋体" w:hAnsi="宋体" w:cs="宋体" w:eastAsia="宋体" w:hint="default"/>
                <w:sz w:val="21"/>
                <w:szCs w:val="21"/>
              </w:rPr>
              <w:t>号厂 房</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生产</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1,000</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沪房地闵字（</w:t>
            </w:r>
            <w:r>
              <w:rPr>
                <w:rFonts w:ascii="Times New Roman" w:hAnsi="Times New Roman" w:cs="Times New Roman" w:eastAsia="Times New Roman" w:hint="default"/>
                <w:sz w:val="21"/>
                <w:szCs w:val="21"/>
              </w:rPr>
              <w:t>2006</w:t>
            </w:r>
            <w:r>
              <w:rPr>
                <w:rFonts w:ascii="宋体" w:hAnsi="宋体" w:cs="宋体" w:eastAsia="宋体" w:hint="default"/>
                <w:sz w:val="21"/>
                <w:szCs w:val="21"/>
              </w:rPr>
              <w:t>）第</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026000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77" w:right="0"/>
              <w:jc w:val="left"/>
              <w:rPr>
                <w:rFonts w:ascii="Times New Roman" w:hAnsi="Times New Roman" w:cs="Times New Roman" w:eastAsia="Times New Roman" w:hint="default"/>
                <w:sz w:val="21"/>
                <w:szCs w:val="21"/>
              </w:rPr>
            </w:pPr>
            <w:r>
              <w:rPr>
                <w:rFonts w:ascii="Times New Roman"/>
                <w:sz w:val="21"/>
              </w:rPr>
              <w:t>2009.1.1-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2015.12.31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85" w:right="0"/>
              <w:jc w:val="left"/>
              <w:rPr>
                <w:rFonts w:ascii="宋体" w:hAnsi="宋体" w:cs="宋体" w:eastAsia="宋体" w:hint="default"/>
                <w:sz w:val="21"/>
                <w:szCs w:val="21"/>
              </w:rPr>
            </w:pPr>
            <w:r>
              <w:rPr>
                <w:rFonts w:ascii="宋体" w:hAnsi="宋体" w:cs="宋体" w:eastAsia="宋体" w:hint="default"/>
                <w:sz w:val="21"/>
                <w:szCs w:val="21"/>
              </w:rPr>
              <w:t>月租金为</w:t>
            </w:r>
          </w:p>
          <w:p>
            <w:pPr>
              <w:pStyle w:val="TableParagraph"/>
              <w:spacing w:line="240" w:lineRule="auto" w:before="37"/>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16,670</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6" w:right="0" w:hanging="105"/>
              <w:jc w:val="left"/>
              <w:rPr>
                <w:rFonts w:ascii="宋体" w:hAnsi="宋体" w:cs="宋体" w:eastAsia="宋体" w:hint="default"/>
                <w:sz w:val="21"/>
                <w:szCs w:val="21"/>
              </w:rPr>
            </w:pPr>
            <w:r>
              <w:rPr>
                <w:rFonts w:ascii="宋体" w:hAnsi="宋体" w:cs="宋体" w:eastAsia="宋体" w:hint="default"/>
                <w:sz w:val="21"/>
                <w:szCs w:val="21"/>
              </w:rPr>
              <w:t>上海英 孚特</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上海红 相</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上海市闵行区纪宏路</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81</w:t>
            </w:r>
            <w:r>
              <w:rPr>
                <w:rFonts w:ascii="宋体" w:hAnsi="宋体" w:cs="宋体" w:eastAsia="宋体" w:hint="default"/>
                <w:sz w:val="21"/>
                <w:szCs w:val="21"/>
              </w:rPr>
              <w:t>号</w:t>
            </w:r>
            <w:r>
              <w:rPr>
                <w:rFonts w:ascii="Times New Roman" w:hAnsi="Times New Roman" w:cs="Times New Roman" w:eastAsia="Times New Roman" w:hint="default"/>
                <w:sz w:val="21"/>
                <w:szCs w:val="21"/>
              </w:rPr>
              <w:t>201</w:t>
            </w:r>
            <w:r>
              <w:rPr>
                <w:rFonts w:ascii="宋体" w:hAnsi="宋体" w:cs="宋体" w:eastAsia="宋体" w:hint="default"/>
                <w:sz w:val="21"/>
                <w:szCs w:val="21"/>
              </w:rPr>
              <w:t>、</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生产</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165.27</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sz w:val="21"/>
                <w:szCs w:val="21"/>
              </w:rPr>
              <w:t>沪房地闽字（</w:t>
            </w:r>
            <w:r>
              <w:rPr>
                <w:rFonts w:ascii="Times New Roman" w:hAnsi="Times New Roman" w:cs="Times New Roman" w:eastAsia="Times New Roman" w:hint="default"/>
                <w:sz w:val="21"/>
                <w:szCs w:val="21"/>
              </w:rPr>
              <w:t>2006</w:t>
            </w:r>
            <w:r>
              <w:rPr>
                <w:rFonts w:ascii="宋体" w:hAnsi="宋体" w:cs="宋体" w:eastAsia="宋体" w:hint="default"/>
                <w:sz w:val="21"/>
                <w:szCs w:val="21"/>
              </w:rPr>
              <w:t>）第</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026000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2015.1.1-201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5.12.31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 </w:t>
            </w:r>
            <w:r>
              <w:rPr>
                <w:rFonts w:ascii="宋体" w:hAnsi="宋体" w:cs="宋体" w:eastAsia="宋体" w:hint="default"/>
                <w:sz w:val="21"/>
                <w:szCs w:val="21"/>
              </w:rPr>
              <w:t>元</w:t>
            </w:r>
          </w:p>
        </w:tc>
      </w:tr>
    </w:tbl>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328"/>
        <w:gridCol w:w="650"/>
        <w:gridCol w:w="703"/>
        <w:gridCol w:w="1999"/>
        <w:gridCol w:w="441"/>
        <w:gridCol w:w="728"/>
        <w:gridCol w:w="2331"/>
        <w:gridCol w:w="1175"/>
        <w:gridCol w:w="1428"/>
      </w:tblGrid>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窦同力</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上海红 相</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长宁区长宁路</w:t>
            </w:r>
            <w:r>
              <w:rPr>
                <w:rFonts w:ascii="Times New Roman" w:hAnsi="Times New Roman" w:cs="Times New Roman" w:eastAsia="Times New Roman" w:hint="default"/>
                <w:sz w:val="21"/>
                <w:szCs w:val="21"/>
              </w:rPr>
              <w:t>1661</w:t>
            </w:r>
            <w:r>
              <w:rPr>
                <w:rFonts w:ascii="宋体" w:hAnsi="宋体" w:cs="宋体" w:eastAsia="宋体" w:hint="default"/>
                <w:sz w:val="21"/>
                <w:szCs w:val="21"/>
              </w:rPr>
              <w:t>弄</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号</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住宅</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144.95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沪房地长字（</w:t>
            </w:r>
            <w:r>
              <w:rPr>
                <w:rFonts w:ascii="Times New Roman" w:hAnsi="Times New Roman" w:cs="Times New Roman" w:eastAsia="Times New Roman" w:hint="default"/>
                <w:sz w:val="21"/>
                <w:szCs w:val="21"/>
              </w:rPr>
              <w:t>2003</w:t>
            </w:r>
            <w:r>
              <w:rPr>
                <w:rFonts w:ascii="宋体" w:hAnsi="宋体" w:cs="宋体" w:eastAsia="宋体" w:hint="default"/>
                <w:sz w:val="21"/>
                <w:szCs w:val="21"/>
              </w:rPr>
              <w:t>）第</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000794</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 w:right="0"/>
              <w:jc w:val="left"/>
              <w:rPr>
                <w:rFonts w:ascii="Times New Roman" w:hAnsi="Times New Roman" w:cs="Times New Roman" w:eastAsia="Times New Roman" w:hint="default"/>
                <w:sz w:val="21"/>
                <w:szCs w:val="21"/>
              </w:rPr>
            </w:pPr>
            <w:r>
              <w:rPr>
                <w:rFonts w:ascii="Times New Roman"/>
                <w:sz w:val="21"/>
              </w:rPr>
              <w:t>2013.12.10-</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2015.12.9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7,500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窦同力</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上海红 相</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长宁区长宁路</w:t>
            </w:r>
            <w:r>
              <w:rPr>
                <w:rFonts w:ascii="Times New Roman" w:hAnsi="Times New Roman" w:cs="Times New Roman" w:eastAsia="Times New Roman" w:hint="default"/>
                <w:sz w:val="21"/>
                <w:szCs w:val="21"/>
              </w:rPr>
              <w:t>1661</w:t>
            </w:r>
            <w:r>
              <w:rPr>
                <w:rFonts w:ascii="宋体" w:hAnsi="宋体" w:cs="宋体" w:eastAsia="宋体" w:hint="default"/>
                <w:sz w:val="21"/>
                <w:szCs w:val="21"/>
              </w:rPr>
              <w:t>弄</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号</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住宅</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144.95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沪房地长字（</w:t>
            </w:r>
            <w:r>
              <w:rPr>
                <w:rFonts w:ascii="Times New Roman" w:hAnsi="Times New Roman" w:cs="Times New Roman" w:eastAsia="Times New Roman" w:hint="default"/>
                <w:sz w:val="21"/>
                <w:szCs w:val="21"/>
              </w:rPr>
              <w:t>2003</w:t>
            </w:r>
            <w:r>
              <w:rPr>
                <w:rFonts w:ascii="宋体" w:hAnsi="宋体" w:cs="宋体" w:eastAsia="宋体" w:hint="default"/>
                <w:sz w:val="21"/>
                <w:szCs w:val="21"/>
              </w:rPr>
              <w:t>）第</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000794</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2015.12.10-2</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018.12.9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9500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13</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赵文惠</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9" w:right="47" w:hanging="53"/>
              <w:jc w:val="left"/>
              <w:rPr>
                <w:rFonts w:ascii="宋体" w:hAnsi="宋体" w:cs="宋体" w:eastAsia="宋体" w:hint="default"/>
                <w:sz w:val="21"/>
                <w:szCs w:val="21"/>
              </w:rPr>
            </w:pPr>
            <w:r>
              <w:rPr>
                <w:rFonts w:ascii="宋体" w:hAnsi="宋体" w:cs="宋体" w:eastAsia="宋体" w:hint="default"/>
                <w:sz w:val="21"/>
                <w:szCs w:val="21"/>
              </w:rPr>
              <w:t>西安市莲湖区团结南 路</w:t>
            </w:r>
            <w:r>
              <w:rPr>
                <w:rFonts w:ascii="Times New Roman" w:hAnsi="Times New Roman" w:cs="Times New Roman" w:eastAsia="Times New Roman" w:hint="default"/>
                <w:sz w:val="21"/>
                <w:szCs w:val="21"/>
              </w:rPr>
              <w:t>9</w:t>
            </w:r>
            <w:r>
              <w:rPr>
                <w:rFonts w:ascii="宋体" w:hAnsi="宋体" w:cs="宋体" w:eastAsia="宋体" w:hint="default"/>
                <w:sz w:val="21"/>
                <w:szCs w:val="21"/>
              </w:rPr>
              <w:t>幢</w:t>
            </w:r>
            <w:r>
              <w:rPr>
                <w:rFonts w:ascii="Times New Roman" w:hAnsi="Times New Roman" w:cs="Times New Roman" w:eastAsia="Times New Roman" w:hint="default"/>
                <w:sz w:val="21"/>
                <w:szCs w:val="21"/>
              </w:rPr>
              <w:t>3</w:t>
            </w:r>
            <w:r>
              <w:rPr>
                <w:rFonts w:ascii="宋体" w:hAnsi="宋体" w:cs="宋体" w:eastAsia="宋体" w:hint="default"/>
                <w:sz w:val="21"/>
                <w:szCs w:val="21"/>
              </w:rPr>
              <w:t>单元</w:t>
            </w:r>
            <w:r>
              <w:rPr>
                <w:rFonts w:ascii="Times New Roman" w:hAnsi="Times New Roman" w:cs="Times New Roman" w:eastAsia="Times New Roman" w:hint="default"/>
                <w:sz w:val="21"/>
                <w:szCs w:val="21"/>
              </w:rPr>
              <w:t>30703</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77.45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西房权证莲湖区字第</w:t>
            </w:r>
          </w:p>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1050106023-5-9-30703-1</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9" w:right="0"/>
              <w:jc w:val="left"/>
              <w:rPr>
                <w:rFonts w:ascii="Times New Roman" w:hAnsi="Times New Roman" w:cs="Times New Roman" w:eastAsia="Times New Roman" w:hint="default"/>
                <w:sz w:val="21"/>
                <w:szCs w:val="21"/>
              </w:rPr>
            </w:pPr>
            <w:r>
              <w:rPr>
                <w:rFonts w:ascii="Times New Roman"/>
                <w:sz w:val="21"/>
              </w:rPr>
              <w:t>2015.2.15</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2016.2.14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 </w:t>
            </w:r>
            <w:r>
              <w:rPr>
                <w:rFonts w:ascii="宋体" w:hAnsi="宋体" w:cs="宋体" w:eastAsia="宋体" w:hint="default"/>
                <w:sz w:val="21"/>
                <w:szCs w:val="21"/>
              </w:rPr>
              <w:t>元</w:t>
            </w:r>
          </w:p>
        </w:tc>
      </w:tr>
      <w:tr>
        <w:trPr>
          <w:trHeight w:val="972"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石宇</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西安市碑林区新文巷 </w:t>
            </w:r>
            <w:r>
              <w:rPr>
                <w:rFonts w:ascii="Times New Roman" w:hAnsi="Times New Roman" w:cs="Times New Roman" w:eastAsia="Times New Roman" w:hint="default"/>
                <w:sz w:val="21"/>
                <w:szCs w:val="21"/>
              </w:rPr>
              <w:t>11</w:t>
            </w:r>
            <w:r>
              <w:rPr>
                <w:rFonts w:ascii="宋体" w:hAnsi="宋体" w:cs="宋体" w:eastAsia="宋体" w:hint="default"/>
                <w:sz w:val="21"/>
                <w:szCs w:val="21"/>
              </w:rPr>
              <w:t>号</w:t>
            </w:r>
            <w:r>
              <w:rPr>
                <w:rFonts w:ascii="Times New Roman" w:hAnsi="Times New Roman" w:cs="Times New Roman" w:eastAsia="Times New Roman" w:hint="default"/>
                <w:sz w:val="21"/>
                <w:szCs w:val="21"/>
              </w:rPr>
              <w:t>2</w:t>
            </w:r>
            <w:r>
              <w:rPr>
                <w:rFonts w:ascii="宋体" w:hAnsi="宋体" w:cs="宋体" w:eastAsia="宋体" w:hint="default"/>
                <w:sz w:val="21"/>
                <w:szCs w:val="21"/>
              </w:rPr>
              <w:t>幢</w:t>
            </w:r>
            <w:r>
              <w:rPr>
                <w:rFonts w:ascii="Times New Roman" w:hAnsi="Times New Roman" w:cs="Times New Roman" w:eastAsia="Times New Roman" w:hint="default"/>
                <w:sz w:val="21"/>
                <w:szCs w:val="21"/>
              </w:rPr>
              <w:t>1</w:t>
            </w:r>
            <w:r>
              <w:rPr>
                <w:rFonts w:ascii="宋体" w:hAnsi="宋体" w:cs="宋体" w:eastAsia="宋体" w:hint="default"/>
                <w:sz w:val="21"/>
                <w:szCs w:val="21"/>
              </w:rPr>
              <w:t>单元</w:t>
            </w:r>
            <w:r>
              <w:rPr>
                <w:rFonts w:ascii="Times New Roman" w:hAnsi="Times New Roman" w:cs="Times New Roman" w:eastAsia="Times New Roman" w:hint="default"/>
                <w:sz w:val="21"/>
                <w:szCs w:val="21"/>
              </w:rPr>
              <w:t>12002 </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102.57</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西安字房权证碑林区字第</w:t>
            </w:r>
          </w:p>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1100106010-61-2-12002~</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2013.2.17</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015.2.17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2200</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15</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蒋利</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兰州市安宁区十里店 街道北滨河西路</w:t>
            </w:r>
            <w:r>
              <w:rPr>
                <w:rFonts w:ascii="Times New Roman" w:hAnsi="Times New Roman" w:cs="Times New Roman" w:eastAsia="Times New Roman" w:hint="default"/>
                <w:sz w:val="21"/>
                <w:szCs w:val="21"/>
              </w:rPr>
              <w:t>113 </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149.74</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52" w:right="54" w:hanging="998"/>
              <w:jc w:val="left"/>
              <w:rPr>
                <w:rFonts w:ascii="宋体" w:hAnsi="宋体" w:cs="宋体" w:eastAsia="宋体" w:hint="default"/>
                <w:sz w:val="21"/>
                <w:szCs w:val="21"/>
              </w:rPr>
            </w:pPr>
            <w:r>
              <w:rPr>
                <w:rFonts w:ascii="宋体" w:hAnsi="宋体" w:cs="宋体" w:eastAsia="宋体" w:hint="default"/>
                <w:sz w:val="21"/>
                <w:szCs w:val="21"/>
              </w:rPr>
              <w:t>兰房权证经私字第</w:t>
            </w:r>
            <w:r>
              <w:rPr>
                <w:rFonts w:ascii="Times New Roman" w:hAnsi="Times New Roman" w:cs="Times New Roman" w:eastAsia="Times New Roman" w:hint="default"/>
                <w:sz w:val="21"/>
                <w:szCs w:val="21"/>
              </w:rPr>
              <w:t>18164 </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4" w:right="0"/>
              <w:jc w:val="left"/>
              <w:rPr>
                <w:rFonts w:ascii="Times New Roman" w:hAnsi="Times New Roman" w:cs="Times New Roman" w:eastAsia="Times New Roman" w:hint="default"/>
                <w:sz w:val="21"/>
                <w:szCs w:val="21"/>
              </w:rPr>
            </w:pPr>
            <w:r>
              <w:rPr>
                <w:rFonts w:ascii="Times New Roman"/>
                <w:sz w:val="21"/>
              </w:rPr>
              <w:t>2014.10.1-</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2015.9.30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3,000 </w:t>
            </w:r>
            <w:r>
              <w:rPr>
                <w:rFonts w:ascii="宋体" w:hAnsi="宋体" w:cs="宋体" w:eastAsia="宋体" w:hint="default"/>
                <w:sz w:val="21"/>
                <w:szCs w:val="21"/>
              </w:rPr>
              <w:t>元</w:t>
            </w:r>
          </w:p>
        </w:tc>
      </w:tr>
      <w:tr>
        <w:trPr>
          <w:trHeight w:val="1283"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北京华 亨大厦 有限责 任公司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3" w:right="47" w:hanging="158"/>
              <w:jc w:val="left"/>
              <w:rPr>
                <w:rFonts w:ascii="宋体" w:hAnsi="宋体" w:cs="宋体" w:eastAsia="宋体" w:hint="default"/>
                <w:sz w:val="21"/>
                <w:szCs w:val="21"/>
              </w:rPr>
            </w:pPr>
            <w:r>
              <w:rPr>
                <w:rFonts w:ascii="宋体" w:hAnsi="宋体" w:cs="宋体" w:eastAsia="宋体" w:hint="default"/>
                <w:sz w:val="21"/>
                <w:szCs w:val="21"/>
              </w:rPr>
              <w:t>北京市宣武区广安门 南滨路</w:t>
            </w:r>
            <w:r>
              <w:rPr>
                <w:rFonts w:ascii="Times New Roman" w:hAnsi="Times New Roman" w:cs="Times New Roman" w:eastAsia="Times New Roman" w:hint="default"/>
                <w:sz w:val="21"/>
                <w:szCs w:val="21"/>
              </w:rPr>
              <w:t>31</w:t>
            </w:r>
            <w:r>
              <w:rPr>
                <w:rFonts w:ascii="宋体" w:hAnsi="宋体" w:cs="宋体" w:eastAsia="宋体" w:hint="default"/>
                <w:sz w:val="21"/>
                <w:szCs w:val="21"/>
              </w:rPr>
              <w:t>号</w:t>
            </w:r>
            <w:r>
              <w:rPr>
                <w:rFonts w:ascii="Times New Roman" w:hAnsi="Times New Roman" w:cs="Times New Roman" w:eastAsia="Times New Roman" w:hint="default"/>
                <w:sz w:val="21"/>
                <w:szCs w:val="21"/>
              </w:rPr>
              <w:t>718</w:t>
            </w:r>
            <w:r>
              <w:rPr>
                <w:rFonts w:ascii="宋体" w:hAnsi="宋体" w:cs="宋体" w:eastAsia="宋体" w:hint="default"/>
                <w:sz w:val="21"/>
                <w:szCs w:val="21"/>
              </w:rPr>
              <w:t>房</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96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52" w:right="54" w:hanging="998"/>
              <w:jc w:val="left"/>
              <w:rPr>
                <w:rFonts w:ascii="宋体" w:hAnsi="宋体" w:cs="宋体" w:eastAsia="宋体" w:hint="default"/>
                <w:sz w:val="21"/>
                <w:szCs w:val="21"/>
              </w:rPr>
            </w:pPr>
            <w:r>
              <w:rPr>
                <w:rFonts w:ascii="宋体" w:hAnsi="宋体" w:cs="宋体" w:eastAsia="宋体" w:hint="default"/>
                <w:sz w:val="21"/>
                <w:szCs w:val="21"/>
              </w:rPr>
              <w:t>京房权证宣其字第</w:t>
            </w:r>
            <w:r>
              <w:rPr>
                <w:rFonts w:ascii="Times New Roman" w:hAnsi="Times New Roman" w:cs="Times New Roman" w:eastAsia="Times New Roman" w:hint="default"/>
                <w:sz w:val="21"/>
                <w:szCs w:val="21"/>
              </w:rPr>
              <w:t>01803 </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2014.11.1-20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15.10.31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10220</w:t>
            </w:r>
            <w:r>
              <w:rPr>
                <w:rFonts w:ascii="宋体" w:hAnsi="宋体" w:cs="宋体" w:eastAsia="宋体" w:hint="default"/>
                <w:sz w:val="21"/>
                <w:szCs w:val="21"/>
              </w:rPr>
              <w:t>元</w:t>
            </w:r>
          </w:p>
        </w:tc>
      </w:tr>
      <w:tr>
        <w:trPr>
          <w:trHeight w:val="1283"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17</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北京瑞 聚德投 资有限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9" w:right="47" w:hanging="53"/>
              <w:jc w:val="left"/>
              <w:rPr>
                <w:rFonts w:ascii="宋体" w:hAnsi="宋体" w:cs="宋体" w:eastAsia="宋体" w:hint="default"/>
                <w:sz w:val="21"/>
                <w:szCs w:val="21"/>
              </w:rPr>
            </w:pPr>
            <w:r>
              <w:rPr>
                <w:rFonts w:ascii="宋体" w:hAnsi="宋体" w:cs="宋体" w:eastAsia="宋体" w:hint="default"/>
                <w:sz w:val="21"/>
                <w:szCs w:val="21"/>
              </w:rPr>
              <w:t>北京市西城区广安门 南滨河路</w:t>
            </w:r>
            <w:r>
              <w:rPr>
                <w:rFonts w:ascii="Times New Roman" w:hAnsi="Times New Roman" w:cs="Times New Roman" w:eastAsia="Times New Roman" w:hint="default"/>
                <w:sz w:val="21"/>
                <w:szCs w:val="21"/>
              </w:rPr>
              <w:t>31</w:t>
            </w:r>
            <w:r>
              <w:rPr>
                <w:rFonts w:ascii="宋体" w:hAnsi="宋体" w:cs="宋体" w:eastAsia="宋体" w:hint="default"/>
                <w:sz w:val="21"/>
                <w:szCs w:val="21"/>
              </w:rPr>
              <w:t>号</w:t>
            </w:r>
            <w:r>
              <w:rPr>
                <w:rFonts w:ascii="Times New Roman" w:hAnsi="Times New Roman" w:cs="Times New Roman" w:eastAsia="Times New Roman" w:hint="default"/>
                <w:sz w:val="21"/>
                <w:szCs w:val="21"/>
              </w:rPr>
              <w:t>718</w:t>
            </w:r>
            <w:r>
              <w:rPr>
                <w:rFonts w:ascii="宋体" w:hAnsi="宋体" w:cs="宋体" w:eastAsia="宋体" w:hint="default"/>
                <w:sz w:val="21"/>
                <w:szCs w:val="21"/>
              </w:rPr>
              <w:t>房</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96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52" w:right="54" w:hanging="998"/>
              <w:jc w:val="left"/>
              <w:rPr>
                <w:rFonts w:ascii="宋体" w:hAnsi="宋体" w:cs="宋体" w:eastAsia="宋体" w:hint="default"/>
                <w:sz w:val="21"/>
                <w:szCs w:val="21"/>
              </w:rPr>
            </w:pPr>
            <w:r>
              <w:rPr>
                <w:rFonts w:ascii="宋体" w:hAnsi="宋体" w:cs="宋体" w:eastAsia="宋体" w:hint="default"/>
                <w:sz w:val="21"/>
                <w:szCs w:val="21"/>
              </w:rPr>
              <w:t>京房权证宣其字第</w:t>
            </w:r>
            <w:r>
              <w:rPr>
                <w:rFonts w:ascii="Times New Roman" w:hAnsi="Times New Roman" w:cs="Times New Roman" w:eastAsia="Times New Roman" w:hint="default"/>
                <w:sz w:val="21"/>
                <w:szCs w:val="21"/>
              </w:rPr>
              <w:t>01803 </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2015.11.1-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2016.10.31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85" w:right="0"/>
              <w:jc w:val="left"/>
              <w:rPr>
                <w:rFonts w:ascii="宋体" w:hAnsi="宋体" w:cs="宋体" w:eastAsia="宋体" w:hint="default"/>
                <w:sz w:val="21"/>
                <w:szCs w:val="21"/>
              </w:rPr>
            </w:pPr>
            <w:r>
              <w:rPr>
                <w:rFonts w:ascii="宋体" w:hAnsi="宋体" w:cs="宋体" w:eastAsia="宋体" w:hint="default"/>
                <w:sz w:val="21"/>
                <w:szCs w:val="21"/>
              </w:rPr>
              <w:t>月租金为</w:t>
            </w:r>
          </w:p>
          <w:p>
            <w:pPr>
              <w:pStyle w:val="TableParagraph"/>
              <w:spacing w:line="240" w:lineRule="auto" w:before="37"/>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11126.4</w:t>
            </w:r>
            <w:r>
              <w:rPr>
                <w:rFonts w:ascii="宋体" w:hAnsi="宋体" w:cs="宋体" w:eastAsia="宋体" w:hint="default"/>
                <w:sz w:val="21"/>
                <w:szCs w:val="21"/>
              </w:rPr>
              <w:t>元</w:t>
            </w:r>
          </w:p>
        </w:tc>
      </w:tr>
      <w:tr>
        <w:trPr>
          <w:trHeight w:val="1283"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18</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霍连军</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46" w:right="47"/>
              <w:jc w:val="center"/>
              <w:rPr>
                <w:rFonts w:ascii="宋体" w:hAnsi="宋体" w:cs="宋体" w:eastAsia="宋体" w:hint="default"/>
                <w:sz w:val="21"/>
                <w:szCs w:val="21"/>
              </w:rPr>
            </w:pPr>
            <w:r>
              <w:rPr>
                <w:rFonts w:ascii="宋体" w:hAnsi="宋体" w:cs="宋体" w:eastAsia="宋体" w:hint="default"/>
                <w:sz w:val="21"/>
                <w:szCs w:val="21"/>
              </w:rPr>
              <w:t>太原市体育西路</w:t>
            </w:r>
            <w:r>
              <w:rPr>
                <w:rFonts w:ascii="Times New Roman" w:hAnsi="Times New Roman" w:cs="Times New Roman" w:eastAsia="Times New Roman" w:hint="default"/>
                <w:sz w:val="21"/>
                <w:szCs w:val="21"/>
              </w:rPr>
              <w:t>918 </w:t>
            </w:r>
            <w:r>
              <w:rPr>
                <w:rFonts w:ascii="宋体" w:hAnsi="宋体" w:cs="宋体" w:eastAsia="宋体" w:hint="default"/>
                <w:sz w:val="21"/>
                <w:szCs w:val="21"/>
              </w:rPr>
              <w:t>号（北区）亲凤苑二 期底商住宅楼</w:t>
            </w:r>
            <w:r>
              <w:rPr>
                <w:rFonts w:ascii="Times New Roman" w:hAnsi="Times New Roman" w:cs="Times New Roman" w:eastAsia="Times New Roman" w:hint="default"/>
                <w:sz w:val="21"/>
                <w:szCs w:val="21"/>
              </w:rPr>
              <w:t>9</w:t>
            </w:r>
            <w:r>
              <w:rPr>
                <w:rFonts w:ascii="宋体" w:hAnsi="宋体" w:cs="宋体" w:eastAsia="宋体" w:hint="default"/>
                <w:sz w:val="21"/>
                <w:szCs w:val="21"/>
              </w:rPr>
              <w:t>幢 </w:t>
            </w:r>
            <w:r>
              <w:rPr>
                <w:rFonts w:ascii="Times New Roman" w:hAnsi="Times New Roman" w:cs="Times New Roman" w:eastAsia="Times New Roman" w:hint="default"/>
                <w:sz w:val="21"/>
                <w:szCs w:val="21"/>
              </w:rPr>
              <w:t>2#01</w:t>
            </w:r>
            <w:r>
              <w:rPr>
                <w:rFonts w:ascii="宋体" w:hAnsi="宋体" w:cs="宋体" w:eastAsia="宋体" w:hint="default"/>
                <w:sz w:val="21"/>
                <w:szCs w:val="21"/>
              </w:rPr>
              <w:t>单元</w:t>
            </w:r>
            <w:r>
              <w:rPr>
                <w:rFonts w:ascii="Times New Roman" w:hAnsi="Times New Roman" w:cs="Times New Roman" w:eastAsia="Times New Roman" w:hint="default"/>
                <w:sz w:val="21"/>
                <w:szCs w:val="21"/>
              </w:rPr>
              <w:t>2404</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住宅</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80.56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商品房买卖合同</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20071016697</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2014.11.1-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2015.10.31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2,750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张亚群</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南京奥体大街</w:t>
            </w:r>
            <w:r>
              <w:rPr>
                <w:rFonts w:ascii="Times New Roman" w:hAnsi="Times New Roman" w:cs="Times New Roman" w:eastAsia="Times New Roman" w:hint="default"/>
                <w:sz w:val="21"/>
                <w:szCs w:val="21"/>
              </w:rPr>
              <w:t>130</w:t>
            </w:r>
            <w:r>
              <w:rPr>
                <w:rFonts w:ascii="宋体" w:hAnsi="宋体" w:cs="宋体" w:eastAsia="宋体" w:hint="default"/>
                <w:sz w:val="21"/>
                <w:szCs w:val="21"/>
              </w:rPr>
              <w:t>号</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宋体" w:hAnsi="宋体" w:cs="宋体" w:eastAsia="宋体" w:hint="default"/>
                <w:sz w:val="21"/>
                <w:szCs w:val="21"/>
              </w:rPr>
              <w:t>幢</w:t>
            </w:r>
            <w:r>
              <w:rPr>
                <w:rFonts w:ascii="Times New Roman" w:hAnsi="Times New Roman" w:cs="Times New Roman" w:eastAsia="Times New Roman" w:hint="default"/>
                <w:sz w:val="21"/>
                <w:szCs w:val="21"/>
              </w:rPr>
              <w:t>4</w:t>
            </w:r>
            <w:r>
              <w:rPr>
                <w:rFonts w:ascii="宋体" w:hAnsi="宋体" w:cs="宋体" w:eastAsia="宋体" w:hint="default"/>
                <w:sz w:val="21"/>
                <w:szCs w:val="21"/>
              </w:rPr>
              <w:t>单元</w:t>
            </w:r>
            <w:r>
              <w:rPr>
                <w:rFonts w:ascii="Times New Roman" w:hAnsi="Times New Roman" w:cs="Times New Roman" w:eastAsia="Times New Roman" w:hint="default"/>
                <w:sz w:val="21"/>
                <w:szCs w:val="21"/>
              </w:rPr>
              <w:t>603</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37.93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52" w:right="3" w:hanging="1050"/>
              <w:jc w:val="left"/>
              <w:rPr>
                <w:rFonts w:ascii="宋体" w:hAnsi="宋体" w:cs="宋体" w:eastAsia="宋体" w:hint="default"/>
                <w:sz w:val="21"/>
                <w:szCs w:val="21"/>
              </w:rPr>
            </w:pPr>
            <w:r>
              <w:rPr>
                <w:rFonts w:ascii="宋体" w:hAnsi="宋体" w:cs="宋体" w:eastAsia="宋体" w:hint="default"/>
                <w:sz w:val="21"/>
                <w:szCs w:val="21"/>
              </w:rPr>
              <w:t>宁房权证建转字第</w:t>
            </w:r>
            <w:r>
              <w:rPr>
                <w:rFonts w:ascii="Times New Roman" w:hAnsi="Times New Roman" w:cs="Times New Roman" w:eastAsia="Times New Roman" w:hint="default"/>
                <w:sz w:val="21"/>
                <w:szCs w:val="21"/>
              </w:rPr>
              <w:t>264915 </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77" w:right="0"/>
              <w:jc w:val="left"/>
              <w:rPr>
                <w:rFonts w:ascii="Times New Roman" w:hAnsi="Times New Roman" w:cs="Times New Roman" w:eastAsia="Times New Roman" w:hint="default"/>
                <w:sz w:val="21"/>
                <w:szCs w:val="21"/>
              </w:rPr>
            </w:pPr>
            <w:r>
              <w:rPr>
                <w:rFonts w:ascii="Times New Roman"/>
                <w:sz w:val="21"/>
              </w:rPr>
              <w:t>2013.1.1-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2015.12.31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2,500 </w:t>
            </w:r>
            <w:r>
              <w:rPr>
                <w:rFonts w:ascii="宋体" w:hAnsi="宋体" w:cs="宋体" w:eastAsia="宋体" w:hint="default"/>
                <w:sz w:val="21"/>
                <w:szCs w:val="21"/>
              </w:rPr>
              <w:t>元</w:t>
            </w:r>
          </w:p>
        </w:tc>
      </w:tr>
      <w:tr>
        <w:trPr>
          <w:trHeight w:val="660"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朱其跃</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2" w:right="47" w:hanging="106"/>
              <w:jc w:val="left"/>
              <w:rPr>
                <w:rFonts w:ascii="宋体" w:hAnsi="宋体" w:cs="宋体" w:eastAsia="宋体" w:hint="default"/>
                <w:sz w:val="21"/>
                <w:szCs w:val="21"/>
              </w:rPr>
            </w:pPr>
            <w:r>
              <w:rPr>
                <w:rFonts w:ascii="宋体" w:hAnsi="宋体" w:cs="宋体" w:eastAsia="宋体" w:hint="default"/>
                <w:sz w:val="21"/>
                <w:szCs w:val="21"/>
              </w:rPr>
              <w:t>棕树东街二号锦官秀 城</w:t>
            </w:r>
            <w:r>
              <w:rPr>
                <w:rFonts w:ascii="Times New Roman" w:hAnsi="Times New Roman" w:cs="Times New Roman" w:eastAsia="Times New Roman" w:hint="default"/>
                <w:sz w:val="21"/>
                <w:szCs w:val="21"/>
              </w:rPr>
              <w:t>6</w:t>
            </w:r>
            <w:r>
              <w:rPr>
                <w:rFonts w:ascii="宋体" w:hAnsi="宋体" w:cs="宋体" w:eastAsia="宋体" w:hint="default"/>
                <w:sz w:val="21"/>
                <w:szCs w:val="21"/>
              </w:rPr>
              <w:t>栋</w:t>
            </w:r>
            <w:r>
              <w:rPr>
                <w:rFonts w:ascii="Times New Roman" w:hAnsi="Times New Roman" w:cs="Times New Roman" w:eastAsia="Times New Roman" w:hint="default"/>
                <w:sz w:val="21"/>
                <w:szCs w:val="21"/>
              </w:rPr>
              <w:t>2</w:t>
            </w:r>
            <w:r>
              <w:rPr>
                <w:rFonts w:ascii="宋体" w:hAnsi="宋体" w:cs="宋体" w:eastAsia="宋体" w:hint="default"/>
                <w:sz w:val="21"/>
                <w:szCs w:val="21"/>
              </w:rPr>
              <w:t>单元</w:t>
            </w:r>
            <w:r>
              <w:rPr>
                <w:rFonts w:ascii="Times New Roman" w:hAnsi="Times New Roman" w:cs="Times New Roman" w:eastAsia="Times New Roman" w:hint="default"/>
                <w:sz w:val="21"/>
                <w:szCs w:val="21"/>
              </w:rPr>
              <w:t>1103</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住宅</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109.06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成房权证监证字第</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1696823</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2014.7.20-</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2015.7.19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3,000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李小瑜</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9" w:right="47" w:hanging="263"/>
              <w:jc w:val="left"/>
              <w:rPr>
                <w:rFonts w:ascii="宋体" w:hAnsi="宋体" w:cs="宋体" w:eastAsia="宋体" w:hint="default"/>
                <w:sz w:val="21"/>
                <w:szCs w:val="21"/>
              </w:rPr>
            </w:pPr>
            <w:r>
              <w:rPr>
                <w:rFonts w:ascii="宋体" w:hAnsi="宋体" w:cs="宋体" w:eastAsia="宋体" w:hint="default"/>
                <w:sz w:val="21"/>
                <w:szCs w:val="21"/>
              </w:rPr>
              <w:t>庆沙坪坝区小龙坎新 街</w:t>
            </w:r>
            <w:r>
              <w:rPr>
                <w:rFonts w:ascii="Times New Roman" w:hAnsi="Times New Roman" w:cs="Times New Roman" w:eastAsia="Times New Roman" w:hint="default"/>
                <w:sz w:val="21"/>
                <w:szCs w:val="21"/>
              </w:rPr>
              <w:t>49-2-20-16</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40.9</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104</w:t>
            </w:r>
            <w:r>
              <w:rPr>
                <w:rFonts w:ascii="宋体" w:hAnsi="宋体" w:cs="宋体" w:eastAsia="宋体" w:hint="default"/>
                <w:sz w:val="21"/>
                <w:szCs w:val="21"/>
              </w:rPr>
              <w:t>房地证</w:t>
            </w:r>
            <w:r>
              <w:rPr>
                <w:rFonts w:ascii="Times New Roman" w:hAnsi="Times New Roman" w:cs="Times New Roman" w:eastAsia="Times New Roman" w:hint="default"/>
                <w:sz w:val="21"/>
                <w:szCs w:val="21"/>
              </w:rPr>
              <w:t>2006</w:t>
            </w:r>
            <w:r>
              <w:rPr>
                <w:rFonts w:ascii="宋体" w:hAnsi="宋体" w:cs="宋体" w:eastAsia="宋体" w:hint="default"/>
                <w:sz w:val="21"/>
                <w:szCs w:val="21"/>
              </w:rPr>
              <w:t>字第</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020980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2014.6.3-201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5.6.2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1,600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22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李小瑜</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3" w:right="47" w:hanging="158"/>
              <w:jc w:val="left"/>
              <w:rPr>
                <w:rFonts w:ascii="宋体" w:hAnsi="宋体" w:cs="宋体" w:eastAsia="宋体" w:hint="default"/>
                <w:sz w:val="21"/>
                <w:szCs w:val="21"/>
              </w:rPr>
            </w:pPr>
            <w:r>
              <w:rPr>
                <w:rFonts w:ascii="宋体" w:hAnsi="宋体" w:cs="宋体" w:eastAsia="宋体" w:hint="default"/>
                <w:sz w:val="21"/>
                <w:szCs w:val="21"/>
              </w:rPr>
              <w:t>重庆沙坪坝区小龙坎 新街</w:t>
            </w:r>
            <w:r>
              <w:rPr>
                <w:rFonts w:ascii="Times New Roman" w:hAnsi="Times New Roman" w:cs="Times New Roman" w:eastAsia="Times New Roman" w:hint="default"/>
                <w:sz w:val="21"/>
                <w:szCs w:val="21"/>
              </w:rPr>
              <w:t>49-2-20-16</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40.9</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104</w:t>
            </w:r>
            <w:r>
              <w:rPr>
                <w:rFonts w:ascii="宋体" w:hAnsi="宋体" w:cs="宋体" w:eastAsia="宋体" w:hint="default"/>
                <w:sz w:val="21"/>
                <w:szCs w:val="21"/>
              </w:rPr>
              <w:t>房地证</w:t>
            </w:r>
            <w:r>
              <w:rPr>
                <w:rFonts w:ascii="Times New Roman" w:hAnsi="Times New Roman" w:cs="Times New Roman" w:eastAsia="Times New Roman" w:hint="default"/>
                <w:sz w:val="21"/>
                <w:szCs w:val="21"/>
              </w:rPr>
              <w:t>2006</w:t>
            </w:r>
            <w:r>
              <w:rPr>
                <w:rFonts w:ascii="宋体" w:hAnsi="宋体" w:cs="宋体" w:eastAsia="宋体" w:hint="default"/>
                <w:sz w:val="21"/>
                <w:szCs w:val="21"/>
              </w:rPr>
              <w:t>字第</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020980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2" w:right="0"/>
              <w:jc w:val="left"/>
              <w:rPr>
                <w:rFonts w:ascii="Times New Roman" w:hAnsi="Times New Roman" w:cs="Times New Roman" w:eastAsia="Times New Roman" w:hint="default"/>
                <w:sz w:val="21"/>
                <w:szCs w:val="21"/>
              </w:rPr>
            </w:pPr>
            <w:r>
              <w:rPr>
                <w:rFonts w:ascii="Times New Roman"/>
                <w:sz w:val="21"/>
              </w:rPr>
              <w:t>2015.6.3</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2015.12.2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1,600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23</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李小瑜</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9" w:right="47" w:hanging="263"/>
              <w:jc w:val="left"/>
              <w:rPr>
                <w:rFonts w:ascii="宋体" w:hAnsi="宋体" w:cs="宋体" w:eastAsia="宋体" w:hint="default"/>
                <w:sz w:val="21"/>
                <w:szCs w:val="21"/>
              </w:rPr>
            </w:pPr>
            <w:r>
              <w:rPr>
                <w:rFonts w:ascii="宋体" w:hAnsi="宋体" w:cs="宋体" w:eastAsia="宋体" w:hint="default"/>
                <w:sz w:val="21"/>
                <w:szCs w:val="21"/>
              </w:rPr>
              <w:t>重庆沙坪区小龙坎新 街</w:t>
            </w:r>
            <w:r>
              <w:rPr>
                <w:rFonts w:ascii="Times New Roman" w:hAnsi="Times New Roman" w:cs="Times New Roman" w:eastAsia="Times New Roman" w:hint="default"/>
                <w:sz w:val="21"/>
                <w:szCs w:val="21"/>
              </w:rPr>
              <w:t>49-2-20-16</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40.9</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104</w:t>
            </w:r>
            <w:r>
              <w:rPr>
                <w:rFonts w:ascii="宋体" w:hAnsi="宋体" w:cs="宋体" w:eastAsia="宋体" w:hint="default"/>
                <w:sz w:val="21"/>
                <w:szCs w:val="21"/>
              </w:rPr>
              <w:t>房地证</w:t>
            </w:r>
            <w:r>
              <w:rPr>
                <w:rFonts w:ascii="Times New Roman" w:hAnsi="Times New Roman" w:cs="Times New Roman" w:eastAsia="Times New Roman" w:hint="default"/>
                <w:sz w:val="21"/>
                <w:szCs w:val="21"/>
              </w:rPr>
              <w:t>2006</w:t>
            </w:r>
            <w:r>
              <w:rPr>
                <w:rFonts w:ascii="宋体" w:hAnsi="宋体" w:cs="宋体" w:eastAsia="宋体" w:hint="default"/>
                <w:sz w:val="21"/>
                <w:szCs w:val="21"/>
              </w:rPr>
              <w:t>字第</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020980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2015.12.03-2</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016.6.2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1600</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张克芹</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沈阳市和平区中兴街 南五马路</w:t>
            </w:r>
            <w:r>
              <w:rPr>
                <w:rFonts w:ascii="Times New Roman" w:hAnsi="Times New Roman" w:cs="Times New Roman" w:eastAsia="Times New Roman" w:hint="default"/>
                <w:sz w:val="21"/>
                <w:szCs w:val="21"/>
              </w:rPr>
              <w:t>121</w:t>
            </w:r>
            <w:r>
              <w:rPr>
                <w:rFonts w:ascii="宋体" w:hAnsi="宋体" w:cs="宋体" w:eastAsia="宋体" w:hint="default"/>
                <w:sz w:val="21"/>
                <w:szCs w:val="21"/>
              </w:rPr>
              <w:t>号万丽 城</w:t>
            </w:r>
            <w:r>
              <w:rPr>
                <w:rFonts w:ascii="Times New Roman" w:hAnsi="Times New Roman" w:cs="Times New Roman" w:eastAsia="Times New Roman" w:hint="default"/>
                <w:sz w:val="21"/>
                <w:szCs w:val="21"/>
              </w:rPr>
              <w:t>1204</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63.14</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8" w:right="216" w:firstLine="204"/>
              <w:jc w:val="left"/>
              <w:rPr>
                <w:rFonts w:ascii="Times New Roman" w:hAnsi="Times New Roman" w:cs="Times New Roman" w:eastAsia="Times New Roman" w:hint="default"/>
                <w:sz w:val="21"/>
                <w:szCs w:val="21"/>
              </w:rPr>
            </w:pPr>
            <w:r>
              <w:rPr>
                <w:rFonts w:ascii="宋体" w:hAnsi="宋体" w:cs="宋体" w:eastAsia="宋体" w:hint="default"/>
                <w:sz w:val="21"/>
                <w:szCs w:val="21"/>
              </w:rPr>
              <w:t>商品房买卖合同 编号：</w:t>
            </w:r>
            <w:r>
              <w:rPr>
                <w:rFonts w:ascii="Times New Roman" w:hAnsi="Times New Roman" w:cs="Times New Roman" w:eastAsia="Times New Roman" w:hint="default"/>
                <w:sz w:val="21"/>
                <w:szCs w:val="21"/>
              </w:rPr>
              <w:t>GF-2000-0171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2013.5.1-201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6.6.2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25</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张克芹</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沈阳市和平区中兴街 南五马路</w:t>
            </w:r>
            <w:r>
              <w:rPr>
                <w:rFonts w:ascii="Times New Roman" w:hAnsi="Times New Roman" w:cs="Times New Roman" w:eastAsia="Times New Roman" w:hint="default"/>
                <w:sz w:val="21"/>
                <w:szCs w:val="21"/>
              </w:rPr>
              <w:t>121</w:t>
            </w:r>
            <w:r>
              <w:rPr>
                <w:rFonts w:ascii="宋体" w:hAnsi="宋体" w:cs="宋体" w:eastAsia="宋体" w:hint="default"/>
                <w:sz w:val="21"/>
                <w:szCs w:val="21"/>
              </w:rPr>
              <w:t>号万丽 城</w:t>
            </w:r>
            <w:r>
              <w:rPr>
                <w:rFonts w:ascii="Times New Roman" w:hAnsi="Times New Roman" w:cs="Times New Roman" w:eastAsia="Times New Roman" w:hint="default"/>
                <w:sz w:val="21"/>
                <w:szCs w:val="21"/>
              </w:rPr>
              <w:t>1204</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63.14</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8" w:right="216" w:firstLine="204"/>
              <w:jc w:val="left"/>
              <w:rPr>
                <w:rFonts w:ascii="Times New Roman" w:hAnsi="Times New Roman" w:cs="Times New Roman" w:eastAsia="Times New Roman" w:hint="default"/>
                <w:sz w:val="21"/>
                <w:szCs w:val="21"/>
              </w:rPr>
            </w:pPr>
            <w:r>
              <w:rPr>
                <w:rFonts w:ascii="宋体" w:hAnsi="宋体" w:cs="宋体" w:eastAsia="宋体" w:hint="default"/>
                <w:sz w:val="21"/>
                <w:szCs w:val="21"/>
              </w:rPr>
              <w:t>商品房买卖合同 编号：</w:t>
            </w:r>
            <w:r>
              <w:rPr>
                <w:rFonts w:ascii="Times New Roman" w:hAnsi="Times New Roman" w:cs="Times New Roman" w:eastAsia="Times New Roman" w:hint="default"/>
                <w:sz w:val="21"/>
                <w:szCs w:val="21"/>
              </w:rPr>
              <w:t>GF-2000-0171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2" w:right="0"/>
              <w:jc w:val="left"/>
              <w:rPr>
                <w:rFonts w:ascii="Times New Roman" w:hAnsi="Times New Roman" w:cs="Times New Roman" w:eastAsia="Times New Roman" w:hint="default"/>
                <w:sz w:val="21"/>
                <w:szCs w:val="21"/>
              </w:rPr>
            </w:pPr>
            <w:r>
              <w:rPr>
                <w:rFonts w:ascii="Times New Roman"/>
                <w:sz w:val="21"/>
              </w:rPr>
              <w:t>2015.5.1</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2017.4.30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 </w:t>
            </w:r>
            <w:r>
              <w:rPr>
                <w:rFonts w:ascii="宋体" w:hAnsi="宋体" w:cs="宋体" w:eastAsia="宋体" w:hint="default"/>
                <w:sz w:val="21"/>
                <w:szCs w:val="21"/>
              </w:rPr>
              <w:t>元</w:t>
            </w:r>
          </w:p>
        </w:tc>
      </w:tr>
      <w:tr>
        <w:trPr>
          <w:trHeight w:val="348"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张丽</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0" w:right="0"/>
              <w:jc w:val="left"/>
              <w:rPr>
                <w:rFonts w:ascii="宋体" w:hAnsi="宋体" w:cs="宋体" w:eastAsia="宋体" w:hint="default"/>
                <w:sz w:val="21"/>
                <w:szCs w:val="21"/>
              </w:rPr>
            </w:pPr>
            <w:r>
              <w:rPr>
                <w:rFonts w:ascii="宋体" w:hAnsi="宋体" w:cs="宋体" w:eastAsia="宋体" w:hint="default"/>
                <w:sz w:val="21"/>
                <w:szCs w:val="21"/>
              </w:rPr>
              <w:t>红相电</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6" w:right="0"/>
              <w:jc w:val="left"/>
              <w:rPr>
                <w:rFonts w:ascii="宋体" w:hAnsi="宋体" w:cs="宋体" w:eastAsia="宋体" w:hint="default"/>
                <w:sz w:val="21"/>
                <w:szCs w:val="21"/>
              </w:rPr>
            </w:pPr>
            <w:r>
              <w:rPr>
                <w:rFonts w:ascii="宋体" w:hAnsi="宋体" w:cs="宋体" w:eastAsia="宋体" w:hint="default"/>
                <w:sz w:val="21"/>
                <w:szCs w:val="21"/>
              </w:rPr>
              <w:t>大理经济开发区苍山</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307</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6" w:right="0"/>
              <w:jc w:val="left"/>
              <w:rPr>
                <w:rFonts w:ascii="宋体" w:hAnsi="宋体" w:cs="宋体" w:eastAsia="宋体" w:hint="default"/>
                <w:sz w:val="21"/>
                <w:szCs w:val="21"/>
              </w:rPr>
            </w:pPr>
            <w:r>
              <w:rPr>
                <w:rFonts w:ascii="宋体" w:hAnsi="宋体" w:cs="宋体" w:eastAsia="宋体" w:hint="default"/>
                <w:sz w:val="21"/>
                <w:szCs w:val="21"/>
              </w:rPr>
              <w:t>大理市房权证下关字第</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0" w:right="0"/>
              <w:jc w:val="left"/>
              <w:rPr>
                <w:rFonts w:ascii="Times New Roman" w:hAnsi="Times New Roman" w:cs="Times New Roman" w:eastAsia="Times New Roman" w:hint="default"/>
                <w:sz w:val="21"/>
                <w:szCs w:val="21"/>
              </w:rPr>
            </w:pPr>
            <w:r>
              <w:rPr>
                <w:rFonts w:ascii="Times New Roman"/>
                <w:sz w:val="21"/>
              </w:rPr>
              <w:t>2014.7.20-20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2000</w:t>
            </w:r>
            <w:r>
              <w:rPr>
                <w:rFonts w:ascii="宋体" w:hAnsi="宋体" w:cs="宋体" w:eastAsia="宋体" w:hint="default"/>
                <w:sz w:val="21"/>
                <w:szCs w:val="21"/>
              </w:rPr>
              <w:t>元</w:t>
            </w:r>
          </w:p>
        </w:tc>
      </w:tr>
    </w:tbl>
    <w:p>
      <w:pPr>
        <w:spacing w:after="0" w:line="287" w:lineRule="exact"/>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328"/>
        <w:gridCol w:w="650"/>
        <w:gridCol w:w="703"/>
        <w:gridCol w:w="1999"/>
        <w:gridCol w:w="441"/>
        <w:gridCol w:w="728"/>
        <w:gridCol w:w="2331"/>
        <w:gridCol w:w="1175"/>
        <w:gridCol w:w="1428"/>
      </w:tblGrid>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6" w:right="0" w:hanging="105"/>
              <w:jc w:val="left"/>
              <w:rPr>
                <w:rFonts w:ascii="宋体" w:hAnsi="宋体" w:cs="宋体" w:eastAsia="宋体" w:hint="default"/>
                <w:sz w:val="21"/>
                <w:szCs w:val="21"/>
              </w:rPr>
            </w:pPr>
            <w:r>
              <w:rPr>
                <w:rFonts w:ascii="宋体" w:hAnsi="宋体" w:cs="宋体" w:eastAsia="宋体" w:hint="default"/>
                <w:sz w:val="21"/>
                <w:szCs w:val="21"/>
              </w:rPr>
              <w:t>华、肖 天国</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路华兴商业城</w:t>
            </w:r>
            <w:r>
              <w:rPr>
                <w:rFonts w:ascii="Times New Roman" w:hAnsi="Times New Roman" w:cs="Times New Roman" w:eastAsia="Times New Roman" w:hint="default"/>
                <w:sz w:val="21"/>
                <w:szCs w:val="21"/>
              </w:rPr>
              <w:t>A</w:t>
            </w:r>
            <w:r>
              <w:rPr>
                <w:rFonts w:ascii="宋体" w:hAnsi="宋体" w:cs="宋体" w:eastAsia="宋体" w:hint="default"/>
                <w:sz w:val="21"/>
                <w:szCs w:val="21"/>
              </w:rPr>
              <w:t>幢</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10-11</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20012619</w:t>
            </w:r>
            <w:r>
              <w:rPr>
                <w:rFonts w:ascii="宋体" w:hAnsi="宋体" w:cs="宋体" w:eastAsia="宋体" w:hint="default"/>
                <w:sz w:val="21"/>
                <w:szCs w:val="21"/>
              </w:rPr>
              <w:t>号和</w:t>
            </w:r>
            <w:r>
              <w:rPr>
                <w:rFonts w:ascii="Times New Roman" w:hAnsi="Times New Roman" w:cs="Times New Roman" w:eastAsia="Times New Roman" w:hint="default"/>
                <w:sz w:val="21"/>
                <w:szCs w:val="21"/>
              </w:rPr>
              <w:t>20012620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65" w:right="0"/>
              <w:jc w:val="left"/>
              <w:rPr>
                <w:rFonts w:ascii="Times New Roman" w:hAnsi="Times New Roman" w:cs="Times New Roman" w:eastAsia="Times New Roman" w:hint="default"/>
                <w:sz w:val="21"/>
                <w:szCs w:val="21"/>
              </w:rPr>
            </w:pPr>
            <w:r>
              <w:rPr>
                <w:rFonts w:ascii="Times New Roman"/>
                <w:sz w:val="21"/>
              </w:rPr>
              <w:t>15.7.19</w:t>
            </w: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27</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hanging="2"/>
              <w:jc w:val="center"/>
              <w:rPr>
                <w:rFonts w:ascii="宋体" w:hAnsi="宋体" w:cs="宋体" w:eastAsia="宋体" w:hint="default"/>
                <w:sz w:val="21"/>
                <w:szCs w:val="21"/>
              </w:rPr>
            </w:pPr>
            <w:r>
              <w:rPr>
                <w:rFonts w:ascii="宋体" w:hAnsi="宋体" w:cs="宋体" w:eastAsia="宋体" w:hint="default"/>
                <w:sz w:val="21"/>
                <w:szCs w:val="21"/>
              </w:rPr>
              <w:t>张丽 华、肖 天国</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6" w:right="47"/>
              <w:jc w:val="center"/>
              <w:rPr>
                <w:rFonts w:ascii="宋体" w:hAnsi="宋体" w:cs="宋体" w:eastAsia="宋体" w:hint="default"/>
                <w:sz w:val="21"/>
                <w:szCs w:val="21"/>
              </w:rPr>
            </w:pPr>
            <w:r>
              <w:rPr>
                <w:rFonts w:ascii="宋体" w:hAnsi="宋体" w:cs="宋体" w:eastAsia="宋体" w:hint="default"/>
                <w:sz w:val="21"/>
                <w:szCs w:val="21"/>
              </w:rPr>
              <w:t>大理经济开发区苍山 路华兴商业城</w:t>
            </w:r>
            <w:r>
              <w:rPr>
                <w:rFonts w:ascii="Times New Roman" w:hAnsi="Times New Roman" w:cs="Times New Roman" w:eastAsia="Times New Roman" w:hint="default"/>
                <w:sz w:val="21"/>
                <w:szCs w:val="21"/>
              </w:rPr>
              <w:t>A</w:t>
            </w:r>
            <w:r>
              <w:rPr>
                <w:rFonts w:ascii="宋体" w:hAnsi="宋体" w:cs="宋体" w:eastAsia="宋体" w:hint="default"/>
                <w:sz w:val="21"/>
                <w:szCs w:val="21"/>
              </w:rPr>
              <w:t>幢</w:t>
            </w:r>
          </w:p>
          <w:p>
            <w:pPr>
              <w:pStyle w:val="TableParagraph"/>
              <w:spacing w:line="28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10-11</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307</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大理市房权证下关字第</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20012619</w:t>
            </w:r>
            <w:r>
              <w:rPr>
                <w:rFonts w:ascii="宋体" w:hAnsi="宋体" w:cs="宋体" w:eastAsia="宋体" w:hint="default"/>
                <w:sz w:val="21"/>
                <w:szCs w:val="21"/>
              </w:rPr>
              <w:t>号和</w:t>
            </w:r>
            <w:r>
              <w:rPr>
                <w:rFonts w:ascii="Times New Roman" w:hAnsi="Times New Roman" w:cs="Times New Roman" w:eastAsia="Times New Roman" w:hint="default"/>
                <w:sz w:val="21"/>
                <w:szCs w:val="21"/>
              </w:rPr>
              <w:t>20012620</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2015.7.20-</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2016.7.19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28</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钟清萍</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9" w:right="47" w:hanging="53"/>
              <w:jc w:val="left"/>
              <w:rPr>
                <w:rFonts w:ascii="宋体" w:hAnsi="宋体" w:cs="宋体" w:eastAsia="宋体" w:hint="default"/>
                <w:sz w:val="21"/>
                <w:szCs w:val="21"/>
              </w:rPr>
            </w:pPr>
            <w:r>
              <w:rPr>
                <w:rFonts w:ascii="宋体" w:hAnsi="宋体" w:cs="宋体" w:eastAsia="宋体" w:hint="default"/>
                <w:sz w:val="21"/>
                <w:szCs w:val="21"/>
              </w:rPr>
              <w:t>广州市天河区黄埔大 道西路</w:t>
            </w:r>
            <w:r>
              <w:rPr>
                <w:rFonts w:ascii="Times New Roman" w:hAnsi="Times New Roman" w:cs="Times New Roman" w:eastAsia="Times New Roman" w:hint="default"/>
                <w:sz w:val="21"/>
                <w:szCs w:val="21"/>
              </w:rPr>
              <w:t>638</w:t>
            </w:r>
            <w:r>
              <w:rPr>
                <w:rFonts w:ascii="宋体" w:hAnsi="宋体" w:cs="宋体" w:eastAsia="宋体" w:hint="default"/>
                <w:sz w:val="21"/>
                <w:szCs w:val="21"/>
              </w:rPr>
              <w:t>号</w:t>
            </w:r>
            <w:r>
              <w:rPr>
                <w:rFonts w:ascii="Times New Roman" w:hAnsi="Times New Roman" w:cs="Times New Roman" w:eastAsia="Times New Roman" w:hint="default"/>
                <w:sz w:val="21"/>
                <w:szCs w:val="21"/>
              </w:rPr>
              <w:t>1706</w:t>
            </w:r>
            <w:r>
              <w:rPr>
                <w:rFonts w:ascii="宋体" w:hAnsi="宋体" w:cs="宋体" w:eastAsia="宋体" w:hint="default"/>
                <w:sz w:val="21"/>
                <w:szCs w:val="21"/>
              </w:rPr>
              <w:t>房</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107.85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52" w:right="88" w:hanging="963"/>
              <w:jc w:val="left"/>
              <w:rPr>
                <w:rFonts w:ascii="宋体" w:hAnsi="宋体" w:cs="宋体" w:eastAsia="宋体" w:hint="default"/>
                <w:sz w:val="21"/>
                <w:szCs w:val="21"/>
              </w:rPr>
            </w:pPr>
            <w:r>
              <w:rPr>
                <w:rFonts w:ascii="宋体" w:hAnsi="宋体" w:cs="宋体" w:eastAsia="宋体" w:hint="default"/>
                <w:sz w:val="21"/>
                <w:szCs w:val="21"/>
              </w:rPr>
              <w:t>粤房地证字第</w:t>
            </w:r>
            <w:r>
              <w:rPr>
                <w:rFonts w:ascii="Times New Roman" w:hAnsi="Times New Roman" w:cs="Times New Roman" w:eastAsia="Times New Roman" w:hint="default"/>
                <w:sz w:val="21"/>
                <w:szCs w:val="21"/>
              </w:rPr>
              <w:t>C5712035 </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2014.2.6-201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5.2.5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13482</w:t>
            </w:r>
            <w:r>
              <w:rPr>
                <w:rFonts w:ascii="宋体" w:hAnsi="宋体" w:cs="宋体" w:eastAsia="宋体" w:hint="default"/>
                <w:sz w:val="21"/>
                <w:szCs w:val="21"/>
              </w:rPr>
              <w:t>元</w:t>
            </w:r>
          </w:p>
        </w:tc>
      </w:tr>
      <w:tr>
        <w:trPr>
          <w:trHeight w:val="660"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29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徐志明</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2" w:right="47" w:hanging="106"/>
              <w:jc w:val="left"/>
              <w:rPr>
                <w:rFonts w:ascii="宋体" w:hAnsi="宋体" w:cs="宋体" w:eastAsia="宋体" w:hint="default"/>
                <w:sz w:val="21"/>
                <w:szCs w:val="21"/>
              </w:rPr>
            </w:pPr>
            <w:r>
              <w:rPr>
                <w:rFonts w:ascii="宋体" w:hAnsi="宋体" w:cs="宋体" w:eastAsia="宋体" w:hint="default"/>
                <w:sz w:val="21"/>
                <w:szCs w:val="21"/>
              </w:rPr>
              <w:t>广州市海珠区艺景路 锦豪街</w:t>
            </w:r>
            <w:r>
              <w:rPr>
                <w:rFonts w:ascii="Times New Roman" w:hAnsi="Times New Roman" w:cs="Times New Roman" w:eastAsia="Times New Roman" w:hint="default"/>
                <w:sz w:val="21"/>
                <w:szCs w:val="21"/>
              </w:rPr>
              <w:t>4</w:t>
            </w:r>
            <w:r>
              <w:rPr>
                <w:rFonts w:ascii="宋体" w:hAnsi="宋体" w:cs="宋体" w:eastAsia="宋体" w:hint="default"/>
                <w:sz w:val="21"/>
                <w:szCs w:val="21"/>
              </w:rPr>
              <w:t>号</w:t>
            </w:r>
            <w:r>
              <w:rPr>
                <w:rFonts w:ascii="Times New Roman" w:hAnsi="Times New Roman" w:cs="Times New Roman" w:eastAsia="Times New Roman" w:hint="default"/>
                <w:sz w:val="21"/>
                <w:szCs w:val="21"/>
              </w:rPr>
              <w:t>603</w:t>
            </w:r>
            <w:r>
              <w:rPr>
                <w:rFonts w:ascii="宋体" w:hAnsi="宋体" w:cs="宋体" w:eastAsia="宋体" w:hint="default"/>
                <w:sz w:val="21"/>
                <w:szCs w:val="21"/>
              </w:rPr>
              <w:t>房号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153.95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农村自建房无产权证</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9" w:right="0"/>
              <w:jc w:val="left"/>
              <w:rPr>
                <w:rFonts w:ascii="Times New Roman" w:hAnsi="Times New Roman" w:cs="Times New Roman" w:eastAsia="Times New Roman" w:hint="default"/>
                <w:sz w:val="21"/>
                <w:szCs w:val="21"/>
              </w:rPr>
            </w:pPr>
            <w:r>
              <w:rPr>
                <w:rFonts w:ascii="Times New Roman"/>
                <w:sz w:val="21"/>
              </w:rPr>
              <w:t>2015.1.20</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2016.1.20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6500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周爱萍</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99" w:right="47" w:hanging="53"/>
              <w:jc w:val="both"/>
              <w:rPr>
                <w:rFonts w:ascii="宋体" w:hAnsi="宋体" w:cs="宋体" w:eastAsia="宋体" w:hint="default"/>
                <w:sz w:val="21"/>
                <w:szCs w:val="21"/>
              </w:rPr>
            </w:pPr>
            <w:r>
              <w:rPr>
                <w:rFonts w:ascii="宋体" w:hAnsi="宋体" w:cs="宋体" w:eastAsia="宋体" w:hint="default"/>
                <w:sz w:val="21"/>
                <w:szCs w:val="21"/>
              </w:rPr>
              <w:t>济南市槐萌区阳光新 路</w:t>
            </w:r>
            <w:r>
              <w:rPr>
                <w:rFonts w:ascii="Times New Roman" w:hAnsi="Times New Roman" w:cs="Times New Roman" w:eastAsia="Times New Roman" w:hint="default"/>
                <w:sz w:val="21"/>
                <w:szCs w:val="21"/>
              </w:rPr>
              <w:t>21</w:t>
            </w:r>
            <w:r>
              <w:rPr>
                <w:rFonts w:ascii="宋体" w:hAnsi="宋体" w:cs="宋体" w:eastAsia="宋体" w:hint="default"/>
                <w:sz w:val="21"/>
                <w:szCs w:val="21"/>
              </w:rPr>
              <w:t>号阳光</w:t>
            </w:r>
            <w:r>
              <w:rPr>
                <w:rFonts w:ascii="Times New Roman" w:hAnsi="Times New Roman" w:cs="Times New Roman" w:eastAsia="Times New Roman" w:hint="default"/>
                <w:sz w:val="21"/>
                <w:szCs w:val="21"/>
              </w:rPr>
              <w:t>100</w:t>
            </w:r>
            <w:r>
              <w:rPr>
                <w:rFonts w:ascii="宋体" w:hAnsi="宋体" w:cs="宋体" w:eastAsia="宋体" w:hint="default"/>
                <w:sz w:val="21"/>
                <w:szCs w:val="21"/>
              </w:rPr>
              <w:t>国际 新城</w:t>
            </w:r>
            <w:r>
              <w:rPr>
                <w:rFonts w:ascii="Times New Roman" w:hAnsi="Times New Roman" w:cs="Times New Roman" w:eastAsia="Times New Roman" w:hint="default"/>
                <w:sz w:val="21"/>
                <w:szCs w:val="21"/>
              </w:rPr>
              <w:t>27</w:t>
            </w:r>
            <w:r>
              <w:rPr>
                <w:rFonts w:ascii="宋体" w:hAnsi="宋体" w:cs="宋体" w:eastAsia="宋体" w:hint="default"/>
                <w:sz w:val="21"/>
                <w:szCs w:val="21"/>
              </w:rPr>
              <w:t>号楼</w:t>
            </w:r>
            <w:r>
              <w:rPr>
                <w:rFonts w:ascii="Times New Roman" w:hAnsi="Times New Roman" w:cs="Times New Roman" w:eastAsia="Times New Roman" w:hint="default"/>
                <w:sz w:val="21"/>
                <w:szCs w:val="21"/>
              </w:rPr>
              <w:t>2-702</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128.62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sz w:val="21"/>
                <w:szCs w:val="21"/>
              </w:rPr>
              <w:t>济房权证槐字第</w:t>
            </w:r>
            <w:r>
              <w:rPr>
                <w:rFonts w:ascii="Times New Roman" w:hAnsi="Times New Roman" w:cs="Times New Roman" w:eastAsia="Times New Roman" w:hint="default"/>
                <w:sz w:val="21"/>
                <w:szCs w:val="21"/>
              </w:rPr>
              <w:t>094884</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4" w:right="0"/>
              <w:jc w:val="left"/>
              <w:rPr>
                <w:rFonts w:ascii="Times New Roman" w:hAnsi="Times New Roman" w:cs="Times New Roman" w:eastAsia="Times New Roman" w:hint="default"/>
                <w:sz w:val="21"/>
                <w:szCs w:val="21"/>
              </w:rPr>
            </w:pPr>
            <w:r>
              <w:rPr>
                <w:rFonts w:ascii="Times New Roman"/>
                <w:sz w:val="21"/>
              </w:rPr>
              <w:t>2014.9.21-</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2016.9.20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柯海进</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海口市龙华区国贸路</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号城市精英</w:t>
            </w:r>
            <w:r>
              <w:rPr>
                <w:rFonts w:ascii="Times New Roman" w:hAnsi="Times New Roman" w:cs="Times New Roman" w:eastAsia="Times New Roman" w:hint="default"/>
                <w:sz w:val="21"/>
                <w:szCs w:val="21"/>
              </w:rPr>
              <w:t>B</w:t>
            </w:r>
            <w:r>
              <w:rPr>
                <w:rFonts w:ascii="宋体" w:hAnsi="宋体" w:cs="宋体" w:eastAsia="宋体" w:hint="default"/>
                <w:sz w:val="21"/>
                <w:szCs w:val="21"/>
              </w:rPr>
              <w:t>座</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2806</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129.19</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房屋所有权证号</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HK064621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2014.9.1-201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5.2.28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3200</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武海燕</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海口市龙华区国贸路</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号城市精英</w:t>
            </w:r>
            <w:r>
              <w:rPr>
                <w:rFonts w:ascii="Times New Roman" w:hAnsi="Times New Roman" w:cs="Times New Roman" w:eastAsia="Times New Roman" w:hint="default"/>
                <w:sz w:val="21"/>
                <w:szCs w:val="21"/>
              </w:rPr>
              <w:t>B</w:t>
            </w:r>
            <w:r>
              <w:rPr>
                <w:rFonts w:ascii="宋体" w:hAnsi="宋体" w:cs="宋体" w:eastAsia="宋体" w:hint="default"/>
                <w:sz w:val="21"/>
                <w:szCs w:val="21"/>
              </w:rPr>
              <w:t>座</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2806</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129.19</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海口市房权证海房字第</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HK115569</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2" w:right="0"/>
              <w:jc w:val="left"/>
              <w:rPr>
                <w:rFonts w:ascii="Times New Roman" w:hAnsi="Times New Roman" w:cs="Times New Roman" w:eastAsia="Times New Roman" w:hint="default"/>
                <w:sz w:val="21"/>
                <w:szCs w:val="21"/>
              </w:rPr>
            </w:pPr>
            <w:r>
              <w:rPr>
                <w:rFonts w:ascii="Times New Roman"/>
                <w:sz w:val="21"/>
              </w:rPr>
              <w:t>2015.3.1</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2016.2.28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33</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谢洪</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4"/>
              <w:jc w:val="center"/>
              <w:rPr>
                <w:rFonts w:ascii="Times New Roman" w:hAnsi="Times New Roman" w:cs="Times New Roman" w:eastAsia="Times New Roman" w:hint="default"/>
                <w:sz w:val="21"/>
                <w:szCs w:val="21"/>
              </w:rPr>
            </w:pPr>
            <w:r>
              <w:rPr>
                <w:rFonts w:ascii="宋体" w:hAnsi="宋体" w:cs="宋体" w:eastAsia="宋体" w:hint="default"/>
                <w:sz w:val="21"/>
                <w:szCs w:val="21"/>
              </w:rPr>
              <w:t>昆明市春城路</w:t>
            </w:r>
            <w:r>
              <w:rPr>
                <w:rFonts w:ascii="Times New Roman" w:hAnsi="Times New Roman" w:cs="Times New Roman" w:eastAsia="Times New Roman" w:hint="default"/>
                <w:sz w:val="21"/>
                <w:szCs w:val="21"/>
              </w:rPr>
              <w:t>64</w:t>
            </w:r>
            <w:r>
              <w:rPr>
                <w:rFonts w:ascii="宋体" w:hAnsi="宋体" w:cs="宋体" w:eastAsia="宋体" w:hint="default"/>
                <w:sz w:val="21"/>
                <w:szCs w:val="21"/>
              </w:rPr>
              <w:t>号新 华商厦二期（米兰国 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1506</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108</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昆明市房权证官字第</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200806063</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2014.12.1-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2015.11.30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谢洪</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4"/>
              <w:jc w:val="center"/>
              <w:rPr>
                <w:rFonts w:ascii="Times New Roman" w:hAnsi="Times New Roman" w:cs="Times New Roman" w:eastAsia="Times New Roman" w:hint="default"/>
                <w:sz w:val="21"/>
                <w:szCs w:val="21"/>
              </w:rPr>
            </w:pPr>
            <w:r>
              <w:rPr>
                <w:rFonts w:ascii="宋体" w:hAnsi="宋体" w:cs="宋体" w:eastAsia="宋体" w:hint="default"/>
                <w:sz w:val="21"/>
                <w:szCs w:val="21"/>
              </w:rPr>
              <w:t>昆明市春城路</w:t>
            </w:r>
            <w:r>
              <w:rPr>
                <w:rFonts w:ascii="Times New Roman" w:hAnsi="Times New Roman" w:cs="Times New Roman" w:eastAsia="Times New Roman" w:hint="default"/>
                <w:sz w:val="21"/>
                <w:szCs w:val="21"/>
              </w:rPr>
              <w:t>64</w:t>
            </w:r>
            <w:r>
              <w:rPr>
                <w:rFonts w:ascii="宋体" w:hAnsi="宋体" w:cs="宋体" w:eastAsia="宋体" w:hint="default"/>
                <w:sz w:val="21"/>
                <w:szCs w:val="21"/>
              </w:rPr>
              <w:t>号新 华商厦二期（米兰国 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1506</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108</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昆明市房权证官字第</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200806063</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2015.12.1-20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16.11.30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972"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35</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宋倩</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4"/>
              <w:jc w:val="center"/>
              <w:rPr>
                <w:rFonts w:ascii="Times New Roman" w:hAnsi="Times New Roman" w:cs="Times New Roman" w:eastAsia="Times New Roman" w:hint="default"/>
                <w:sz w:val="21"/>
                <w:szCs w:val="21"/>
              </w:rPr>
            </w:pPr>
            <w:r>
              <w:rPr>
                <w:rFonts w:ascii="宋体" w:hAnsi="宋体" w:cs="宋体" w:eastAsia="宋体" w:hint="default"/>
                <w:sz w:val="21"/>
                <w:szCs w:val="21"/>
              </w:rPr>
              <w:t>昆明市春城路</w:t>
            </w:r>
            <w:r>
              <w:rPr>
                <w:rFonts w:ascii="Times New Roman" w:hAnsi="Times New Roman" w:cs="Times New Roman" w:eastAsia="Times New Roman" w:hint="default"/>
                <w:sz w:val="21"/>
                <w:szCs w:val="21"/>
              </w:rPr>
              <w:t>64</w:t>
            </w:r>
            <w:r>
              <w:rPr>
                <w:rFonts w:ascii="宋体" w:hAnsi="宋体" w:cs="宋体" w:eastAsia="宋体" w:hint="default"/>
                <w:sz w:val="21"/>
                <w:szCs w:val="21"/>
              </w:rPr>
              <w:t>号新 华商厦二期（米兰国 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1503</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72.13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昆明市房权证官字第</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200802066</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2014.5.25-20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15.5.25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center"/>
              <w:rPr>
                <w:rFonts w:ascii="Times New Roman" w:hAnsi="Times New Roman" w:cs="Times New Roman" w:eastAsia="Times New Roman" w:hint="default"/>
                <w:sz w:val="21"/>
                <w:szCs w:val="21"/>
              </w:rPr>
            </w:pPr>
            <w:r>
              <w:rPr>
                <w:rFonts w:ascii="Times New Roman"/>
                <w:sz w:val="21"/>
              </w:rPr>
              <w:t>36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宋倩</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4"/>
              <w:jc w:val="center"/>
              <w:rPr>
                <w:rFonts w:ascii="Times New Roman" w:hAnsi="Times New Roman" w:cs="Times New Roman" w:eastAsia="Times New Roman" w:hint="default"/>
                <w:sz w:val="21"/>
                <w:szCs w:val="21"/>
              </w:rPr>
            </w:pPr>
            <w:r>
              <w:rPr>
                <w:rFonts w:ascii="宋体" w:hAnsi="宋体" w:cs="宋体" w:eastAsia="宋体" w:hint="default"/>
                <w:sz w:val="21"/>
                <w:szCs w:val="21"/>
              </w:rPr>
              <w:t>昆明市春城路</w:t>
            </w:r>
            <w:r>
              <w:rPr>
                <w:rFonts w:ascii="Times New Roman" w:hAnsi="Times New Roman" w:cs="Times New Roman" w:eastAsia="Times New Roman" w:hint="default"/>
                <w:sz w:val="21"/>
                <w:szCs w:val="21"/>
              </w:rPr>
              <w:t>64</w:t>
            </w:r>
            <w:r>
              <w:rPr>
                <w:rFonts w:ascii="宋体" w:hAnsi="宋体" w:cs="宋体" w:eastAsia="宋体" w:hint="default"/>
                <w:sz w:val="21"/>
                <w:szCs w:val="21"/>
              </w:rPr>
              <w:t>号新 华商厦二期（米兰国 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1503</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72.13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昆明市房权证官字第</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200802066</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9" w:right="0"/>
              <w:jc w:val="left"/>
              <w:rPr>
                <w:rFonts w:ascii="Times New Roman" w:hAnsi="Times New Roman" w:cs="Times New Roman" w:eastAsia="Times New Roman" w:hint="default"/>
                <w:sz w:val="21"/>
                <w:szCs w:val="21"/>
              </w:rPr>
            </w:pPr>
            <w:r>
              <w:rPr>
                <w:rFonts w:ascii="Times New Roman"/>
                <w:sz w:val="21"/>
              </w:rPr>
              <w:t>2015.5.26</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2016.5.25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2,200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37</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李荣刚</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贵阳市南明区官井路</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r>
              <w:rPr>
                <w:rFonts w:ascii="宋体" w:hAnsi="宋体" w:cs="宋体" w:eastAsia="宋体" w:hint="default"/>
                <w:sz w:val="21"/>
                <w:szCs w:val="21"/>
              </w:rPr>
              <w:t>单元</w:t>
            </w:r>
            <w:r>
              <w:rPr>
                <w:rFonts w:ascii="Times New Roman" w:hAnsi="Times New Roman" w:cs="Times New Roman" w:eastAsia="Times New Roman" w:hint="default"/>
                <w:sz w:val="21"/>
                <w:szCs w:val="21"/>
              </w:rPr>
              <w:t>5-19</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69.32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筑房权证南明字第</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0010030794</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2014.8.3-201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5.8.3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1,580 </w:t>
            </w:r>
            <w:r>
              <w:rPr>
                <w:rFonts w:ascii="宋体" w:hAnsi="宋体" w:cs="宋体" w:eastAsia="宋体" w:hint="default"/>
                <w:sz w:val="21"/>
                <w:szCs w:val="21"/>
              </w:rPr>
              <w:t>元</w:t>
            </w:r>
          </w:p>
        </w:tc>
      </w:tr>
      <w:tr>
        <w:trPr>
          <w:trHeight w:val="65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38</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李荣刚</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贵阳市南明区官井路</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r>
              <w:rPr>
                <w:rFonts w:ascii="宋体" w:hAnsi="宋体" w:cs="宋体" w:eastAsia="宋体" w:hint="default"/>
                <w:sz w:val="21"/>
                <w:szCs w:val="21"/>
              </w:rPr>
              <w:t>单元</w:t>
            </w:r>
            <w:r>
              <w:rPr>
                <w:rFonts w:ascii="Times New Roman" w:hAnsi="Times New Roman" w:cs="Times New Roman" w:eastAsia="Times New Roman" w:hint="default"/>
                <w:sz w:val="21"/>
                <w:szCs w:val="21"/>
              </w:rPr>
              <w:t>5-19</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69.32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筑房权证南明字第</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0010030794</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77" w:right="0"/>
              <w:jc w:val="left"/>
              <w:rPr>
                <w:rFonts w:ascii="Times New Roman" w:hAnsi="Times New Roman" w:cs="Times New Roman" w:eastAsia="Times New Roman" w:hint="default"/>
                <w:sz w:val="21"/>
                <w:szCs w:val="21"/>
              </w:rPr>
            </w:pPr>
            <w:r>
              <w:rPr>
                <w:rFonts w:ascii="Times New Roman"/>
                <w:sz w:val="21"/>
              </w:rPr>
              <w:t>2015.8.3-</w:t>
            </w:r>
          </w:p>
          <w:p>
            <w:pPr>
              <w:pStyle w:val="TableParagraph"/>
              <w:spacing w:line="240" w:lineRule="auto" w:before="70"/>
              <w:ind w:left="212" w:right="0"/>
              <w:jc w:val="left"/>
              <w:rPr>
                <w:rFonts w:ascii="Times New Roman" w:hAnsi="Times New Roman" w:cs="Times New Roman" w:eastAsia="Times New Roman" w:hint="default"/>
                <w:sz w:val="21"/>
                <w:szCs w:val="21"/>
              </w:rPr>
            </w:pPr>
            <w:r>
              <w:rPr>
                <w:rFonts w:ascii="Times New Roman"/>
                <w:sz w:val="21"/>
              </w:rPr>
              <w:t>2016.8.3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1,580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39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邓克</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8" w:right="29" w:firstLine="1"/>
              <w:jc w:val="center"/>
              <w:rPr>
                <w:rFonts w:ascii="宋体" w:hAnsi="宋体" w:cs="宋体" w:eastAsia="宋体" w:hint="default"/>
                <w:sz w:val="21"/>
                <w:szCs w:val="21"/>
              </w:rPr>
            </w:pPr>
            <w:r>
              <w:rPr>
                <w:rFonts w:ascii="宋体" w:hAnsi="宋体" w:cs="宋体" w:eastAsia="宋体" w:hint="default"/>
                <w:sz w:val="21"/>
                <w:szCs w:val="21"/>
              </w:rPr>
              <w:t>贵阳市南明区市南路 </w:t>
            </w:r>
            <w:r>
              <w:rPr>
                <w:rFonts w:ascii="Times New Roman" w:hAnsi="Times New Roman" w:cs="Times New Roman" w:eastAsia="Times New Roman" w:hint="default"/>
                <w:sz w:val="21"/>
                <w:szCs w:val="21"/>
              </w:rPr>
              <w:t>57</w:t>
            </w:r>
            <w:r>
              <w:rPr>
                <w:rFonts w:ascii="宋体" w:hAnsi="宋体" w:cs="宋体" w:eastAsia="宋体" w:hint="default"/>
                <w:sz w:val="21"/>
                <w:szCs w:val="21"/>
              </w:rPr>
              <w:t>号阳光</w:t>
            </w:r>
            <w:r>
              <w:rPr>
                <w:rFonts w:ascii="Times New Roman" w:hAnsi="Times New Roman" w:cs="Times New Roman" w:eastAsia="Times New Roman" w:hint="default"/>
                <w:sz w:val="21"/>
                <w:szCs w:val="21"/>
              </w:rPr>
              <w:t>100</w:t>
            </w:r>
            <w:r>
              <w:rPr>
                <w:rFonts w:ascii="宋体" w:hAnsi="宋体" w:cs="宋体" w:eastAsia="宋体" w:hint="default"/>
                <w:sz w:val="21"/>
                <w:szCs w:val="21"/>
              </w:rPr>
              <w:t>商住楼</w:t>
            </w:r>
            <w:r>
              <w:rPr>
                <w:rFonts w:ascii="Times New Roman" w:hAnsi="Times New Roman" w:cs="Times New Roman" w:eastAsia="Times New Roman" w:hint="default"/>
                <w:sz w:val="21"/>
                <w:szCs w:val="21"/>
              </w:rPr>
              <w:t>B </w:t>
            </w:r>
            <w:r>
              <w:rPr>
                <w:rFonts w:ascii="宋体" w:hAnsi="宋体" w:cs="宋体" w:eastAsia="宋体" w:hint="default"/>
                <w:sz w:val="21"/>
                <w:szCs w:val="21"/>
              </w:rPr>
              <w:t>栋</w:t>
            </w:r>
            <w:r>
              <w:rPr>
                <w:rFonts w:ascii="Times New Roman" w:hAnsi="Times New Roman" w:cs="Times New Roman" w:eastAsia="Times New Roman" w:hint="default"/>
                <w:sz w:val="21"/>
                <w:szCs w:val="21"/>
              </w:rPr>
              <w:t>B</w:t>
            </w:r>
            <w:r>
              <w:rPr>
                <w:rFonts w:ascii="宋体" w:hAnsi="宋体" w:cs="宋体" w:eastAsia="宋体" w:hint="default"/>
                <w:sz w:val="21"/>
                <w:szCs w:val="21"/>
              </w:rPr>
              <w:t>单元</w:t>
            </w:r>
            <w:r>
              <w:rPr>
                <w:rFonts w:ascii="Times New Roman" w:hAnsi="Times New Roman" w:cs="Times New Roman" w:eastAsia="Times New Roman" w:hint="default"/>
                <w:sz w:val="21"/>
                <w:szCs w:val="21"/>
              </w:rPr>
              <w:t>12</w:t>
            </w:r>
            <w:r>
              <w:rPr>
                <w:rFonts w:ascii="宋体" w:hAnsi="宋体" w:cs="宋体" w:eastAsia="宋体" w:hint="default"/>
                <w:sz w:val="21"/>
                <w:szCs w:val="21"/>
              </w:rPr>
              <w:t>层</w:t>
            </w:r>
            <w:r>
              <w:rPr>
                <w:rFonts w:ascii="Times New Roman" w:hAnsi="Times New Roman" w:cs="Times New Roman" w:eastAsia="Times New Roman" w:hint="default"/>
                <w:sz w:val="21"/>
                <w:szCs w:val="21"/>
              </w:rPr>
              <w:t>7</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142.12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筑房权证南明字第</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010296776</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2014.7.10-</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2015.7.10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40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陈群</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99" w:right="97"/>
              <w:jc w:val="center"/>
              <w:rPr>
                <w:rFonts w:ascii="宋体" w:hAnsi="宋体" w:cs="宋体" w:eastAsia="宋体" w:hint="default"/>
                <w:sz w:val="21"/>
                <w:szCs w:val="21"/>
              </w:rPr>
            </w:pPr>
            <w:r>
              <w:rPr>
                <w:rFonts w:ascii="宋体" w:hAnsi="宋体" w:cs="宋体" w:eastAsia="宋体" w:hint="default"/>
                <w:sz w:val="21"/>
                <w:szCs w:val="21"/>
              </w:rPr>
              <w:t>武汉市中北路</w:t>
            </w:r>
            <w:r>
              <w:rPr>
                <w:rFonts w:ascii="Times New Roman" w:hAnsi="Times New Roman" w:cs="Times New Roman" w:eastAsia="Times New Roman" w:hint="default"/>
                <w:sz w:val="21"/>
                <w:szCs w:val="21"/>
              </w:rPr>
              <w:t>233</w:t>
            </w:r>
            <w:r>
              <w:rPr>
                <w:rFonts w:ascii="宋体" w:hAnsi="宋体" w:cs="宋体" w:eastAsia="宋体" w:hint="default"/>
                <w:sz w:val="21"/>
                <w:szCs w:val="21"/>
              </w:rPr>
              <w:t>号 彩城大厦</w:t>
            </w:r>
            <w:r>
              <w:rPr>
                <w:rFonts w:ascii="Times New Roman" w:hAnsi="Times New Roman" w:cs="Times New Roman" w:eastAsia="Times New Roman" w:hint="default"/>
                <w:sz w:val="21"/>
                <w:szCs w:val="21"/>
              </w:rPr>
              <w:t>1</w:t>
            </w:r>
            <w:r>
              <w:rPr>
                <w:rFonts w:ascii="宋体" w:hAnsi="宋体" w:cs="宋体" w:eastAsia="宋体" w:hint="default"/>
                <w:sz w:val="21"/>
                <w:szCs w:val="21"/>
              </w:rPr>
              <w:t>单元</w:t>
            </w:r>
            <w:r>
              <w:rPr>
                <w:rFonts w:ascii="Times New Roman" w:hAnsi="Times New Roman" w:cs="Times New Roman" w:eastAsia="Times New Roman" w:hint="default"/>
                <w:sz w:val="21"/>
                <w:szCs w:val="21"/>
              </w:rPr>
              <w:t>9</w:t>
            </w:r>
            <w:r>
              <w:rPr>
                <w:rFonts w:ascii="宋体" w:hAnsi="宋体" w:cs="宋体" w:eastAsia="宋体" w:hint="default"/>
                <w:sz w:val="21"/>
                <w:szCs w:val="21"/>
              </w:rPr>
              <w:t>层</w:t>
            </w:r>
            <w:r>
              <w:rPr>
                <w:rFonts w:ascii="Times New Roman" w:hAnsi="Times New Roman" w:cs="Times New Roman" w:eastAsia="Times New Roman" w:hint="default"/>
                <w:sz w:val="21"/>
                <w:szCs w:val="21"/>
              </w:rPr>
              <w:t>5 </w:t>
            </w:r>
            <w:r>
              <w:rPr>
                <w:rFonts w:ascii="宋体" w:hAnsi="宋体" w:cs="宋体" w:eastAsia="宋体" w:hint="default"/>
                <w:sz w:val="21"/>
                <w:szCs w:val="21"/>
              </w:rPr>
              <w:t>号房</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住宅</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84.05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65" w:right="3" w:hanging="263"/>
              <w:jc w:val="left"/>
              <w:rPr>
                <w:rFonts w:ascii="宋体" w:hAnsi="宋体" w:cs="宋体" w:eastAsia="宋体" w:hint="default"/>
                <w:sz w:val="21"/>
                <w:szCs w:val="21"/>
              </w:rPr>
            </w:pPr>
            <w:r>
              <w:rPr>
                <w:rFonts w:ascii="宋体" w:hAnsi="宋体" w:cs="宋体" w:eastAsia="宋体" w:hint="default"/>
                <w:sz w:val="21"/>
                <w:szCs w:val="21"/>
              </w:rPr>
              <w:t>商品房买卖合同（合同编 号：昌</w:t>
            </w:r>
            <w:r>
              <w:rPr>
                <w:rFonts w:ascii="Times New Roman" w:hAnsi="Times New Roman" w:cs="Times New Roman" w:eastAsia="Times New Roman" w:hint="default"/>
                <w:sz w:val="21"/>
                <w:szCs w:val="21"/>
              </w:rPr>
              <w:t>080518826</w:t>
            </w:r>
            <w:r>
              <w:rPr>
                <w:rFonts w:ascii="宋体" w:hAnsi="宋体" w:cs="宋体" w:eastAsia="宋体" w:hint="default"/>
                <w:sz w:val="21"/>
                <w:szCs w:val="21"/>
              </w:rPr>
              <w:t>）</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2014.5.20-</w:t>
            </w:r>
          </w:p>
          <w:p>
            <w:pPr>
              <w:pStyle w:val="TableParagraph"/>
              <w:spacing w:line="240" w:lineRule="auto" w:before="71"/>
              <w:ind w:left="159" w:right="0"/>
              <w:jc w:val="left"/>
              <w:rPr>
                <w:rFonts w:ascii="Times New Roman" w:hAnsi="Times New Roman" w:cs="Times New Roman" w:eastAsia="Times New Roman" w:hint="default"/>
                <w:sz w:val="21"/>
                <w:szCs w:val="21"/>
              </w:rPr>
            </w:pPr>
            <w:r>
              <w:rPr>
                <w:rFonts w:ascii="Times New Roman"/>
                <w:sz w:val="21"/>
              </w:rPr>
              <w:t>2017.5.19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2,400 </w:t>
            </w:r>
            <w:r>
              <w:rPr>
                <w:rFonts w:ascii="宋体" w:hAnsi="宋体" w:cs="宋体" w:eastAsia="宋体" w:hint="default"/>
                <w:sz w:val="21"/>
                <w:szCs w:val="21"/>
              </w:rPr>
              <w:t>元</w:t>
            </w:r>
          </w:p>
        </w:tc>
      </w:tr>
      <w:tr>
        <w:trPr>
          <w:trHeight w:val="660"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黄艳丽</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9" w:right="47" w:hanging="53"/>
              <w:jc w:val="left"/>
              <w:rPr>
                <w:rFonts w:ascii="宋体" w:hAnsi="宋体" w:cs="宋体" w:eastAsia="宋体" w:hint="default"/>
                <w:sz w:val="21"/>
                <w:szCs w:val="21"/>
              </w:rPr>
            </w:pPr>
            <w:r>
              <w:rPr>
                <w:rFonts w:ascii="宋体" w:hAnsi="宋体" w:cs="宋体" w:eastAsia="宋体" w:hint="default"/>
                <w:sz w:val="21"/>
                <w:szCs w:val="21"/>
              </w:rPr>
              <w:t>南宁市江南区星光大 道</w:t>
            </w:r>
            <w:r>
              <w:rPr>
                <w:rFonts w:ascii="Times New Roman" w:hAnsi="Times New Roman" w:cs="Times New Roman" w:eastAsia="Times New Roman" w:hint="default"/>
                <w:sz w:val="21"/>
                <w:szCs w:val="21"/>
              </w:rPr>
              <w:t>46</w:t>
            </w:r>
            <w:r>
              <w:rPr>
                <w:rFonts w:ascii="宋体" w:hAnsi="宋体" w:cs="宋体" w:eastAsia="宋体" w:hint="default"/>
                <w:sz w:val="21"/>
                <w:szCs w:val="21"/>
              </w:rPr>
              <w:t>号江南馨园</w:t>
            </w:r>
            <w:r>
              <w:rPr>
                <w:rFonts w:ascii="Times New Roman" w:hAnsi="Times New Roman" w:cs="Times New Roman" w:eastAsia="Times New Roman" w:hint="default"/>
                <w:sz w:val="21"/>
                <w:szCs w:val="21"/>
              </w:rPr>
              <w:t>5</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154.28</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邕房权证字第</w:t>
            </w:r>
            <w:r>
              <w:rPr>
                <w:rFonts w:ascii="Times New Roman" w:hAnsi="Times New Roman" w:cs="Times New Roman" w:eastAsia="Times New Roman" w:hint="default"/>
                <w:sz w:val="21"/>
                <w:szCs w:val="21"/>
              </w:rPr>
              <w:t>02130763</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2014.1.11-</w:t>
            </w:r>
          </w:p>
          <w:p>
            <w:pPr>
              <w:pStyle w:val="TableParagraph"/>
              <w:spacing w:line="240" w:lineRule="auto" w:before="70"/>
              <w:ind w:left="159" w:right="0"/>
              <w:jc w:val="left"/>
              <w:rPr>
                <w:rFonts w:ascii="Times New Roman" w:hAnsi="Times New Roman" w:cs="Times New Roman" w:eastAsia="Times New Roman" w:hint="default"/>
                <w:sz w:val="21"/>
                <w:szCs w:val="21"/>
              </w:rPr>
            </w:pPr>
            <w:r>
              <w:rPr>
                <w:rFonts w:ascii="Times New Roman"/>
                <w:sz w:val="21"/>
              </w:rPr>
              <w:t>2016.1.10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49" w:hanging="551"/>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3,200 </w:t>
            </w:r>
            <w:r>
              <w:rPr>
                <w:rFonts w:ascii="宋体" w:hAnsi="宋体" w:cs="宋体" w:eastAsia="宋体" w:hint="default"/>
                <w:sz w:val="21"/>
                <w:szCs w:val="21"/>
              </w:rPr>
              <w:t>元</w:t>
            </w:r>
          </w:p>
        </w:tc>
      </w:tr>
    </w:tbl>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328"/>
        <w:gridCol w:w="650"/>
        <w:gridCol w:w="703"/>
        <w:gridCol w:w="1999"/>
        <w:gridCol w:w="441"/>
        <w:gridCol w:w="728"/>
        <w:gridCol w:w="2331"/>
        <w:gridCol w:w="1175"/>
        <w:gridCol w:w="1428"/>
      </w:tblGrid>
      <w:tr>
        <w:trPr>
          <w:trHeight w:val="347" w:hRule="exact"/>
        </w:trPr>
        <w:tc>
          <w:tcPr>
            <w:tcW w:w="328"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楼</w:t>
            </w:r>
            <w:r>
              <w:rPr>
                <w:rFonts w:ascii="Times New Roman" w:hAnsi="Times New Roman" w:cs="Times New Roman" w:eastAsia="Times New Roman" w:hint="default"/>
                <w:sz w:val="21"/>
                <w:szCs w:val="21"/>
              </w:rPr>
              <w:t>1</w:t>
            </w:r>
            <w:r>
              <w:rPr>
                <w:rFonts w:ascii="宋体" w:hAnsi="宋体" w:cs="宋体" w:eastAsia="宋体" w:hint="default"/>
                <w:sz w:val="21"/>
                <w:szCs w:val="21"/>
              </w:rPr>
              <w:t>单元</w:t>
            </w:r>
            <w:r>
              <w:rPr>
                <w:rFonts w:ascii="Times New Roman" w:hAnsi="Times New Roman" w:cs="Times New Roman" w:eastAsia="Times New Roman" w:hint="default"/>
                <w:sz w:val="21"/>
                <w:szCs w:val="21"/>
              </w:rPr>
              <w:t>1102</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233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李文芳</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1" w:right="47" w:hanging="315"/>
              <w:jc w:val="left"/>
              <w:rPr>
                <w:rFonts w:ascii="宋体" w:hAnsi="宋体" w:cs="宋体" w:eastAsia="宋体" w:hint="default"/>
                <w:sz w:val="21"/>
                <w:szCs w:val="21"/>
              </w:rPr>
            </w:pPr>
            <w:r>
              <w:rPr>
                <w:rFonts w:ascii="宋体" w:hAnsi="宋体" w:cs="宋体" w:eastAsia="宋体" w:hint="default"/>
                <w:sz w:val="21"/>
                <w:szCs w:val="21"/>
              </w:rPr>
              <w:t>成都市武侯区成科东 路</w:t>
            </w:r>
            <w:r>
              <w:rPr>
                <w:rFonts w:ascii="Times New Roman" w:hAnsi="Times New Roman" w:cs="Times New Roman" w:eastAsia="Times New Roman" w:hint="default"/>
                <w:sz w:val="21"/>
                <w:szCs w:val="21"/>
              </w:rPr>
              <w:t>2</w:t>
            </w:r>
            <w:r>
              <w:rPr>
                <w:rFonts w:ascii="宋体" w:hAnsi="宋体" w:cs="宋体" w:eastAsia="宋体" w:hint="default"/>
                <w:sz w:val="21"/>
                <w:szCs w:val="21"/>
              </w:rPr>
              <w:t>号</w:t>
            </w:r>
            <w:r>
              <w:rPr>
                <w:rFonts w:ascii="Times New Roman" w:hAnsi="Times New Roman" w:cs="Times New Roman" w:eastAsia="Times New Roman" w:hint="default"/>
                <w:sz w:val="21"/>
                <w:szCs w:val="21"/>
              </w:rPr>
              <w:t>8</w:t>
            </w:r>
            <w:r>
              <w:rPr>
                <w:rFonts w:ascii="宋体" w:hAnsi="宋体" w:cs="宋体" w:eastAsia="宋体" w:hint="default"/>
                <w:sz w:val="21"/>
                <w:szCs w:val="21"/>
              </w:rPr>
              <w:t>楼</w:t>
            </w:r>
            <w:r>
              <w:rPr>
                <w:rFonts w:ascii="Times New Roman" w:hAnsi="Times New Roman" w:cs="Times New Roman" w:eastAsia="Times New Roman" w:hint="default"/>
                <w:sz w:val="21"/>
                <w:szCs w:val="21"/>
              </w:rPr>
              <w:t>24</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38.17</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房产证号</w:t>
            </w:r>
            <w:r>
              <w:rPr>
                <w:rFonts w:ascii="Times New Roman" w:hAnsi="Times New Roman" w:cs="Times New Roman" w:eastAsia="Times New Roman" w:hint="default"/>
                <w:sz w:val="21"/>
                <w:szCs w:val="21"/>
              </w:rPr>
              <w:t>1453071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2015.10.15-2</w:t>
            </w:r>
          </w:p>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016.10.14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1800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43</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陈余丽 谢赣源</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贵阳市南明区市南路 </w:t>
            </w:r>
            <w:r>
              <w:rPr>
                <w:rFonts w:ascii="Times New Roman" w:hAnsi="Times New Roman" w:cs="Times New Roman" w:eastAsia="Times New Roman" w:hint="default"/>
                <w:sz w:val="21"/>
                <w:szCs w:val="21"/>
              </w:rPr>
              <w:t>57</w:t>
            </w:r>
            <w:r>
              <w:rPr>
                <w:rFonts w:ascii="宋体" w:hAnsi="宋体" w:cs="宋体" w:eastAsia="宋体" w:hint="default"/>
                <w:sz w:val="21"/>
                <w:szCs w:val="21"/>
              </w:rPr>
              <w:t>号阳光</w:t>
            </w:r>
            <w:r>
              <w:rPr>
                <w:rFonts w:ascii="Times New Roman" w:hAnsi="Times New Roman" w:cs="Times New Roman" w:eastAsia="Times New Roman" w:hint="default"/>
                <w:sz w:val="21"/>
                <w:szCs w:val="21"/>
              </w:rPr>
              <w:t>100C</w:t>
            </w:r>
            <w:r>
              <w:rPr>
                <w:rFonts w:ascii="宋体" w:hAnsi="宋体" w:cs="宋体" w:eastAsia="宋体" w:hint="default"/>
                <w:sz w:val="21"/>
                <w:szCs w:val="21"/>
              </w:rPr>
              <w:t>栋</w:t>
            </w:r>
            <w:r>
              <w:rPr>
                <w:rFonts w:ascii="Times New Roman" w:hAnsi="Times New Roman" w:cs="Times New Roman" w:eastAsia="Times New Roman" w:hint="default"/>
                <w:sz w:val="21"/>
                <w:szCs w:val="21"/>
              </w:rPr>
              <w:t>C</w:t>
            </w:r>
            <w:r>
              <w:rPr>
                <w:rFonts w:ascii="宋体" w:hAnsi="宋体" w:cs="宋体" w:eastAsia="宋体" w:hint="default"/>
                <w:sz w:val="21"/>
                <w:szCs w:val="21"/>
              </w:rPr>
              <w:t>单 元</w:t>
            </w:r>
            <w:r>
              <w:rPr>
                <w:rFonts w:ascii="Times New Roman" w:hAnsi="Times New Roman" w:cs="Times New Roman" w:eastAsia="Times New Roman" w:hint="default"/>
                <w:sz w:val="21"/>
                <w:szCs w:val="21"/>
              </w:rPr>
              <w:t>7</w:t>
            </w:r>
            <w:r>
              <w:rPr>
                <w:rFonts w:ascii="宋体" w:hAnsi="宋体" w:cs="宋体" w:eastAsia="宋体" w:hint="default"/>
                <w:sz w:val="21"/>
                <w:szCs w:val="21"/>
              </w:rPr>
              <w:t>层</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120.7</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54"/>
              <w:jc w:val="right"/>
              <w:rPr>
                <w:rFonts w:ascii="Times New Roman" w:hAnsi="Times New Roman" w:cs="Times New Roman" w:eastAsia="Times New Roman" w:hint="default"/>
                <w:sz w:val="21"/>
                <w:szCs w:val="21"/>
              </w:rPr>
            </w:pPr>
            <w:r>
              <w:rPr>
                <w:rFonts w:ascii="宋体" w:hAnsi="宋体" w:cs="宋体" w:eastAsia="宋体" w:hint="default"/>
                <w:sz w:val="21"/>
                <w:szCs w:val="21"/>
              </w:rPr>
              <w:t>房产证号字地</w:t>
            </w:r>
            <w:r>
              <w:rPr>
                <w:rFonts w:ascii="Times New Roman" w:hAnsi="Times New Roman" w:cs="Times New Roman" w:eastAsia="Times New Roman" w:hint="default"/>
                <w:sz w:val="21"/>
                <w:szCs w:val="21"/>
              </w:rPr>
              <w:t>010303626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2015.07.10-2</w:t>
            </w:r>
          </w:p>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016.07.10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4200 </w:t>
            </w:r>
            <w:r>
              <w:rPr>
                <w:rFonts w:ascii="宋体" w:hAnsi="宋体" w:cs="宋体" w:eastAsia="宋体" w:hint="default"/>
                <w:sz w:val="21"/>
                <w:szCs w:val="21"/>
              </w:rPr>
              <w:t>元</w:t>
            </w:r>
          </w:p>
        </w:tc>
      </w:tr>
      <w:tr>
        <w:trPr>
          <w:trHeight w:val="972"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陈凯</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兰州市安宁区十里店 街道北滨河西路</w:t>
            </w:r>
            <w:r>
              <w:rPr>
                <w:rFonts w:ascii="Times New Roman" w:hAnsi="Times New Roman" w:cs="Times New Roman" w:eastAsia="Times New Roman" w:hint="default"/>
                <w:sz w:val="21"/>
                <w:szCs w:val="21"/>
              </w:rPr>
              <w:t>122 </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firstLine="104"/>
              <w:jc w:val="left"/>
              <w:rPr>
                <w:rFonts w:ascii="宋体" w:hAnsi="宋体" w:cs="宋体" w:eastAsia="宋体" w:hint="default"/>
                <w:sz w:val="21"/>
                <w:szCs w:val="21"/>
              </w:rPr>
            </w:pPr>
            <w:r>
              <w:rPr>
                <w:rFonts w:ascii="宋体" w:hAnsi="宋体" w:cs="宋体" w:eastAsia="宋体" w:hint="default"/>
                <w:sz w:val="21"/>
                <w:szCs w:val="21"/>
              </w:rPr>
              <w:t>办 公、 居住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106.66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房产证号</w:t>
            </w:r>
          </w:p>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620105004R97001027011</w:t>
            </w:r>
          </w:p>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020021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0" w:right="0"/>
              <w:jc w:val="left"/>
              <w:rPr>
                <w:rFonts w:ascii="Times New Roman" w:hAnsi="Times New Roman" w:cs="Times New Roman" w:eastAsia="Times New Roman" w:hint="default"/>
                <w:sz w:val="21"/>
                <w:szCs w:val="21"/>
              </w:rPr>
            </w:pPr>
            <w:r>
              <w:rPr>
                <w:rFonts w:ascii="Times New Roman"/>
                <w:sz w:val="21"/>
              </w:rPr>
              <w:t>2015.10.01-2</w:t>
            </w:r>
          </w:p>
          <w:p>
            <w:pPr>
              <w:pStyle w:val="TableParagraph"/>
              <w:spacing w:line="240" w:lineRule="auto" w:before="21"/>
              <w:ind w:left="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016</w:t>
            </w:r>
            <w:r>
              <w:rPr>
                <w:rFonts w:ascii="宋体" w:hAnsi="宋体" w:cs="宋体" w:eastAsia="宋体" w:hint="default"/>
                <w:sz w:val="21"/>
                <w:szCs w:val="21"/>
              </w:rPr>
              <w:t>．</w:t>
            </w:r>
            <w:r>
              <w:rPr>
                <w:rFonts w:ascii="Times New Roman" w:hAnsi="Times New Roman" w:cs="Times New Roman" w:eastAsia="Times New Roman" w:hint="default"/>
                <w:sz w:val="21"/>
                <w:szCs w:val="21"/>
              </w:rPr>
              <w:t>09.31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2800 </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center"/>
              <w:rPr>
                <w:rFonts w:ascii="Times New Roman" w:hAnsi="Times New Roman" w:cs="Times New Roman" w:eastAsia="Times New Roman" w:hint="default"/>
                <w:sz w:val="21"/>
                <w:szCs w:val="21"/>
              </w:rPr>
            </w:pPr>
            <w:r>
              <w:rPr>
                <w:rFonts w:ascii="Times New Roman"/>
                <w:sz w:val="21"/>
              </w:rPr>
              <w:t>45</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张凯</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红相电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太原市裕的东里</w:t>
            </w:r>
            <w:r>
              <w:rPr>
                <w:rFonts w:ascii="Times New Roman" w:hAnsi="Times New Roman" w:cs="Times New Roman" w:eastAsia="Times New Roman" w:hint="default"/>
                <w:sz w:val="21"/>
                <w:szCs w:val="21"/>
              </w:rPr>
              <w:t>10</w:t>
            </w:r>
            <w:r>
              <w:rPr>
                <w:rFonts w:ascii="宋体" w:hAnsi="宋体" w:cs="宋体" w:eastAsia="宋体" w:hint="default"/>
                <w:sz w:val="21"/>
                <w:szCs w:val="21"/>
              </w:rPr>
              <w:t>号</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pacing w:val="-2"/>
                <w:sz w:val="21"/>
                <w:szCs w:val="21"/>
              </w:rPr>
              <w:t>（东人盛世华庭）</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幢</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A2</w:t>
            </w:r>
            <w:r>
              <w:rPr>
                <w:rFonts w:ascii="宋体" w:hAnsi="宋体" w:cs="宋体" w:eastAsia="宋体" w:hint="default"/>
                <w:sz w:val="21"/>
                <w:szCs w:val="21"/>
              </w:rPr>
              <w:t>座</w:t>
            </w:r>
            <w:r>
              <w:rPr>
                <w:rFonts w:ascii="Times New Roman" w:hAnsi="Times New Roman" w:cs="Times New Roman" w:eastAsia="Times New Roman" w:hint="default"/>
                <w:sz w:val="21"/>
                <w:szCs w:val="21"/>
              </w:rPr>
              <w:t>15</w:t>
            </w:r>
            <w:r>
              <w:rPr>
                <w:rFonts w:ascii="宋体" w:hAnsi="宋体" w:cs="宋体" w:eastAsia="宋体" w:hint="default"/>
                <w:sz w:val="21"/>
                <w:szCs w:val="21"/>
              </w:rPr>
              <w:t>层</w:t>
            </w:r>
            <w:r>
              <w:rPr>
                <w:rFonts w:ascii="Times New Roman" w:hAnsi="Times New Roman" w:cs="Times New Roman" w:eastAsia="Times New Roman" w:hint="default"/>
                <w:sz w:val="21"/>
                <w:szCs w:val="21"/>
              </w:rPr>
              <w:t>1520</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117.31</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房产证号</w:t>
            </w:r>
            <w:r>
              <w:rPr>
                <w:rFonts w:ascii="Times New Roman" w:hAnsi="Times New Roman" w:cs="Times New Roman" w:eastAsia="Times New Roman" w:hint="default"/>
                <w:sz w:val="21"/>
                <w:szCs w:val="21"/>
              </w:rPr>
              <w:t>S201407216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2015.10.20-2</w:t>
            </w:r>
          </w:p>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016.10.19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2500 </w:t>
            </w:r>
            <w:r>
              <w:rPr>
                <w:rFonts w:ascii="宋体" w:hAnsi="宋体" w:cs="宋体" w:eastAsia="宋体" w:hint="default"/>
                <w:sz w:val="21"/>
                <w:szCs w:val="21"/>
              </w:rPr>
              <w:t>元</w:t>
            </w:r>
          </w:p>
        </w:tc>
      </w:tr>
      <w:tr>
        <w:trPr>
          <w:trHeight w:val="221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46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19" w:right="20" w:firstLine="87"/>
              <w:jc w:val="left"/>
              <w:rPr>
                <w:rFonts w:ascii="Times New Roman" w:hAnsi="Times New Roman" w:cs="Times New Roman" w:eastAsia="Times New Roman" w:hint="default"/>
                <w:sz w:val="21"/>
                <w:szCs w:val="21"/>
              </w:rPr>
            </w:pPr>
            <w:r>
              <w:rPr>
                <w:rFonts w:ascii="Times New Roman"/>
                <w:sz w:val="21"/>
              </w:rPr>
              <w:t>Brett</w:t>
            </w:r>
            <w:r>
              <w:rPr>
                <w:rFonts w:ascii="Times New Roman"/>
                <w:w w:val="99"/>
                <w:sz w:val="21"/>
              </w:rPr>
              <w:t> </w:t>
            </w:r>
            <w:r>
              <w:rPr>
                <w:rFonts w:ascii="Times New Roman"/>
                <w:sz w:val="21"/>
              </w:rPr>
              <w:t>Behme</w:t>
            </w:r>
          </w:p>
          <w:p>
            <w:pPr>
              <w:pStyle w:val="TableParagraph"/>
              <w:spacing w:line="24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r</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和</w:t>
            </w:r>
          </w:p>
          <w:p>
            <w:pPr>
              <w:pStyle w:val="TableParagraph"/>
              <w:spacing w:line="309" w:lineRule="auto" w:before="70"/>
              <w:ind w:left="19" w:right="18"/>
              <w:jc w:val="center"/>
              <w:rPr>
                <w:rFonts w:ascii="Times New Roman" w:hAnsi="Times New Roman" w:cs="Times New Roman" w:eastAsia="Times New Roman" w:hint="default"/>
                <w:sz w:val="21"/>
                <w:szCs w:val="21"/>
              </w:rPr>
            </w:pPr>
            <w:r>
              <w:rPr>
                <w:rFonts w:ascii="Times New Roman"/>
                <w:sz w:val="21"/>
              </w:rPr>
              <w:t>Trevor</w:t>
            </w:r>
            <w:r>
              <w:rPr>
                <w:rFonts w:ascii="Times New Roman"/>
                <w:w w:val="99"/>
                <w:sz w:val="21"/>
              </w:rPr>
              <w:t> </w:t>
            </w:r>
            <w:r>
              <w:rPr>
                <w:rFonts w:ascii="Times New Roman"/>
                <w:sz w:val="21"/>
              </w:rPr>
              <w:t>Wright</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澳洲红 相</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57" w:right="58"/>
              <w:jc w:val="center"/>
              <w:rPr>
                <w:rFonts w:ascii="Times New Roman" w:hAnsi="Times New Roman" w:cs="Times New Roman" w:eastAsia="Times New Roman" w:hint="default"/>
                <w:sz w:val="21"/>
                <w:szCs w:val="21"/>
              </w:rPr>
            </w:pPr>
            <w:r>
              <w:rPr>
                <w:rFonts w:ascii="Times New Roman"/>
                <w:sz w:val="21"/>
              </w:rPr>
              <w:t>10 Ceylon</w:t>
            </w:r>
            <w:r>
              <w:rPr>
                <w:rFonts w:ascii="Times New Roman"/>
                <w:spacing w:val="-1"/>
                <w:sz w:val="21"/>
              </w:rPr>
              <w:t> </w:t>
            </w:r>
            <w:r>
              <w:rPr>
                <w:rFonts w:ascii="Times New Roman"/>
                <w:sz w:val="21"/>
              </w:rPr>
              <w:t>Street,</w:t>
            </w:r>
            <w:r>
              <w:rPr>
                <w:rFonts w:ascii="Times New Roman"/>
                <w:sz w:val="21"/>
              </w:rPr>
              <w:t> Nunawading,</w:t>
            </w:r>
            <w:r>
              <w:rPr>
                <w:rFonts w:ascii="Times New Roman"/>
                <w:spacing w:val="-3"/>
                <w:sz w:val="21"/>
              </w:rPr>
              <w:t> </w:t>
            </w:r>
            <w:r>
              <w:rPr>
                <w:rFonts w:ascii="Times New Roman"/>
                <w:sz w:val="21"/>
              </w:rPr>
              <w:t>Victoria</w:t>
            </w:r>
            <w:r>
              <w:rPr>
                <w:rFonts w:ascii="Times New Roman"/>
                <w:sz w:val="21"/>
              </w:rPr>
              <w:t> 3131</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firstLine="104"/>
              <w:jc w:val="left"/>
              <w:rPr>
                <w:rFonts w:ascii="宋体" w:hAnsi="宋体" w:cs="宋体" w:eastAsia="宋体" w:hint="default"/>
                <w:sz w:val="21"/>
                <w:szCs w:val="21"/>
              </w:rPr>
            </w:pPr>
            <w:r>
              <w:rPr>
                <w:rFonts w:ascii="宋体" w:hAnsi="宋体" w:cs="宋体" w:eastAsia="宋体" w:hint="default"/>
                <w:sz w:val="21"/>
                <w:szCs w:val="21"/>
              </w:rPr>
              <w:t>办 公、 生产</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594</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 w:right="0"/>
              <w:jc w:val="left"/>
              <w:rPr>
                <w:rFonts w:ascii="Times New Roman" w:hAnsi="Times New Roman" w:cs="Times New Roman" w:eastAsia="Times New Roman" w:hint="default"/>
                <w:sz w:val="21"/>
                <w:szCs w:val="21"/>
              </w:rPr>
            </w:pPr>
            <w:r>
              <w:rPr>
                <w:rFonts w:ascii="Times New Roman"/>
                <w:sz w:val="21"/>
              </w:rPr>
              <w:t>2014.05.01-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2019.04.30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1" w:hanging="2"/>
              <w:jc w:val="center"/>
              <w:rPr>
                <w:rFonts w:ascii="宋体" w:hAnsi="宋体" w:cs="宋体" w:eastAsia="宋体" w:hint="default"/>
                <w:sz w:val="21"/>
                <w:szCs w:val="21"/>
              </w:rPr>
            </w:pPr>
            <w:r>
              <w:rPr>
                <w:rFonts w:ascii="宋体" w:hAnsi="宋体" w:cs="宋体" w:eastAsia="宋体" w:hint="default"/>
                <w:sz w:val="21"/>
                <w:szCs w:val="21"/>
              </w:rPr>
              <w:t>前十二个月租 金合计为 </w:t>
            </w:r>
            <w:r>
              <w:rPr>
                <w:rFonts w:ascii="Times New Roman" w:hAnsi="Times New Roman" w:cs="Times New Roman" w:eastAsia="Times New Roman" w:hint="default"/>
                <w:sz w:val="21"/>
                <w:szCs w:val="21"/>
              </w:rPr>
              <w:t>94,705</w:t>
            </w:r>
            <w:r>
              <w:rPr>
                <w:rFonts w:ascii="宋体" w:hAnsi="宋体" w:cs="宋体" w:eastAsia="宋体" w:hint="default"/>
                <w:sz w:val="21"/>
                <w:szCs w:val="21"/>
              </w:rPr>
              <w:t>澳元加 上商品及服务 </w:t>
            </w:r>
            <w:r>
              <w:rPr>
                <w:rFonts w:ascii="宋体" w:hAnsi="宋体" w:cs="宋体" w:eastAsia="宋体" w:hint="default"/>
                <w:spacing w:val="-9"/>
                <w:sz w:val="21"/>
                <w:szCs w:val="21"/>
              </w:rPr>
              <w:t>税，剩余租期的</w:t>
            </w:r>
            <w:r>
              <w:rPr>
                <w:rFonts w:ascii="宋体" w:hAnsi="宋体" w:cs="宋体" w:eastAsia="宋体" w:hint="default"/>
                <w:sz w:val="21"/>
                <w:szCs w:val="21"/>
              </w:rPr>
              <w:t> 租金每年增加</w:t>
            </w:r>
          </w:p>
          <w:p>
            <w:pPr>
              <w:pStyle w:val="TableParagraph"/>
              <w:spacing w:line="240" w:lineRule="auto" w:before="61"/>
              <w:ind w:right="0"/>
              <w:jc w:val="center"/>
              <w:rPr>
                <w:rFonts w:ascii="Times New Roman" w:hAnsi="Times New Roman" w:cs="Times New Roman" w:eastAsia="Times New Roman" w:hint="default"/>
                <w:sz w:val="21"/>
                <w:szCs w:val="21"/>
              </w:rPr>
            </w:pPr>
            <w:r>
              <w:rPr>
                <w:rFonts w:ascii="Times New Roman"/>
                <w:sz w:val="21"/>
              </w:rPr>
              <w:t>4%</w:t>
            </w:r>
          </w:p>
        </w:tc>
      </w:tr>
      <w:tr>
        <w:trPr>
          <w:trHeight w:val="740"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47</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高绍臣</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6"/>
              <w:jc w:val="right"/>
              <w:rPr>
                <w:rFonts w:ascii="宋体" w:hAnsi="宋体" w:cs="宋体" w:eastAsia="宋体" w:hint="default"/>
                <w:sz w:val="21"/>
                <w:szCs w:val="21"/>
              </w:rPr>
            </w:pPr>
            <w:r>
              <w:rPr>
                <w:rFonts w:ascii="宋体" w:hAnsi="宋体" w:cs="宋体" w:eastAsia="宋体" w:hint="default"/>
                <w:sz w:val="21"/>
                <w:szCs w:val="21"/>
              </w:rPr>
              <w:t>严铁军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通辽馨园小区</w:t>
            </w:r>
            <w:r>
              <w:rPr>
                <w:rFonts w:ascii="Times New Roman" w:hAnsi="Times New Roman" w:cs="Times New Roman" w:eastAsia="Times New Roman" w:hint="default"/>
                <w:sz w:val="21"/>
                <w:szCs w:val="21"/>
              </w:rPr>
              <w:t>A6</w:t>
            </w:r>
            <w:r>
              <w:rPr>
                <w:rFonts w:ascii="宋体" w:hAnsi="宋体" w:cs="宋体" w:eastAsia="宋体" w:hint="default"/>
                <w:sz w:val="21"/>
                <w:szCs w:val="21"/>
              </w:rPr>
              <w:t>号</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141</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86.04</w:t>
            </w:r>
          </w:p>
        </w:tc>
        <w:tc>
          <w:tcPr>
            <w:tcW w:w="233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24" w:right="0"/>
              <w:jc w:val="left"/>
              <w:rPr>
                <w:rFonts w:ascii="Times New Roman" w:hAnsi="Times New Roman" w:cs="Times New Roman" w:eastAsia="Times New Roman" w:hint="default"/>
                <w:sz w:val="21"/>
                <w:szCs w:val="21"/>
              </w:rPr>
            </w:pPr>
            <w:r>
              <w:rPr>
                <w:rFonts w:ascii="Times New Roman"/>
                <w:sz w:val="21"/>
              </w:rPr>
              <w:t>2015.11.3-</w:t>
            </w:r>
          </w:p>
          <w:p>
            <w:pPr>
              <w:pStyle w:val="TableParagraph"/>
              <w:spacing w:line="240" w:lineRule="auto" w:before="109"/>
              <w:ind w:left="159" w:right="0"/>
              <w:jc w:val="left"/>
              <w:rPr>
                <w:rFonts w:ascii="Times New Roman" w:hAnsi="Times New Roman" w:cs="Times New Roman" w:eastAsia="Times New Roman" w:hint="default"/>
                <w:sz w:val="21"/>
                <w:szCs w:val="21"/>
              </w:rPr>
            </w:pPr>
            <w:r>
              <w:rPr>
                <w:rFonts w:ascii="Times New Roman"/>
                <w:sz w:val="21"/>
              </w:rPr>
              <w:t>2016.11.3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1600</w:t>
            </w:r>
            <w:r>
              <w:rPr>
                <w:rFonts w:ascii="宋体" w:hAnsi="宋体" w:cs="宋体" w:eastAsia="宋体" w:hint="default"/>
                <w:sz w:val="21"/>
                <w:szCs w:val="21"/>
              </w:rPr>
              <w:t>元</w:t>
            </w:r>
          </w:p>
        </w:tc>
      </w:tr>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48</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王京丽</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6"/>
              <w:jc w:val="right"/>
              <w:rPr>
                <w:rFonts w:ascii="宋体" w:hAnsi="宋体" w:cs="宋体" w:eastAsia="宋体" w:hint="default"/>
                <w:sz w:val="21"/>
                <w:szCs w:val="21"/>
              </w:rPr>
            </w:pPr>
            <w:r>
              <w:rPr>
                <w:rFonts w:ascii="宋体" w:hAnsi="宋体" w:cs="宋体" w:eastAsia="宋体" w:hint="default"/>
                <w:sz w:val="21"/>
                <w:szCs w:val="21"/>
              </w:rPr>
              <w:t>严铁军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6" w:right="47"/>
              <w:jc w:val="center"/>
              <w:rPr>
                <w:rFonts w:ascii="宋体" w:hAnsi="宋体" w:cs="宋体" w:eastAsia="宋体" w:hint="default"/>
                <w:sz w:val="21"/>
                <w:szCs w:val="21"/>
              </w:rPr>
            </w:pPr>
            <w:r>
              <w:rPr>
                <w:rFonts w:ascii="宋体" w:hAnsi="宋体" w:cs="宋体" w:eastAsia="宋体" w:hint="default"/>
                <w:sz w:val="21"/>
                <w:szCs w:val="21"/>
              </w:rPr>
              <w:t>昌平区回龙观龙兴园 东区</w:t>
            </w:r>
            <w:r>
              <w:rPr>
                <w:rFonts w:ascii="Times New Roman" w:hAnsi="Times New Roman" w:cs="Times New Roman" w:eastAsia="Times New Roman" w:hint="default"/>
                <w:sz w:val="21"/>
                <w:szCs w:val="21"/>
              </w:rPr>
              <w:t>31</w:t>
            </w:r>
            <w:r>
              <w:rPr>
                <w:rFonts w:ascii="宋体" w:hAnsi="宋体" w:cs="宋体" w:eastAsia="宋体" w:hint="default"/>
                <w:sz w:val="21"/>
                <w:szCs w:val="21"/>
              </w:rPr>
              <w:t>号楼</w:t>
            </w:r>
            <w:r>
              <w:rPr>
                <w:rFonts w:ascii="Times New Roman" w:hAnsi="Times New Roman" w:cs="Times New Roman" w:eastAsia="Times New Roman" w:hint="default"/>
                <w:sz w:val="21"/>
                <w:szCs w:val="21"/>
              </w:rPr>
              <w:t>4</w:t>
            </w:r>
            <w:r>
              <w:rPr>
                <w:rFonts w:ascii="宋体" w:hAnsi="宋体" w:cs="宋体" w:eastAsia="宋体" w:hint="default"/>
                <w:sz w:val="21"/>
                <w:szCs w:val="21"/>
              </w:rPr>
              <w:t>单元</w:t>
            </w:r>
            <w:r>
              <w:rPr>
                <w:rFonts w:ascii="Times New Roman" w:hAnsi="Times New Roman" w:cs="Times New Roman" w:eastAsia="Times New Roman" w:hint="default"/>
                <w:sz w:val="21"/>
                <w:szCs w:val="21"/>
              </w:rPr>
              <w:t>301 </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94.52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736" w:right="243" w:hanging="496"/>
              <w:jc w:val="left"/>
              <w:rPr>
                <w:rFonts w:ascii="宋体" w:hAnsi="宋体" w:cs="宋体" w:eastAsia="宋体" w:hint="default"/>
                <w:sz w:val="21"/>
                <w:szCs w:val="21"/>
              </w:rPr>
            </w:pPr>
            <w:r>
              <w:rPr>
                <w:rFonts w:ascii="Times New Roman" w:hAnsi="Times New Roman" w:cs="Times New Roman" w:eastAsia="Times New Roman" w:hint="default"/>
                <w:sz w:val="21"/>
                <w:szCs w:val="21"/>
              </w:rPr>
              <w:t>X</w:t>
            </w:r>
            <w:r>
              <w:rPr>
                <w:rFonts w:ascii="宋体" w:hAnsi="宋体" w:cs="宋体" w:eastAsia="宋体" w:hint="default"/>
                <w:sz w:val="21"/>
                <w:szCs w:val="21"/>
              </w:rPr>
              <w:t>京房权证昌私字第 </w:t>
            </w:r>
            <w:r>
              <w:rPr>
                <w:rFonts w:ascii="Times New Roman" w:hAnsi="Times New Roman" w:cs="Times New Roman" w:eastAsia="Times New Roman" w:hint="default"/>
                <w:sz w:val="21"/>
                <w:szCs w:val="21"/>
              </w:rPr>
              <w:t>333361</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4" w:right="0"/>
              <w:jc w:val="left"/>
              <w:rPr>
                <w:rFonts w:ascii="Times New Roman" w:hAnsi="Times New Roman" w:cs="Times New Roman" w:eastAsia="Times New Roman" w:hint="default"/>
                <w:sz w:val="21"/>
                <w:szCs w:val="21"/>
              </w:rPr>
            </w:pPr>
            <w:r>
              <w:rPr>
                <w:rFonts w:ascii="Times New Roman"/>
                <w:sz w:val="21"/>
              </w:rPr>
              <w:t>2015.4.10-</w:t>
            </w:r>
          </w:p>
          <w:p>
            <w:pPr>
              <w:pStyle w:val="TableParagraph"/>
              <w:spacing w:line="240" w:lineRule="auto" w:before="70"/>
              <w:ind w:left="212" w:right="0"/>
              <w:jc w:val="left"/>
              <w:rPr>
                <w:rFonts w:ascii="Times New Roman" w:hAnsi="Times New Roman" w:cs="Times New Roman" w:eastAsia="Times New Roman" w:hint="default"/>
                <w:sz w:val="21"/>
                <w:szCs w:val="21"/>
              </w:rPr>
            </w:pPr>
            <w:r>
              <w:rPr>
                <w:rFonts w:ascii="Times New Roman"/>
                <w:sz w:val="21"/>
              </w:rPr>
              <w:t>2016.4.9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6"/>
              <w:ind w:left="2" w:right="1"/>
              <w:jc w:val="left"/>
              <w:rPr>
                <w:rFonts w:ascii="宋体" w:hAnsi="宋体" w:cs="宋体" w:eastAsia="宋体" w:hint="default"/>
                <w:sz w:val="21"/>
                <w:szCs w:val="21"/>
              </w:rPr>
            </w:pPr>
            <w:r>
              <w:rPr>
                <w:rFonts w:ascii="宋体" w:hAnsi="宋体" w:cs="宋体" w:eastAsia="宋体" w:hint="default"/>
                <w:spacing w:val="27"/>
                <w:sz w:val="21"/>
                <w:szCs w:val="21"/>
              </w:rPr>
              <w:t>月租金为</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3500 </w:t>
            </w:r>
            <w:r>
              <w:rPr>
                <w:rFonts w:ascii="宋体" w:hAnsi="宋体" w:cs="宋体" w:eastAsia="宋体" w:hint="default"/>
                <w:sz w:val="21"/>
                <w:szCs w:val="21"/>
              </w:rPr>
              <w:t>元</w:t>
            </w:r>
          </w:p>
        </w:tc>
      </w:tr>
      <w:tr>
        <w:trPr>
          <w:trHeight w:val="73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49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何会珍</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6"/>
              <w:jc w:val="right"/>
              <w:rPr>
                <w:rFonts w:ascii="宋体" w:hAnsi="宋体" w:cs="宋体" w:eastAsia="宋体" w:hint="default"/>
                <w:sz w:val="21"/>
                <w:szCs w:val="21"/>
              </w:rPr>
            </w:pPr>
            <w:r>
              <w:rPr>
                <w:rFonts w:ascii="宋体" w:hAnsi="宋体" w:cs="宋体" w:eastAsia="宋体" w:hint="default"/>
                <w:sz w:val="21"/>
                <w:szCs w:val="21"/>
              </w:rPr>
              <w:t>严铁军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沈阳市浑南区杨官</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80</w:t>
            </w:r>
          </w:p>
        </w:tc>
        <w:tc>
          <w:tcPr>
            <w:tcW w:w="233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77" w:right="0"/>
              <w:jc w:val="left"/>
              <w:rPr>
                <w:rFonts w:ascii="Times New Roman" w:hAnsi="Times New Roman" w:cs="Times New Roman" w:eastAsia="Times New Roman" w:hint="default"/>
                <w:sz w:val="21"/>
                <w:szCs w:val="21"/>
              </w:rPr>
            </w:pPr>
            <w:r>
              <w:rPr>
                <w:rFonts w:ascii="Times New Roman"/>
                <w:sz w:val="21"/>
              </w:rPr>
              <w:t>2015.6.9-</w:t>
            </w:r>
          </w:p>
          <w:p>
            <w:pPr>
              <w:pStyle w:val="TableParagraph"/>
              <w:spacing w:line="240" w:lineRule="auto" w:before="109"/>
              <w:ind w:left="212" w:right="0"/>
              <w:jc w:val="left"/>
              <w:rPr>
                <w:rFonts w:ascii="Times New Roman" w:hAnsi="Times New Roman" w:cs="Times New Roman" w:eastAsia="Times New Roman" w:hint="default"/>
                <w:sz w:val="21"/>
                <w:szCs w:val="21"/>
              </w:rPr>
            </w:pPr>
            <w:r>
              <w:rPr>
                <w:rFonts w:ascii="Times New Roman"/>
                <w:sz w:val="21"/>
              </w:rPr>
              <w:t>2016.6.9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700</w:t>
            </w:r>
          </w:p>
        </w:tc>
      </w:tr>
      <w:tr>
        <w:trPr>
          <w:trHeight w:val="739"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50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沈利平</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0" w:right="26" w:firstLine="75"/>
              <w:jc w:val="left"/>
              <w:rPr>
                <w:rFonts w:ascii="宋体" w:hAnsi="宋体" w:cs="宋体" w:eastAsia="宋体" w:hint="default"/>
                <w:sz w:val="21"/>
                <w:szCs w:val="21"/>
              </w:rPr>
            </w:pPr>
            <w:r>
              <w:rPr>
                <w:rFonts w:ascii="宋体" w:hAnsi="宋体" w:cs="宋体" w:eastAsia="宋体" w:hint="default"/>
                <w:sz w:val="21"/>
                <w:szCs w:val="21"/>
              </w:rPr>
              <w:t>李立</w:t>
            </w:r>
            <w:r>
              <w:rPr>
                <w:rFonts w:ascii="Times New Roman" w:hAnsi="Times New Roman" w:cs="Times New Roman" w:eastAsia="Times New Roman" w:hint="default"/>
                <w:sz w:val="21"/>
                <w:szCs w:val="21"/>
              </w:rPr>
              <w:t>/ </w:t>
            </w:r>
            <w:r>
              <w:rPr>
                <w:rFonts w:ascii="宋体" w:hAnsi="宋体" w:cs="宋体" w:eastAsia="宋体" w:hint="default"/>
                <w:sz w:val="21"/>
                <w:szCs w:val="21"/>
              </w:rPr>
              <w:t>李莉芬</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1" w:right="47" w:hanging="315"/>
              <w:jc w:val="left"/>
              <w:rPr>
                <w:rFonts w:ascii="宋体" w:hAnsi="宋体" w:cs="宋体" w:eastAsia="宋体" w:hint="default"/>
                <w:sz w:val="21"/>
                <w:szCs w:val="21"/>
              </w:rPr>
            </w:pPr>
            <w:r>
              <w:rPr>
                <w:rFonts w:ascii="宋体" w:hAnsi="宋体" w:cs="宋体" w:eastAsia="宋体" w:hint="default"/>
                <w:sz w:val="21"/>
                <w:szCs w:val="21"/>
              </w:rPr>
              <w:t>西安碑林区大学南路 黄金屋</w:t>
            </w:r>
            <w:r>
              <w:rPr>
                <w:rFonts w:ascii="Times New Roman" w:hAnsi="Times New Roman" w:cs="Times New Roman" w:eastAsia="Times New Roman" w:hint="default"/>
                <w:sz w:val="21"/>
                <w:szCs w:val="21"/>
              </w:rPr>
              <w:t>2310</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84.02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52" w:right="1" w:hanging="1050"/>
              <w:jc w:val="left"/>
              <w:rPr>
                <w:rFonts w:ascii="宋体" w:hAnsi="宋体" w:cs="宋体" w:eastAsia="宋体" w:hint="default"/>
                <w:sz w:val="21"/>
                <w:szCs w:val="21"/>
              </w:rPr>
            </w:pPr>
            <w:r>
              <w:rPr>
                <w:rFonts w:ascii="宋体" w:hAnsi="宋体" w:cs="宋体" w:eastAsia="宋体" w:hint="default"/>
                <w:spacing w:val="-8"/>
                <w:sz w:val="21"/>
                <w:szCs w:val="21"/>
              </w:rPr>
              <w:t>西碑国用（</w:t>
            </w:r>
            <w:r>
              <w:rPr>
                <w:rFonts w:ascii="Times New Roman" w:hAnsi="Times New Roman" w:cs="Times New Roman" w:eastAsia="Times New Roman" w:hint="default"/>
                <w:spacing w:val="-8"/>
                <w:sz w:val="21"/>
                <w:szCs w:val="21"/>
              </w:rPr>
              <w:t>2006</w:t>
            </w:r>
            <w:r>
              <w:rPr>
                <w:rFonts w:ascii="宋体" w:hAnsi="宋体" w:cs="宋体" w:eastAsia="宋体" w:hint="default"/>
                <w:spacing w:val="-8"/>
                <w:sz w:val="21"/>
                <w:szCs w:val="21"/>
              </w:rPr>
              <w:t>出）第</w:t>
            </w:r>
            <w:r>
              <w:rPr>
                <w:rFonts w:ascii="Times New Roman" w:hAnsi="Times New Roman" w:cs="Times New Roman" w:eastAsia="Times New Roman" w:hint="default"/>
                <w:spacing w:val="-8"/>
                <w:sz w:val="21"/>
                <w:szCs w:val="21"/>
              </w:rPr>
              <w:t>412</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24" w:right="0"/>
              <w:jc w:val="left"/>
              <w:rPr>
                <w:rFonts w:ascii="Times New Roman" w:hAnsi="Times New Roman" w:cs="Times New Roman" w:eastAsia="Times New Roman" w:hint="default"/>
                <w:sz w:val="21"/>
                <w:szCs w:val="21"/>
              </w:rPr>
            </w:pPr>
            <w:r>
              <w:rPr>
                <w:rFonts w:ascii="Times New Roman"/>
                <w:sz w:val="21"/>
              </w:rPr>
              <w:t>2015.3.13-</w:t>
            </w:r>
          </w:p>
          <w:p>
            <w:pPr>
              <w:pStyle w:val="TableParagraph"/>
              <w:spacing w:line="240" w:lineRule="auto" w:before="109"/>
              <w:ind w:left="159" w:right="0"/>
              <w:jc w:val="left"/>
              <w:rPr>
                <w:rFonts w:ascii="Times New Roman" w:hAnsi="Times New Roman" w:cs="Times New Roman" w:eastAsia="Times New Roman" w:hint="default"/>
                <w:sz w:val="21"/>
                <w:szCs w:val="21"/>
              </w:rPr>
            </w:pPr>
            <w:r>
              <w:rPr>
                <w:rFonts w:ascii="Times New Roman"/>
                <w:sz w:val="21"/>
              </w:rPr>
              <w:t>2016.3.12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6"/>
              <w:ind w:left="2" w:right="1"/>
              <w:jc w:val="left"/>
              <w:rPr>
                <w:rFonts w:ascii="宋体" w:hAnsi="宋体" w:cs="宋体" w:eastAsia="宋体" w:hint="default"/>
                <w:sz w:val="21"/>
                <w:szCs w:val="21"/>
              </w:rPr>
            </w:pPr>
            <w:r>
              <w:rPr>
                <w:rFonts w:ascii="宋体" w:hAnsi="宋体" w:cs="宋体" w:eastAsia="宋体" w:hint="default"/>
                <w:spacing w:val="27"/>
                <w:sz w:val="21"/>
                <w:szCs w:val="21"/>
              </w:rPr>
              <w:t>月租金为</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2400 </w:t>
            </w:r>
            <w:r>
              <w:rPr>
                <w:rFonts w:ascii="宋体" w:hAnsi="宋体" w:cs="宋体" w:eastAsia="宋体" w:hint="default"/>
                <w:sz w:val="21"/>
                <w:szCs w:val="21"/>
              </w:rPr>
              <w:t>元</w:t>
            </w:r>
          </w:p>
        </w:tc>
      </w:tr>
      <w:tr>
        <w:trPr>
          <w:trHeight w:val="738"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center"/>
              <w:rPr>
                <w:rFonts w:ascii="Times New Roman" w:hAnsi="Times New Roman" w:cs="Times New Roman" w:eastAsia="Times New Roman" w:hint="default"/>
                <w:sz w:val="21"/>
                <w:szCs w:val="21"/>
              </w:rPr>
            </w:pPr>
            <w:r>
              <w:rPr>
                <w:rFonts w:ascii="Times New Roman"/>
                <w:sz w:val="21"/>
              </w:rPr>
              <w:t>51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吴勤贤</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35"/>
              <w:ind w:left="2" w:right="1"/>
              <w:jc w:val="left"/>
              <w:rPr>
                <w:rFonts w:ascii="宋体" w:hAnsi="宋体" w:cs="宋体" w:eastAsia="宋体" w:hint="default"/>
                <w:sz w:val="21"/>
                <w:szCs w:val="21"/>
              </w:rPr>
            </w:pPr>
            <w:r>
              <w:rPr>
                <w:rFonts w:ascii="宋体" w:hAnsi="宋体" w:cs="宋体" w:eastAsia="宋体" w:hint="default"/>
                <w:spacing w:val="8"/>
                <w:sz w:val="21"/>
                <w:szCs w:val="21"/>
              </w:rPr>
              <w:t>海盐县核电南苑</w:t>
            </w:r>
            <w:r>
              <w:rPr>
                <w:rFonts w:ascii="Times New Roman" w:hAnsi="Times New Roman" w:cs="Times New Roman" w:eastAsia="Times New Roman" w:hint="default"/>
                <w:spacing w:val="8"/>
                <w:sz w:val="21"/>
                <w:szCs w:val="21"/>
              </w:rPr>
              <w:t>25</w:t>
            </w:r>
            <w:r>
              <w:rPr>
                <w:rFonts w:ascii="宋体" w:hAnsi="宋体" w:cs="宋体" w:eastAsia="宋体" w:hint="default"/>
                <w:spacing w:val="8"/>
                <w:sz w:val="21"/>
                <w:szCs w:val="21"/>
              </w:rPr>
              <w:t>幢</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1003</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宿舍</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3"/>
              <w:jc w:val="right"/>
              <w:rPr>
                <w:rFonts w:ascii="宋体" w:hAnsi="宋体" w:cs="宋体" w:eastAsia="宋体" w:hint="default"/>
                <w:sz w:val="21"/>
                <w:szCs w:val="21"/>
              </w:rPr>
            </w:pPr>
            <w:r>
              <w:rPr>
                <w:rFonts w:ascii="宋体" w:hAnsi="宋体" w:cs="宋体" w:eastAsia="宋体" w:hint="default"/>
                <w:sz w:val="21"/>
                <w:szCs w:val="21"/>
              </w:rPr>
              <w:t>嘉房权证盐字第</w:t>
            </w:r>
            <w:r>
              <w:rPr>
                <w:rFonts w:ascii="Times New Roman" w:hAnsi="Times New Roman" w:cs="Times New Roman" w:eastAsia="Times New Roman" w:hint="default"/>
                <w:sz w:val="21"/>
                <w:szCs w:val="21"/>
              </w:rPr>
              <w:t>142664</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77" w:right="0"/>
              <w:jc w:val="left"/>
              <w:rPr>
                <w:rFonts w:ascii="Times New Roman" w:hAnsi="Times New Roman" w:cs="Times New Roman" w:eastAsia="Times New Roman" w:hint="default"/>
                <w:sz w:val="21"/>
                <w:szCs w:val="21"/>
              </w:rPr>
            </w:pPr>
            <w:r>
              <w:rPr>
                <w:rFonts w:ascii="Times New Roman"/>
                <w:sz w:val="21"/>
              </w:rPr>
              <w:t>2015.1.1-</w:t>
            </w:r>
          </w:p>
          <w:p>
            <w:pPr>
              <w:pStyle w:val="TableParagraph"/>
              <w:spacing w:line="240" w:lineRule="auto" w:before="110"/>
              <w:ind w:left="107" w:right="0"/>
              <w:jc w:val="left"/>
              <w:rPr>
                <w:rFonts w:ascii="Times New Roman" w:hAnsi="Times New Roman" w:cs="Times New Roman" w:eastAsia="Times New Roman" w:hint="default"/>
                <w:sz w:val="21"/>
                <w:szCs w:val="21"/>
              </w:rPr>
            </w:pPr>
            <w:r>
              <w:rPr>
                <w:rFonts w:ascii="Times New Roman"/>
                <w:sz w:val="21"/>
              </w:rPr>
              <w:t>2018.12.31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22" w:hanging="578"/>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28000 </w:t>
            </w:r>
            <w:r>
              <w:rPr>
                <w:rFonts w:ascii="宋体" w:hAnsi="宋体" w:cs="宋体" w:eastAsia="宋体" w:hint="default"/>
                <w:sz w:val="21"/>
                <w:szCs w:val="21"/>
              </w:rPr>
              <w:t>元</w:t>
            </w:r>
          </w:p>
        </w:tc>
      </w:tr>
      <w:tr>
        <w:trPr>
          <w:trHeight w:val="1908"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52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海盐县 国有工 业资产 经营有 限责任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23" w:right="47" w:hanging="578"/>
              <w:jc w:val="left"/>
              <w:rPr>
                <w:rFonts w:ascii="宋体" w:hAnsi="宋体" w:cs="宋体" w:eastAsia="宋体" w:hint="default"/>
                <w:sz w:val="21"/>
                <w:szCs w:val="21"/>
              </w:rPr>
            </w:pPr>
            <w:r>
              <w:rPr>
                <w:rFonts w:ascii="宋体" w:hAnsi="宋体" w:cs="宋体" w:eastAsia="宋体" w:hint="default"/>
                <w:sz w:val="21"/>
                <w:szCs w:val="21"/>
              </w:rPr>
              <w:t>海盐县武原镇新桥北 路</w:t>
            </w:r>
            <w:r>
              <w:rPr>
                <w:rFonts w:ascii="Times New Roman" w:hAnsi="Times New Roman" w:cs="Times New Roman" w:eastAsia="Times New Roman" w:hint="default"/>
                <w:sz w:val="21"/>
                <w:szCs w:val="21"/>
              </w:rPr>
              <w:t>176</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厂房</w:t>
            </w:r>
          </w:p>
          <w:p>
            <w:pPr>
              <w:pStyle w:val="TableParagraph"/>
              <w:spacing w:line="256" w:lineRule="auto" w:before="37"/>
              <w:ind w:left="107" w:right="77" w:hanging="29"/>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办 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2939.86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6" w:right="0"/>
              <w:jc w:val="left"/>
              <w:rPr>
                <w:rFonts w:ascii="宋体" w:hAnsi="宋体" w:cs="宋体" w:eastAsia="宋体" w:hint="default"/>
                <w:sz w:val="21"/>
                <w:szCs w:val="21"/>
              </w:rPr>
            </w:pPr>
            <w:r>
              <w:rPr>
                <w:rFonts w:ascii="宋体" w:hAnsi="宋体" w:cs="宋体" w:eastAsia="宋体" w:hint="default"/>
                <w:sz w:val="21"/>
                <w:szCs w:val="21"/>
              </w:rPr>
              <w:t>房权证盐字第</w:t>
            </w:r>
            <w:r>
              <w:rPr>
                <w:rFonts w:ascii="Times New Roman" w:hAnsi="Times New Roman" w:cs="Times New Roman" w:eastAsia="Times New Roman" w:hint="default"/>
                <w:sz w:val="21"/>
                <w:szCs w:val="21"/>
              </w:rPr>
              <w:t>017409</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77" w:right="0"/>
              <w:jc w:val="left"/>
              <w:rPr>
                <w:rFonts w:ascii="Times New Roman" w:hAnsi="Times New Roman" w:cs="Times New Roman" w:eastAsia="Times New Roman" w:hint="default"/>
                <w:sz w:val="21"/>
                <w:szCs w:val="21"/>
              </w:rPr>
            </w:pPr>
            <w:r>
              <w:rPr>
                <w:rFonts w:ascii="Times New Roman"/>
                <w:sz w:val="21"/>
              </w:rPr>
              <w:t>2016.1.1-</w:t>
            </w:r>
          </w:p>
          <w:p>
            <w:pPr>
              <w:pStyle w:val="TableParagraph"/>
              <w:spacing w:line="240" w:lineRule="auto" w:before="110"/>
              <w:ind w:left="107" w:right="0"/>
              <w:jc w:val="left"/>
              <w:rPr>
                <w:rFonts w:ascii="Times New Roman" w:hAnsi="Times New Roman" w:cs="Times New Roman" w:eastAsia="Times New Roman" w:hint="default"/>
                <w:sz w:val="21"/>
                <w:szCs w:val="21"/>
              </w:rPr>
            </w:pPr>
            <w:r>
              <w:rPr>
                <w:rFonts w:ascii="Times New Roman"/>
                <w:sz w:val="21"/>
              </w:rPr>
              <w:t>2017.12.31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年  租  金</w:t>
            </w:r>
            <w:r>
              <w:rPr>
                <w:rFonts w:ascii="宋体" w:hAnsi="宋体" w:cs="宋体" w:eastAsia="宋体" w:hint="default"/>
                <w:spacing w:val="41"/>
                <w:sz w:val="21"/>
                <w:szCs w:val="21"/>
              </w:rPr>
              <w:t> </w:t>
            </w:r>
            <w:r>
              <w:rPr>
                <w:rFonts w:ascii="宋体" w:hAnsi="宋体" w:cs="宋体" w:eastAsia="宋体" w:hint="default"/>
                <w:sz w:val="21"/>
                <w:szCs w:val="21"/>
              </w:rPr>
              <w:t>为</w:t>
            </w:r>
          </w:p>
          <w:p>
            <w:pPr>
              <w:pStyle w:val="TableParagraph"/>
              <w:spacing w:line="240" w:lineRule="auto" w:before="38"/>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300000</w:t>
            </w:r>
            <w:r>
              <w:rPr>
                <w:rFonts w:ascii="宋体" w:hAnsi="宋体" w:cs="宋体" w:eastAsia="宋体" w:hint="default"/>
                <w:sz w:val="21"/>
                <w:szCs w:val="21"/>
              </w:rPr>
              <w:t>元</w:t>
            </w:r>
          </w:p>
        </w:tc>
      </w:tr>
      <w:tr>
        <w:trPr>
          <w:trHeight w:val="738"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center"/>
              <w:rPr>
                <w:rFonts w:ascii="Times New Roman" w:hAnsi="Times New Roman" w:cs="Times New Roman" w:eastAsia="Times New Roman" w:hint="default"/>
                <w:sz w:val="21"/>
                <w:szCs w:val="21"/>
              </w:rPr>
            </w:pPr>
            <w:r>
              <w:rPr>
                <w:rFonts w:ascii="Times New Roman"/>
                <w:sz w:val="21"/>
              </w:rPr>
              <w:t>53</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金雅凤</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66" w:right="47" w:hanging="420"/>
              <w:jc w:val="left"/>
              <w:rPr>
                <w:rFonts w:ascii="宋体" w:hAnsi="宋体" w:cs="宋体" w:eastAsia="宋体" w:hint="default"/>
                <w:sz w:val="21"/>
                <w:szCs w:val="21"/>
              </w:rPr>
            </w:pPr>
            <w:r>
              <w:rPr>
                <w:rFonts w:ascii="宋体" w:hAnsi="宋体" w:cs="宋体" w:eastAsia="宋体" w:hint="default"/>
                <w:sz w:val="21"/>
                <w:szCs w:val="21"/>
              </w:rPr>
              <w:t>嘉兴西马桥小区红枫 苑</w:t>
            </w:r>
            <w:r>
              <w:rPr>
                <w:rFonts w:ascii="Times New Roman" w:hAnsi="Times New Roman" w:cs="Times New Roman" w:eastAsia="Times New Roman" w:hint="default"/>
                <w:sz w:val="21"/>
                <w:szCs w:val="21"/>
              </w:rPr>
              <w:t>8</w:t>
            </w:r>
            <w:r>
              <w:rPr>
                <w:rFonts w:ascii="宋体" w:hAnsi="宋体" w:cs="宋体" w:eastAsia="宋体" w:hint="default"/>
                <w:sz w:val="21"/>
                <w:szCs w:val="21"/>
              </w:rPr>
              <w:t>幢</w:t>
            </w:r>
            <w:r>
              <w:rPr>
                <w:rFonts w:ascii="Times New Roman" w:hAnsi="Times New Roman" w:cs="Times New Roman" w:eastAsia="Times New Roman" w:hint="default"/>
                <w:sz w:val="21"/>
                <w:szCs w:val="21"/>
              </w:rPr>
              <w:t>306</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62.77</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3"/>
              <w:jc w:val="right"/>
              <w:rPr>
                <w:rFonts w:ascii="Times New Roman" w:hAnsi="Times New Roman" w:cs="Times New Roman" w:eastAsia="Times New Roman" w:hint="default"/>
                <w:sz w:val="21"/>
                <w:szCs w:val="21"/>
              </w:rPr>
            </w:pPr>
            <w:r>
              <w:rPr>
                <w:rFonts w:ascii="宋体" w:hAnsi="宋体" w:cs="宋体" w:eastAsia="宋体" w:hint="default"/>
                <w:sz w:val="21"/>
                <w:szCs w:val="21"/>
              </w:rPr>
              <w:t>嘉房权证禾字第</w:t>
            </w:r>
            <w:r>
              <w:rPr>
                <w:rFonts w:ascii="Times New Roman" w:hAnsi="Times New Roman" w:cs="Times New Roman" w:eastAsia="Times New Roman" w:hint="default"/>
                <w:sz w:val="21"/>
                <w:szCs w:val="21"/>
              </w:rPr>
              <w:t>00768123</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77" w:right="0"/>
              <w:jc w:val="left"/>
              <w:rPr>
                <w:rFonts w:ascii="Times New Roman" w:hAnsi="Times New Roman" w:cs="Times New Roman" w:eastAsia="Times New Roman" w:hint="default"/>
                <w:sz w:val="21"/>
                <w:szCs w:val="21"/>
              </w:rPr>
            </w:pPr>
            <w:r>
              <w:rPr>
                <w:rFonts w:ascii="Times New Roman"/>
                <w:sz w:val="21"/>
              </w:rPr>
              <w:t>2016.1.4-</w:t>
            </w:r>
          </w:p>
          <w:p>
            <w:pPr>
              <w:pStyle w:val="TableParagraph"/>
              <w:spacing w:line="240" w:lineRule="auto" w:before="110"/>
              <w:ind w:left="212" w:right="0"/>
              <w:jc w:val="left"/>
              <w:rPr>
                <w:rFonts w:ascii="Times New Roman" w:hAnsi="Times New Roman" w:cs="Times New Roman" w:eastAsia="Times New Roman" w:hint="default"/>
                <w:sz w:val="21"/>
                <w:szCs w:val="21"/>
              </w:rPr>
            </w:pPr>
            <w:r>
              <w:rPr>
                <w:rFonts w:ascii="Times New Roman"/>
                <w:sz w:val="21"/>
              </w:rPr>
              <w:t>2016.7.3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1300 </w:t>
            </w:r>
            <w:r>
              <w:rPr>
                <w:rFonts w:ascii="宋体" w:hAnsi="宋体" w:cs="宋体" w:eastAsia="宋体" w:hint="default"/>
                <w:sz w:val="21"/>
                <w:szCs w:val="21"/>
              </w:rPr>
              <w:t>元</w:t>
            </w:r>
          </w:p>
        </w:tc>
      </w:tr>
      <w:tr>
        <w:trPr>
          <w:trHeight w:val="740"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center"/>
              <w:rPr>
                <w:rFonts w:ascii="Times New Roman" w:hAnsi="Times New Roman" w:cs="Times New Roman" w:eastAsia="Times New Roman" w:hint="default"/>
                <w:sz w:val="21"/>
                <w:szCs w:val="21"/>
              </w:rPr>
            </w:pPr>
            <w:r>
              <w:rPr>
                <w:rFonts w:ascii="Times New Roman"/>
                <w:sz w:val="21"/>
              </w:rPr>
              <w:t>54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沈春柳</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嘉兴阳光南区</w:t>
            </w:r>
            <w:r>
              <w:rPr>
                <w:rFonts w:ascii="Times New Roman" w:hAnsi="Times New Roman" w:cs="Times New Roman" w:eastAsia="Times New Roman" w:hint="default"/>
                <w:sz w:val="21"/>
                <w:szCs w:val="21"/>
              </w:rPr>
              <w:t>13</w:t>
            </w:r>
            <w:r>
              <w:rPr>
                <w:rFonts w:ascii="宋体" w:hAnsi="宋体" w:cs="宋体" w:eastAsia="宋体" w:hint="default"/>
                <w:sz w:val="21"/>
                <w:szCs w:val="21"/>
              </w:rPr>
              <w:t>幢</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206</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67.99</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52" w:right="3" w:hanging="1050"/>
              <w:jc w:val="left"/>
              <w:rPr>
                <w:rFonts w:ascii="宋体" w:hAnsi="宋体" w:cs="宋体" w:eastAsia="宋体" w:hint="default"/>
                <w:sz w:val="21"/>
                <w:szCs w:val="21"/>
              </w:rPr>
            </w:pPr>
            <w:r>
              <w:rPr>
                <w:rFonts w:ascii="宋体" w:hAnsi="宋体" w:cs="宋体" w:eastAsia="宋体" w:hint="default"/>
                <w:sz w:val="21"/>
                <w:szCs w:val="21"/>
              </w:rPr>
              <w:t>嘉房权证禾字第</w:t>
            </w:r>
            <w:r>
              <w:rPr>
                <w:rFonts w:ascii="Times New Roman" w:hAnsi="Times New Roman" w:cs="Times New Roman" w:eastAsia="Times New Roman" w:hint="default"/>
                <w:sz w:val="21"/>
                <w:szCs w:val="21"/>
              </w:rPr>
              <w:t>00598666 </w:t>
            </w:r>
            <w:r>
              <w:rPr>
                <w:rFonts w:ascii="宋体" w:hAnsi="宋体" w:cs="宋体" w:eastAsia="宋体" w:hint="default"/>
                <w:sz w:val="21"/>
                <w:szCs w:val="21"/>
              </w:rPr>
              <w:t>号</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77" w:right="0"/>
              <w:jc w:val="left"/>
              <w:rPr>
                <w:rFonts w:ascii="Times New Roman" w:hAnsi="Times New Roman" w:cs="Times New Roman" w:eastAsia="Times New Roman" w:hint="default"/>
                <w:sz w:val="21"/>
                <w:szCs w:val="21"/>
              </w:rPr>
            </w:pPr>
            <w:r>
              <w:rPr>
                <w:rFonts w:ascii="Times New Roman"/>
                <w:sz w:val="21"/>
              </w:rPr>
              <w:t>2015.3.8-</w:t>
            </w:r>
          </w:p>
          <w:p>
            <w:pPr>
              <w:pStyle w:val="TableParagraph"/>
              <w:spacing w:line="240" w:lineRule="auto" w:before="110"/>
              <w:ind w:left="212" w:right="0"/>
              <w:jc w:val="left"/>
              <w:rPr>
                <w:rFonts w:ascii="Times New Roman" w:hAnsi="Times New Roman" w:cs="Times New Roman" w:eastAsia="Times New Roman" w:hint="default"/>
                <w:sz w:val="21"/>
                <w:szCs w:val="21"/>
              </w:rPr>
            </w:pPr>
            <w:r>
              <w:rPr>
                <w:rFonts w:ascii="Times New Roman"/>
                <w:sz w:val="21"/>
              </w:rPr>
              <w:t>2016.3.7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2600 </w:t>
            </w:r>
            <w:r>
              <w:rPr>
                <w:rFonts w:ascii="宋体" w:hAnsi="宋体" w:cs="宋体" w:eastAsia="宋体" w:hint="default"/>
                <w:sz w:val="21"/>
                <w:szCs w:val="21"/>
              </w:rPr>
              <w:t>元</w:t>
            </w:r>
          </w:p>
        </w:tc>
      </w:tr>
    </w:tbl>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328"/>
        <w:gridCol w:w="650"/>
        <w:gridCol w:w="703"/>
        <w:gridCol w:w="1999"/>
        <w:gridCol w:w="441"/>
        <w:gridCol w:w="728"/>
        <w:gridCol w:w="2331"/>
        <w:gridCol w:w="1175"/>
        <w:gridCol w:w="1428"/>
      </w:tblGrid>
      <w:tr>
        <w:trPr>
          <w:trHeight w:val="971"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55</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丁珊</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邵阳</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6" w:right="44"/>
              <w:jc w:val="center"/>
              <w:rPr>
                <w:rFonts w:ascii="宋体" w:hAnsi="宋体" w:cs="宋体" w:eastAsia="宋体" w:hint="default"/>
                <w:sz w:val="21"/>
                <w:szCs w:val="21"/>
              </w:rPr>
            </w:pPr>
            <w:r>
              <w:rPr>
                <w:rFonts w:ascii="宋体" w:hAnsi="宋体" w:cs="宋体" w:eastAsia="宋体" w:hint="default"/>
                <w:sz w:val="21"/>
                <w:szCs w:val="21"/>
              </w:rPr>
              <w:t>武昌区中南二路</w:t>
            </w:r>
            <w:r>
              <w:rPr>
                <w:rFonts w:ascii="Times New Roman" w:hAnsi="Times New Roman" w:cs="Times New Roman" w:eastAsia="Times New Roman" w:hint="default"/>
                <w:sz w:val="21"/>
                <w:szCs w:val="21"/>
              </w:rPr>
              <w:t>88</w:t>
            </w:r>
            <w:r>
              <w:rPr>
                <w:rFonts w:ascii="宋体" w:hAnsi="宋体" w:cs="宋体" w:eastAsia="宋体" w:hint="default"/>
                <w:sz w:val="21"/>
                <w:szCs w:val="21"/>
              </w:rPr>
              <w:t>号 阳光年华花园</w:t>
            </w:r>
            <w:r>
              <w:rPr>
                <w:rFonts w:ascii="Times New Roman" w:hAnsi="Times New Roman" w:cs="Times New Roman" w:eastAsia="Times New Roman" w:hint="default"/>
                <w:sz w:val="21"/>
                <w:szCs w:val="21"/>
              </w:rPr>
              <w:t>1</w:t>
            </w:r>
            <w:r>
              <w:rPr>
                <w:rFonts w:ascii="宋体" w:hAnsi="宋体" w:cs="宋体" w:eastAsia="宋体" w:hint="default"/>
                <w:sz w:val="21"/>
                <w:szCs w:val="21"/>
              </w:rPr>
              <w:t>栋</w:t>
            </w:r>
            <w:r>
              <w:rPr>
                <w:rFonts w:ascii="Times New Roman" w:hAnsi="Times New Roman" w:cs="Times New Roman" w:eastAsia="Times New Roman" w:hint="default"/>
                <w:sz w:val="21"/>
                <w:szCs w:val="21"/>
              </w:rPr>
              <w:t>1</w:t>
            </w:r>
            <w:r>
              <w:rPr>
                <w:rFonts w:ascii="宋体" w:hAnsi="宋体" w:cs="宋体" w:eastAsia="宋体" w:hint="default"/>
                <w:sz w:val="21"/>
                <w:szCs w:val="21"/>
              </w:rPr>
              <w:t>单 元</w:t>
            </w:r>
            <w:r>
              <w:rPr>
                <w:rFonts w:ascii="Times New Roman" w:hAnsi="Times New Roman" w:cs="Times New Roman" w:eastAsia="Times New Roman" w:hint="default"/>
                <w:sz w:val="21"/>
                <w:szCs w:val="21"/>
              </w:rPr>
              <w:t>1302</w:t>
            </w:r>
            <w:r>
              <w:rPr>
                <w:rFonts w:ascii="宋体" w:hAnsi="宋体" w:cs="宋体" w:eastAsia="宋体" w:hint="default"/>
                <w:sz w:val="21"/>
                <w:szCs w:val="21"/>
              </w:rPr>
              <w:t>号</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67.99</w:t>
            </w:r>
          </w:p>
        </w:tc>
        <w:tc>
          <w:tcPr>
            <w:tcW w:w="233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77" w:right="0"/>
              <w:jc w:val="left"/>
              <w:rPr>
                <w:rFonts w:ascii="Times New Roman" w:hAnsi="Times New Roman" w:cs="Times New Roman" w:eastAsia="Times New Roman" w:hint="default"/>
                <w:sz w:val="21"/>
                <w:szCs w:val="21"/>
              </w:rPr>
            </w:pPr>
            <w:r>
              <w:rPr>
                <w:rFonts w:ascii="Times New Roman"/>
                <w:sz w:val="21"/>
              </w:rPr>
              <w:t>2015.3.8-</w:t>
            </w:r>
          </w:p>
          <w:p>
            <w:pPr>
              <w:pStyle w:val="TableParagraph"/>
              <w:spacing w:line="240" w:lineRule="auto" w:before="109"/>
              <w:ind w:left="212" w:right="0"/>
              <w:jc w:val="left"/>
              <w:rPr>
                <w:rFonts w:ascii="Times New Roman" w:hAnsi="Times New Roman" w:cs="Times New Roman" w:eastAsia="Times New Roman" w:hint="default"/>
                <w:sz w:val="21"/>
                <w:szCs w:val="21"/>
              </w:rPr>
            </w:pPr>
            <w:r>
              <w:rPr>
                <w:rFonts w:ascii="Times New Roman"/>
                <w:sz w:val="21"/>
              </w:rPr>
              <w:t>2016.3.7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2600 </w:t>
            </w:r>
            <w:r>
              <w:rPr>
                <w:rFonts w:ascii="宋体" w:hAnsi="宋体" w:cs="宋体" w:eastAsia="宋体" w:hint="default"/>
                <w:sz w:val="21"/>
                <w:szCs w:val="21"/>
              </w:rPr>
              <w:t>元</w:t>
            </w:r>
          </w:p>
        </w:tc>
      </w:tr>
      <w:tr>
        <w:trPr>
          <w:trHeight w:val="780" w:hRule="exact"/>
        </w:trPr>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陈国栋</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邹敏</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3" w:right="47" w:hanging="158"/>
              <w:jc w:val="left"/>
              <w:rPr>
                <w:rFonts w:ascii="宋体" w:hAnsi="宋体" w:cs="宋体" w:eastAsia="宋体" w:hint="default"/>
                <w:sz w:val="21"/>
                <w:szCs w:val="21"/>
              </w:rPr>
            </w:pPr>
            <w:r>
              <w:rPr>
                <w:rFonts w:ascii="宋体" w:hAnsi="宋体" w:cs="宋体" w:eastAsia="宋体" w:hint="default"/>
                <w:sz w:val="21"/>
                <w:szCs w:val="21"/>
              </w:rPr>
              <w:t>长沙市天心区韶山路 华景苑</w:t>
            </w:r>
            <w:r>
              <w:rPr>
                <w:rFonts w:ascii="Times New Roman" w:hAnsi="Times New Roman" w:cs="Times New Roman" w:eastAsia="Times New Roman" w:hint="default"/>
                <w:sz w:val="21"/>
                <w:szCs w:val="21"/>
              </w:rPr>
              <w:t>1</w:t>
            </w:r>
            <w:r>
              <w:rPr>
                <w:rFonts w:ascii="宋体" w:hAnsi="宋体" w:cs="宋体" w:eastAsia="宋体" w:hint="default"/>
                <w:sz w:val="21"/>
                <w:szCs w:val="21"/>
              </w:rPr>
              <w:t>栋</w:t>
            </w:r>
            <w:r>
              <w:rPr>
                <w:rFonts w:ascii="Times New Roman" w:hAnsi="Times New Roman" w:cs="Times New Roman" w:eastAsia="Times New Roman" w:hint="default"/>
                <w:sz w:val="21"/>
                <w:szCs w:val="21"/>
              </w:rPr>
              <w:t>1805</w:t>
            </w:r>
            <w:r>
              <w:rPr>
                <w:rFonts w:ascii="宋体" w:hAnsi="宋体" w:cs="宋体" w:eastAsia="宋体" w:hint="default"/>
                <w:sz w:val="21"/>
                <w:szCs w:val="21"/>
              </w:rPr>
              <w:t>室</w:t>
            </w:r>
          </w:p>
        </w:tc>
        <w:tc>
          <w:tcPr>
            <w:tcW w:w="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办公</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66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合同编号</w:t>
            </w:r>
            <w:r>
              <w:rPr>
                <w:rFonts w:ascii="Times New Roman" w:hAnsi="Times New Roman" w:cs="Times New Roman" w:eastAsia="Times New Roman" w:hint="default"/>
                <w:sz w:val="21"/>
                <w:szCs w:val="21"/>
              </w:rPr>
              <w:t>200871091805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77" w:right="0"/>
              <w:jc w:val="left"/>
              <w:rPr>
                <w:rFonts w:ascii="Times New Roman" w:hAnsi="Times New Roman" w:cs="Times New Roman" w:eastAsia="Times New Roman" w:hint="default"/>
                <w:sz w:val="21"/>
                <w:szCs w:val="21"/>
              </w:rPr>
            </w:pPr>
            <w:r>
              <w:rPr>
                <w:rFonts w:ascii="Times New Roman"/>
                <w:sz w:val="21"/>
              </w:rPr>
              <w:t>2016.1.1-</w:t>
            </w:r>
          </w:p>
          <w:p>
            <w:pPr>
              <w:pStyle w:val="TableParagraph"/>
              <w:spacing w:line="240" w:lineRule="auto" w:before="111"/>
              <w:ind w:left="107" w:right="0"/>
              <w:jc w:val="left"/>
              <w:rPr>
                <w:rFonts w:ascii="Times New Roman" w:hAnsi="Times New Roman" w:cs="Times New Roman" w:eastAsia="Times New Roman" w:hint="default"/>
                <w:sz w:val="21"/>
                <w:szCs w:val="21"/>
              </w:rPr>
            </w:pPr>
            <w:r>
              <w:rPr>
                <w:rFonts w:ascii="Times New Roman"/>
                <w:sz w:val="21"/>
              </w:rPr>
              <w:t>2016.12.31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01" w:right="74" w:hanging="525"/>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1600 </w:t>
            </w:r>
            <w:r>
              <w:rPr>
                <w:rFonts w:ascii="宋体" w:hAnsi="宋体" w:cs="宋体" w:eastAsia="宋体" w:hint="default"/>
                <w:sz w:val="21"/>
                <w:szCs w:val="21"/>
              </w:rPr>
              <w:t>元</w:t>
            </w:r>
          </w:p>
        </w:tc>
      </w:tr>
    </w:tbl>
    <w:p>
      <w:pPr>
        <w:pStyle w:val="BodyText"/>
        <w:spacing w:line="240" w:lineRule="auto" w:before="26"/>
        <w:ind w:left="1470" w:right="0"/>
        <w:jc w:val="left"/>
      </w:pPr>
      <w:r>
        <w:rPr/>
        <w:t>报告期内，公司上述租赁均不构成重大租赁。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长江证券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本金保障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年化利率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长江证券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本金保障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年化利率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8,106</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283.63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部分已 收回</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12,106</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400.01</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70"/>
        <w:gridCol w:w="7100"/>
      </w:tblGrid>
      <w:tr>
        <w:trPr>
          <w:trHeight w:val="36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日期（如有</w:t>
            </w:r>
            <w:r>
              <w:rPr>
                <w:rFonts w:ascii="Times New Roman" w:hAnsi="Times New Roman" w:cs="Times New Roman" w:eastAsia="Times New Roman" w:hint="default"/>
                <w:sz w:val="18"/>
                <w:szCs w:val="18"/>
              </w:rPr>
              <w:t>)</w:t>
            </w:r>
          </w:p>
        </w:tc>
        <w:tc>
          <w:tcPr>
            <w:tcW w:w="7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3"/>
      <w:bookmarkEnd w:id="93"/>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4"/>
      <w:bookmarkEnd w:id="94"/>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九、社会责任情况" w:id="95"/>
      <w:bookmarkEnd w:id="95"/>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公司债券相关情况" w:id="96"/>
      <w:bookmarkEnd w:id="96"/>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7"/>
      <w:bookmarkEnd w:id="97"/>
      <w:r>
        <w:rPr>
          <w:b w:val="0"/>
          <w:bCs w:val="0"/>
        </w:rPr>
      </w:r>
      <w:bookmarkStart w:name="_bookmark4" w:id="98"/>
      <w:bookmarkEnd w:id="9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9"/>
      <w:bookmarkEnd w:id="9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92.33%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69.25%</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129" w:firstLine="42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日取得中国证券监督管理委员会《关于核准厦门红相电力设备股份有限公司首次 </w:t>
      </w:r>
      <w:r>
        <w:rPr>
          <w:spacing w:val="-1"/>
        </w:rPr>
        <w:t>公开发行股票的批复》（证监许可（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179</w:t>
      </w:r>
      <w:r>
        <w:rPr>
          <w:spacing w:val="-1"/>
        </w:rPr>
        <w:t>号），核准公司公开发行新股</w:t>
      </w:r>
      <w:r>
        <w:rPr>
          <w:rFonts w:ascii="Times New Roman" w:hAnsi="Times New Roman" w:cs="Times New Roman" w:eastAsia="Times New Roman" w:hint="default"/>
          <w:spacing w:val="-1"/>
        </w:rPr>
        <w:t>2217</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日公</w:t>
      </w:r>
      <w:r>
        <w:rPr>
          <w:spacing w:val="-77"/>
        </w:rPr>
        <w:t> </w:t>
      </w:r>
      <w:r>
        <w:rPr>
          <w:spacing w:val="-5"/>
        </w:rPr>
        <w:t>司取得深圳证券交易所《关于厦门红相电力设备股份有限公司人民币普通股股票在创业板上市的通知》（深</w:t>
      </w:r>
    </w:p>
    <w:p>
      <w:pPr>
        <w:spacing w:after="0" w:line="256"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t>证上（</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81</w:t>
      </w:r>
      <w:r>
        <w:rPr/>
        <w:t>号）同意公司首次公开发行的人民币普通股</w:t>
      </w:r>
      <w:r>
        <w:rPr>
          <w:rFonts w:ascii="Times New Roman" w:hAnsi="Times New Roman" w:cs="Times New Roman" w:eastAsia="Times New Roman" w:hint="default"/>
        </w:rPr>
        <w:t>2217</w:t>
      </w:r>
      <w:r>
        <w:rPr/>
        <w:t>万股自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日起在深圳证券交易</w:t>
      </w:r>
      <w:r>
        <w:rPr>
          <w:spacing w:val="-31"/>
        </w:rPr>
        <w:t> </w:t>
      </w:r>
      <w:r>
        <w:rPr>
          <w:spacing w:val="-31"/>
        </w:rPr>
      </w:r>
      <w:r>
        <w:rPr/>
        <w:t>所创业板挂牌上市。本次发行后公司股本总额由</w:t>
      </w:r>
      <w:r>
        <w:rPr>
          <w:rFonts w:ascii="Times New Roman" w:hAnsi="Times New Roman" w:cs="Times New Roman" w:eastAsia="Times New Roman" w:hint="default"/>
        </w:rPr>
        <w:t>6650</w:t>
      </w:r>
      <w:r>
        <w:rPr/>
        <w:t>万股变更为</w:t>
      </w:r>
      <w:r>
        <w:rPr>
          <w:rFonts w:ascii="Times New Roman" w:hAnsi="Times New Roman" w:cs="Times New Roman" w:eastAsia="Times New Roman" w:hint="default"/>
        </w:rPr>
        <w:t>8867</w:t>
      </w:r>
      <w:r>
        <w:rPr/>
        <w:t>万股。</w:t>
      </w:r>
    </w:p>
    <w:p>
      <w:pPr>
        <w:spacing w:before="71"/>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1" w:lineRule="auto" w:before="76"/>
        <w:ind w:right="1129" w:firstLine="42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日取得中国证券监督管理委员会《关于核准厦门红相电力设备股份有限公司首次 </w:t>
      </w:r>
      <w:r>
        <w:rPr>
          <w:spacing w:val="-1"/>
        </w:rPr>
        <w:t>公开发行股票的批复》（证监许可（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179</w:t>
      </w:r>
      <w:r>
        <w:rPr>
          <w:spacing w:val="-1"/>
        </w:rPr>
        <w:t>号），核准公司公开发行新股</w:t>
      </w:r>
      <w:r>
        <w:rPr>
          <w:rFonts w:ascii="Times New Roman" w:hAnsi="Times New Roman" w:cs="Times New Roman" w:eastAsia="Times New Roman" w:hint="default"/>
          <w:spacing w:val="-1"/>
        </w:rPr>
        <w:t>2217</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日公</w:t>
      </w:r>
      <w:r>
        <w:rPr>
          <w:spacing w:val="-77"/>
        </w:rPr>
        <w:t> </w:t>
      </w:r>
      <w:r>
        <w:rPr>
          <w:spacing w:val="-5"/>
        </w:rPr>
        <w:t>司取得深圳证券交易所《关于厦门红相电力设备股份有限公司人民币普通股股票在创业板上市的通知》（深</w:t>
      </w:r>
      <w:r>
        <w:rPr>
          <w:spacing w:val="-101"/>
        </w:rPr>
        <w:t> </w:t>
      </w:r>
      <w:r>
        <w:rPr>
          <w:spacing w:val="-101"/>
        </w:rPr>
      </w:r>
      <w:r>
        <w:rPr/>
        <w:t>证上（</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81</w:t>
      </w:r>
      <w:r>
        <w:rPr/>
        <w:t>号）同意公司首次公开发行的人民币普通股</w:t>
      </w:r>
      <w:r>
        <w:rPr>
          <w:rFonts w:ascii="Times New Roman" w:hAnsi="Times New Roman" w:cs="Times New Roman" w:eastAsia="Times New Roman" w:hint="default"/>
        </w:rPr>
        <w:t>2217</w:t>
      </w:r>
      <w:r>
        <w:rPr/>
        <w:t>万股自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日起在深圳证券交易</w:t>
      </w:r>
      <w:r>
        <w:rPr>
          <w:spacing w:val="-31"/>
        </w:rPr>
        <w:t> </w:t>
      </w:r>
      <w:r>
        <w:rPr>
          <w:spacing w:val="-31"/>
        </w:rPr>
      </w:r>
      <w:r>
        <w:rPr/>
        <w:t>所创业板挂牌上市。</w:t>
      </w:r>
    </w:p>
    <w:p>
      <w:pPr>
        <w:spacing w:line="240" w:lineRule="auto" w:before="0"/>
        <w:rPr>
          <w:rFonts w:ascii="宋体" w:hAnsi="宋体" w:cs="宋体" w:eastAsia="宋体" w:hint="default"/>
          <w:sz w:val="20"/>
          <w:szCs w:val="20"/>
        </w:rPr>
      </w:pPr>
    </w:p>
    <w:p>
      <w:pPr>
        <w:spacing w:before="135"/>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701"/>
        <w:gridCol w:w="2411"/>
        <w:gridCol w:w="1984"/>
      </w:tblGrid>
      <w:tr>
        <w:trPr>
          <w:trHeight w:val="346" w:hRule="exact"/>
        </w:trPr>
        <w:tc>
          <w:tcPr>
            <w:tcW w:w="3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4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本期</w:t>
            </w:r>
            <w:r>
              <w:rPr>
                <w:rFonts w:ascii="宋体" w:hAnsi="宋体" w:cs="宋体" w:eastAsia="宋体" w:hint="default"/>
                <w:sz w:val="20"/>
                <w:szCs w:val="20"/>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583" w:right="0"/>
              <w:jc w:val="left"/>
              <w:rPr>
                <w:rFonts w:ascii="宋体" w:hAnsi="宋体" w:cs="宋体" w:eastAsia="宋体" w:hint="default"/>
                <w:sz w:val="20"/>
                <w:szCs w:val="20"/>
              </w:rPr>
            </w:pPr>
            <w:r>
              <w:rPr>
                <w:rFonts w:ascii="宋体" w:hAnsi="宋体" w:cs="宋体" w:eastAsia="宋体" w:hint="default"/>
                <w:b/>
                <w:bCs/>
                <w:sz w:val="20"/>
                <w:szCs w:val="20"/>
              </w:rPr>
              <w:t>上年同期</w:t>
            </w:r>
            <w:r>
              <w:rPr>
                <w:rFonts w:ascii="宋体" w:hAnsi="宋体" w:cs="宋体" w:eastAsia="宋体" w:hint="default"/>
                <w:sz w:val="20"/>
                <w:szCs w:val="20"/>
              </w:rPr>
            </w:r>
          </w:p>
        </w:tc>
      </w:tr>
      <w:tr>
        <w:trPr>
          <w:trHeight w:val="347" w:hRule="exact"/>
        </w:trPr>
        <w:tc>
          <w:tcPr>
            <w:tcW w:w="3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0.83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0.85</w:t>
            </w:r>
          </w:p>
        </w:tc>
      </w:tr>
      <w:tr>
        <w:trPr>
          <w:trHeight w:val="347" w:hRule="exact"/>
        </w:trPr>
        <w:tc>
          <w:tcPr>
            <w:tcW w:w="3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0.83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0.85</w:t>
            </w:r>
          </w:p>
        </w:tc>
      </w:tr>
      <w:tr>
        <w:trPr>
          <w:trHeight w:val="347" w:hRule="exact"/>
        </w:trPr>
        <w:tc>
          <w:tcPr>
            <w:tcW w:w="3701"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报告期末</w:t>
            </w:r>
            <w:r>
              <w:rPr>
                <w:rFonts w:ascii="宋体" w:hAnsi="宋体" w:cs="宋体" w:eastAsia="宋体" w:hint="default"/>
                <w:sz w:val="20"/>
                <w:szCs w:val="20"/>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83" w:right="0"/>
              <w:jc w:val="left"/>
              <w:rPr>
                <w:rFonts w:ascii="宋体" w:hAnsi="宋体" w:cs="宋体" w:eastAsia="宋体" w:hint="default"/>
                <w:sz w:val="20"/>
                <w:szCs w:val="20"/>
              </w:rPr>
            </w:pPr>
            <w:r>
              <w:rPr>
                <w:rFonts w:ascii="宋体" w:hAnsi="宋体" w:cs="宋体" w:eastAsia="宋体" w:hint="default"/>
                <w:b/>
                <w:bCs/>
                <w:sz w:val="20"/>
                <w:szCs w:val="20"/>
              </w:rPr>
              <w:t>上年度末</w:t>
            </w:r>
            <w:r>
              <w:rPr>
                <w:rFonts w:ascii="宋体" w:hAnsi="宋体" w:cs="宋体" w:eastAsia="宋体" w:hint="default"/>
                <w:sz w:val="20"/>
                <w:szCs w:val="20"/>
              </w:rPr>
            </w:r>
          </w:p>
        </w:tc>
      </w:tr>
      <w:tr>
        <w:trPr>
          <w:trHeight w:val="348" w:hRule="exact"/>
        </w:trPr>
        <w:tc>
          <w:tcPr>
            <w:tcW w:w="3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归属于公司普通股股东的净资产（万元）</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56,401.00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47" w:right="0"/>
              <w:jc w:val="left"/>
              <w:rPr>
                <w:rFonts w:ascii="Times New Roman" w:hAnsi="Times New Roman" w:cs="Times New Roman" w:eastAsia="Times New Roman" w:hint="default"/>
                <w:sz w:val="21"/>
                <w:szCs w:val="21"/>
              </w:rPr>
            </w:pPr>
            <w:r>
              <w:rPr>
                <w:rFonts w:ascii="Times New Roman"/>
                <w:sz w:val="21"/>
              </w:rPr>
              <w:t>32,231.39</w:t>
            </w:r>
          </w:p>
        </w:tc>
      </w:tr>
    </w:tbl>
    <w:p>
      <w:pPr>
        <w:spacing w:line="240" w:lineRule="auto" w:before="5"/>
        <w:rPr>
          <w:rFonts w:ascii="宋体" w:hAnsi="宋体" w:cs="宋体" w:eastAsia="宋体" w:hint="default"/>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1"/>
      <w:bookmarkEnd w:id="10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02"/>
      <w:bookmarkEnd w:id="102"/>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3"/>
      <w:bookmarkEnd w:id="10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left"/>
              <w:rPr>
                <w:rFonts w:ascii="宋体" w:hAnsi="宋体" w:cs="宋体" w:eastAsia="宋体" w:hint="default"/>
                <w:sz w:val="18"/>
                <w:szCs w:val="18"/>
              </w:rPr>
            </w:pPr>
            <w:r>
              <w:rPr>
                <w:rFonts w:ascii="宋体" w:hAnsi="宋体" w:cs="宋体" w:eastAsia="宋体" w:hint="default"/>
                <w:sz w:val="18"/>
                <w:szCs w:val="18"/>
              </w:rPr>
              <w:t>首次公开发行股 票并上市</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22,170,000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22,170,000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240" w:lineRule="auto" w:before="90"/>
        <w:ind w:left="1554" w:right="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日取得中国证券监督管理委员会《关于核准厦门红相电力设备股份有限公司首次</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61" w:lineRule="auto" w:before="35"/>
        <w:ind w:right="1129"/>
        <w:jc w:val="both"/>
      </w:pPr>
      <w:r>
        <w:rPr>
          <w:spacing w:val="-1"/>
        </w:rPr>
        <w:t>公开发行股票的批复》（证监许可（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179</w:t>
      </w:r>
      <w:r>
        <w:rPr>
          <w:spacing w:val="-1"/>
        </w:rPr>
        <w:t>号），核准公司公开发行新股</w:t>
      </w:r>
      <w:r>
        <w:rPr>
          <w:rFonts w:ascii="Times New Roman" w:hAnsi="Times New Roman" w:cs="Times New Roman" w:eastAsia="Times New Roman" w:hint="default"/>
          <w:spacing w:val="-1"/>
        </w:rPr>
        <w:t>2217</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日公</w:t>
      </w:r>
      <w:r>
        <w:rPr>
          <w:spacing w:val="-77"/>
        </w:rPr>
        <w:t> </w:t>
      </w:r>
      <w:r>
        <w:rPr>
          <w:spacing w:val="-5"/>
        </w:rPr>
        <w:t>司取得深圳证券交易所《关于厦门红相电力设备股份有限公司人民币普通股股票在创业板上市的通知》（深</w:t>
      </w:r>
      <w:r>
        <w:rPr>
          <w:spacing w:val="-101"/>
        </w:rPr>
        <w:t> </w:t>
      </w:r>
      <w:r>
        <w:rPr>
          <w:spacing w:val="-101"/>
        </w:rPr>
      </w:r>
      <w:r>
        <w:rPr/>
        <w:t>证上（</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81</w:t>
      </w:r>
      <w:r>
        <w:rPr/>
        <w:t>号）同意公司首次公开发行的人民币普通股</w:t>
      </w:r>
      <w:r>
        <w:rPr>
          <w:rFonts w:ascii="Times New Roman" w:hAnsi="Times New Roman" w:cs="Times New Roman" w:eastAsia="Times New Roman" w:hint="default"/>
        </w:rPr>
        <w:t>2217</w:t>
      </w:r>
      <w:r>
        <w:rPr/>
        <w:t>万股自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日起在深圳证券交易</w:t>
      </w:r>
      <w:r>
        <w:rPr>
          <w:spacing w:val="-31"/>
        </w:rPr>
        <w:t> </w:t>
      </w:r>
      <w:r>
        <w:rPr>
          <w:spacing w:val="-31"/>
        </w:rPr>
      </w:r>
      <w:r>
        <w:rPr/>
        <w:t>所创业板挂牌上市。</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4"/>
        <w:spacing w:line="240" w:lineRule="auto"/>
        <w:ind w:right="0"/>
        <w:jc w:val="both"/>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132"/>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日公司首次公开发行股票</w:t>
      </w:r>
      <w:r>
        <w:rPr>
          <w:rFonts w:ascii="Times New Roman" w:hAnsi="Times New Roman" w:cs="Times New Roman" w:eastAsia="Times New Roman" w:hint="default"/>
          <w:spacing w:val="-2"/>
        </w:rPr>
        <w:t>2,217</w:t>
      </w:r>
      <w:r>
        <w:rPr>
          <w:spacing w:val="-2"/>
        </w:rPr>
        <w:t>万股，引起公司股份由</w:t>
      </w:r>
      <w:r>
        <w:rPr>
          <w:rFonts w:ascii="Times New Roman" w:hAnsi="Times New Roman" w:cs="Times New Roman" w:eastAsia="Times New Roman" w:hint="default"/>
          <w:spacing w:val="-2"/>
        </w:rPr>
        <w:t>6,650</w:t>
      </w:r>
      <w:r>
        <w:rPr>
          <w:spacing w:val="-2"/>
        </w:rPr>
        <w:t>万股变更为</w:t>
      </w:r>
      <w:r>
        <w:rPr>
          <w:rFonts w:ascii="Times New Roman" w:hAnsi="Times New Roman" w:cs="Times New Roman" w:eastAsia="Times New Roman" w:hint="default"/>
          <w:spacing w:val="-2"/>
        </w:rPr>
        <w:t>8,867</w:t>
      </w:r>
      <w:r>
        <w:rPr>
          <w:spacing w:val="-2"/>
        </w:rPr>
        <w:t>万股，本次公开发</w:t>
      </w:r>
      <w:r>
        <w:rPr>
          <w:spacing w:val="-74"/>
        </w:rPr>
        <w:t> </w:t>
      </w:r>
      <w:r>
        <w:rPr>
          <w:spacing w:val="-74"/>
        </w:rPr>
      </w:r>
      <w:r>
        <w:rPr>
          <w:spacing w:val="6"/>
        </w:rPr>
        <w:t>行股票</w:t>
      </w:r>
      <w:r>
        <w:rPr>
          <w:rFonts w:ascii="Times New Roman" w:hAnsi="Times New Roman" w:cs="Times New Roman" w:eastAsia="Times New Roman" w:hint="default"/>
          <w:spacing w:val="6"/>
        </w:rPr>
        <w:t>2,217</w:t>
      </w:r>
      <w:r>
        <w:rPr>
          <w:spacing w:val="6"/>
        </w:rPr>
        <w:t>万股均为非限售社会公众股。募集资金净额为</w:t>
      </w:r>
      <w:r>
        <w:rPr>
          <w:rFonts w:ascii="Times New Roman" w:hAnsi="Times New Roman" w:cs="Times New Roman" w:eastAsia="Times New Roman" w:hint="default"/>
          <w:spacing w:val="6"/>
        </w:rPr>
        <w:t>18,676.94</w:t>
      </w:r>
      <w:r>
        <w:rPr>
          <w:spacing w:val="6"/>
        </w:rPr>
        <w:t>万万元，资产总额和净资产均增加</w:t>
      </w:r>
      <w:r>
        <w:rPr>
          <w:spacing w:val="-88"/>
        </w:rPr>
        <w:t> </w:t>
      </w:r>
      <w:r>
        <w:rPr>
          <w:spacing w:val="-88"/>
        </w:rPr>
      </w:r>
      <w:r>
        <w:rPr>
          <w:rFonts w:ascii="Times New Roman" w:hAnsi="Times New Roman" w:cs="Times New Roman" w:eastAsia="Times New Roman" w:hint="default"/>
        </w:rPr>
        <w:t>18,676.94</w:t>
      </w:r>
      <w:r>
        <w:rPr/>
        <w:t>万元，不影响负债结构。</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left="1134" w:right="0"/>
        <w:jc w:val="both"/>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股东和实际控制人情况" w:id="106"/>
      <w:bookmarkEnd w:id="10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公司股东数量及持股情况" w:id="107"/>
      <w:bookmarkEnd w:id="10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49.277008pt;margin-top:68.291718pt;width:85.6pt;height:31.2pt;mso-position-horizontal-relative:page;mso-position-vertical-relative:paragraph;z-index:-92514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291718pt;width:52.45pt;height:31.2pt;mso-position-horizontal-relative:page;mso-position-vertical-relative:paragraph;z-index:-925120"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4,496</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2" w:right="0"/>
              <w:jc w:val="left"/>
              <w:rPr>
                <w:rFonts w:ascii="Times New Roman" w:hAnsi="Times New Roman" w:cs="Times New Roman" w:eastAsia="Times New Roman" w:hint="default"/>
                <w:sz w:val="18"/>
                <w:szCs w:val="18"/>
              </w:rPr>
            </w:pPr>
            <w:r>
              <w:rPr>
                <w:rFonts w:ascii="Times New Roman"/>
                <w:spacing w:val="-4"/>
                <w:sz w:val="18"/>
              </w:rPr>
              <w:t>8,111</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44.02%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39,030,63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39,030,63</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13.69%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12,141,59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12,141,59</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5,600,000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4,124,149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4,124,149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长江成长资本投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3,600,000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2,553,191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2,553,191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750,000</w:t>
            </w: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兴业银行股份有 限公司－工银瑞</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2,000,500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both"/>
              <w:rPr>
                <w:rFonts w:ascii="宋体" w:hAnsi="宋体" w:cs="宋体" w:eastAsia="宋体" w:hint="default"/>
                <w:sz w:val="18"/>
                <w:szCs w:val="18"/>
              </w:rPr>
            </w:pPr>
            <w:r>
              <w:rPr>
                <w:rFonts w:ascii="宋体" w:hAnsi="宋体" w:cs="宋体" w:eastAsia="宋体" w:hint="default"/>
                <w:sz w:val="18"/>
                <w:szCs w:val="18"/>
              </w:rPr>
              <w:t>信新材料新能源 行业股票型证券 投资基金</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深圳市中科宏易 创业投资有限公 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全国社保基金四 零六组合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1,252,805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1,252,805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1,252,805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一三组合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1,037,635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1,037,635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1,037,635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份有限公司－兴 全社会责任混合 型证券投资基金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0.79%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701,070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701,070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701,070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07" w:lineRule="auto" w:before="51"/>
              <w:ind w:left="16"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、杨保田与杨成、杨力系父子，杨成与杨力系兄弟关系。杨保田、杨成两人合计持 有公司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51,172,236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占公司股本总额的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57.71%</w:t>
            </w:r>
            <w:r>
              <w:rPr>
                <w:rFonts w:ascii="宋体" w:hAnsi="宋体" w:cs="宋体" w:eastAsia="宋体" w:hint="default"/>
                <w:spacing w:val="-3"/>
                <w:sz w:val="18"/>
                <w:szCs w:val="18"/>
              </w:rPr>
              <w:t>，是公司的实际控制人。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述股东外，公司未知前十名股东之间是否存在关联关系或是属于《上市公司股东持股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变动信息披露管理办法》规定的一致行动人。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31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兴业银行股份有限公司－工银瑞信 新材料新能源行业股票型证券投资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1,252,805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1,252,805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全国社保基金一一三组合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1,037,635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1,037,635</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中国建设银行股份有限公司－兴全 社会责任混合型证券投资基金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701,070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701,070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交通银行股份有限公司－国泰金鹰 增长混合型证券投资基金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700,068</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中国工商银行股份有限公司－广发 行业领先混合型证券投资基金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647,701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中国农业银行股份有限公司－广发 新动力混合型证券投资基金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574,486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514,938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514,938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吴志强</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r>
      <w:tr>
        <w:trPr>
          <w:trHeight w:val="67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16"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、公司前十名无限售流通股股东与公司两名控股股东、实际控制人杨成、杨保田及 关联方杨力，不存在任何关联关系。</w:t>
            </w:r>
            <w:r>
              <w:rPr>
                <w:rFonts w:ascii="Times New Roman" w:hAnsi="Times New Roman" w:cs="Times New Roman" w:eastAsia="Times New Roman" w:hint="default"/>
                <w:sz w:val="18"/>
                <w:szCs w:val="18"/>
              </w:rPr>
              <w:t>2</w:t>
            </w:r>
            <w:r>
              <w:rPr>
                <w:rFonts w:ascii="宋体" w:hAnsi="宋体" w:cs="宋体" w:eastAsia="宋体" w:hint="default"/>
                <w:sz w:val="18"/>
                <w:szCs w:val="18"/>
              </w:rPr>
              <w:t>、除前述情况外，公司未知前十名无限售流通</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69"/>
        <w:gridCol w:w="6700"/>
      </w:tblGrid>
      <w:tr>
        <w:trPr>
          <w:trHeight w:val="674"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700" w:type="dxa"/>
            <w:tcBorders>
              <w:top w:val="single" w:sz="4" w:space="0" w:color="000000"/>
              <w:left w:val="single" w:sz="9" w:space="0" w:color="D2D2D2"/>
              <w:bottom w:val="single" w:sz="4" w:space="0" w:color="000000"/>
              <w:right w:val="single" w:sz="4" w:space="0" w:color="000000"/>
            </w:tcBorders>
          </w:tcPr>
          <w:p>
            <w:pPr>
              <w:pStyle w:val="TableParagraph"/>
              <w:spacing w:line="319" w:lineRule="auto" w:before="10"/>
              <w:ind w:left="27" w:right="22"/>
              <w:jc w:val="left"/>
              <w:rPr>
                <w:rFonts w:ascii="宋体" w:hAnsi="宋体" w:cs="宋体" w:eastAsia="宋体" w:hint="default"/>
                <w:sz w:val="18"/>
                <w:szCs w:val="18"/>
              </w:rPr>
            </w:pPr>
            <w:r>
              <w:rPr>
                <w:rFonts w:ascii="宋体" w:hAnsi="宋体" w:cs="宋体" w:eastAsia="宋体" w:hint="default"/>
                <w:spacing w:val="-1"/>
                <w:sz w:val="18"/>
                <w:szCs w:val="18"/>
              </w:rPr>
              <w:t>股股东之间，以及前十名无限售流通股股东和其他前十名股东之间是否存在关联关系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或是属于《上市公司股东持股变动信息披露管理办法》规定的一致行动人。</w:t>
            </w:r>
          </w:p>
        </w:tc>
      </w:tr>
      <w:tr>
        <w:trPr>
          <w:trHeight w:val="714"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7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吴志强，通过普通证券账户持有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股，通过投资者信用账户持有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450,000 </w:t>
            </w:r>
            <w:r>
              <w:rPr>
                <w:rFonts w:ascii="宋体" w:hAnsi="宋体" w:cs="宋体" w:eastAsia="宋体" w:hint="default"/>
                <w:sz w:val="18"/>
                <w:szCs w:val="18"/>
              </w:rPr>
              <w:t>股。</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12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杨成先生：公司董事长、总经理及法定代表人；中国籍，无境外居留权，</w:t>
            </w:r>
            <w:r>
              <w:rPr>
                <w:rFonts w:ascii="Times New Roman" w:hAnsi="Times New Roman" w:cs="Times New Roman" w:eastAsia="Times New Roman" w:hint="default"/>
                <w:spacing w:val="-1"/>
                <w:sz w:val="18"/>
                <w:szCs w:val="18"/>
              </w:rPr>
              <w:t>1961</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pacing w:val="-3"/>
                <w:sz w:val="18"/>
                <w:szCs w:val="18"/>
              </w:rPr>
              <w:t>年出生，厦门大学统计学硕士。</w:t>
            </w:r>
            <w:r>
              <w:rPr>
                <w:rFonts w:ascii="Times New Roman" w:hAnsi="Times New Roman" w:cs="Times New Roman" w:eastAsia="Times New Roman" w:hint="default"/>
                <w:spacing w:val="-3"/>
                <w:sz w:val="18"/>
                <w:szCs w:val="18"/>
              </w:rPr>
              <w:t>1991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年前，杨成先生曾先后在安徽省淮南发电 总厂、中国土产畜产进出口总公司厦门公司工作，</w:t>
            </w:r>
            <w:r>
              <w:rPr>
                <w:rFonts w:ascii="Times New Roman" w:hAnsi="Times New Roman" w:cs="Times New Roman" w:eastAsia="Times New Roman" w:hint="default"/>
                <w:sz w:val="18"/>
                <w:szCs w:val="18"/>
              </w:rPr>
              <w:t>1991~1993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年就读于澳大利 亚皇家理工学院会计专业，</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年起进入澳洲红相的前身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R.M.D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Electronics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Pty Ltd </w:t>
            </w:r>
            <w:r>
              <w:rPr>
                <w:rFonts w:ascii="宋体" w:hAnsi="宋体" w:cs="宋体" w:eastAsia="宋体" w:hint="default"/>
                <w:sz w:val="18"/>
                <w:szCs w:val="18"/>
              </w:rPr>
              <w:t>生产营销部工作，</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年起任厦门红相电力设备有限公司副总经理，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月起任红相有限副总经理，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月至今任红相有限和红相电力 </w:t>
            </w:r>
            <w:r>
              <w:rPr>
                <w:rFonts w:ascii="宋体" w:hAnsi="宋体" w:cs="宋体" w:eastAsia="宋体" w:hint="default"/>
                <w:spacing w:val="-3"/>
                <w:sz w:val="18"/>
                <w:szCs w:val="18"/>
              </w:rPr>
              <w:t>董事长、总经理及法定代表人，</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月起，兼任红相软件执行董事及法定 </w:t>
            </w:r>
            <w:r>
              <w:rPr>
                <w:rFonts w:ascii="宋体" w:hAnsi="宋体" w:cs="宋体" w:eastAsia="宋体" w:hint="default"/>
                <w:spacing w:val="-8"/>
                <w:sz w:val="18"/>
                <w:szCs w:val="18"/>
              </w:rPr>
              <w:t>代表人，</w:t>
            </w:r>
            <w:r>
              <w:rPr>
                <w:rFonts w:ascii="Times New Roman" w:hAnsi="Times New Roman" w:cs="Times New Roman" w:eastAsia="Times New Roman" w:hint="default"/>
                <w:spacing w:val="-8"/>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月起兼任红相信息执行董事及法定代表人。杨成先生于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1993</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日取得澳大利亚永久居留权；</w:t>
            </w:r>
            <w:r>
              <w:rPr>
                <w:rFonts w:ascii="Times New Roman" w:hAnsi="Times New Roman" w:cs="Times New Roman" w:eastAsia="Times New Roman" w:hint="default"/>
                <w:spacing w:val="-3"/>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日，杨成先生放弃澳大</w:t>
            </w:r>
          </w:p>
          <w:p>
            <w:pPr>
              <w:pStyle w:val="TableParagraph"/>
              <w:spacing w:line="302" w:lineRule="auto" w:before="63"/>
              <w:ind w:left="23" w:right="41"/>
              <w:jc w:val="left"/>
              <w:rPr>
                <w:rFonts w:ascii="宋体" w:hAnsi="宋体" w:cs="宋体" w:eastAsia="宋体" w:hint="default"/>
                <w:sz w:val="18"/>
                <w:szCs w:val="18"/>
              </w:rPr>
            </w:pPr>
            <w:r>
              <w:rPr>
                <w:rFonts w:ascii="宋体" w:hAnsi="宋体" w:cs="宋体" w:eastAsia="宋体" w:hint="default"/>
                <w:sz w:val="18"/>
                <w:szCs w:val="18"/>
              </w:rPr>
              <w:t>利亚永久居留权；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日，厦门市公安局出入境管理处恢复杨成先 生的常住户口。</w:t>
            </w:r>
          </w:p>
          <w:p>
            <w:pPr>
              <w:pStyle w:val="TableParagraph"/>
              <w:spacing w:line="300" w:lineRule="auto" w:before="69"/>
              <w:ind w:left="23" w:right="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杨保田先生：公司董事；中国籍，无境外居留权，</w:t>
            </w:r>
            <w:r>
              <w:rPr>
                <w:rFonts w:ascii="Times New Roman" w:hAnsi="Times New Roman" w:cs="Times New Roman" w:eastAsia="Times New Roman" w:hint="default"/>
                <w:spacing w:val="-3"/>
                <w:sz w:val="18"/>
                <w:szCs w:val="18"/>
              </w:rPr>
              <w:t>1930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年出生，厦门大学计划 </w:t>
            </w:r>
            <w:r>
              <w:rPr>
                <w:rFonts w:ascii="宋体" w:hAnsi="宋体" w:cs="宋体" w:eastAsia="宋体" w:hint="default"/>
                <w:spacing w:val="-3"/>
                <w:sz w:val="18"/>
                <w:szCs w:val="18"/>
              </w:rPr>
              <w:t>统计专业本科。杨保田先生于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年退休，退休前一直任教于厦门大学；</w:t>
            </w:r>
            <w:r>
              <w:rPr>
                <w:rFonts w:ascii="Times New Roman" w:hAnsi="Times New Roman" w:cs="Times New Roman" w:eastAsia="Times New Roman" w:hint="default"/>
                <w:spacing w:val="-4"/>
                <w:sz w:val="18"/>
                <w:szCs w:val="18"/>
              </w:rPr>
              <w:t>1997</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年起任厦门红相电力设备有限公司执行董事、总经理、法定代表人，</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~200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任红相有限法定代表人</w:t>
            </w:r>
            <w:r>
              <w:rPr>
                <w:rFonts w:ascii="宋体" w:hAnsi="宋体" w:cs="宋体" w:eastAsia="宋体" w:hint="default"/>
                <w:spacing w:val="-90"/>
                <w:sz w:val="18"/>
                <w:szCs w:val="18"/>
              </w:rPr>
              <w:t>、</w:t>
            </w:r>
            <w:r>
              <w:rPr>
                <w:rFonts w:ascii="宋体" w:hAnsi="宋体" w:cs="宋体" w:eastAsia="宋体" w:hint="default"/>
                <w:sz w:val="18"/>
                <w:szCs w:val="18"/>
              </w:rPr>
              <w:t>执行董事兼总经理</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月至</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月任红相有限董事、副总经理，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公司控股股东、实际控制人杨保田、杨成先生目前未控股或参股其他境内上市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09"/>
      <w:bookmarkEnd w:id="10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杨保田先生担任公司及其子公司上海红相董事；杨成先生担任公司董事长、法 定代表人、总经理，同时兼任子公司澳洲红相董事，子公司上海红相法定代表 人及董事长，子公司红相软件、红相信息法定代表人、执行董事。</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杨保田、杨成先生除控股红相电力外，不存在曾控股其他境内外上市公司的情 况。</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5"/>
          <w:szCs w:val="15"/>
        </w:rPr>
      </w:pPr>
    </w:p>
    <w:p>
      <w:pPr>
        <w:spacing w:line="4005" w:lineRule="exact"/>
        <w:ind w:left="2336"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592443" cy="25431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2443" cy="2543175"/>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5"/>
        <w:rPr>
          <w:rFonts w:ascii="宋体" w:hAnsi="宋体" w:cs="宋体" w:eastAsia="宋体" w:hint="default"/>
          <w:sz w:val="14"/>
          <w:szCs w:val="14"/>
        </w:rPr>
      </w:pPr>
    </w:p>
    <w:p>
      <w:pPr>
        <w:pStyle w:val="Heading3"/>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七节 优先股相关情况" w:id="112"/>
      <w:bookmarkEnd w:id="112"/>
      <w:r>
        <w:rPr>
          <w:b w:val="0"/>
          <w:bCs w:val="0"/>
        </w:rPr>
      </w:r>
      <w:bookmarkStart w:name="_bookmark5" w:id="113"/>
      <w:bookmarkEnd w:id="11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4"/>
      <w:bookmarkEnd w:id="114"/>
      <w:r>
        <w:rPr>
          <w:b w:val="0"/>
          <w:bCs w:val="0"/>
        </w:rPr>
      </w:r>
      <w:bookmarkStart w:name="_bookmark6" w:id="115"/>
      <w:bookmarkEnd w:id="11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6"/>
      <w:bookmarkEnd w:id="11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12,141,59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12,141,59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39,030,63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39,030,63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2,553,191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2,553,191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4,124,149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4,124,149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尹久远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191,489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王新火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245,745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245,745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林庆乙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书兼副总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191,489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191,489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58,817,44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58,817,44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7"/>
      <w:bookmarkEnd w:id="117"/>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任职情况" w:id="118"/>
      <w:bookmarkEnd w:id="11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56" w:lineRule="auto" w:before="90"/>
        <w:ind w:right="1012" w:firstLine="360"/>
        <w:jc w:val="left"/>
      </w:pPr>
      <w:r>
        <w:rPr>
          <w:rFonts w:ascii="Times New Roman" w:hAnsi="Times New Roman" w:cs="Times New Roman" w:eastAsia="Times New Roman" w:hint="default"/>
        </w:rPr>
        <w:t>1</w:t>
      </w:r>
      <w:r>
        <w:rPr/>
        <w:t>、杨成先生：公司董事长、总经理及法定代表人；中国籍，无境外居留权，</w:t>
      </w:r>
      <w:r>
        <w:rPr>
          <w:rFonts w:ascii="Times New Roman" w:hAnsi="Times New Roman" w:cs="Times New Roman" w:eastAsia="Times New Roman" w:hint="default"/>
        </w:rPr>
        <w:t>1961</w:t>
      </w:r>
      <w:r>
        <w:rPr/>
        <w:t>年出生，厦门大学统 </w:t>
      </w:r>
      <w:r>
        <w:rPr>
          <w:spacing w:val="-3"/>
        </w:rPr>
        <w:t>计学硕士。</w:t>
      </w:r>
      <w:r>
        <w:rPr>
          <w:rFonts w:ascii="Times New Roman" w:hAnsi="Times New Roman" w:cs="Times New Roman" w:eastAsia="Times New Roman" w:hint="default"/>
          <w:spacing w:val="-3"/>
        </w:rPr>
        <w:t>1991</w:t>
      </w:r>
      <w:r>
        <w:rPr>
          <w:spacing w:val="-3"/>
        </w:rPr>
        <w:t>年前，杨成先生曾先后在安徽省淮南发电总厂、中国土产畜产进出口总公司厦门公司工作，</w:t>
      </w:r>
      <w:r>
        <w:rPr>
          <w:spacing w:val="-85"/>
        </w:rPr>
        <w:t> </w:t>
      </w:r>
      <w:r>
        <w:rPr>
          <w:spacing w:val="-85"/>
        </w:rPr>
      </w:r>
      <w:r>
        <w:rPr>
          <w:rFonts w:ascii="Times New Roman" w:hAnsi="Times New Roman" w:cs="Times New Roman" w:eastAsia="Times New Roman" w:hint="default"/>
        </w:rPr>
        <w:t>1991~1993</w:t>
      </w:r>
      <w:r>
        <w:rPr/>
        <w:t>年就读于澳大利亚皇家理工学院会计专业，</w:t>
      </w:r>
      <w:r>
        <w:rPr>
          <w:rFonts w:ascii="Times New Roman" w:hAnsi="Times New Roman" w:cs="Times New Roman" w:eastAsia="Times New Roman" w:hint="default"/>
        </w:rPr>
        <w:t>1993</w:t>
      </w:r>
      <w:r>
        <w:rPr/>
        <w:t>年起进入澳洲红相的前身</w:t>
      </w:r>
      <w:r>
        <w:rPr>
          <w:rFonts w:ascii="Times New Roman" w:hAnsi="Times New Roman" w:cs="Times New Roman" w:eastAsia="Times New Roman" w:hint="default"/>
        </w:rPr>
        <w:t>R.M.D Electronics</w:t>
      </w:r>
      <w:r>
        <w:rPr>
          <w:rFonts w:ascii="Times New Roman" w:hAnsi="Times New Roman" w:cs="Times New Roman" w:eastAsia="Times New Roman" w:hint="default"/>
          <w:spacing w:val="-2"/>
        </w:rPr>
        <w:t> </w:t>
      </w:r>
      <w:r>
        <w:rPr>
          <w:rFonts w:ascii="Times New Roman" w:hAnsi="Times New Roman" w:cs="Times New Roman" w:eastAsia="Times New Roman" w:hint="default"/>
        </w:rPr>
        <w:t>Pty</w:t>
      </w:r>
      <w:r>
        <w:rPr>
          <w:rFonts w:ascii="Times New Roman" w:hAnsi="Times New Roman" w:cs="Times New Roman" w:eastAsia="Times New Roman" w:hint="default"/>
          <w:w w:val="99"/>
        </w:rPr>
        <w:t> </w:t>
      </w:r>
      <w:r>
        <w:rPr>
          <w:rFonts w:ascii="Times New Roman" w:hAnsi="Times New Roman" w:cs="Times New Roman" w:eastAsia="Times New Roman" w:hint="default"/>
          <w:spacing w:val="-2"/>
        </w:rPr>
        <w:t>Ltd</w:t>
      </w:r>
      <w:r>
        <w:rPr>
          <w:spacing w:val="-2"/>
        </w:rPr>
        <w:t>生产营销部工作，</w:t>
      </w:r>
      <w:r>
        <w:rPr>
          <w:rFonts w:ascii="Times New Roman" w:hAnsi="Times New Roman" w:cs="Times New Roman" w:eastAsia="Times New Roman" w:hint="default"/>
          <w:spacing w:val="-2"/>
        </w:rPr>
        <w:t>1997</w:t>
      </w:r>
      <w:r>
        <w:rPr>
          <w:spacing w:val="-2"/>
        </w:rPr>
        <w:t>年起任厦门红相电力设备有限公司副总经理，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月起任红相有限副总经理，</w:t>
      </w:r>
      <w:r>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月至今任红相有限和红相电力董事长、总经理及法定代表人，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月起，兼任红相软件执行董 </w:t>
      </w:r>
      <w:r>
        <w:rPr>
          <w:spacing w:val="-3"/>
        </w:rPr>
        <w:t>事及法定代表人。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月起，兼任厦门红相信息科技有限公司执行董事兼法定代表人。杨成先生于</w:t>
      </w:r>
      <w:r>
        <w:rPr>
          <w:rFonts w:ascii="Times New Roman" w:hAnsi="Times New Roman" w:cs="Times New Roman" w:eastAsia="Times New Roman" w:hint="default"/>
          <w:spacing w:val="-3"/>
        </w:rPr>
        <w:t>1993</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日取得澳大利亚永久居留权；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日，杨成先生放弃澳大利亚永久居留权；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 </w:t>
      </w:r>
      <w:r>
        <w:rPr/>
        <w:t>日，厦门市公安局出入境管理处恢复杨成先生的常住户口。</w:t>
      </w:r>
    </w:p>
    <w:p>
      <w:pPr>
        <w:pStyle w:val="BodyText"/>
        <w:spacing w:line="256" w:lineRule="auto" w:before="22"/>
        <w:ind w:right="1130" w:firstLine="360"/>
        <w:jc w:val="both"/>
      </w:pPr>
      <w:r>
        <w:rPr>
          <w:rFonts w:ascii="Times New Roman" w:hAnsi="Times New Roman" w:cs="Times New Roman" w:eastAsia="Times New Roman" w:hint="default"/>
          <w:spacing w:val="-2"/>
        </w:rPr>
        <w:t>2</w:t>
      </w:r>
      <w:r>
        <w:rPr>
          <w:spacing w:val="-2"/>
        </w:rPr>
        <w:t>、杨保田先生：公司董事；中国籍，无境外居留权，</w:t>
      </w:r>
      <w:r>
        <w:rPr>
          <w:rFonts w:ascii="Times New Roman" w:hAnsi="Times New Roman" w:cs="Times New Roman" w:eastAsia="Times New Roman" w:hint="default"/>
          <w:spacing w:val="-2"/>
        </w:rPr>
        <w:t>1930</w:t>
      </w:r>
      <w:r>
        <w:rPr>
          <w:spacing w:val="-2"/>
        </w:rPr>
        <w:t>年出生，厦门大学计划统计专业本科。杨保</w:t>
      </w:r>
      <w:r>
        <w:rPr/>
        <w:t> </w:t>
      </w:r>
      <w:r>
        <w:rPr>
          <w:spacing w:val="-1"/>
        </w:rPr>
        <w:t>田先生于</w:t>
      </w:r>
      <w:r>
        <w:rPr>
          <w:rFonts w:ascii="Times New Roman" w:hAnsi="Times New Roman" w:cs="Times New Roman" w:eastAsia="Times New Roman" w:hint="default"/>
          <w:spacing w:val="-1"/>
        </w:rPr>
        <w:t>1990</w:t>
      </w:r>
      <w:r>
        <w:rPr>
          <w:spacing w:val="-1"/>
        </w:rPr>
        <w:t>年退休，退休前一直任教于厦门大学；</w:t>
      </w:r>
      <w:r>
        <w:rPr>
          <w:rFonts w:ascii="Times New Roman" w:hAnsi="Times New Roman" w:cs="Times New Roman" w:eastAsia="Times New Roman" w:hint="default"/>
          <w:spacing w:val="-1"/>
        </w:rPr>
        <w:t>1997</w:t>
      </w:r>
      <w:r>
        <w:rPr>
          <w:spacing w:val="-1"/>
        </w:rPr>
        <w:t>年起任厦门红相电力设备有限公司执行董事、总</w:t>
      </w:r>
      <w:r>
        <w:rPr>
          <w:spacing w:val="-81"/>
        </w:rPr>
        <w:t> </w:t>
      </w:r>
      <w:r>
        <w:rPr>
          <w:spacing w:val="-81"/>
        </w:rPr>
      </w:r>
      <w:r>
        <w:rPr>
          <w:spacing w:val="-1"/>
        </w:rPr>
        <w:t>经理、法定代表人，</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月任红相有限法定代表人、执行董事兼总经理，</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11</w:t>
      </w:r>
      <w:r>
        <w:rPr/>
        <w:t>月任红相有限董事、副总经理，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月至今任公司董事。</w:t>
      </w:r>
    </w:p>
    <w:p>
      <w:pPr>
        <w:pStyle w:val="BodyText"/>
        <w:spacing w:line="256" w:lineRule="auto" w:before="46"/>
        <w:ind w:right="0" w:firstLine="420"/>
        <w:jc w:val="left"/>
      </w:pPr>
      <w:r>
        <w:rPr>
          <w:rFonts w:ascii="Times New Roman" w:hAnsi="Times New Roman" w:cs="Times New Roman" w:eastAsia="Times New Roman" w:hint="default"/>
          <w:spacing w:val="-3"/>
        </w:rPr>
        <w:t>3</w:t>
      </w:r>
      <w:r>
        <w:rPr>
          <w:spacing w:val="-3"/>
        </w:rPr>
        <w:t>、杨力先生：公司董事；中国籍，无境外居留权，</w:t>
      </w:r>
      <w:r>
        <w:rPr>
          <w:rFonts w:ascii="Times New Roman" w:hAnsi="Times New Roman" w:cs="Times New Roman" w:eastAsia="Times New Roman" w:hint="default"/>
          <w:spacing w:val="-3"/>
        </w:rPr>
        <w:t>1968</w:t>
      </w:r>
      <w:r>
        <w:rPr>
          <w:spacing w:val="-3"/>
        </w:rPr>
        <w:t>年出生，厦门大学计算机应用专业毕业。</w:t>
      </w:r>
      <w:r>
        <w:rPr>
          <w:rFonts w:ascii="Times New Roman" w:hAnsi="Times New Roman" w:cs="Times New Roman" w:eastAsia="Times New Roman" w:hint="default"/>
          <w:spacing w:val="-3"/>
        </w:rPr>
        <w:t>1989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~1998</w:t>
      </w:r>
      <w:r>
        <w:rPr/>
        <w:t>年，曾先后任职于厦门建发股份有限公司和厦门海外旅游公司，</w:t>
      </w:r>
      <w:r>
        <w:rPr>
          <w:rFonts w:ascii="Times New Roman" w:hAnsi="Times New Roman" w:cs="Times New Roman" w:eastAsia="Times New Roman" w:hint="default"/>
        </w:rPr>
        <w:t>1997</w:t>
      </w:r>
      <w:r>
        <w:rPr/>
        <w:t>年起任厦门红相电力设备有 限公司监事，</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月任红相有限监事、部门经理，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月任红相有限和红 相电力董事、部门经理，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月至今任公司董事、红相塑胶执行董事、总经理及法定代表人。</w:t>
      </w:r>
    </w:p>
    <w:p>
      <w:pPr>
        <w:pStyle w:val="BodyText"/>
        <w:spacing w:line="256" w:lineRule="auto" w:before="43"/>
        <w:ind w:right="0" w:firstLine="360"/>
        <w:jc w:val="left"/>
      </w:pPr>
      <w:r>
        <w:rPr>
          <w:rFonts w:ascii="Times New Roman" w:hAnsi="Times New Roman" w:cs="Times New Roman" w:eastAsia="Times New Roman" w:hint="default"/>
        </w:rPr>
        <w:t>4</w:t>
      </w:r>
      <w:r>
        <w:rPr/>
        <w:t>、吴志阳先生：公司董事、副总经理、澳洲红相总经理；中国籍，拥有澳大利亚永久居留权，</w:t>
      </w:r>
      <w:r>
        <w:rPr>
          <w:rFonts w:ascii="Times New Roman" w:hAnsi="Times New Roman" w:cs="Times New Roman" w:eastAsia="Times New Roman" w:hint="default"/>
        </w:rPr>
        <w:t>1967 </w:t>
      </w:r>
      <w:r>
        <w:rPr/>
        <w:t>年出生，厦门大学无线电技术专业本科。</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2</w:t>
      </w:r>
      <w:r>
        <w:rPr/>
        <w:t>月担任厦门华侨电子企业有限公司工程师， </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2</w:t>
      </w:r>
      <w:r>
        <w:rPr>
          <w:spacing w:val="-1"/>
        </w:rPr>
        <w:t>月担任南非大宇电子公司总工程师，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3</w:t>
      </w:r>
      <w:r>
        <w:rPr>
          <w:spacing w:val="-1"/>
        </w:rPr>
        <w:t>月任厦门红相电力设备有限公</w:t>
      </w:r>
      <w:r>
        <w:rPr>
          <w:spacing w:val="-94"/>
        </w:rPr>
        <w:t> </w:t>
      </w:r>
      <w:r>
        <w:rPr>
          <w:spacing w:val="-94"/>
        </w:rPr>
      </w:r>
      <w:r>
        <w:rPr>
          <w:spacing w:val="-1"/>
        </w:rPr>
        <w:t>司副总经理，</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月任红相有限副总经理，</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月至今任公司董事、副总经理，</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9</w:t>
      </w:r>
      <w:r>
        <w:rPr/>
        <w:t>月起至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月兼任红相软件总经理，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月起兼任澳洲红相总经理。</w:t>
      </w:r>
    </w:p>
    <w:p>
      <w:pPr>
        <w:pStyle w:val="BodyText"/>
        <w:spacing w:line="256" w:lineRule="auto" w:before="5"/>
        <w:ind w:right="0" w:firstLine="360"/>
        <w:jc w:val="left"/>
      </w:pPr>
      <w:r>
        <w:rPr>
          <w:rFonts w:ascii="Times New Roman" w:hAnsi="Times New Roman" w:cs="Times New Roman" w:eastAsia="Times New Roman" w:hint="default"/>
          <w:spacing w:val="-2"/>
        </w:rPr>
        <w:t>5</w:t>
      </w:r>
      <w:r>
        <w:rPr>
          <w:spacing w:val="-2"/>
        </w:rPr>
        <w:t>、尹久远先生：公司独立董事；中国籍，无境外居留权，</w:t>
      </w:r>
      <w:r>
        <w:rPr>
          <w:rFonts w:ascii="Times New Roman" w:hAnsi="Times New Roman" w:cs="Times New Roman" w:eastAsia="Times New Roman" w:hint="default"/>
          <w:spacing w:val="-2"/>
        </w:rPr>
        <w:t>1946</w:t>
      </w:r>
      <w:r>
        <w:rPr>
          <w:spacing w:val="-2"/>
        </w:rPr>
        <w:t>年出生，东北电力学院电力系统自动化</w:t>
      </w:r>
      <w:r>
        <w:rPr/>
        <w:t> </w:t>
      </w:r>
      <w:r>
        <w:rPr>
          <w:spacing w:val="-1"/>
        </w:rPr>
        <w:t>专业本科；</w:t>
      </w:r>
      <w:r>
        <w:rPr>
          <w:rFonts w:ascii="Times New Roman" w:hAnsi="Times New Roman" w:cs="Times New Roman" w:eastAsia="Times New Roman" w:hint="default"/>
          <w:spacing w:val="-1"/>
        </w:rPr>
        <w:t>1982</w:t>
      </w:r>
      <w:r>
        <w:rPr>
          <w:spacing w:val="-1"/>
        </w:rPr>
        <w:t>年</w:t>
      </w:r>
      <w:r>
        <w:rPr>
          <w:rFonts w:ascii="Times New Roman" w:hAnsi="Times New Roman" w:cs="Times New Roman" w:eastAsia="Times New Roman" w:hint="default"/>
          <w:spacing w:val="-1"/>
        </w:rPr>
        <w:t>~1988</w:t>
      </w:r>
      <w:r>
        <w:rPr>
          <w:spacing w:val="-1"/>
        </w:rPr>
        <w:t>年任辽宁清河发电厂专责工程师，</w:t>
      </w:r>
      <w:r>
        <w:rPr>
          <w:rFonts w:ascii="Times New Roman" w:hAnsi="Times New Roman" w:cs="Times New Roman" w:eastAsia="Times New Roman" w:hint="default"/>
          <w:spacing w:val="-1"/>
        </w:rPr>
        <w:t>1988</w:t>
      </w:r>
      <w:r>
        <w:rPr>
          <w:spacing w:val="-1"/>
        </w:rPr>
        <w:t>年</w:t>
      </w:r>
      <w:r>
        <w:rPr>
          <w:rFonts w:ascii="Times New Roman" w:hAnsi="Times New Roman" w:cs="Times New Roman" w:eastAsia="Times New Roman" w:hint="default"/>
          <w:spacing w:val="-1"/>
        </w:rPr>
        <w:t>~1998</w:t>
      </w:r>
      <w:r>
        <w:rPr>
          <w:spacing w:val="-1"/>
        </w:rPr>
        <w:t>年任东北电力集团公司营销部营业</w:t>
      </w:r>
      <w:r>
        <w:rPr>
          <w:spacing w:val="-90"/>
        </w:rPr>
        <w:t> </w:t>
      </w:r>
      <w:r>
        <w:rPr/>
        <w:t>处处长，</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~2006</w:t>
      </w:r>
      <w:r>
        <w:rPr/>
        <w:t>年任辽宁省电力公司营销部主任经济师，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月退休。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月起担任红相电 力独立董事。</w:t>
      </w:r>
    </w:p>
    <w:p>
      <w:pPr>
        <w:pStyle w:val="BodyText"/>
        <w:spacing w:line="256" w:lineRule="auto" w:before="22"/>
        <w:ind w:right="0" w:firstLine="420"/>
        <w:jc w:val="left"/>
      </w:pPr>
      <w:r>
        <w:rPr>
          <w:rFonts w:ascii="Times New Roman" w:hAnsi="Times New Roman" w:cs="Times New Roman" w:eastAsia="Times New Roman" w:hint="default"/>
        </w:rPr>
        <w:t>6</w:t>
      </w:r>
      <w:r>
        <w:rPr/>
        <w:t>、陈守德先生：公司独立董事；中国籍，无境外居留权，</w:t>
      </w:r>
      <w:r>
        <w:rPr>
          <w:rFonts w:ascii="Times New Roman" w:hAnsi="Times New Roman" w:cs="Times New Roman" w:eastAsia="Times New Roman" w:hint="default"/>
        </w:rPr>
        <w:t>1976</w:t>
      </w:r>
      <w:r>
        <w:rPr/>
        <w:t>年出生，厦门大学会计学博士。</w:t>
      </w:r>
      <w:r>
        <w:rPr>
          <w:rFonts w:ascii="Times New Roman" w:hAnsi="Times New Roman" w:cs="Times New Roman" w:eastAsia="Times New Roman" w:hint="default"/>
        </w:rPr>
        <w:t>2003 </w:t>
      </w:r>
      <w:r>
        <w:rPr>
          <w:spacing w:val="-1"/>
        </w:rPr>
        <w:t>年起至今任教于厦门大学会计系，</w:t>
      </w:r>
      <w:r>
        <w:rPr>
          <w:rFonts w:ascii="Times New Roman" w:hAnsi="Times New Roman" w:cs="Times New Roman" w:eastAsia="Times New Roman" w:hint="default"/>
          <w:spacing w:val="-1"/>
        </w:rPr>
        <w:t>2003</w:t>
      </w:r>
      <w:r>
        <w:rPr>
          <w:spacing w:val="-1"/>
        </w:rPr>
        <w:t>年至</w:t>
      </w:r>
      <w:r>
        <w:rPr>
          <w:rFonts w:ascii="Times New Roman" w:hAnsi="Times New Roman" w:cs="Times New Roman" w:eastAsia="Times New Roman" w:hint="default"/>
          <w:spacing w:val="-1"/>
        </w:rPr>
        <w:t>2006</w:t>
      </w:r>
      <w:r>
        <w:rPr>
          <w:spacing w:val="-1"/>
        </w:rPr>
        <w:t>年受聘成为财政部财务会计准则委员会咨询专家，</w:t>
      </w:r>
      <w:r>
        <w:rPr>
          <w:rFonts w:ascii="Times New Roman" w:hAnsi="Times New Roman" w:cs="Times New Roman" w:eastAsia="Times New Roman" w:hint="default"/>
          <w:spacing w:val="-1"/>
        </w:rPr>
        <w:t>2009</w:t>
      </w:r>
      <w:r>
        <w:rPr>
          <w:spacing w:val="-1"/>
        </w:rPr>
        <w:t>年</w:t>
      </w:r>
      <w:r>
        <w:rPr>
          <w:spacing w:val="-76"/>
        </w:rPr>
        <w:t> </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月兼任厦门大学管理学院高层管理</w:t>
      </w:r>
      <w:r>
        <w:rPr>
          <w:rFonts w:ascii="Times New Roman" w:hAnsi="Times New Roman" w:cs="Times New Roman" w:eastAsia="Times New Roman" w:hint="default"/>
        </w:rPr>
        <w:t>(EDP)</w:t>
      </w:r>
      <w:r>
        <w:rPr/>
        <w:t>培训中心副主任，</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9</w:t>
      </w:r>
      <w:r>
        <w:rPr/>
        <w:t>月在美国哈佛商学</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61" w:lineRule="auto" w:before="35"/>
        <w:ind w:right="0"/>
        <w:jc w:val="left"/>
      </w:pPr>
      <w:r>
        <w:rPr>
          <w:spacing w:val="-5"/>
          <w:w w:val="99"/>
        </w:rPr>
        <w:t>院从事案例教学研究，</w:t>
      </w:r>
      <w:r>
        <w:rPr>
          <w:rFonts w:ascii="Times New Roman" w:hAnsi="Times New Roman" w:cs="Times New Roman" w:eastAsia="Times New Roman" w:hint="default"/>
          <w:spacing w:val="-5"/>
          <w:w w:val="99"/>
        </w:rPr>
        <w:t>2013</w:t>
      </w:r>
      <w:r>
        <w:rPr>
          <w:spacing w:val="-5"/>
          <w:w w:val="99"/>
        </w:rPr>
        <w:t>年</w:t>
      </w:r>
      <w:r>
        <w:rPr>
          <w:rFonts w:ascii="Times New Roman" w:hAnsi="Times New Roman" w:cs="Times New Roman" w:eastAsia="Times New Roman" w:hint="default"/>
          <w:spacing w:val="-5"/>
          <w:w w:val="99"/>
        </w:rPr>
        <w:t>3</w:t>
      </w:r>
      <w:r>
        <w:rPr>
          <w:spacing w:val="-5"/>
          <w:w w:val="99"/>
        </w:rPr>
        <w:t>月起兼任厦门大学管理学院</w:t>
      </w:r>
      <w:r>
        <w:rPr>
          <w:rFonts w:ascii="Times New Roman" w:hAnsi="Times New Roman" w:cs="Times New Roman" w:eastAsia="Times New Roman" w:hint="default"/>
          <w:spacing w:val="-5"/>
          <w:w w:val="99"/>
        </w:rPr>
        <w:t>EMBA</w:t>
      </w:r>
      <w:r>
        <w:rPr>
          <w:spacing w:val="-5"/>
          <w:w w:val="99"/>
        </w:rPr>
        <w:t>中心主任。陈守德先生长期从事会计准则、</w:t>
      </w:r>
      <w:r>
        <w:rPr>
          <w:spacing w:val="-62"/>
          <w:w w:val="99"/>
        </w:rPr>
        <w:t> </w:t>
      </w:r>
      <w:r>
        <w:rPr>
          <w:spacing w:val="-62"/>
          <w:w w:val="99"/>
        </w:rPr>
      </w:r>
      <w:r>
        <w:rPr/>
        <w:t>财务报表分析、资本运作的教学和科研工作，已在核心期刊上发表论文十余篇。陈守德先生自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 起担任公司独立董事，同时兼任厦门金达威集团股份有限公司、当代东方投资股份有限公司、厦门万里石 股份有限公司及福建圣农发展股份有限公司的独立董事。</w:t>
      </w:r>
    </w:p>
    <w:p>
      <w:pPr>
        <w:pStyle w:val="BodyText"/>
        <w:spacing w:line="256" w:lineRule="auto" w:before="18"/>
        <w:ind w:right="0" w:firstLine="420"/>
        <w:jc w:val="left"/>
      </w:pPr>
      <w:r>
        <w:rPr>
          <w:rFonts w:ascii="Times New Roman" w:hAnsi="Times New Roman" w:cs="Times New Roman" w:eastAsia="Times New Roman" w:hint="default"/>
        </w:rPr>
        <w:t>7</w:t>
      </w:r>
      <w:r>
        <w:rPr/>
        <w:t>、唐炎钊先生：公司独立董事；中国籍，无境外居留权，</w:t>
      </w:r>
      <w:r>
        <w:rPr>
          <w:rFonts w:ascii="Times New Roman" w:hAnsi="Times New Roman" w:cs="Times New Roman" w:eastAsia="Times New Roman" w:hint="default"/>
        </w:rPr>
        <w:t>1968</w:t>
      </w:r>
      <w:r>
        <w:rPr/>
        <w:t>年出生，华中科技大学管理科学与工 </w:t>
      </w:r>
      <w:r>
        <w:rPr>
          <w:spacing w:val="-1"/>
        </w:rPr>
        <w:t>程专业博士，厦门大学企业管理系主任、教授、博士生导师。</w:t>
      </w:r>
      <w:r>
        <w:rPr>
          <w:rFonts w:ascii="Times New Roman" w:hAnsi="Times New Roman" w:cs="Times New Roman" w:eastAsia="Times New Roman" w:hint="default"/>
          <w:spacing w:val="-1"/>
        </w:rPr>
        <w:t>1990</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8</w:t>
      </w:r>
      <w:r>
        <w:rPr>
          <w:spacing w:val="-1"/>
        </w:rPr>
        <w:t>月于武汉冶金设备制造</w:t>
      </w:r>
      <w:r>
        <w:rPr>
          <w:spacing w:val="-81"/>
        </w:rPr>
        <w:t> </w:t>
      </w:r>
      <w:r>
        <w:rPr>
          <w:spacing w:val="-81"/>
        </w:rPr>
      </w:r>
      <w:r>
        <w:rPr>
          <w:spacing w:val="-1"/>
        </w:rPr>
        <w:t>公司党委组织部及车间从事组织管理、基层管理工作，</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3</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月于中国科技开发院医药科技</w:t>
      </w:r>
      <w:r>
        <w:rPr>
          <w:spacing w:val="-80"/>
        </w:rPr>
        <w:t> </w:t>
      </w:r>
      <w:r>
        <w:rPr>
          <w:spacing w:val="-80"/>
        </w:rPr>
      </w:r>
      <w:r>
        <w:rPr>
          <w:spacing w:val="-1"/>
        </w:rPr>
        <w:t>开发所从事风险投资的理论研究及评估工作，</w:t>
      </w:r>
      <w:r>
        <w:rPr>
          <w:rFonts w:ascii="Times New Roman" w:hAnsi="Times New Roman" w:cs="Times New Roman" w:eastAsia="Times New Roman" w:hint="default"/>
          <w:spacing w:val="-1"/>
        </w:rPr>
        <w:t>2000</w:t>
      </w:r>
      <w:r>
        <w:rPr>
          <w:spacing w:val="-1"/>
        </w:rPr>
        <w:t>年至今任教于厦门大学，期间赴纽卡斯尔大学学习，并</w:t>
      </w:r>
      <w:r>
        <w:rPr>
          <w:spacing w:val="-82"/>
        </w:rPr>
        <w:t> </w:t>
      </w:r>
      <w:r>
        <w:rPr>
          <w:spacing w:val="-82"/>
        </w:rPr>
      </w:r>
      <w:r>
        <w:rPr>
          <w:spacing w:val="-1"/>
        </w:rPr>
        <w:t>于曼切斯特大学、巴布森学院作访问学者，并于</w:t>
      </w:r>
      <w:r>
        <w:rPr>
          <w:rFonts w:ascii="Times New Roman" w:hAnsi="Times New Roman" w:cs="Times New Roman" w:eastAsia="Times New Roman" w:hint="default"/>
          <w:spacing w:val="-1"/>
        </w:rPr>
        <w:t>2011</w:t>
      </w:r>
      <w:r>
        <w:rPr>
          <w:spacing w:val="-1"/>
        </w:rPr>
        <w:t>年担任厦门大学埃塞克斯创业教育中心主任。唐炎钊</w:t>
      </w:r>
      <w:r>
        <w:rPr>
          <w:spacing w:val="-82"/>
        </w:rPr>
        <w:t> </w:t>
      </w:r>
      <w:r>
        <w:rPr>
          <w:spacing w:val="-82"/>
        </w:rPr>
      </w:r>
      <w:r>
        <w:rPr/>
        <w:t>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月起担任红相电力独立董事，同时兼任厦门华侨电子股份有限公司的独立董事。</w:t>
      </w:r>
    </w:p>
    <w:p>
      <w:pPr>
        <w:pStyle w:val="BodyText"/>
        <w:spacing w:line="240" w:lineRule="auto" w:before="5"/>
        <w:ind w:left="1493" w:right="0"/>
        <w:jc w:val="left"/>
      </w:pPr>
      <w:r>
        <w:rPr>
          <w:rFonts w:ascii="Times New Roman" w:hAnsi="Times New Roman" w:cs="Times New Roman" w:eastAsia="Times New Roman" w:hint="default"/>
        </w:rPr>
        <w:t>8</w:t>
      </w:r>
      <w:r>
        <w:rPr/>
        <w:t>、王新火先生：公司监事、营销总监；中国籍，无境外居留权，</w:t>
      </w:r>
      <w:r>
        <w:rPr>
          <w:rFonts w:ascii="Times New Roman" w:hAnsi="Times New Roman" w:cs="Times New Roman" w:eastAsia="Times New Roman" w:hint="default"/>
        </w:rPr>
        <w:t>1972</w:t>
      </w:r>
      <w:r>
        <w:rPr/>
        <w:t>年出生，厦门大学工商管理硕士</w:t>
      </w:r>
    </w:p>
    <w:p>
      <w:pPr>
        <w:pStyle w:val="BodyText"/>
        <w:spacing w:line="256" w:lineRule="auto" w:before="21"/>
        <w:ind w:right="1139"/>
        <w:jc w:val="both"/>
      </w:pPr>
      <w:r>
        <w:rPr/>
        <w:t>（</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月就职于厦门华侨电子企业有限公司，</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月就职于深圳 天音通信发展有限公司，</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月就职于厦门亿力天龙科技有限公司，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 </w:t>
      </w:r>
      <w:r>
        <w:rPr/>
        <w:t>月就职于厦门红相电力设备有限公司，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月任红相有限市场部经理，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 红相有限及红相电力监事、营销总监。</w:t>
      </w:r>
    </w:p>
    <w:p>
      <w:pPr>
        <w:pStyle w:val="BodyText"/>
        <w:spacing w:line="256" w:lineRule="auto" w:before="22"/>
        <w:ind w:right="0" w:firstLine="420"/>
        <w:jc w:val="left"/>
      </w:pPr>
      <w:r>
        <w:rPr>
          <w:rFonts w:ascii="Times New Roman" w:hAnsi="Times New Roman" w:cs="Times New Roman" w:eastAsia="Times New Roman" w:hint="default"/>
        </w:rPr>
        <w:t>9</w:t>
      </w:r>
      <w:r>
        <w:rPr/>
        <w:t>、陈耀高先生：公司监事会主席、职工监事、技术总监；中国籍，无境外居留权，</w:t>
      </w:r>
      <w:r>
        <w:rPr>
          <w:rFonts w:ascii="Times New Roman" w:hAnsi="Times New Roman" w:cs="Times New Roman" w:eastAsia="Times New Roman" w:hint="default"/>
        </w:rPr>
        <w:t>1972</w:t>
      </w:r>
      <w:r>
        <w:rPr/>
        <w:t>年出生，厦 </w:t>
      </w:r>
      <w:r>
        <w:rPr>
          <w:spacing w:val="-3"/>
        </w:rPr>
        <w:t>门大学电子工程专业工学士。</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10</w:t>
      </w:r>
      <w:r>
        <w:rPr>
          <w:spacing w:val="-3"/>
        </w:rPr>
        <w:t>月任职于厦门华鸿通信设备有限公司，</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29"/>
        </w:rPr>
        <w:t> </w:t>
      </w:r>
      <w:r>
        <w:rPr>
          <w:spacing w:val="-1"/>
        </w:rPr>
        <w:t>年</w:t>
      </w:r>
      <w:r>
        <w:rPr>
          <w:rFonts w:ascii="Times New Roman" w:hAnsi="Times New Roman" w:cs="Times New Roman" w:eastAsia="Times New Roman" w:hint="default"/>
          <w:spacing w:val="-1"/>
        </w:rPr>
        <w:t>11</w:t>
      </w:r>
      <w:r>
        <w:rPr>
          <w:spacing w:val="-1"/>
        </w:rPr>
        <w:t>月任厦门红相电力设备有限公司技术部经理，</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月任红相有限技术副总监兼技术部</w:t>
      </w:r>
      <w:r>
        <w:rPr>
          <w:spacing w:val="-86"/>
        </w:rPr>
        <w:t> </w:t>
      </w:r>
      <w:r>
        <w:rPr>
          <w:spacing w:val="-1"/>
        </w:rPr>
        <w:t>经理，</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3</w:t>
      </w:r>
      <w:r>
        <w:rPr>
          <w:spacing w:val="-1"/>
        </w:rPr>
        <w:t>月任红相有限及红相电力监事会主席、技术副总监兼技术部经理，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3</w:t>
      </w:r>
      <w:r>
        <w:rPr>
          <w:spacing w:val="-1"/>
        </w:rPr>
        <w:t>月至</w:t>
      </w:r>
      <w:r>
        <w:rPr>
          <w:spacing w:val="-85"/>
        </w:rPr>
        <w:t> </w:t>
      </w:r>
      <w:r>
        <w:rPr>
          <w:spacing w:val="-1"/>
        </w:rPr>
        <w:t>今任公司监事会主席、技术总监。</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月起，兼任浙江涵普电力科技有限公司、浙江涵普三维电力科</w:t>
      </w:r>
      <w:r>
        <w:rPr>
          <w:spacing w:val="-84"/>
        </w:rPr>
        <w:t> </w:t>
      </w:r>
      <w:r>
        <w:rPr>
          <w:spacing w:val="-84"/>
        </w:rPr>
      </w:r>
      <w:r>
        <w:rPr/>
        <w:t>技有限公司董事长兼法定代表人。</w:t>
      </w:r>
    </w:p>
    <w:p>
      <w:pPr>
        <w:pStyle w:val="BodyText"/>
        <w:spacing w:line="256" w:lineRule="auto" w:before="22"/>
        <w:ind w:right="1129" w:firstLine="420"/>
        <w:jc w:val="both"/>
      </w:pPr>
      <w:r>
        <w:rPr>
          <w:rFonts w:ascii="Times New Roman" w:hAnsi="Times New Roman" w:cs="Times New Roman" w:eastAsia="Times New Roman" w:hint="default"/>
          <w:spacing w:val="-1"/>
        </w:rPr>
        <w:t>10</w:t>
      </w:r>
      <w:r>
        <w:rPr>
          <w:spacing w:val="-1"/>
        </w:rPr>
        <w:t>、林庆乙先生：公司监事、市场策划部经理；中国籍，无境外居留权，</w:t>
      </w:r>
      <w:r>
        <w:rPr>
          <w:rFonts w:ascii="Times New Roman" w:hAnsi="Times New Roman" w:cs="Times New Roman" w:eastAsia="Times New Roman" w:hint="default"/>
          <w:spacing w:val="-1"/>
        </w:rPr>
        <w:t>1981</w:t>
      </w:r>
      <w:r>
        <w:rPr>
          <w:spacing w:val="-1"/>
        </w:rPr>
        <w:t>年出生，华北电力大学</w:t>
      </w:r>
      <w:r>
        <w:rPr/>
        <w:t> </w:t>
      </w:r>
      <w:r>
        <w:rPr>
          <w:spacing w:val="-1"/>
        </w:rPr>
        <w:t>热能工程专业硕士研究生。进入本公司前曾任职于福建投资开发总公司规划发展部，</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34"/>
        </w:rPr>
        <w:t> </w:t>
      </w:r>
      <w:r>
        <w:rPr>
          <w:spacing w:val="-1"/>
        </w:rPr>
        <w:t>月任红相有限及红相电力市场部、市场策划部策划专员，</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月任红相电力市场策划部副</w:t>
      </w:r>
      <w:r>
        <w:rPr>
          <w:spacing w:val="-87"/>
        </w:rPr>
        <w:t> </w:t>
      </w:r>
      <w:r>
        <w:rPr>
          <w:spacing w:val="-87"/>
        </w:rPr>
      </w:r>
      <w:r>
        <w:rPr/>
        <w:t>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月至今任市场策划部经理，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月至今任红相电力监事。</w:t>
      </w:r>
    </w:p>
    <w:p>
      <w:pPr>
        <w:pStyle w:val="BodyText"/>
        <w:spacing w:line="256" w:lineRule="auto" w:before="5"/>
        <w:ind w:right="1116" w:firstLine="360"/>
        <w:jc w:val="left"/>
      </w:pPr>
      <w:r>
        <w:rPr>
          <w:rFonts w:ascii="Times New Roman" w:hAnsi="Times New Roman" w:cs="Times New Roman" w:eastAsia="Times New Roman" w:hint="default"/>
        </w:rPr>
        <w:t>11</w:t>
      </w:r>
      <w:r>
        <w:rPr/>
        <w:t>、罗媛女士：公司副总经理兼董事会秘书；中国籍，无境外居留权，</w:t>
      </w:r>
      <w:r>
        <w:rPr>
          <w:rFonts w:ascii="Times New Roman" w:hAnsi="Times New Roman" w:cs="Times New Roman" w:eastAsia="Times New Roman" w:hint="default"/>
        </w:rPr>
        <w:t>1977</w:t>
      </w:r>
      <w:r>
        <w:rPr/>
        <w:t>年出生，厦门大学民商法 </w:t>
      </w:r>
      <w:r>
        <w:rPr>
          <w:spacing w:val="-1"/>
        </w:rPr>
        <w:t>学硕士。</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10</w:t>
      </w:r>
      <w:r>
        <w:rPr>
          <w:spacing w:val="-1"/>
        </w:rPr>
        <w:t>月任职于厦门爱达印务企划有限公司，</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月任职于厦门红</w:t>
      </w:r>
      <w:r>
        <w:rPr>
          <w:spacing w:val="-90"/>
        </w:rPr>
        <w:t> </w:t>
      </w:r>
      <w:r>
        <w:rPr>
          <w:spacing w:val="-90"/>
        </w:rPr>
      </w:r>
      <w:r>
        <w:rPr>
          <w:spacing w:val="-1"/>
        </w:rPr>
        <w:t>相电力设备有限公司，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月任红相有限行政人事部经理，</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3</w:t>
      </w:r>
      <w:r>
        <w:rPr>
          <w:spacing w:val="-1"/>
        </w:rPr>
        <w:t>月在红相有</w:t>
      </w:r>
      <w:r>
        <w:rPr>
          <w:spacing w:val="-97"/>
        </w:rPr>
        <w:t> </w:t>
      </w:r>
      <w:r>
        <w:rPr>
          <w:spacing w:val="-97"/>
        </w:rPr>
      </w:r>
      <w:r>
        <w:rPr/>
        <w:t>限及红相电力任董事会秘书兼行政人事部经理，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月任红相电力董事会秘书兼证券部经 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月，兼任红相电力证券部经理。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月至今，任红相电力副总经理、董事会 秘书。</w:t>
      </w:r>
    </w:p>
    <w:p>
      <w:pPr>
        <w:pStyle w:val="BodyText"/>
        <w:spacing w:line="240" w:lineRule="auto" w:before="22"/>
        <w:ind w:left="1493" w:right="0"/>
        <w:jc w:val="left"/>
      </w:pPr>
      <w:r>
        <w:rPr>
          <w:rFonts w:ascii="Times New Roman" w:hAnsi="Times New Roman" w:cs="Times New Roman" w:eastAsia="Times New Roman" w:hint="default"/>
        </w:rPr>
        <w:t>12</w:t>
      </w:r>
      <w:r>
        <w:rPr/>
        <w:t>、马露萍女士：公司财务总监；中国籍，无境外居留权，</w:t>
      </w:r>
      <w:r>
        <w:rPr>
          <w:rFonts w:ascii="Times New Roman" w:hAnsi="Times New Roman" w:cs="Times New Roman" w:eastAsia="Times New Roman" w:hint="default"/>
        </w:rPr>
        <w:t>1971</w:t>
      </w:r>
      <w:r>
        <w:rPr/>
        <w:t>年出生，中国矿业大学会计专业本科。</w:t>
      </w:r>
    </w:p>
    <w:p>
      <w:pPr>
        <w:pStyle w:val="BodyText"/>
        <w:spacing w:line="256" w:lineRule="auto" w:before="21"/>
        <w:ind w:right="0"/>
        <w:jc w:val="left"/>
      </w:pP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~1998</w:t>
      </w:r>
      <w:r>
        <w:rPr/>
        <w:t>年在厦门百货纺织品公司任会计，</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月在厦门红相电力设备有限公司任会 </w:t>
      </w:r>
      <w:r>
        <w:rPr>
          <w:spacing w:val="-1"/>
        </w:rPr>
        <w:t>计，</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月任红相有限财务部经理，</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月任红相有限和红相电力财务副总</w:t>
      </w:r>
      <w:r>
        <w:rPr>
          <w:spacing w:val="-97"/>
        </w:rPr>
        <w:t> </w:t>
      </w:r>
      <w:r>
        <w:rPr/>
        <w:t>监兼财务部经理，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月任红相电力代理财务总监兼财务部经理，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 </w:t>
      </w:r>
      <w:r>
        <w:rPr>
          <w:spacing w:val="-1"/>
        </w:rPr>
        <w:t>任红相电力财务总监、财务部经理，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月兼任投融资管理部经理。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月至今任红</w:t>
      </w:r>
      <w:r>
        <w:rPr>
          <w:spacing w:val="-80"/>
        </w:rPr>
        <w:t> </w:t>
      </w:r>
      <w:r>
        <w:rPr/>
        <w:t>相电力财务总监。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月起，兼任浙江涵普电力科技有限公司董事。</w:t>
      </w:r>
    </w:p>
    <w:p>
      <w:pPr>
        <w:spacing w:before="71"/>
        <w:ind w:left="113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红相电力澳大利亚有限公司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厦门红相塑胶材料有限公司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红相电力澳大利亚有限公司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当代东方投资股份有限公司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厦门万里石股份有限公司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福建圣农发展股份有限公司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厦门金达威集团股份有限公司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厦门华侨电力股份有限公司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董事长兼法 定代表人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浙江涵普三维电力科技有限公司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董事长兼法 定代表人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19"/>
      <w:bookmarkEnd w:id="11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22"/>
          <w:szCs w:val="22"/>
        </w:rPr>
      </w:pPr>
    </w:p>
    <w:p>
      <w:pPr>
        <w:pStyle w:val="BodyText"/>
        <w:spacing w:line="273" w:lineRule="auto"/>
        <w:ind w:right="1093" w:firstLine="420"/>
        <w:jc w:val="left"/>
      </w:pPr>
      <w:r>
        <w:rPr/>
        <w:t>公司董事、监事在公司领取津贴，高级管理人员及其他核心人员的薪酬由基本工资和绩效奖金组成。 公司董事、监事的津贴经过股东大会审议，高级管理人员的薪酬经过董事会审议。</w:t>
      </w:r>
    </w:p>
    <w:p>
      <w:pPr>
        <w:spacing w:line="240" w:lineRule="auto" w:before="8"/>
        <w:rPr>
          <w:rFonts w:ascii="宋体" w:hAnsi="宋体" w:cs="宋体" w:eastAsia="宋体" w:hint="default"/>
          <w:sz w:val="17"/>
          <w:szCs w:val="17"/>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尹久远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林庆乙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403.62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0"/>
      <w:bookmarkEnd w:id="12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1"/>
      <w:bookmarkEnd w:id="12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40"/>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840"/>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高职高专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2、薪酬政策" w:id="122"/>
      <w:bookmarkEnd w:id="12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134" w:right="1131" w:firstLine="300"/>
        <w:jc w:val="both"/>
      </w:pPr>
      <w:r>
        <w:rPr/>
        <w:t>为充分调动员工的工作积极性、主动性和创造性，根据相关规定，结合具体情况，公司制定了《薪酬 </w:t>
      </w:r>
      <w:r>
        <w:rPr>
          <w:spacing w:val="-1"/>
        </w:rPr>
        <w:t>管理制度》，实行结构性薪酬体系。薪酬构成包括固定工资、浮动工资、保险与福利三部分，并实行绩效</w:t>
      </w:r>
      <w:r>
        <w:rPr>
          <w:spacing w:val="-83"/>
        </w:rPr>
        <w:t> </w:t>
      </w:r>
      <w:r>
        <w:rPr>
          <w:spacing w:val="-83"/>
        </w:rPr>
      </w:r>
      <w:r>
        <w:rPr>
          <w:spacing w:val="-1"/>
        </w:rPr>
        <w:t>考核机制。公司在实践的基础上，对考核指标不断进行优化，加强对考核员工存在问题的反馈，提出解决</w:t>
      </w:r>
      <w:r>
        <w:rPr>
          <w:spacing w:val="-86"/>
        </w:rPr>
        <w:t> </w:t>
      </w:r>
      <w:r>
        <w:rPr>
          <w:spacing w:val="-86"/>
        </w:rPr>
      </w:r>
      <w:r>
        <w:rPr>
          <w:spacing w:val="-1"/>
        </w:rPr>
        <w:t>和改进方法，对一些关键岗位和重大问题，做到二次或多次考核，多次反馈。将员工的收入与公司的发展</w:t>
      </w:r>
      <w:r>
        <w:rPr>
          <w:spacing w:val="-86"/>
        </w:rPr>
        <w:t> </w:t>
      </w:r>
      <w:r>
        <w:rPr>
          <w:spacing w:val="-86"/>
        </w:rPr>
      </w:r>
      <w:r>
        <w:rPr/>
        <w:t>和员工的绩效以及员工价值创造紧密联系，更加有效调动全体员工的积极性和创造力。</w:t>
      </w:r>
    </w:p>
    <w:p>
      <w:pPr>
        <w:spacing w:line="240" w:lineRule="auto" w:before="8"/>
        <w:rPr>
          <w:rFonts w:ascii="宋体" w:hAnsi="宋体" w:cs="宋体" w:eastAsia="宋体" w:hint="default"/>
          <w:sz w:val="24"/>
          <w:szCs w:val="24"/>
        </w:rPr>
      </w:pPr>
    </w:p>
    <w:p>
      <w:pPr>
        <w:pStyle w:val="BodyText"/>
        <w:spacing w:line="590" w:lineRule="atLeast"/>
        <w:ind w:left="1433" w:right="1116" w:hanging="300"/>
        <w:jc w:val="left"/>
      </w:pPr>
      <w:bookmarkStart w:name="3、培训计划" w:id="123"/>
      <w:bookmarkEnd w:id="123"/>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b/>
          <w:bCs/>
          <w:w w:val="99"/>
        </w:rPr>
        <w:t> </w:t>
      </w:r>
      <w:r>
        <w:rPr/>
        <w:t>公司针对不同的群体制定针对性的培训计划。人力资源部门将根据各个部门的需求，制定一系列的培</w:t>
      </w:r>
    </w:p>
    <w:p>
      <w:pPr>
        <w:pStyle w:val="BodyText"/>
        <w:spacing w:line="273" w:lineRule="auto" w:before="37"/>
        <w:ind w:right="1131"/>
        <w:jc w:val="both"/>
      </w:pPr>
      <w:r>
        <w:rPr>
          <w:spacing w:val="-1"/>
        </w:rPr>
        <w:t>训计划，并根据实践中的效果对计划进行完善，开展应需式培训。进一步加强中高层领导干部职业能力培</w:t>
      </w:r>
      <w:r>
        <w:rPr>
          <w:spacing w:val="-83"/>
        </w:rPr>
        <w:t> </w:t>
      </w:r>
      <w:r>
        <w:rPr>
          <w:spacing w:val="-83"/>
        </w:rPr>
      </w:r>
      <w:r>
        <w:rPr>
          <w:spacing w:val="-1"/>
        </w:rPr>
        <w:t>训，通过内外培训相结合的方式，重点提高技术部门的专业水平；市场和采购部门的前瞻性思维、风险控</w:t>
      </w:r>
      <w:r>
        <w:rPr>
          <w:spacing w:val="-86"/>
        </w:rPr>
        <w:t> </w:t>
      </w:r>
      <w:r>
        <w:rPr>
          <w:spacing w:val="-86"/>
        </w:rPr>
      </w:r>
      <w:r>
        <w:rPr>
          <w:spacing w:val="-1"/>
        </w:rPr>
        <w:t>制意识、产品技术水平和市场敏感度；生产部门成本控制、计划制定、安全生产、提高劳动效率、工艺改</w:t>
      </w:r>
      <w:r>
        <w:rPr>
          <w:spacing w:val="-83"/>
        </w:rPr>
        <w:t> </w:t>
      </w:r>
      <w:r>
        <w:rPr>
          <w:spacing w:val="-83"/>
        </w:rPr>
      </w:r>
      <w:r>
        <w:rPr/>
        <w:t>进等方面的能力；财务部门成本核算水平，对税务和外汇结算等政策的掌握能力。</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4、劳务外包情况" w:id="124"/>
      <w:bookmarkEnd w:id="12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九节 公司治理" w:id="125"/>
      <w:bookmarkEnd w:id="125"/>
      <w:r>
        <w:rPr>
          <w:b w:val="0"/>
          <w:bCs w:val="0"/>
        </w:rPr>
      </w:r>
      <w:bookmarkStart w:name="_bookmark7" w:id="126"/>
      <w:bookmarkEnd w:id="12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2" w:firstLine="336"/>
        <w:jc w:val="both"/>
      </w:pPr>
      <w:r>
        <w:rPr/>
        <w:t>报告期内，公司严格按照《公司法》、《证券法》、《上市公司治理准则》、《深圳证券交易所创业 </w:t>
      </w:r>
      <w:r>
        <w:rPr>
          <w:spacing w:val="-1"/>
        </w:rPr>
        <w:t>板上市公司规范运作指引》、《深圳证券交易所创业板股票上市规则》等法律、法规和中国证监会有关法</w:t>
      </w:r>
      <w:r>
        <w:rPr>
          <w:spacing w:val="-82"/>
        </w:rPr>
        <w:t> </w:t>
      </w:r>
      <w:r>
        <w:rPr>
          <w:spacing w:val="-82"/>
        </w:rPr>
      </w:r>
      <w:r>
        <w:rPr>
          <w:spacing w:val="-1"/>
        </w:rPr>
        <w:t>律、法规等的要求，不断完善公司的法人治理结构，建立健全公司内部管理和控制制度，持续深入开展公</w:t>
      </w:r>
      <w:r>
        <w:rPr>
          <w:spacing w:val="-86"/>
        </w:rPr>
        <w:t> </w:t>
      </w:r>
      <w:r>
        <w:rPr>
          <w:spacing w:val="-86"/>
        </w:rPr>
      </w:r>
      <w:r>
        <w:rPr>
          <w:spacing w:val="-1"/>
        </w:rPr>
        <w:t>司治理活动，促进了公司规范运作，提高了公司治理水平。截至报告期末，公司治理的实际状况符合《上</w:t>
      </w:r>
      <w:r>
        <w:rPr>
          <w:spacing w:val="-83"/>
        </w:rPr>
        <w:t> </w:t>
      </w:r>
      <w:r>
        <w:rPr>
          <w:spacing w:val="-83"/>
        </w:rPr>
      </w:r>
      <w:r>
        <w:rPr/>
        <w:t>市公司治理准则》和《深圳证券交易所创业板上市公司规范运作指引》等相关规定的要求。</w:t>
      </w:r>
    </w:p>
    <w:p>
      <w:pPr>
        <w:spacing w:line="240" w:lineRule="auto" w:before="6"/>
        <w:rPr>
          <w:rFonts w:ascii="宋体" w:hAnsi="宋体" w:cs="宋体" w:eastAsia="宋体" w:hint="default"/>
          <w:sz w:val="24"/>
          <w:szCs w:val="24"/>
        </w:rPr>
      </w:pPr>
    </w:p>
    <w:p>
      <w:pPr>
        <w:pStyle w:val="BodyText"/>
        <w:spacing w:line="256" w:lineRule="auto"/>
        <w:ind w:left="1469" w:right="0"/>
        <w:jc w:val="left"/>
      </w:pPr>
      <w:r>
        <w:rPr>
          <w:rFonts w:ascii="Times New Roman" w:hAnsi="Times New Roman" w:cs="Times New Roman" w:eastAsia="Times New Roman" w:hint="default"/>
        </w:rPr>
        <w:t>1</w:t>
      </w:r>
      <w:r>
        <w:rPr/>
        <w:t>、关于股东及股东大会 </w:t>
      </w:r>
      <w:r>
        <w:rPr>
          <w:spacing w:val="-2"/>
        </w:rPr>
        <w:t>公司严格按照《上市公司股东大会规则》、《公司章程》和《股东大会议事规则》等相关规定和要求，</w:t>
      </w:r>
    </w:p>
    <w:p>
      <w:pPr>
        <w:pStyle w:val="BodyText"/>
        <w:spacing w:line="264" w:lineRule="auto" w:before="22"/>
        <w:ind w:right="1110"/>
        <w:jc w:val="both"/>
      </w:pPr>
      <w:r>
        <w:rPr>
          <w:spacing w:val="-1"/>
        </w:rPr>
        <w:t>规范股东大会召集、召开、表决程序，确保所有股东享有平等地位、平等权利，充分行使自己的权利，并</w:t>
      </w:r>
      <w:r>
        <w:rPr>
          <w:spacing w:val="-83"/>
        </w:rPr>
        <w:t> </w:t>
      </w:r>
      <w:r>
        <w:rPr>
          <w:spacing w:val="-83"/>
        </w:rPr>
      </w:r>
      <w:r>
        <w:rPr/>
        <w:t>承担相应的义务。报告期内，公司共召开了</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5</w:t>
      </w:r>
      <w:r>
        <w:rPr/>
        <w:t>次临时股东大会，会议均由董事会召集、 召开。</w:t>
      </w:r>
    </w:p>
    <w:p>
      <w:pPr>
        <w:spacing w:line="240" w:lineRule="auto" w:before="1"/>
        <w:rPr>
          <w:rFonts w:ascii="宋体" w:hAnsi="宋体" w:cs="宋体" w:eastAsia="宋体" w:hint="default"/>
          <w:sz w:val="25"/>
          <w:szCs w:val="25"/>
        </w:rPr>
      </w:pPr>
    </w:p>
    <w:p>
      <w:pPr>
        <w:pStyle w:val="BodyText"/>
        <w:spacing w:line="256" w:lineRule="auto"/>
        <w:ind w:left="1469" w:right="1177"/>
        <w:jc w:val="left"/>
      </w:pPr>
      <w:r>
        <w:rPr>
          <w:rFonts w:ascii="Times New Roman" w:hAnsi="Times New Roman" w:cs="Times New Roman" w:eastAsia="Times New Roman" w:hint="default"/>
        </w:rPr>
        <w:t>2</w:t>
      </w:r>
      <w:r>
        <w:rPr/>
        <w:t>、关于公司与控股股东 公司控股股东严格规范自己的行为，没有超越股东大会直接或间接干预公司的决策和经营活动。公司</w:t>
      </w:r>
    </w:p>
    <w:p>
      <w:pPr>
        <w:pStyle w:val="BodyText"/>
        <w:spacing w:line="273" w:lineRule="auto" w:before="22"/>
        <w:ind w:right="1024"/>
        <w:jc w:val="left"/>
      </w:pPr>
      <w:r>
        <w:rPr>
          <w:spacing w:val="-3"/>
        </w:rPr>
        <w:t>拥有独立完整的业务和自主经营能力，在业务、人员、资产、机构、财务上独立于控股股东，公司董事会、</w:t>
      </w:r>
      <w:r>
        <w:rPr>
          <w:spacing w:val="-94"/>
        </w:rPr>
        <w:t> </w:t>
      </w:r>
      <w:r>
        <w:rPr>
          <w:spacing w:val="-94"/>
        </w:rPr>
      </w:r>
      <w:r>
        <w:rPr/>
        <w:t>监事会和内部机构独立运作。</w:t>
      </w:r>
    </w:p>
    <w:p>
      <w:pPr>
        <w:spacing w:line="240" w:lineRule="auto" w:before="6"/>
        <w:rPr>
          <w:rFonts w:ascii="宋体" w:hAnsi="宋体" w:cs="宋体" w:eastAsia="宋体" w:hint="default"/>
          <w:sz w:val="24"/>
          <w:szCs w:val="24"/>
        </w:rPr>
      </w:pPr>
    </w:p>
    <w:p>
      <w:pPr>
        <w:pStyle w:val="BodyText"/>
        <w:spacing w:line="256" w:lineRule="auto"/>
        <w:ind w:left="1469" w:right="1177"/>
        <w:jc w:val="left"/>
      </w:pPr>
      <w:r>
        <w:rPr>
          <w:rFonts w:ascii="Times New Roman" w:hAnsi="Times New Roman" w:cs="Times New Roman" w:eastAsia="Times New Roman" w:hint="default"/>
        </w:rPr>
        <w:t>3</w:t>
      </w:r>
      <w:r>
        <w:rPr/>
        <w:t>、关于董事和董事会 报告期内，公司董事会设董事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t>名，董事会人数及人员构成符合法律、法规和《公</w:t>
      </w:r>
    </w:p>
    <w:p>
      <w:pPr>
        <w:pStyle w:val="BodyText"/>
        <w:spacing w:line="273" w:lineRule="auto" w:before="5"/>
        <w:ind w:right="1024"/>
        <w:jc w:val="left"/>
      </w:pPr>
      <w:r>
        <w:rPr>
          <w:spacing w:val="-3"/>
        </w:rPr>
        <w:t>司章程》的要求。各位董事能够依据《深圳证券交易所上市公司规范运作指引》、《公司董事会议事规则》</w:t>
      </w:r>
      <w:r>
        <w:rPr>
          <w:spacing w:val="-93"/>
        </w:rPr>
        <w:t> </w:t>
      </w:r>
      <w:r>
        <w:rPr>
          <w:spacing w:val="-93"/>
        </w:rPr>
      </w:r>
      <w:r>
        <w:rPr/>
        <w:t>和《公司独立董事工作细则》等开展工作，诚信、勤勉地履行职责和义务，同时积极参加有关培训，熟悉</w:t>
      </w:r>
      <w:r>
        <w:rPr/>
        <w:t> 有关法律法规。报告期内，公司共召开了</w:t>
      </w:r>
      <w:r>
        <w:rPr>
          <w:rFonts w:ascii="Times New Roman" w:hAnsi="Times New Roman" w:cs="Times New Roman" w:eastAsia="Times New Roman" w:hint="default"/>
        </w:rPr>
        <w:t>12</w:t>
      </w:r>
      <w:r>
        <w:rPr/>
        <w:t>次董事会，均由董事长召集、召开。</w:t>
      </w:r>
    </w:p>
    <w:p>
      <w:pPr>
        <w:pStyle w:val="BodyText"/>
        <w:spacing w:line="264" w:lineRule="auto"/>
        <w:ind w:right="1021" w:firstLine="336"/>
        <w:jc w:val="left"/>
      </w:pPr>
      <w:r>
        <w:rPr/>
        <w:t>董事会下设战略委员会、提名委员会、审计委员会和薪酬与考核委员会，除战略委员会外其他委员会 </w:t>
      </w:r>
      <w:r>
        <w:rPr>
          <w:spacing w:val="-4"/>
        </w:rPr>
        <w:t>中独立董事占比均超过</w:t>
      </w:r>
      <w:r>
        <w:rPr>
          <w:rFonts w:ascii="Times New Roman" w:hAnsi="Times New Roman" w:cs="Times New Roman" w:eastAsia="Times New Roman" w:hint="default"/>
          <w:spacing w:val="-4"/>
        </w:rPr>
        <w:t>1/2</w:t>
      </w:r>
      <w:r>
        <w:rPr>
          <w:spacing w:val="-4"/>
        </w:rPr>
        <w:t>，为董事会的决策提供了科学和专业的意见和参考。各个委员会依据《公司章程》</w:t>
      </w:r>
      <w:r>
        <w:rPr>
          <w:spacing w:val="-100"/>
        </w:rPr>
        <w:t> </w:t>
      </w:r>
      <w:r>
        <w:rPr>
          <w:spacing w:val="-100"/>
        </w:rPr>
      </w:r>
      <w:r>
        <w:rPr/>
        <w:t>和各委员会议事细则等相关规定履行职权，不受公司其他部门和个人的干预。</w:t>
      </w:r>
    </w:p>
    <w:p>
      <w:pPr>
        <w:spacing w:line="240" w:lineRule="auto" w:before="1"/>
        <w:rPr>
          <w:rFonts w:ascii="宋体" w:hAnsi="宋体" w:cs="宋体" w:eastAsia="宋体" w:hint="default"/>
          <w:sz w:val="25"/>
          <w:szCs w:val="25"/>
        </w:rPr>
      </w:pPr>
    </w:p>
    <w:p>
      <w:pPr>
        <w:pStyle w:val="BodyText"/>
        <w:spacing w:line="256" w:lineRule="auto"/>
        <w:ind w:left="1469" w:right="1177"/>
        <w:jc w:val="left"/>
      </w:pPr>
      <w:r>
        <w:rPr>
          <w:rFonts w:ascii="Times New Roman" w:hAnsi="Times New Roman" w:cs="Times New Roman" w:eastAsia="Times New Roman" w:hint="default"/>
        </w:rPr>
        <w:t>4</w:t>
      </w:r>
      <w:r>
        <w:rPr/>
        <w:t>、关于监事和监事会 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名，监事会的人数和构成符合法律、法规的要求。各位监事能</w:t>
      </w:r>
    </w:p>
    <w:p>
      <w:pPr>
        <w:pStyle w:val="BodyText"/>
        <w:spacing w:line="264" w:lineRule="auto" w:before="5"/>
        <w:ind w:right="0"/>
        <w:jc w:val="left"/>
      </w:pPr>
      <w:r>
        <w:rPr>
          <w:spacing w:val="-1"/>
        </w:rPr>
        <w:t>够按照《监事会议事规则》等相关规定，认真履行自己的职责、对公司重大事项、关联交易、财务状况以</w:t>
      </w:r>
      <w:r>
        <w:rPr>
          <w:spacing w:val="-83"/>
        </w:rPr>
        <w:t> </w:t>
      </w:r>
      <w:r>
        <w:rPr>
          <w:spacing w:val="-83"/>
        </w:rPr>
      </w:r>
      <w:r>
        <w:rPr/>
        <w:t>及董事、高管人员履行职责的合法合规性进行监督。报告期内，公司共召开了</w:t>
      </w:r>
      <w:r>
        <w:rPr>
          <w:rFonts w:ascii="Times New Roman" w:hAnsi="Times New Roman" w:cs="Times New Roman" w:eastAsia="Times New Roman" w:hint="default"/>
        </w:rPr>
        <w:t>7</w:t>
      </w:r>
      <w:r>
        <w:rPr/>
        <w:t>次监事，均由监事会主席 召集、召开。</w:t>
      </w:r>
    </w:p>
    <w:p>
      <w:pPr>
        <w:spacing w:line="240" w:lineRule="auto" w:before="1"/>
        <w:rPr>
          <w:rFonts w:ascii="宋体" w:hAnsi="宋体" w:cs="宋体" w:eastAsia="宋体" w:hint="default"/>
          <w:sz w:val="25"/>
          <w:szCs w:val="25"/>
        </w:rPr>
      </w:pPr>
    </w:p>
    <w:p>
      <w:pPr>
        <w:pStyle w:val="BodyText"/>
        <w:spacing w:line="256" w:lineRule="auto"/>
        <w:ind w:left="1470" w:right="1176"/>
        <w:jc w:val="left"/>
      </w:pPr>
      <w:r>
        <w:rPr>
          <w:rFonts w:ascii="Times New Roman" w:hAnsi="Times New Roman" w:cs="Times New Roman" w:eastAsia="Times New Roman" w:hint="default"/>
        </w:rPr>
        <w:t>5</w:t>
      </w:r>
      <w:r>
        <w:rPr/>
        <w:t>、关于信息披露 公司严格按照有关法律法规及《信息披露事务管理制度》、《投资者关系管理制度》等相关规定，真</w:t>
      </w:r>
    </w:p>
    <w:p>
      <w:pPr>
        <w:pStyle w:val="BodyText"/>
        <w:spacing w:line="273" w:lineRule="auto" w:before="23"/>
        <w:ind w:left="1134" w:right="0"/>
        <w:jc w:val="left"/>
      </w:pPr>
      <w:r>
        <w:rPr/>
        <w:t>实、准确、完整、及时、公平地披露有关信息，并指定公司董事会秘书负责信息披露工作，协调公司与投 </w:t>
      </w:r>
      <w:r>
        <w:rPr>
          <w:spacing w:val="-8"/>
        </w:rPr>
        <w:t>资者的关系，接待股东来访，回答投资者咨询，向投资者提供公司已披露的资料。同时，指定《证券时报》、</w:t>
      </w:r>
    </w:p>
    <w:p>
      <w:pPr>
        <w:pStyle w:val="BodyText"/>
        <w:spacing w:line="256" w:lineRule="auto" w:before="7"/>
        <w:ind w:left="1134" w:right="0"/>
        <w:jc w:val="left"/>
      </w:pPr>
      <w:r>
        <w:rPr>
          <w:spacing w:val="-2"/>
        </w:rPr>
        <w:t>《中国证券报》、《上海证券报》、《证券日报》和巨潮资讯网（</w:t>
      </w:r>
      <w:hyperlink r:id="rId11">
        <w:r>
          <w:rPr>
            <w:rFonts w:ascii="Times New Roman" w:hAnsi="Times New Roman" w:cs="Times New Roman" w:eastAsia="Times New Roman" w:hint="default"/>
            <w:spacing w:val="-2"/>
          </w:rPr>
          <w:t>www.cninfo.com.cn</w:t>
        </w:r>
      </w:hyperlink>
      <w:r>
        <w:rPr>
          <w:spacing w:val="-2"/>
        </w:rPr>
        <w:t>）为公司信息披露的</w:t>
      </w:r>
      <w:r>
        <w:rPr>
          <w:spacing w:val="-55"/>
        </w:rPr>
        <w:t> </w:t>
      </w:r>
      <w:r>
        <w:rPr>
          <w:spacing w:val="-55"/>
        </w:rPr>
      </w:r>
      <w:r>
        <w:rPr/>
        <w:t>指定报纸和网站，确保公司所有股东能够以平等的机会获取信息。</w:t>
      </w:r>
    </w:p>
    <w:p>
      <w:pPr>
        <w:spacing w:after="0" w:line="25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093" w:firstLine="336"/>
        <w:jc w:val="left"/>
      </w:pPr>
      <w:r>
        <w:rPr/>
        <w:t>公司控股股东、实际控制人为自然人。</w:t>
      </w:r>
      <w:r>
        <w:rPr>
          <w:spacing w:val="-21"/>
        </w:rPr>
        <w:t> </w:t>
      </w:r>
      <w:r>
        <w:rPr/>
        <w:t>公司与控股股东实行了业务、人员、资产、机构、财务独立，</w:t>
      </w:r>
      <w:r>
        <w:rPr/>
        <w:t> 各自独立核算、独立承担责任和风险，公司具有独立完整的业务和自主经营的能力。</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29"/>
      <w:bookmarkEnd w:id="12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9" w:lineRule="auto" w:before="75"/>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2015-007</w:t>
            </w:r>
            <w:r>
              <w:rPr>
                <w:rFonts w:ascii="宋体" w:hAnsi="宋体" w:cs="宋体" w:eastAsia="宋体" w:hint="default"/>
                <w:sz w:val="18"/>
                <w:szCs w:val="18"/>
              </w:rPr>
              <w:t>；公告名 称：红相电力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 大会决议；网站名 称：巨潮资讯网</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9" w:lineRule="auto" w:before="75"/>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2015-018</w:t>
            </w:r>
            <w:r>
              <w:rPr>
                <w:rFonts w:ascii="宋体" w:hAnsi="宋体" w:cs="宋体" w:eastAsia="宋体" w:hint="default"/>
                <w:sz w:val="18"/>
                <w:szCs w:val="18"/>
              </w:rPr>
              <w:t>；公告名 称：红相电力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 大会决议；网站名 称：巨潮资讯网</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9" w:lineRule="auto" w:before="75"/>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2015-035</w:t>
            </w:r>
            <w:r>
              <w:rPr>
                <w:rFonts w:ascii="宋体" w:hAnsi="宋体" w:cs="宋体" w:eastAsia="宋体" w:hint="default"/>
                <w:sz w:val="18"/>
                <w:szCs w:val="18"/>
              </w:rPr>
              <w:t>；公告名 称：红相电力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 大会决议；网站名 称：巨潮资讯网</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0" w:lineRule="auto" w:before="75"/>
              <w:ind w:left="23" w:right="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2015-055</w:t>
            </w:r>
            <w:r>
              <w:rPr>
                <w:rFonts w:ascii="宋体" w:hAnsi="宋体" w:cs="宋体" w:eastAsia="宋体" w:hint="default"/>
                <w:sz w:val="18"/>
                <w:szCs w:val="18"/>
              </w:rPr>
              <w:t>；公告名 称：红相电力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r>
    </w:tbl>
    <w:p>
      <w:pPr>
        <w:spacing w:after="0" w:line="30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19"/>
              <w:jc w:val="both"/>
              <w:rPr>
                <w:rFonts w:ascii="宋体" w:hAnsi="宋体" w:cs="宋体" w:eastAsia="宋体" w:hint="default"/>
                <w:sz w:val="18"/>
                <w:szCs w:val="18"/>
              </w:rPr>
            </w:pPr>
            <w:r>
              <w:rPr>
                <w:rFonts w:ascii="宋体" w:hAnsi="宋体" w:cs="宋体" w:eastAsia="宋体" w:hint="default"/>
                <w:sz w:val="18"/>
                <w:szCs w:val="18"/>
              </w:rPr>
              <w:t>年第四次临时股东 大会决议；网站名 称：巨潮资讯网</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9" w:lineRule="auto" w:before="75"/>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2015-069</w:t>
            </w:r>
            <w:r>
              <w:rPr>
                <w:rFonts w:ascii="宋体" w:hAnsi="宋体" w:cs="宋体" w:eastAsia="宋体" w:hint="default"/>
                <w:sz w:val="18"/>
                <w:szCs w:val="18"/>
              </w:rPr>
              <w:t>；公告名 称：红相电力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年第五次临时股东 大会决议；网站名 称：巨潮资讯网</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尹久远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bl>
    <w:p>
      <w:pPr>
        <w:spacing w:line="357" w:lineRule="auto" w:before="51"/>
        <w:ind w:left="113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
        <w:rPr>
          <w:rFonts w:ascii="宋体" w:hAnsi="宋体" w:cs="宋体" w:eastAsia="宋体" w:hint="default"/>
          <w:sz w:val="20"/>
          <w:szCs w:val="20"/>
        </w:rPr>
      </w:pPr>
    </w:p>
    <w:p>
      <w:pPr>
        <w:pStyle w:val="Heading4"/>
        <w:spacing w:line="240" w:lineRule="auto"/>
        <w:ind w:left="1134"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4"/>
        <w:ind w:right="1093" w:firstLine="336"/>
        <w:jc w:val="left"/>
      </w:pPr>
      <w:r>
        <w:rPr/>
        <w:t>公司独立董事根据《公司法》、《证券法》、《创业板股票上市规则》及《公司章程》等相关规定， 关注公司运作，独立履行职责，对公司的制度完善和日常经营决策等方面提出了很多宝贵的专业性建议，</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公司结合自身实际情况予以采纳。独立董事对报告期内年度利润分配预案、募集资金使用等事项提出了独</w:t>
      </w:r>
      <w:r>
        <w:rPr>
          <w:spacing w:val="-81"/>
        </w:rPr>
        <w:t> </w:t>
      </w:r>
      <w:r>
        <w:rPr>
          <w:spacing w:val="-81"/>
        </w:rPr>
      </w:r>
      <w:r>
        <w:rPr/>
        <w:t>立、客观的意见，为完善公司监督机制，维护公司和全体股东的合法权益发挥了应有的作用。</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93" w:firstLine="336"/>
        <w:jc w:val="both"/>
      </w:pPr>
      <w:r>
        <w:rPr/>
        <w:t>公司董事会下设审计委员会、战略委员会、提名委员会、薪酬与考核委员会。各专门委员会在报告期 内的履职情况如下：</w:t>
      </w:r>
    </w:p>
    <w:p>
      <w:pPr>
        <w:spacing w:line="273" w:lineRule="auto" w:before="7"/>
        <w:ind w:left="1509" w:right="1137" w:hanging="17"/>
        <w:jc w:val="left"/>
        <w:rPr>
          <w:rFonts w:ascii="宋体" w:hAnsi="宋体" w:cs="宋体" w:eastAsia="宋体" w:hint="default"/>
          <w:sz w:val="21"/>
          <w:szCs w:val="21"/>
        </w:rPr>
      </w:pPr>
      <w:r>
        <w:rPr>
          <w:rFonts w:ascii="宋体" w:hAnsi="宋体" w:cs="宋体" w:eastAsia="宋体" w:hint="default"/>
          <w:b/>
          <w:bCs/>
          <w:sz w:val="21"/>
          <w:szCs w:val="21"/>
        </w:rPr>
        <w:t>（一）审计委员的履职情况</w:t>
      </w:r>
      <w:r>
        <w:rPr>
          <w:rFonts w:ascii="宋体" w:hAnsi="宋体" w:cs="宋体" w:eastAsia="宋体" w:hint="default"/>
          <w:b/>
          <w:bCs/>
          <w:w w:val="99"/>
          <w:sz w:val="21"/>
          <w:szCs w:val="21"/>
        </w:rPr>
        <w:t> </w:t>
      </w:r>
      <w:r>
        <w:rPr>
          <w:rFonts w:ascii="宋体" w:hAnsi="宋体" w:cs="宋体" w:eastAsia="宋体" w:hint="default"/>
          <w:sz w:val="21"/>
          <w:szCs w:val="21"/>
        </w:rPr>
        <w:t>报告期内，公司审计委员会严格按照公司《审计委员会工作细则》等相关要求，积极履行职责，报告</w:t>
      </w:r>
    </w:p>
    <w:p>
      <w:pPr>
        <w:pStyle w:val="BodyText"/>
        <w:spacing w:line="256" w:lineRule="auto" w:before="7"/>
        <w:ind w:right="1198"/>
        <w:jc w:val="left"/>
      </w:pPr>
      <w:r>
        <w:rPr/>
        <w:t>期内共召开了</w:t>
      </w:r>
      <w:r>
        <w:rPr>
          <w:rFonts w:ascii="Times New Roman" w:hAnsi="Times New Roman" w:cs="Times New Roman" w:eastAsia="Times New Roman" w:hint="default"/>
        </w:rPr>
        <w:t>4</w:t>
      </w:r>
      <w:r>
        <w:rPr/>
        <w:t>次会议，对公司定期报告进行审议并形成决议；及时审阅内部审计部门定期工作计划和报 告，并向董事会报告。</w:t>
      </w:r>
    </w:p>
    <w:p>
      <w:pPr>
        <w:spacing w:line="273" w:lineRule="auto" w:before="22"/>
        <w:ind w:left="1509" w:right="1137" w:hanging="17"/>
        <w:jc w:val="left"/>
        <w:rPr>
          <w:rFonts w:ascii="宋体" w:hAnsi="宋体" w:cs="宋体" w:eastAsia="宋体" w:hint="default"/>
          <w:sz w:val="21"/>
          <w:szCs w:val="21"/>
        </w:rPr>
      </w:pPr>
      <w:r>
        <w:rPr>
          <w:rFonts w:ascii="宋体" w:hAnsi="宋体" w:cs="宋体" w:eastAsia="宋体" w:hint="default"/>
          <w:b/>
          <w:bCs/>
          <w:sz w:val="21"/>
          <w:szCs w:val="21"/>
        </w:rPr>
        <w:t>（二）提名委员会履职情况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报告期内，提名委员会根据公司《提名委员会工作细则》等相关规定，积极履行职责，报告期内共召</w:t>
      </w:r>
    </w:p>
    <w:p>
      <w:pPr>
        <w:pStyle w:val="BodyText"/>
        <w:spacing w:line="240" w:lineRule="auto" w:before="7"/>
        <w:ind w:right="0"/>
        <w:jc w:val="both"/>
      </w:pPr>
      <w:r>
        <w:rPr/>
        <w:t>开了一次会议，对公司董事会规模及高级管理人员任职资格进行了审核，并发表审核意见。</w:t>
      </w:r>
    </w:p>
    <w:p>
      <w:pPr>
        <w:spacing w:line="273" w:lineRule="auto" w:before="37"/>
        <w:ind w:left="1509" w:right="1137" w:hanging="17"/>
        <w:jc w:val="left"/>
        <w:rPr>
          <w:rFonts w:ascii="宋体" w:hAnsi="宋体" w:cs="宋体" w:eastAsia="宋体" w:hint="default"/>
          <w:sz w:val="21"/>
          <w:szCs w:val="21"/>
        </w:rPr>
      </w:pPr>
      <w:r>
        <w:rPr>
          <w:rFonts w:ascii="宋体" w:hAnsi="宋体" w:cs="宋体" w:eastAsia="宋体" w:hint="default"/>
          <w:b/>
          <w:bCs/>
          <w:sz w:val="21"/>
          <w:szCs w:val="21"/>
        </w:rPr>
        <w:t>（三）薪酬与考核委员会履职情况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报告期内，薪酬与考核委员会根据公司章程及《薪酬与考核委员会工作细则》等相关规定，召开一次</w:t>
      </w:r>
    </w:p>
    <w:p>
      <w:pPr>
        <w:pStyle w:val="BodyText"/>
        <w:spacing w:line="256" w:lineRule="auto" w:before="7"/>
        <w:ind w:right="0"/>
        <w:jc w:val="left"/>
      </w:pPr>
      <w:r>
        <w:rPr>
          <w:spacing w:val="-1"/>
        </w:rPr>
        <w:t>会议，对公司董事和高级管理人员工作及薪酬情况进行考核和检查；对公司董事和高级管理人员</w:t>
      </w:r>
      <w:r>
        <w:rPr>
          <w:rFonts w:ascii="Times New Roman" w:hAnsi="Times New Roman" w:cs="Times New Roman" w:eastAsia="Times New Roman" w:hint="default"/>
          <w:spacing w:val="-1"/>
        </w:rPr>
        <w:t>2015</w:t>
      </w:r>
      <w:r>
        <w:rPr>
          <w:spacing w:val="-1"/>
        </w:rPr>
        <w:t>年薪</w:t>
      </w:r>
      <w:r>
        <w:rPr>
          <w:spacing w:val="-81"/>
        </w:rPr>
        <w:t> </w:t>
      </w:r>
      <w:r>
        <w:rPr/>
        <w:t>酬方案发表意见；并就上述事项形成报告。</w:t>
      </w:r>
    </w:p>
    <w:p>
      <w:pPr>
        <w:spacing w:line="273" w:lineRule="auto" w:before="22"/>
        <w:ind w:left="1509" w:right="1137" w:hanging="17"/>
        <w:jc w:val="left"/>
        <w:rPr>
          <w:rFonts w:ascii="宋体" w:hAnsi="宋体" w:cs="宋体" w:eastAsia="宋体" w:hint="default"/>
          <w:sz w:val="21"/>
          <w:szCs w:val="21"/>
        </w:rPr>
      </w:pPr>
      <w:r>
        <w:rPr>
          <w:rFonts w:ascii="宋体" w:hAnsi="宋体" w:cs="宋体" w:eastAsia="宋体" w:hint="default"/>
          <w:b/>
          <w:bCs/>
          <w:sz w:val="21"/>
          <w:szCs w:val="21"/>
        </w:rPr>
        <w:t>（四）战略委员会履职情况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报告期内，战略委员会根据公司《战略委员会工作细则》等相关规定，结合公司实际发展战略需要，</w:t>
      </w:r>
    </w:p>
    <w:p>
      <w:pPr>
        <w:pStyle w:val="BodyText"/>
        <w:spacing w:line="240" w:lineRule="auto" w:before="7"/>
        <w:ind w:right="0"/>
        <w:jc w:val="both"/>
      </w:pPr>
      <w:r>
        <w:rPr>
          <w:spacing w:val="-5"/>
        </w:rPr>
        <w:t>共召开了</w:t>
      </w:r>
      <w:r>
        <w:rPr>
          <w:rFonts w:ascii="Times New Roman" w:hAnsi="Times New Roman" w:cs="Times New Roman" w:eastAsia="Times New Roman" w:hint="default"/>
          <w:spacing w:val="-5"/>
        </w:rPr>
        <w:t>5</w:t>
      </w:r>
      <w:r>
        <w:rPr>
          <w:spacing w:val="-5"/>
        </w:rPr>
        <w:t>次会议，审议并通过了《关于以货币增资方式取得浙江涵普电力科技有限公司</w:t>
      </w:r>
      <w:r>
        <w:rPr>
          <w:rFonts w:ascii="Times New Roman" w:hAnsi="Times New Roman" w:cs="Times New Roman" w:eastAsia="Times New Roman" w:hint="default"/>
          <w:spacing w:val="-5"/>
        </w:rPr>
        <w:t>51%</w:t>
      </w:r>
      <w:r>
        <w:rPr>
          <w:spacing w:val="-5"/>
        </w:rPr>
        <w:t>股权的议案》、</w:t>
      </w:r>
    </w:p>
    <w:p>
      <w:pPr>
        <w:pStyle w:val="BodyText"/>
        <w:spacing w:line="266" w:lineRule="auto" w:before="21"/>
        <w:ind w:left="1134" w:right="1131"/>
        <w:jc w:val="both"/>
      </w:pPr>
      <w:r>
        <w:rPr/>
        <w:t>《关于终止</w:t>
      </w:r>
      <w:r>
        <w:rPr>
          <w:rFonts w:ascii="Times New Roman" w:hAnsi="Times New Roman" w:cs="Times New Roman" w:eastAsia="Times New Roman" w:hint="default"/>
        </w:rPr>
        <w:t>“</w:t>
      </w:r>
      <w:r>
        <w:rPr/>
        <w:t>一次设备状态检测、监测产品生产改造项目</w:t>
      </w:r>
      <w:r>
        <w:rPr>
          <w:rFonts w:ascii="Times New Roman" w:hAnsi="Times New Roman" w:cs="Times New Roman" w:eastAsia="Times New Roman" w:hint="default"/>
        </w:rPr>
        <w:t>”</w:t>
      </w:r>
      <w:r>
        <w:rPr/>
        <w:t>及变更募集资金投资项目的议案》、《关于与厦 </w:t>
      </w:r>
      <w:r>
        <w:rPr>
          <w:spacing w:val="-1"/>
        </w:rPr>
        <w:t>门火炬集团有限公司、厦门信息集团有限公司共同出资成立合资售电公司的议案》，并两度对公司组织结</w:t>
      </w:r>
      <w:r>
        <w:rPr>
          <w:spacing w:val="-83"/>
        </w:rPr>
        <w:t> </w:t>
      </w:r>
      <w:r>
        <w:rPr>
          <w:spacing w:val="-83"/>
        </w:rPr>
      </w:r>
      <w:r>
        <w:rPr/>
        <w:t>构进行调整，以适应公司业务拓展需要。</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134" w:right="0"/>
        <w:jc w:val="both"/>
        <w:rPr>
          <w:b w:val="0"/>
          <w:bCs w:val="0"/>
        </w:rPr>
      </w:pPr>
      <w:bookmarkStart w:name="七、监事会工作情况" w:id="138"/>
      <w:bookmarkEnd w:id="13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68" w:lineRule="auto"/>
        <w:ind w:right="1131" w:firstLine="336"/>
        <w:jc w:val="both"/>
      </w:pPr>
      <w:r>
        <w:rPr/>
        <w:t>公司根据薪酬管理制度，建立了高级管理人员的薪酬与公司业绩挂钩的绩效考核与激励约束机制，公 </w:t>
      </w:r>
      <w:r>
        <w:rPr>
          <w:spacing w:val="-1"/>
        </w:rPr>
        <w:t>司高级管理人员实行岗位薪酬与年终绩效考核相结合的薪酬制度。根据公司年度经营目标完成情况及高级</w:t>
      </w:r>
      <w:r>
        <w:rPr>
          <w:spacing w:val="-81"/>
        </w:rPr>
        <w:t> </w:t>
      </w:r>
      <w:r>
        <w:rPr>
          <w:spacing w:val="-81"/>
        </w:rPr>
      </w:r>
      <w:r>
        <w:rPr>
          <w:spacing w:val="-1"/>
        </w:rPr>
        <w:t>管理人员的工作业绩，由公司董事会薪酬与考核委员会对高级管理人员进行年度绩效考核，并监督薪酬制</w:t>
      </w:r>
      <w:r>
        <w:rPr>
          <w:spacing w:val="-81"/>
        </w:rPr>
        <w:t> </w:t>
      </w:r>
      <w:r>
        <w:rPr>
          <w:spacing w:val="-81"/>
        </w:rPr>
      </w:r>
      <w:r>
        <w:rPr>
          <w:spacing w:val="-1"/>
        </w:rPr>
        <w:t>度执行情况。公司则根据绩效考核结果兑现其绩效年薪，并进行奖惩。公司董事会薪酬与考核委员会根据</w:t>
      </w:r>
      <w:r>
        <w:rPr>
          <w:spacing w:val="-83"/>
        </w:rPr>
        <w:t> </w:t>
      </w:r>
      <w:r>
        <w:rPr>
          <w:spacing w:val="-83"/>
        </w:rPr>
      </w:r>
      <w:r>
        <w:rPr>
          <w:spacing w:val="-1"/>
        </w:rPr>
        <w:t>实际情况对公司高级管理人员进行考核后，一致认为：</w:t>
      </w:r>
      <w:r>
        <w:rPr>
          <w:rFonts w:ascii="Times New Roman" w:hAnsi="Times New Roman" w:cs="Times New Roman" w:eastAsia="Times New Roman" w:hint="default"/>
          <w:spacing w:val="-1"/>
        </w:rPr>
        <w:t>2015</w:t>
      </w:r>
      <w:r>
        <w:rPr>
          <w:spacing w:val="-1"/>
        </w:rPr>
        <w:t>年度公司高级管理人员薪酬方案严格执行了公</w:t>
      </w:r>
      <w:r>
        <w:rPr>
          <w:spacing w:val="-81"/>
        </w:rPr>
        <w:t> </w:t>
      </w:r>
      <w:r>
        <w:rPr>
          <w:spacing w:val="-81"/>
        </w:rPr>
      </w:r>
      <w:r>
        <w:rPr/>
        <w:t>司薪酬管理制度。</w:t>
      </w:r>
    </w:p>
    <w:p>
      <w:pPr>
        <w:spacing w:after="0" w:line="268"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40"/>
      <w:bookmarkEnd w:id="14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2"/>
        <w:rPr>
          <w:rFonts w:ascii="宋体" w:hAnsi="宋体" w:cs="宋体" w:eastAsia="宋体" w:hint="default"/>
          <w:b/>
          <w:bCs/>
          <w:sz w:val="27"/>
          <w:szCs w:val="27"/>
        </w:rPr>
      </w:pPr>
    </w:p>
    <w:p>
      <w:pPr>
        <w:tabs>
          <w:tab w:pos="4356" w:val="left" w:leader="none"/>
        </w:tabs>
        <w:spacing w:before="44"/>
        <w:ind w:left="1161" w:right="0" w:firstLine="0"/>
        <w:jc w:val="left"/>
        <w:rPr>
          <w:rFonts w:ascii="宋体" w:hAnsi="宋体" w:cs="宋体" w:eastAsia="宋体" w:hint="default"/>
          <w:sz w:val="18"/>
          <w:szCs w:val="18"/>
        </w:rPr>
      </w:pPr>
      <w:r>
        <w:rPr/>
        <w:pict>
          <v:group style="position:absolute;margin-left:56.459999pt;margin-top:-1.148269pt;width:478.95pt;height:571.9pt;mso-position-horizontal-relative:page;mso-position-vertical-relative:paragraph;z-index:-925072" coordorigin="1129,-23" coordsize="9579,11438">
            <v:group style="position:absolute;left:1150;top:-7;width:2;height:392" coordorigin="1150,-7" coordsize="2,392">
              <v:shape style="position:absolute;left:1150;top:-7;width:2;height:392" coordorigin="1150,-7" coordsize="0,392" path="m1150,-7l1150,384e" filled="false" stroked="true" strokeweight="1.140pt" strokecolor="#d2d2d2">
                <v:path arrowok="t"/>
              </v:shape>
            </v:group>
            <v:group style="position:absolute;left:4311;top:-7;width:2;height:392" coordorigin="4311,-7" coordsize="2,392">
              <v:shape style="position:absolute;left:4311;top:-7;width:2;height:392" coordorigin="4311,-7" coordsize="0,392" path="m4311,-7l4311,384e" filled="false" stroked="true" strokeweight="1.140pt" strokecolor="#d2d2d2">
                <v:path arrowok="t"/>
              </v:shape>
            </v:group>
            <v:group style="position:absolute;left:1162;top:-7;width:3139;height:392" coordorigin="1162,-7" coordsize="3139,392">
              <v:shape style="position:absolute;left:1162;top:-7;width:3139;height:392" coordorigin="1162,-7" coordsize="3139,392" path="m1162,384l4300,384,4300,-7,1162,-7,1162,384xe" filled="true" fillcolor="#d2d2d2" stroked="false">
                <v:path arrowok="t"/>
                <v:fill type="solid"/>
              </v:shape>
            </v:group>
            <v:group style="position:absolute;left:1139;top:-13;width:3186;height:2" coordorigin="1139,-13" coordsize="3186,2">
              <v:shape style="position:absolute;left:1139;top:-13;width:3186;height:2" coordorigin="1139,-13" coordsize="3186,0" path="m1139,-13l4324,-13e" filled="false" stroked="true" strokeweight=".48pt" strokecolor="#000000">
                <v:path arrowok="t"/>
              </v:shape>
            </v:group>
            <v:group style="position:absolute;left:4334;top:-13;width:6365;height:2" coordorigin="4334,-13" coordsize="6365,2">
              <v:shape style="position:absolute;left:4334;top:-13;width:6365;height:2" coordorigin="4334,-13" coordsize="6365,0" path="m4334,-13l10698,-13e" filled="false" stroked="true" strokeweight=".48pt" strokecolor="#000000">
                <v:path arrowok="t"/>
              </v:shape>
            </v:group>
            <v:group style="position:absolute;left:1150;top:395;width:2;height:392" coordorigin="1150,395" coordsize="2,392">
              <v:shape style="position:absolute;left:1150;top:395;width:2;height:392" coordorigin="1150,395" coordsize="0,392" path="m1150,395l1150,786e" filled="false" stroked="true" strokeweight="1.140pt" strokecolor="#d2d2d2">
                <v:path arrowok="t"/>
              </v:shape>
            </v:group>
            <v:group style="position:absolute;left:4311;top:395;width:2;height:392" coordorigin="4311,395" coordsize="2,392">
              <v:shape style="position:absolute;left:4311;top:395;width:2;height:392" coordorigin="4311,395" coordsize="0,392" path="m4311,395l4311,786e" filled="false" stroked="true" strokeweight="1.140pt" strokecolor="#d2d2d2">
                <v:path arrowok="t"/>
              </v:shape>
            </v:group>
            <v:group style="position:absolute;left:1162;top:395;width:3139;height:392" coordorigin="1162,395" coordsize="3139,392">
              <v:shape style="position:absolute;left:1162;top:395;width:3139;height:392" coordorigin="1162,395" coordsize="3139,392" path="m1162,786l4300,786,4300,395,1162,395,1162,786xe" filled="true" fillcolor="#d2d2d2" stroked="false">
                <v:path arrowok="t"/>
                <v:fill type="solid"/>
              </v:shape>
            </v:group>
            <v:group style="position:absolute;left:1139;top:389;width:3186;height:2" coordorigin="1139,389" coordsize="3186,2">
              <v:shape style="position:absolute;left:1139;top:389;width:3186;height:2" coordorigin="1139,389" coordsize="3186,0" path="m1139,389l4324,389e" filled="false" stroked="true" strokeweight=".48pt" strokecolor="#000000">
                <v:path arrowok="t"/>
              </v:shape>
            </v:group>
            <v:group style="position:absolute;left:4334;top:389;width:6365;height:2" coordorigin="4334,389" coordsize="6365,2">
              <v:shape style="position:absolute;left:4334;top:389;width:6365;height:2" coordorigin="4334,389" coordsize="6365,0" path="m4334,389l10698,389e" filled="false" stroked="true" strokeweight=".48pt" strokecolor="#000000">
                <v:path arrowok="t"/>
              </v:shape>
            </v:group>
            <v:group style="position:absolute;left:1150;top:797;width:2;height:704" coordorigin="1150,797" coordsize="2,704">
              <v:shape style="position:absolute;left:1150;top:797;width:2;height:704" coordorigin="1150,797" coordsize="0,704" path="m1150,797l1150,1500e" filled="false" stroked="true" strokeweight="1.140pt" strokecolor="#d2d2d2">
                <v:path arrowok="t"/>
              </v:shape>
            </v:group>
            <v:group style="position:absolute;left:4311;top:797;width:2;height:704" coordorigin="4311,797" coordsize="2,704">
              <v:shape style="position:absolute;left:4311;top:797;width:2;height:704" coordorigin="4311,797" coordsize="0,704" path="m4311,797l4311,1500e" filled="false" stroked="true" strokeweight="1.140pt" strokecolor="#d2d2d2">
                <v:path arrowok="t"/>
              </v:shape>
            </v:group>
            <v:group style="position:absolute;left:1162;top:797;width:3139;height:352" coordorigin="1162,797" coordsize="3139,352">
              <v:shape style="position:absolute;left:1162;top:797;width:3139;height:352" coordorigin="1162,797" coordsize="3139,352" path="m1162,1148l4300,1148,4300,797,1162,797,1162,1148xe" filled="true" fillcolor="#d2d2d2" stroked="false">
                <v:path arrowok="t"/>
                <v:fill type="solid"/>
              </v:shape>
            </v:group>
            <v:group style="position:absolute;left:1162;top:1148;width:3139;height:352" coordorigin="1162,1148" coordsize="3139,352">
              <v:shape style="position:absolute;left:1162;top:1148;width:3139;height:352" coordorigin="1162,1148" coordsize="3139,352" path="m1162,1500l4300,1500,4300,1148,1162,1148,1162,1500xe" filled="true" fillcolor="#d2d2d2" stroked="false">
                <v:path arrowok="t"/>
                <v:fill type="solid"/>
              </v:shape>
            </v:group>
            <v:group style="position:absolute;left:1139;top:791;width:3186;height:2" coordorigin="1139,791" coordsize="3186,2">
              <v:shape style="position:absolute;left:1139;top:791;width:3186;height:2" coordorigin="1139,791" coordsize="3186,0" path="m1139,791l4324,791e" filled="false" stroked="true" strokeweight=".48pt" strokecolor="#000000">
                <v:path arrowok="t"/>
              </v:shape>
            </v:group>
            <v:group style="position:absolute;left:4334;top:791;width:6365;height:2" coordorigin="4334,791" coordsize="6365,2">
              <v:shape style="position:absolute;left:4334;top:791;width:6365;height:2" coordorigin="4334,791" coordsize="6365,0" path="m4334,791l10698,791e" filled="false" stroked="true" strokeweight=".48pt" strokecolor="#000000">
                <v:path arrowok="t"/>
              </v:shape>
            </v:group>
            <v:group style="position:absolute;left:1150;top:1511;width:2;height:704" coordorigin="1150,1511" coordsize="2,704">
              <v:shape style="position:absolute;left:1150;top:1511;width:2;height:704" coordorigin="1150,1511" coordsize="0,704" path="m1150,1511l1150,2214e" filled="false" stroked="true" strokeweight="1.140pt" strokecolor="#d2d2d2">
                <v:path arrowok="t"/>
              </v:shape>
            </v:group>
            <v:group style="position:absolute;left:4311;top:1511;width:2;height:704" coordorigin="4311,1511" coordsize="2,704">
              <v:shape style="position:absolute;left:4311;top:1511;width:2;height:704" coordorigin="4311,1511" coordsize="0,704" path="m4311,1511l4311,2214e" filled="false" stroked="true" strokeweight="1.140pt" strokecolor="#d2d2d2">
                <v:path arrowok="t"/>
              </v:shape>
            </v:group>
            <v:group style="position:absolute;left:1162;top:1511;width:3139;height:352" coordorigin="1162,1511" coordsize="3139,352">
              <v:shape style="position:absolute;left:1162;top:1511;width:3139;height:352" coordorigin="1162,1511" coordsize="3139,352" path="m1162,1862l4300,1862,4300,1511,1162,1511,1162,1862xe" filled="true" fillcolor="#d2d2d2" stroked="false">
                <v:path arrowok="t"/>
                <v:fill type="solid"/>
              </v:shape>
            </v:group>
            <v:group style="position:absolute;left:1162;top:1862;width:3139;height:352" coordorigin="1162,1862" coordsize="3139,352">
              <v:shape style="position:absolute;left:1162;top:1862;width:3139;height:352" coordorigin="1162,1862" coordsize="3139,352" path="m1162,2214l4300,2214,4300,1862,1162,1862,1162,2214xe" filled="true" fillcolor="#d2d2d2" stroked="false">
                <v:path arrowok="t"/>
                <v:fill type="solid"/>
              </v:shape>
            </v:group>
            <v:group style="position:absolute;left:1139;top:1505;width:3186;height:2" coordorigin="1139,1505" coordsize="3186,2">
              <v:shape style="position:absolute;left:1139;top:1505;width:3186;height:2" coordorigin="1139,1505" coordsize="3186,0" path="m1139,1505l4324,1505e" filled="false" stroked="true" strokeweight=".48pt" strokecolor="#000000">
                <v:path arrowok="t"/>
              </v:shape>
            </v:group>
            <v:group style="position:absolute;left:4334;top:1505;width:6365;height:2" coordorigin="4334,1505" coordsize="6365,2">
              <v:shape style="position:absolute;left:4334;top:1505;width:6365;height:2" coordorigin="4334,1505" coordsize="6365,0" path="m4334,1505l10698,1505e" filled="false" stroked="true" strokeweight=".48pt" strokecolor="#000000">
                <v:path arrowok="t"/>
              </v:shape>
            </v:group>
            <v:group style="position:absolute;left:4329;top:-18;width:2;height:2242" coordorigin="4329,-18" coordsize="2,2242">
              <v:shape style="position:absolute;left:4329;top:-18;width:2;height:2242" coordorigin="4329,-18" coordsize="0,2242" path="m4329,-18l4329,2223e" filled="false" stroked="true" strokeweight=".48pt" strokecolor="#000000">
                <v:path arrowok="t"/>
              </v:shape>
            </v:group>
            <v:group style="position:absolute;left:1150;top:2225;width:2;height:392" coordorigin="1150,2225" coordsize="2,392">
              <v:shape style="position:absolute;left:1150;top:2225;width:2;height:392" coordorigin="1150,2225" coordsize="0,392" path="m1150,2225l1150,2616e" filled="false" stroked="true" strokeweight="1.140pt" strokecolor="#d2d2d2">
                <v:path arrowok="t"/>
              </v:shape>
            </v:group>
            <v:group style="position:absolute;left:10687;top:2225;width:2;height:392" coordorigin="10687,2225" coordsize="2,392">
              <v:shape style="position:absolute;left:10687;top:2225;width:2;height:392" coordorigin="10687,2225" coordsize="0,392" path="m10687,2225l10687,2616e" filled="false" stroked="true" strokeweight="1.140pt" strokecolor="#d2d2d2">
                <v:path arrowok="t"/>
              </v:shape>
            </v:group>
            <v:group style="position:absolute;left:1162;top:2225;width:9514;height:392" coordorigin="1162,2225" coordsize="9514,392">
              <v:shape style="position:absolute;left:1162;top:2225;width:9514;height:392" coordorigin="1162,2225" coordsize="9514,392" path="m1162,2616l10675,2616,10675,2225,1162,2225,1162,2616xe" filled="true" fillcolor="#d2d2d2" stroked="false">
                <v:path arrowok="t"/>
                <v:fill type="solid"/>
              </v:shape>
            </v:group>
            <v:group style="position:absolute;left:1139;top:2219;width:3186;height:2" coordorigin="1139,2219" coordsize="3186,2">
              <v:shape style="position:absolute;left:1139;top:2219;width:3186;height:2" coordorigin="1139,2219" coordsize="3186,0" path="m1139,2219l4324,2219e" filled="false" stroked="true" strokeweight=".48pt" strokecolor="#000000">
                <v:path arrowok="t"/>
              </v:shape>
            </v:group>
            <v:group style="position:absolute;left:4334;top:2219;width:6365;height:2" coordorigin="4334,2219" coordsize="6365,2">
              <v:shape style="position:absolute;left:4334;top:2219;width:6365;height:2" coordorigin="4334,2219" coordsize="6365,0" path="m4334,2219l10698,2219e" filled="false" stroked="true" strokeweight=".48pt" strokecolor="#000000">
                <v:path arrowok="t"/>
              </v:shape>
            </v:group>
            <v:group style="position:absolute;left:1150;top:2627;width:2;height:392" coordorigin="1150,2627" coordsize="2,392">
              <v:shape style="position:absolute;left:1150;top:2627;width:2;height:392" coordorigin="1150,2627" coordsize="0,392" path="m1150,2627l1150,3018e" filled="false" stroked="true" strokeweight="1.140pt" strokecolor="#d2d2d2">
                <v:path arrowok="t"/>
              </v:shape>
            </v:group>
            <v:group style="position:absolute;left:4311;top:2627;width:2;height:392" coordorigin="4311,2627" coordsize="2,392">
              <v:shape style="position:absolute;left:4311;top:2627;width:2;height:392" coordorigin="4311,2627" coordsize="0,392" path="m4311,2627l4311,3018e" filled="false" stroked="true" strokeweight="1.140pt" strokecolor="#d2d2d2">
                <v:path arrowok="t"/>
              </v:shape>
            </v:group>
            <v:group style="position:absolute;left:1162;top:2627;width:3139;height:392" coordorigin="1162,2627" coordsize="3139,392">
              <v:shape style="position:absolute;left:1162;top:2627;width:3139;height:392" coordorigin="1162,2627" coordsize="3139,392" path="m1162,3018l4300,3018,4300,2627,1162,2627,1162,3018xe" filled="true" fillcolor="#d2d2d2" stroked="false">
                <v:path arrowok="t"/>
                <v:fill type="solid"/>
              </v:shape>
            </v:group>
            <v:group style="position:absolute;left:4345;top:2627;width:2;height:392" coordorigin="4345,2627" coordsize="2,392">
              <v:shape style="position:absolute;left:4345;top:2627;width:2;height:392" coordorigin="4345,2627" coordsize="0,392" path="m4345,2627l4345,3018e" filled="false" stroked="true" strokeweight="1.140pt" strokecolor="#d2d2d2">
                <v:path arrowok="t"/>
              </v:shape>
            </v:group>
            <v:group style="position:absolute;left:7635;top:2627;width:2;height:392" coordorigin="7635,2627" coordsize="2,392">
              <v:shape style="position:absolute;left:7635;top:2627;width:2;height:392" coordorigin="7635,2627" coordsize="0,392" path="m7635,2627l7635,3018e" filled="false" stroked="true" strokeweight="1.2pt" strokecolor="#d2d2d2">
                <v:path arrowok="t"/>
              </v:shape>
            </v:group>
            <v:group style="position:absolute;left:4356;top:2627;width:3267;height:392" coordorigin="4356,2627" coordsize="3267,392">
              <v:shape style="position:absolute;left:4356;top:2627;width:3267;height:392" coordorigin="4356,2627" coordsize="3267,392" path="m4356,3018l7623,3018,7623,2627,4356,2627,4356,3018xe" filled="true" fillcolor="#d2d2d2" stroked="false">
                <v:path arrowok="t"/>
                <v:fill type="solid"/>
              </v:shape>
            </v:group>
            <v:group style="position:absolute;left:7668;top:2627;width:2;height:392" coordorigin="7668,2627" coordsize="2,392">
              <v:shape style="position:absolute;left:7668;top:2627;width:2;height:392" coordorigin="7668,2627" coordsize="0,392" path="m7668,2627l7668,3018e" filled="false" stroked="true" strokeweight="1.140pt" strokecolor="#d2d2d2">
                <v:path arrowok="t"/>
              </v:shape>
            </v:group>
            <v:group style="position:absolute;left:10687;top:2627;width:2;height:392" coordorigin="10687,2627" coordsize="2,392">
              <v:shape style="position:absolute;left:10687;top:2627;width:2;height:392" coordorigin="10687,2627" coordsize="0,392" path="m10687,2627l10687,3018e" filled="false" stroked="true" strokeweight="1.140pt" strokecolor="#d2d2d2">
                <v:path arrowok="t"/>
              </v:shape>
            </v:group>
            <v:group style="position:absolute;left:7680;top:2627;width:2996;height:392" coordorigin="7680,2627" coordsize="2996,392">
              <v:shape style="position:absolute;left:7680;top:2627;width:2996;height:392" coordorigin="7680,2627" coordsize="2996,392" path="m7680,3018l10675,3018,10675,2627,7680,2627,7680,3018xe" filled="true" fillcolor="#d2d2d2" stroked="false">
                <v:path arrowok="t"/>
                <v:fill type="solid"/>
              </v:shape>
            </v:group>
            <v:group style="position:absolute;left:1139;top:2621;width:3186;height:2" coordorigin="1139,2621" coordsize="3186,2">
              <v:shape style="position:absolute;left:1139;top:2621;width:3186;height:2" coordorigin="1139,2621" coordsize="3186,0" path="m1139,2621l4324,2621e" filled="false" stroked="true" strokeweight=".48pt" strokecolor="#000000">
                <v:path arrowok="t"/>
              </v:shape>
            </v:group>
            <v:group style="position:absolute;left:4334;top:2621;width:3314;height:2" coordorigin="4334,2621" coordsize="3314,2">
              <v:shape style="position:absolute;left:4334;top:2621;width:3314;height:2" coordorigin="4334,2621" coordsize="3314,0" path="m4334,2621l7647,2621e" filled="false" stroked="true" strokeweight=".48pt" strokecolor="#000000">
                <v:path arrowok="t"/>
              </v:shape>
            </v:group>
            <v:group style="position:absolute;left:7657;top:2621;width:3042;height:2" coordorigin="7657,2621" coordsize="3042,2">
              <v:shape style="position:absolute;left:7657;top:2621;width:3042;height:2" coordorigin="7657,2621" coordsize="3042,0" path="m7657,2621l10698,2621e" filled="false" stroked="true" strokeweight=".48pt" strokecolor="#000000">
                <v:path arrowok="t"/>
              </v:shape>
            </v:group>
            <v:group style="position:absolute;left:1139;top:3029;width:3184;height:2497" coordorigin="1139,3029" coordsize="3184,2497">
              <v:shape style="position:absolute;left:1139;top:3029;width:3184;height:2497" coordorigin="1139,3029" coordsize="3184,2497" path="m1139,5525l4323,5525,4323,3029,1139,3029,1139,5525xe" filled="true" fillcolor="#d2d2d2" stroked="false">
                <v:path arrowok="t"/>
                <v:fill type="solid"/>
              </v:shape>
            </v:group>
            <v:group style="position:absolute;left:1150;top:5525;width:2;height:392" coordorigin="1150,5525" coordsize="2,392">
              <v:shape style="position:absolute;left:1150;top:5525;width:2;height:392" coordorigin="1150,5525" coordsize="0,392" path="m1150,5525l1150,5916e" filled="false" stroked="true" strokeweight="1.140pt" strokecolor="#d2d2d2">
                <v:path arrowok="t"/>
              </v:shape>
            </v:group>
            <v:group style="position:absolute;left:4311;top:5525;width:2;height:392" coordorigin="4311,5525" coordsize="2,392">
              <v:shape style="position:absolute;left:4311;top:5525;width:2;height:392" coordorigin="4311,5525" coordsize="0,392" path="m4311,5525l4311,5916e" filled="false" stroked="true" strokeweight="1.140pt" strokecolor="#d2d2d2">
                <v:path arrowok="t"/>
              </v:shape>
            </v:group>
            <v:group style="position:absolute;left:1139;top:5916;width:3184;height:2496" coordorigin="1139,5916" coordsize="3184,2496">
              <v:shape style="position:absolute;left:1139;top:5916;width:3184;height:2496" coordorigin="1139,5916" coordsize="3184,2496" path="m1139,8412l4323,8412,4323,5916,1139,5916,1139,8412xe" filled="true" fillcolor="#d2d2d2" stroked="false">
                <v:path arrowok="t"/>
                <v:fill type="solid"/>
              </v:shape>
            </v:group>
            <v:group style="position:absolute;left:1162;top:5525;width:3139;height:392" coordorigin="1162,5525" coordsize="3139,392">
              <v:shape style="position:absolute;left:1162;top:5525;width:3139;height:392" coordorigin="1162,5525" coordsize="3139,392" path="m1162,5916l4300,5916,4300,5525,1162,5525,1162,5916xe" filled="true" fillcolor="#d2d2d2" stroked="false">
                <v:path arrowok="t"/>
                <v:fill type="solid"/>
              </v:shape>
            </v:group>
            <v:group style="position:absolute;left:7657;top:3029;width:3042;height:312" coordorigin="7657,3029" coordsize="3042,312">
              <v:shape style="position:absolute;left:7657;top:3029;width:3042;height:312" coordorigin="7657,3029" coordsize="3042,312" path="m7657,3341l10698,3341,10698,3029,7657,3029,7657,3341xe" filled="true" fillcolor="#ffffff" stroked="false">
                <v:path arrowok="t"/>
                <v:fill type="solid"/>
              </v:shape>
            </v:group>
            <v:group style="position:absolute;left:7668;top:3341;width:2;height:4760" coordorigin="7668,3341" coordsize="2,4760">
              <v:shape style="position:absolute;left:7668;top:3341;width:2;height:4760" coordorigin="7668,3341" coordsize="0,4760" path="m7668,3341l7668,8100e" filled="false" stroked="true" strokeweight="1.140pt" strokecolor="#ffffff">
                <v:path arrowok="t"/>
              </v:shape>
            </v:group>
            <v:group style="position:absolute;left:7680;top:5253;width:2996;height:312" coordorigin="7680,5253" coordsize="2996,312">
              <v:shape style="position:absolute;left:7680;top:5253;width:2996;height:312" coordorigin="7680,5253" coordsize="2996,312" path="m7680,5565l10675,5565,10675,5253,7680,5253,7680,5565xe" filled="true" fillcolor="#ffffff" stroked="false">
                <v:path arrowok="t"/>
                <v:fill type="solid"/>
              </v:shape>
            </v:group>
            <v:group style="position:absolute;left:7680;top:5877;width:2996;height:312" coordorigin="7680,5877" coordsize="2996,312">
              <v:shape style="position:absolute;left:7680;top:5877;width:2996;height:312" coordorigin="7680,5877" coordsize="2996,312" path="m7680,6189l10675,6189,10675,5877,7680,5877,7680,6189xe" filled="true" fillcolor="#ffffff" stroked="false">
                <v:path arrowok="t"/>
                <v:fill type="solid"/>
              </v:shape>
            </v:group>
            <v:group style="position:absolute;left:1139;top:3023;width:3186;height:2" coordorigin="1139,3023" coordsize="3186,2">
              <v:shape style="position:absolute;left:1139;top:3023;width:3186;height:2" coordorigin="1139,3023" coordsize="3186,0" path="m1139,3023l4324,3023e" filled="false" stroked="true" strokeweight=".48pt" strokecolor="#000000">
                <v:path arrowok="t"/>
              </v:shape>
            </v:group>
            <v:group style="position:absolute;left:4334;top:3023;width:3314;height:2" coordorigin="4334,3023" coordsize="3314,2">
              <v:shape style="position:absolute;left:4334;top:3023;width:3314;height:2" coordorigin="4334,3023" coordsize="3314,0" path="m4334,3023l7647,3023e" filled="false" stroked="true" strokeweight=".48pt" strokecolor="#000000">
                <v:path arrowok="t"/>
              </v:shape>
            </v:group>
            <v:group style="position:absolute;left:7657;top:3023;width:3042;height:2" coordorigin="7657,3023" coordsize="3042,2">
              <v:shape style="position:absolute;left:7657;top:3023;width:3042;height:2" coordorigin="7657,3023" coordsize="3042,0" path="m7657,3023l10698,3023e" filled="false" stroked="true" strokeweight=".48pt" strokecolor="#000000">
                <v:path arrowok="t"/>
              </v:shape>
            </v:group>
            <v:group style="position:absolute;left:1139;top:8423;width:3184;height:1091" coordorigin="1139,8423" coordsize="3184,1091">
              <v:shape style="position:absolute;left:1139;top:8423;width:3184;height:1091" coordorigin="1139,8423" coordsize="3184,1091" path="m1139,9514l4323,9514,4323,8423,1139,8423,1139,9514xe" filled="true" fillcolor="#d2d2d2" stroked="false">
                <v:path arrowok="t"/>
                <v:fill type="solid"/>
              </v:shape>
            </v:group>
            <v:group style="position:absolute;left:1150;top:9514;width:2;height:393" coordorigin="1150,9514" coordsize="2,393">
              <v:shape style="position:absolute;left:1150;top:9514;width:2;height:393" coordorigin="1150,9514" coordsize="0,393" path="m1150,9514l1150,9906e" filled="false" stroked="true" strokeweight="1.140pt" strokecolor="#d2d2d2">
                <v:path arrowok="t"/>
              </v:shape>
            </v:group>
            <v:group style="position:absolute;left:4311;top:9514;width:2;height:393" coordorigin="4311,9514" coordsize="2,393">
              <v:shape style="position:absolute;left:4311;top:9514;width:2;height:393" coordorigin="4311,9514" coordsize="0,393" path="m4311,9514l4311,9906e" filled="false" stroked="true" strokeweight="1.140pt" strokecolor="#d2d2d2">
                <v:path arrowok="t"/>
              </v:shape>
            </v:group>
            <v:group style="position:absolute;left:1139;top:9906;width:3184;height:1093" coordorigin="1139,9906" coordsize="3184,1093">
              <v:shape style="position:absolute;left:1139;top:9906;width:3184;height:1093" coordorigin="1139,9906" coordsize="3184,1093" path="m1139,10999l4323,10999,4323,9906,1139,9906,1139,10999xe" filled="true" fillcolor="#d2d2d2" stroked="false">
                <v:path arrowok="t"/>
                <v:fill type="solid"/>
              </v:shape>
            </v:group>
            <v:group style="position:absolute;left:1162;top:9514;width:3139;height:393" coordorigin="1162,9514" coordsize="3139,393">
              <v:shape style="position:absolute;left:1162;top:9514;width:3139;height:393" coordorigin="1162,9514" coordsize="3139,393" path="m1162,9906l4300,9906,4300,9514,1162,9514,1162,9906xe" filled="true" fillcolor="#d2d2d2" stroked="false">
                <v:path arrowok="t"/>
                <v:fill type="solid"/>
              </v:shape>
            </v:group>
            <v:group style="position:absolute;left:7668;top:8579;width:2;height:2264" coordorigin="7668,8579" coordsize="2,2264">
              <v:shape style="position:absolute;left:7668;top:8579;width:2;height:2264" coordorigin="7668,8579" coordsize="0,2264" path="m7668,8579l7668,10843e" filled="false" stroked="true" strokeweight="1.140pt" strokecolor="#ffffff">
                <v:path arrowok="t"/>
              </v:shape>
            </v:group>
            <v:group style="position:absolute;left:7680;top:9555;width:2996;height:312" coordorigin="7680,9555" coordsize="2996,312">
              <v:shape style="position:absolute;left:7680;top:9555;width:2996;height:312" coordorigin="7680,9555" coordsize="2996,312" path="m7680,9867l10675,9867,10675,9555,7680,9555,7680,9867xe" filled="true" fillcolor="#ffffff" stroked="false">
                <v:path arrowok="t"/>
                <v:fill type="solid"/>
              </v:shape>
            </v:group>
            <v:group style="position:absolute;left:7680;top:9867;width:2996;height:313" coordorigin="7680,9867" coordsize="2996,313">
              <v:shape style="position:absolute;left:7680;top:9867;width:2996;height:313" coordorigin="7680,9867" coordsize="2996,313" path="m7680,10179l10675,10179,10675,9867,7680,9867,7680,10179xe" filled="true" fillcolor="#ffffff" stroked="false">
                <v:path arrowok="t"/>
                <v:fill type="solid"/>
              </v:shape>
            </v:group>
            <v:group style="position:absolute;left:1139;top:8417;width:3186;height:2" coordorigin="1139,8417" coordsize="3186,2">
              <v:shape style="position:absolute;left:1139;top:8417;width:3186;height:2" coordorigin="1139,8417" coordsize="3186,0" path="m1139,8417l4324,8417e" filled="false" stroked="true" strokeweight=".48pt" strokecolor="#000000">
                <v:path arrowok="t"/>
              </v:shape>
            </v:group>
            <v:group style="position:absolute;left:4334;top:8417;width:3314;height:2" coordorigin="4334,8417" coordsize="3314,2">
              <v:shape style="position:absolute;left:4334;top:8417;width:3314;height:2" coordorigin="4334,8417" coordsize="3314,0" path="m4334,8417l7647,8417e" filled="false" stroked="true" strokeweight=".48pt" strokecolor="#000000">
                <v:path arrowok="t"/>
              </v:shape>
            </v:group>
            <v:group style="position:absolute;left:7657;top:8417;width:3042;height:2" coordorigin="7657,8417" coordsize="3042,2">
              <v:shape style="position:absolute;left:7657;top:8417;width:3042;height:2" coordorigin="7657,8417" coordsize="3042,0" path="m7657,8417l10698,8417e" filled="false" stroked="true" strokeweight=".48pt" strokecolor="#000000">
                <v:path arrowok="t"/>
              </v:shape>
            </v:group>
            <v:group style="position:absolute;left:7652;top:2616;width:2;height:8393" coordorigin="7652,2616" coordsize="2,8393">
              <v:shape style="position:absolute;left:7652;top:2616;width:2;height:8393" coordorigin="7652,2616" coordsize="0,8393" path="m7652,2616l7652,11008e" filled="false" stroked="true" strokeweight=".48pt" strokecolor="#000000">
                <v:path arrowok="t"/>
              </v:shape>
            </v:group>
            <v:group style="position:absolute;left:1150;top:11008;width:2;height:393" coordorigin="1150,11008" coordsize="2,393">
              <v:shape style="position:absolute;left:1150;top:11008;width:2;height:393" coordorigin="1150,11008" coordsize="0,393" path="m1150,11008l1150,11401e" filled="false" stroked="true" strokeweight="1.140pt" strokecolor="#d2d2d2">
                <v:path arrowok="t"/>
              </v:shape>
            </v:group>
            <v:group style="position:absolute;left:4311;top:11008;width:2;height:393" coordorigin="4311,11008" coordsize="2,393">
              <v:shape style="position:absolute;left:4311;top:11008;width:2;height:393" coordorigin="4311,11008" coordsize="0,393" path="m4311,11008l4311,11401e" filled="false" stroked="true" strokeweight="1.140pt" strokecolor="#d2d2d2">
                <v:path arrowok="t"/>
              </v:shape>
            </v:group>
            <v:group style="position:absolute;left:1162;top:11008;width:3139;height:393" coordorigin="1162,11008" coordsize="3139,393">
              <v:shape style="position:absolute;left:1162;top:11008;width:3139;height:393" coordorigin="1162,11008" coordsize="3139,393" path="m1162,11401l4300,11401,4300,11008,1162,11008,1162,11401xe" filled="true" fillcolor="#d2d2d2" stroked="false">
                <v:path arrowok="t"/>
                <v:fill type="solid"/>
              </v:shape>
            </v:group>
            <v:group style="position:absolute;left:1139;top:11003;width:3186;height:2" coordorigin="1139,11003" coordsize="3186,2">
              <v:shape style="position:absolute;left:1139;top:11003;width:3186;height:2" coordorigin="1139,11003" coordsize="3186,0" path="m1139,11003l4324,11003e" filled="false" stroked="true" strokeweight=".48pt" strokecolor="#000000">
                <v:path arrowok="t"/>
              </v:shape>
            </v:group>
            <v:group style="position:absolute;left:4334;top:11003;width:3314;height:2" coordorigin="4334,11003" coordsize="3314,2">
              <v:shape style="position:absolute;left:4334;top:11003;width:3314;height:2" coordorigin="4334,11003" coordsize="3314,0" path="m4334,11003l7647,11003e" filled="false" stroked="true" strokeweight=".48pt" strokecolor="#000000">
                <v:path arrowok="t"/>
              </v:shape>
            </v:group>
            <v:group style="position:absolute;left:7657;top:11003;width:3042;height:2" coordorigin="7657,11003" coordsize="3042,2">
              <v:shape style="position:absolute;left:7657;top:11003;width:3042;height:2" coordorigin="7657,11003" coordsize="3042,0" path="m7657,11003l10698,11003e" filled="false" stroked="true" strokeweight=".48pt" strokecolor="#000000">
                <v:path arrowok="t"/>
              </v:shape>
            </v:group>
            <v:group style="position:absolute;left:1134;top:-18;width:2;height:11429" coordorigin="1134,-18" coordsize="2,11429">
              <v:shape style="position:absolute;left:1134;top:-18;width:2;height:11429" coordorigin="1134,-18" coordsize="0,11429" path="m1134,-18l1134,11410e" filled="false" stroked="true" strokeweight=".48pt" strokecolor="#000000">
                <v:path arrowok="t"/>
              </v:shape>
            </v:group>
            <v:group style="position:absolute;left:1139;top:11405;width:3186;height:2" coordorigin="1139,11405" coordsize="3186,2">
              <v:shape style="position:absolute;left:1139;top:11405;width:3186;height:2" coordorigin="1139,11405" coordsize="3186,0" path="m1139,11405l4324,11405e" filled="false" stroked="true" strokeweight=".48pt" strokecolor="#000000">
                <v:path arrowok="t"/>
              </v:shape>
            </v:group>
            <v:group style="position:absolute;left:4329;top:2616;width:2;height:8795" coordorigin="4329,2616" coordsize="2,8795">
              <v:shape style="position:absolute;left:4329;top:2616;width:2;height:8795" coordorigin="4329,2616" coordsize="0,8795" path="m4329,2616l4329,11410e" filled="false" stroked="true" strokeweight=".48pt" strokecolor="#000000">
                <v:path arrowok="t"/>
              </v:shape>
            </v:group>
            <v:group style="position:absolute;left:4334;top:11405;width:6365;height:2" coordorigin="4334,11405" coordsize="6365,2">
              <v:shape style="position:absolute;left:4334;top:11405;width:6365;height:2" coordorigin="4334,11405" coordsize="6365,0" path="m4334,11405l10698,11405e" filled="false" stroked="true" strokeweight=".48pt" strokecolor="#000000">
                <v:path arrowok="t"/>
              </v:shape>
            </v:group>
            <v:group style="position:absolute;left:10703;top:-18;width:2;height:11429" coordorigin="10703,-18" coordsize="2,11429">
              <v:shape style="position:absolute;left:10703;top:-18;width:2;height:11429" coordorigin="10703,-18" coordsize="0,11429" path="m10703,-18l10703,11410e" filled="false" stroked="true" strokeweight=".48pt" strokecolor="#000000">
                <v:path arrowok="t"/>
              </v:shape>
            </v:group>
            <w10:wrap type="none"/>
          </v:group>
        </w:pict>
      </w:r>
      <w:r>
        <w:rPr>
          <w:rFonts w:ascii="宋体" w:hAnsi="宋体" w:cs="宋体" w:eastAsia="宋体" w:hint="default"/>
          <w:sz w:val="18"/>
          <w:szCs w:val="18"/>
        </w:rPr>
        <w:t>内部控制评价报告全文披露日期</w:t>
        <w:tab/>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4"/>
        <w:rPr>
          <w:rFonts w:ascii="宋体" w:hAnsi="宋体" w:cs="宋体" w:eastAsia="宋体" w:hint="default"/>
          <w:sz w:val="8"/>
          <w:szCs w:val="8"/>
        </w:rPr>
      </w:pPr>
    </w:p>
    <w:p>
      <w:pPr>
        <w:tabs>
          <w:tab w:pos="4356" w:val="left" w:leader="none"/>
        </w:tabs>
        <w:spacing w:before="44"/>
        <w:ind w:left="1161" w:right="0" w:firstLine="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tab/>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979" w:top="1060" w:bottom="1160" w:left="0" w:right="0"/>
        </w:sectPr>
      </w:pPr>
    </w:p>
    <w:p>
      <w:pPr>
        <w:spacing w:line="316" w:lineRule="auto" w:before="44"/>
        <w:ind w:left="116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1143" w:right="1209" w:firstLine="0"/>
        <w:jc w:val="center"/>
        <w:rPr>
          <w:rFonts w:ascii="Times New Roman" w:hAnsi="Times New Roman" w:cs="Times New Roman" w:eastAsia="Times New Roman" w:hint="default"/>
          <w:sz w:val="18"/>
          <w:szCs w:val="18"/>
        </w:rPr>
      </w:pPr>
      <w:r>
        <w:rPr>
          <w:rFonts w:ascii="Times New Roman"/>
          <w:sz w:val="18"/>
        </w:rPr>
        <w:t>100.00%</w:t>
      </w:r>
    </w:p>
    <w:p>
      <w:pPr>
        <w:spacing w:after="0"/>
        <w:jc w:val="center"/>
        <w:rPr>
          <w:rFonts w:ascii="Times New Roman" w:hAnsi="Times New Roman" w:cs="Times New Roman" w:eastAsia="Times New Roman" w:hint="default"/>
          <w:sz w:val="18"/>
          <w:szCs w:val="18"/>
        </w:rPr>
        <w:sectPr>
          <w:type w:val="continuous"/>
          <w:pgSz w:w="11910" w:h="16840"/>
          <w:pgMar w:top="1060" w:bottom="1160" w:left="0" w:right="0"/>
          <w:cols w:num="2" w:equalWidth="0">
            <w:col w:w="4222" w:space="4647"/>
            <w:col w:w="3041"/>
          </w:cols>
        </w:sectPr>
      </w:pPr>
    </w:p>
    <w:p>
      <w:pPr>
        <w:spacing w:line="316" w:lineRule="auto" w:before="109"/>
        <w:ind w:left="116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p>
      <w:pPr>
        <w:spacing w:line="240" w:lineRule="auto" w:before="4"/>
        <w:rPr>
          <w:rFonts w:ascii="宋体" w:hAnsi="宋体" w:cs="宋体" w:eastAsia="宋体" w:hint="default"/>
          <w:sz w:val="23"/>
          <w:szCs w:val="23"/>
        </w:rPr>
      </w:pPr>
      <w:r>
        <w:rPr/>
        <w:br w:type="column"/>
      </w:r>
      <w:r>
        <w:rPr>
          <w:rFonts w:ascii="宋体"/>
          <w:sz w:val="23"/>
        </w:rPr>
      </w:r>
    </w:p>
    <w:p>
      <w:pPr>
        <w:spacing w:before="0"/>
        <w:ind w:left="1143" w:right="1209" w:firstLine="0"/>
        <w:jc w:val="center"/>
        <w:rPr>
          <w:rFonts w:ascii="Times New Roman" w:hAnsi="Times New Roman" w:cs="Times New Roman" w:eastAsia="Times New Roman" w:hint="default"/>
          <w:sz w:val="18"/>
          <w:szCs w:val="18"/>
        </w:rPr>
      </w:pPr>
      <w:r>
        <w:rPr>
          <w:rFonts w:ascii="Times New Roman"/>
          <w:sz w:val="18"/>
        </w:rPr>
        <w:t>100.00%</w:t>
      </w:r>
    </w:p>
    <w:p>
      <w:pPr>
        <w:spacing w:after="0"/>
        <w:jc w:val="center"/>
        <w:rPr>
          <w:rFonts w:ascii="Times New Roman" w:hAnsi="Times New Roman" w:cs="Times New Roman" w:eastAsia="Times New Roman" w:hint="default"/>
          <w:sz w:val="18"/>
          <w:szCs w:val="18"/>
        </w:rPr>
        <w:sectPr>
          <w:type w:val="continuous"/>
          <w:pgSz w:w="11910" w:h="16840"/>
          <w:pgMar w:top="1060" w:bottom="1160" w:left="0" w:right="0"/>
          <w:cols w:num="2" w:equalWidth="0">
            <w:col w:w="4222" w:space="4647"/>
            <w:col w:w="3041"/>
          </w:cols>
        </w:sectPr>
      </w:pPr>
    </w:p>
    <w:p>
      <w:pPr>
        <w:spacing w:before="109"/>
        <w:ind w:left="3335" w:right="3403"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4"/>
        <w:rPr>
          <w:rFonts w:ascii="宋体" w:hAnsi="宋体" w:cs="宋体" w:eastAsia="宋体" w:hint="default"/>
          <w:sz w:val="9"/>
          <w:szCs w:val="9"/>
        </w:rPr>
      </w:pPr>
    </w:p>
    <w:p>
      <w:pPr>
        <w:tabs>
          <w:tab w:pos="5629" w:val="left" w:leader="none"/>
          <w:tab w:pos="8727" w:val="left" w:leader="none"/>
        </w:tabs>
        <w:spacing w:before="44"/>
        <w:ind w:left="2550" w:right="0"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before="44"/>
        <w:ind w:left="1161" w:right="1126"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pacing w:val="-77"/>
          <w:sz w:val="18"/>
          <w:szCs w:val="18"/>
        </w:rPr>
        <w:t>、</w:t>
      </w:r>
      <w:r>
        <w:rPr>
          <w:rFonts w:ascii="宋体" w:hAnsi="宋体" w:cs="宋体" w:eastAsia="宋体" w:hint="default"/>
          <w:sz w:val="18"/>
          <w:szCs w:val="18"/>
        </w:rPr>
        <w:t>具有以下特征的缺陷，</w:t>
      </w:r>
    </w:p>
    <w:p>
      <w:pPr>
        <w:spacing w:line="300" w:lineRule="auto" w:before="63"/>
        <w:ind w:left="1161" w:right="1126" w:firstLine="0"/>
        <w:jc w:val="left"/>
        <w:rPr>
          <w:rFonts w:ascii="宋体" w:hAnsi="宋体" w:cs="宋体" w:eastAsia="宋体" w:hint="default"/>
          <w:sz w:val="18"/>
          <w:szCs w:val="18"/>
        </w:rPr>
      </w:pPr>
      <w:r>
        <w:rPr/>
        <w:pict>
          <v:shape style="position:absolute;margin-left:313.634003pt;margin-top:-15.018293pt;width:221.3pt;height:15.6pt;mso-position-horizontal-relative:page;mso-position-vertical-relative:paragraph;z-index:-9250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认定为重大缺陷：</w:t>
                  </w:r>
                </w:p>
              </w:txbxContent>
            </v:textbox>
            <w10:wrap type="none"/>
          </v:shape>
        </w:pic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）审计委员会和审计部门对公司财务报</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、具有下列特征的缺陷，为重大缺陷：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告的内部控制监督无效；（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w:t>
      </w:r>
      <w:r>
        <w:rPr>
          <w:rFonts w:ascii="宋体" w:hAnsi="宋体" w:cs="宋体" w:eastAsia="宋体" w:hint="default"/>
          <w:spacing w:val="10"/>
          <w:sz w:val="18"/>
          <w:szCs w:val="18"/>
        </w:rPr>
        <w:t> </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）公司决策程序导致重大失误；（</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宋体" w:hAnsi="宋体" w:cs="宋体" w:eastAsia="宋体" w:hint="default"/>
          <w:sz w:val="18"/>
          <w:szCs w:val="18"/>
        </w:rPr>
        <w:t> </w:t>
      </w:r>
      <w:r>
        <w:rPr>
          <w:rFonts w:ascii="宋体" w:hAnsi="宋体" w:cs="宋体" w:eastAsia="宋体" w:hint="default"/>
          <w:spacing w:val="-5"/>
          <w:sz w:val="18"/>
          <w:szCs w:val="18"/>
        </w:rPr>
        <w:t>监事和高级管理人员舞弊；（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）外部审计</w:t>
      </w:r>
      <w:r>
        <w:rPr>
          <w:rFonts w:ascii="宋体" w:hAnsi="宋体" w:cs="宋体" w:eastAsia="宋体" w:hint="default"/>
          <w:spacing w:val="-7"/>
          <w:sz w:val="18"/>
          <w:szCs w:val="18"/>
        </w:rPr>
        <w:t> </w:t>
      </w:r>
      <w:r>
        <w:rPr>
          <w:rFonts w:ascii="宋体" w:hAnsi="宋体" w:cs="宋体" w:eastAsia="宋体" w:hint="default"/>
          <w:sz w:val="18"/>
          <w:szCs w:val="18"/>
        </w:rPr>
        <w:t>重要业务缺乏制度控制或制度系统性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师发现当期财务报表存在重大错报，而内</w:t>
      </w:r>
      <w:r>
        <w:rPr>
          <w:rFonts w:ascii="宋体" w:hAnsi="宋体" w:cs="宋体" w:eastAsia="宋体" w:hint="default"/>
          <w:spacing w:val="-6"/>
          <w:sz w:val="18"/>
          <w:szCs w:val="18"/>
        </w:rPr>
        <w:t> </w:t>
      </w:r>
      <w:r>
        <w:rPr>
          <w:rFonts w:ascii="宋体" w:hAnsi="宋体" w:cs="宋体" w:eastAsia="宋体" w:hint="default"/>
          <w:spacing w:val="-9"/>
          <w:sz w:val="18"/>
          <w:szCs w:val="18"/>
        </w:rPr>
        <w:t>失效；（</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）缺陷发生的可能性高，会严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部控制运行过程中未能发现该错报；（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 </w:t>
      </w:r>
      <w:r>
        <w:rPr>
          <w:rFonts w:ascii="宋体" w:hAnsi="宋体" w:cs="宋体" w:eastAsia="宋体" w:hint="default"/>
          <w:spacing w:val="-4"/>
          <w:sz w:val="18"/>
          <w:szCs w:val="18"/>
        </w:rPr>
        <w:t>重降低工作效率或效果，或严重偏离预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其他可能导致公司严重偏离控制目标的缺</w:t>
      </w:r>
      <w:r>
        <w:rPr>
          <w:rFonts w:ascii="宋体" w:hAnsi="宋体" w:cs="宋体" w:eastAsia="宋体" w:hint="default"/>
          <w:spacing w:val="-5"/>
          <w:sz w:val="18"/>
          <w:szCs w:val="18"/>
        </w:rPr>
        <w:t> </w:t>
      </w:r>
      <w:r>
        <w:rPr>
          <w:rFonts w:ascii="宋体" w:hAnsi="宋体" w:cs="宋体" w:eastAsia="宋体" w:hint="default"/>
          <w:sz w:val="18"/>
          <w:szCs w:val="18"/>
        </w:rPr>
        <w:t>期目标。</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、具有下列特征的缺陷，为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陷。</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、具有以下特征的缺陷，为重要缺陷：重要缺陷：</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）公司决策程序导致一</w:t>
      </w:r>
    </w:p>
    <w:p>
      <w:pPr>
        <w:spacing w:line="300" w:lineRule="auto" w:before="13"/>
        <w:ind w:left="1161" w:right="115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3"/>
          <w:sz w:val="18"/>
          <w:szCs w:val="18"/>
        </w:rPr>
        <w:t>）</w:t>
      </w:r>
      <w:r>
        <w:rPr>
          <w:rFonts w:ascii="宋体" w:hAnsi="宋体" w:cs="宋体" w:eastAsia="宋体" w:hint="default"/>
          <w:sz w:val="18"/>
          <w:szCs w:val="18"/>
        </w:rPr>
        <w:t>未依照</w:t>
      </w:r>
      <w:r>
        <w:rPr>
          <w:rFonts w:ascii="宋体" w:hAnsi="宋体" w:cs="宋体" w:eastAsia="宋体" w:hint="default"/>
          <w:spacing w:val="-2"/>
          <w:sz w:val="18"/>
          <w:szCs w:val="18"/>
        </w:rPr>
        <w:t>公</w:t>
      </w:r>
      <w:r>
        <w:rPr>
          <w:rFonts w:ascii="宋体" w:hAnsi="宋体" w:cs="宋体" w:eastAsia="宋体" w:hint="default"/>
          <w:sz w:val="18"/>
          <w:szCs w:val="18"/>
        </w:rPr>
        <w:t>认会计准则选择和应用会计</w:t>
      </w:r>
      <w:r>
        <w:rPr>
          <w:rFonts w:ascii="宋体" w:hAnsi="宋体" w:cs="宋体" w:eastAsia="宋体" w:hint="default"/>
          <w:spacing w:val="-34"/>
          <w:sz w:val="18"/>
          <w:szCs w:val="18"/>
        </w:rPr>
        <w:t> </w:t>
      </w:r>
      <w:r>
        <w:rPr>
          <w:rFonts w:ascii="宋体" w:hAnsi="宋体" w:cs="宋体" w:eastAsia="宋体" w:hint="default"/>
          <w:sz w:val="18"/>
          <w:szCs w:val="18"/>
        </w:rPr>
        <w:t>般性失误</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3"/>
          <w:sz w:val="18"/>
          <w:szCs w:val="18"/>
        </w:rPr>
        <w:t>）</w:t>
      </w:r>
      <w:r>
        <w:rPr>
          <w:rFonts w:ascii="宋体" w:hAnsi="宋体" w:cs="宋体" w:eastAsia="宋体" w:hint="default"/>
          <w:sz w:val="18"/>
          <w:szCs w:val="18"/>
        </w:rPr>
        <w:t>重要业务制度或系统存</w:t>
      </w:r>
      <w:r>
        <w:rPr>
          <w:rFonts w:ascii="宋体" w:hAnsi="宋体" w:cs="宋体" w:eastAsia="宋体" w:hint="default"/>
          <w:sz w:val="18"/>
          <w:szCs w:val="18"/>
        </w:rPr>
        <w:t> 政策</w:t>
      </w:r>
      <w:r>
        <w:rPr>
          <w:rFonts w:ascii="宋体" w:hAnsi="宋体" w:cs="宋体" w:eastAsia="宋体" w:hint="default"/>
          <w:spacing w:val="-12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2"/>
          <w:sz w:val="18"/>
          <w:szCs w:val="18"/>
        </w:rPr>
        <w:t>）</w:t>
      </w:r>
      <w:r>
        <w:rPr>
          <w:rFonts w:ascii="宋体" w:hAnsi="宋体" w:cs="宋体" w:eastAsia="宋体" w:hint="default"/>
          <w:sz w:val="18"/>
          <w:szCs w:val="18"/>
        </w:rPr>
        <w:t>未</w:t>
      </w:r>
      <w:r>
        <w:rPr>
          <w:rFonts w:ascii="宋体" w:hAnsi="宋体" w:cs="宋体" w:eastAsia="宋体" w:hint="default"/>
          <w:spacing w:val="-2"/>
          <w:sz w:val="18"/>
          <w:szCs w:val="18"/>
        </w:rPr>
        <w:t>建</w:t>
      </w:r>
      <w:r>
        <w:rPr>
          <w:rFonts w:ascii="宋体" w:hAnsi="宋体" w:cs="宋体" w:eastAsia="宋体" w:hint="default"/>
          <w:sz w:val="18"/>
          <w:szCs w:val="18"/>
        </w:rPr>
        <w:t>立反舞弊程序和控制措施</w:t>
      </w:r>
      <w:r>
        <w:rPr>
          <w:rFonts w:ascii="宋体" w:hAnsi="宋体" w:cs="宋体" w:eastAsia="宋体" w:hint="default"/>
          <w:spacing w:val="-34"/>
          <w:sz w:val="18"/>
          <w:szCs w:val="18"/>
        </w:rPr>
        <w:t>；</w:t>
      </w:r>
      <w:r>
        <w:rPr>
          <w:rFonts w:ascii="宋体" w:hAnsi="宋体" w:cs="宋体" w:eastAsia="宋体" w:hint="default"/>
          <w:sz w:val="18"/>
          <w:szCs w:val="18"/>
        </w:rPr>
        <w:t>在缺陷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）缺陷发生的可能性较高，</w:t>
      </w:r>
    </w:p>
    <w:p>
      <w:pPr>
        <w:spacing w:line="300" w:lineRule="auto" w:before="13"/>
        <w:ind w:left="1161" w:right="1124"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29"/>
          <w:sz w:val="18"/>
          <w:szCs w:val="18"/>
        </w:rPr>
        <w:t> </w:t>
      </w:r>
      <w:r>
        <w:rPr>
          <w:rFonts w:ascii="宋体" w:hAnsi="宋体" w:cs="宋体" w:eastAsia="宋体" w:hint="default"/>
          <w:spacing w:val="-4"/>
          <w:sz w:val="18"/>
          <w:szCs w:val="18"/>
        </w:rPr>
        <w:t>会显著降低工作效率或效果，或显著偏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有建立相应的控制程序；（</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）对于期末的</w:t>
      </w:r>
      <w:r>
        <w:rPr>
          <w:rFonts w:ascii="宋体" w:hAnsi="宋体" w:cs="宋体" w:eastAsia="宋体" w:hint="default"/>
          <w:spacing w:val="3"/>
          <w:sz w:val="18"/>
          <w:szCs w:val="18"/>
        </w:rPr>
        <w:t> </w:t>
      </w:r>
      <w:r>
        <w:rPr>
          <w:rFonts w:ascii="宋体" w:hAnsi="宋体" w:cs="宋体" w:eastAsia="宋体" w:hint="default"/>
          <w:spacing w:val="-4"/>
          <w:sz w:val="18"/>
          <w:szCs w:val="18"/>
        </w:rPr>
        <w:t>离预期目标。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、具有下列特征的缺陷，</w:t>
      </w:r>
    </w:p>
    <w:p>
      <w:pPr>
        <w:spacing w:after="0" w:line="300" w:lineRule="auto"/>
        <w:jc w:val="left"/>
        <w:rPr>
          <w:rFonts w:ascii="宋体" w:hAnsi="宋体" w:cs="宋体" w:eastAsia="宋体" w:hint="default"/>
          <w:sz w:val="18"/>
          <w:szCs w:val="18"/>
        </w:rPr>
        <w:sectPr>
          <w:type w:val="continuous"/>
          <w:pgSz w:w="11910" w:h="16840"/>
          <w:pgMar w:top="1060" w:bottom="1160" w:left="0" w:right="0"/>
          <w:cols w:num="2" w:equalWidth="0">
            <w:col w:w="1882" w:space="1313"/>
            <w:col w:w="8715"/>
          </w:cols>
        </w:sectPr>
      </w:pPr>
    </w:p>
    <w:p>
      <w:pPr>
        <w:tabs>
          <w:tab w:pos="7679" w:val="left" w:leader="none"/>
        </w:tabs>
        <w:spacing w:before="13"/>
        <w:ind w:left="4356" w:right="0" w:firstLine="0"/>
        <w:jc w:val="left"/>
        <w:rPr>
          <w:rFonts w:ascii="宋体" w:hAnsi="宋体" w:cs="宋体" w:eastAsia="宋体" w:hint="default"/>
          <w:sz w:val="18"/>
          <w:szCs w:val="18"/>
        </w:rPr>
      </w:pPr>
      <w:r>
        <w:rPr>
          <w:rFonts w:ascii="宋体" w:hAnsi="宋体" w:cs="宋体" w:eastAsia="宋体" w:hint="default"/>
          <w:sz w:val="18"/>
          <w:szCs w:val="18"/>
        </w:rPr>
        <w:t>财务报告过程的控制存在一项或多项缺</w:t>
        <w:tab/>
        <w:t>为一般缺陷</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33"/>
          <w:sz w:val="18"/>
          <w:szCs w:val="18"/>
        </w:rPr>
        <w:t>）</w:t>
      </w:r>
      <w:r>
        <w:rPr>
          <w:rFonts w:ascii="宋体" w:hAnsi="宋体" w:cs="宋体" w:eastAsia="宋体" w:hint="default"/>
          <w:sz w:val="18"/>
          <w:szCs w:val="18"/>
        </w:rPr>
        <w:t>公司决策程序效率不</w:t>
      </w:r>
    </w:p>
    <w:p>
      <w:pPr>
        <w:spacing w:line="307" w:lineRule="auto" w:before="63"/>
        <w:ind w:left="4356" w:right="1124" w:firstLine="0"/>
        <w:jc w:val="left"/>
        <w:rPr>
          <w:rFonts w:ascii="宋体" w:hAnsi="宋体" w:cs="宋体" w:eastAsia="宋体" w:hint="default"/>
          <w:sz w:val="18"/>
          <w:szCs w:val="18"/>
        </w:rPr>
      </w:pPr>
      <w:r>
        <w:rPr>
          <w:rFonts w:ascii="宋体" w:hAnsi="宋体" w:cs="宋体" w:eastAsia="宋体" w:hint="default"/>
          <w:sz w:val="18"/>
          <w:szCs w:val="18"/>
        </w:rPr>
        <w:t>陷，虽未达到重大缺陷标准，但影响财务</w:t>
      </w:r>
      <w:r>
        <w:rPr>
          <w:rFonts w:ascii="宋体" w:hAnsi="宋体" w:cs="宋体" w:eastAsia="宋体" w:hint="default"/>
          <w:spacing w:val="-7"/>
          <w:sz w:val="18"/>
          <w:szCs w:val="18"/>
        </w:rPr>
        <w:t> </w:t>
      </w:r>
      <w:r>
        <w:rPr>
          <w:rFonts w:ascii="宋体" w:hAnsi="宋体" w:cs="宋体" w:eastAsia="宋体" w:hint="default"/>
          <w:spacing w:val="-13"/>
          <w:sz w:val="18"/>
          <w:szCs w:val="18"/>
        </w:rPr>
        <w:t>高；（</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）一般业务制度或系统存在缺陷；</w:t>
      </w:r>
      <w:r>
        <w:rPr>
          <w:rFonts w:ascii="宋体" w:hAnsi="宋体" w:cs="宋体" w:eastAsia="宋体" w:hint="default"/>
          <w:sz w:val="18"/>
          <w:szCs w:val="18"/>
        </w:rPr>
        <w:t> </w:t>
      </w:r>
      <w:r>
        <w:rPr>
          <w:rFonts w:ascii="宋体" w:hAnsi="宋体" w:cs="宋体" w:eastAsia="宋体" w:hint="default"/>
          <w:spacing w:val="-4"/>
          <w:sz w:val="18"/>
          <w:szCs w:val="18"/>
        </w:rPr>
        <w:t>报告达到合理、准确的目标。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、除上述重</w:t>
      </w:r>
      <w:r>
        <w:rPr>
          <w:rFonts w:ascii="宋体" w:hAnsi="宋体" w:cs="宋体" w:eastAsia="宋体" w:hint="default"/>
          <w:spacing w:val="-3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）缺陷发生的可能性较小，会降低</w:t>
      </w:r>
      <w:r>
        <w:rPr>
          <w:rFonts w:ascii="宋体" w:hAnsi="宋体" w:cs="宋体" w:eastAsia="宋体" w:hint="default"/>
          <w:spacing w:val="-81"/>
          <w:sz w:val="18"/>
          <w:szCs w:val="18"/>
        </w:rPr>
        <w:t> </w:t>
      </w:r>
      <w:r>
        <w:rPr>
          <w:rFonts w:ascii="宋体" w:hAnsi="宋体" w:cs="宋体" w:eastAsia="宋体" w:hint="default"/>
          <w:sz w:val="18"/>
          <w:szCs w:val="18"/>
        </w:rPr>
        <w:t>大缺陷、重要缺陷之外的其他控制缺陷，</w:t>
      </w:r>
      <w:r>
        <w:rPr>
          <w:rFonts w:ascii="宋体" w:hAnsi="宋体" w:cs="宋体" w:eastAsia="宋体" w:hint="default"/>
          <w:spacing w:val="-7"/>
          <w:sz w:val="18"/>
          <w:szCs w:val="18"/>
        </w:rPr>
        <w:t> </w:t>
      </w:r>
      <w:r>
        <w:rPr>
          <w:rFonts w:ascii="宋体" w:hAnsi="宋体" w:cs="宋体" w:eastAsia="宋体" w:hint="default"/>
          <w:sz w:val="18"/>
          <w:szCs w:val="18"/>
        </w:rPr>
        <w:t>工作效率或效果，或偏离预期目标。</w:t>
      </w:r>
      <w:r>
        <w:rPr>
          <w:rFonts w:ascii="宋体" w:hAnsi="宋体" w:cs="宋体" w:eastAsia="宋体" w:hint="default"/>
          <w:sz w:val="18"/>
          <w:szCs w:val="18"/>
        </w:rPr>
        <w:t> 则认定为一般缺陷。</w:t>
      </w:r>
    </w:p>
    <w:p>
      <w:pPr>
        <w:spacing w:after="0" w:line="307"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spacing w:line="212" w:lineRule="exact"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定量标准</w:t>
      </w:r>
    </w:p>
    <w:p>
      <w:pPr>
        <w:spacing w:line="316" w:lineRule="auto" w:before="116"/>
        <w:ind w:left="116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财务报告内部控制缺陷定量标准以合并会 计报表营业收入为衡量指标。内部控制缺 陷单独或连同其他缺陷可能导致的财务报 告错报金额大于或等于营业收入的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240" w:lineRule="auto" w:before="10"/>
        <w:rPr>
          <w:rFonts w:ascii="宋体" w:hAnsi="宋体" w:cs="宋体" w:eastAsia="宋体" w:hint="default"/>
          <w:sz w:val="20"/>
          <w:szCs w:val="20"/>
        </w:rPr>
      </w:pPr>
      <w:r>
        <w:rPr/>
        <w:br w:type="column"/>
      </w:r>
      <w:r>
        <w:rPr>
          <w:rFonts w:ascii="宋体"/>
          <w:sz w:val="20"/>
        </w:rPr>
      </w:r>
    </w:p>
    <w:p>
      <w:pPr>
        <w:spacing w:line="316" w:lineRule="auto" w:before="0"/>
        <w:ind w:left="43" w:right="1124" w:firstLine="0"/>
        <w:jc w:val="left"/>
        <w:rPr>
          <w:rFonts w:ascii="宋体" w:hAnsi="宋体" w:cs="宋体" w:eastAsia="宋体" w:hint="default"/>
          <w:sz w:val="18"/>
          <w:szCs w:val="18"/>
        </w:rPr>
      </w:pPr>
      <w:r>
        <w:rPr>
          <w:rFonts w:ascii="宋体" w:hAnsi="宋体" w:cs="宋体" w:eastAsia="宋体" w:hint="default"/>
          <w:sz w:val="18"/>
          <w:szCs w:val="18"/>
        </w:rPr>
        <w:t>如果某项内部控制缺陷单独或连同其 他缺陷可能导致的损失金额大于或等 于营业收入的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，则认定为重大缺陷；</w:t>
      </w:r>
    </w:p>
    <w:p>
      <w:pPr>
        <w:spacing w:line="211" w:lineRule="exact" w:before="0"/>
        <w:ind w:left="43" w:right="1124" w:firstLine="0"/>
        <w:jc w:val="left"/>
        <w:rPr>
          <w:rFonts w:ascii="宋体" w:hAnsi="宋体" w:cs="宋体" w:eastAsia="宋体" w:hint="default"/>
          <w:sz w:val="18"/>
          <w:szCs w:val="18"/>
        </w:rPr>
      </w:pPr>
      <w:r>
        <w:rPr>
          <w:rFonts w:ascii="宋体" w:hAnsi="宋体" w:cs="宋体" w:eastAsia="宋体" w:hint="default"/>
          <w:sz w:val="18"/>
          <w:szCs w:val="18"/>
        </w:rPr>
        <w:t>损失金额小于营业收入的</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，大于或</w:t>
      </w:r>
    </w:p>
    <w:p>
      <w:pPr>
        <w:spacing w:after="0" w:line="211" w:lineRule="exact"/>
        <w:jc w:val="left"/>
        <w:rPr>
          <w:rFonts w:ascii="宋体" w:hAnsi="宋体" w:cs="宋体" w:eastAsia="宋体" w:hint="default"/>
          <w:sz w:val="18"/>
          <w:szCs w:val="18"/>
        </w:rPr>
        <w:sectPr>
          <w:type w:val="continuous"/>
          <w:pgSz w:w="11910" w:h="16840"/>
          <w:pgMar w:top="1060" w:bottom="1160" w:left="0" w:right="0"/>
          <w:cols w:num="3" w:equalWidth="0">
            <w:col w:w="1882" w:space="1313"/>
            <w:col w:w="4402" w:space="40"/>
            <w:col w:w="4273"/>
          </w:cols>
        </w:sectPr>
      </w:pPr>
    </w:p>
    <w:p>
      <w:pPr>
        <w:spacing w:line="147" w:lineRule="exact" w:before="0"/>
        <w:ind w:left="3403" w:right="3239" w:firstLine="0"/>
        <w:jc w:val="center"/>
        <w:rPr>
          <w:rFonts w:ascii="宋体" w:hAnsi="宋体" w:cs="宋体" w:eastAsia="宋体" w:hint="default"/>
          <w:sz w:val="18"/>
          <w:szCs w:val="18"/>
        </w:rPr>
      </w:pPr>
      <w:r>
        <w:rPr>
          <w:rFonts w:ascii="宋体" w:hAnsi="宋体" w:cs="宋体" w:eastAsia="宋体" w:hint="default"/>
          <w:spacing w:val="-3"/>
          <w:sz w:val="18"/>
          <w:szCs w:val="18"/>
        </w:rPr>
        <w:t>则认定为重大缺陷；小于营业收入的</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165" w:lineRule="exact" w:before="0"/>
        <w:ind w:left="7679" w:right="0" w:firstLine="0"/>
        <w:jc w:val="left"/>
        <w:rPr>
          <w:rFonts w:ascii="宋体" w:hAnsi="宋体" w:cs="宋体" w:eastAsia="宋体" w:hint="default"/>
          <w:sz w:val="18"/>
          <w:szCs w:val="18"/>
        </w:rPr>
      </w:pPr>
      <w:r>
        <w:rPr>
          <w:rFonts w:ascii="宋体" w:hAnsi="宋体" w:cs="宋体" w:eastAsia="宋体" w:hint="default"/>
          <w:sz w:val="18"/>
          <w:szCs w:val="18"/>
        </w:rPr>
        <w:t>等于营业收入的</w:t>
      </w:r>
      <w:r>
        <w:rPr>
          <w:rFonts w:ascii="宋体" w:hAnsi="宋体" w:cs="宋体" w:eastAsia="宋体" w:hint="default"/>
          <w:spacing w:val="5"/>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，则认定为重要缺</w:t>
      </w:r>
    </w:p>
    <w:p>
      <w:pPr>
        <w:spacing w:after="0" w:line="165" w:lineRule="exact"/>
        <w:jc w:val="left"/>
        <w:rPr>
          <w:rFonts w:ascii="宋体" w:hAnsi="宋体" w:cs="宋体" w:eastAsia="宋体" w:hint="default"/>
          <w:sz w:val="18"/>
          <w:szCs w:val="18"/>
        </w:rPr>
        <w:sectPr>
          <w:type w:val="continuous"/>
          <w:pgSz w:w="11910" w:h="16840"/>
          <w:pgMar w:top="1060" w:bottom="1160" w:left="0" w:right="0"/>
        </w:sectPr>
      </w:pPr>
    </w:p>
    <w:p>
      <w:pPr>
        <w:spacing w:line="194" w:lineRule="exact" w:before="0"/>
        <w:ind w:left="4356" w:right="-20" w:firstLine="0"/>
        <w:jc w:val="left"/>
        <w:rPr>
          <w:rFonts w:ascii="宋体" w:hAnsi="宋体" w:cs="宋体" w:eastAsia="宋体" w:hint="default"/>
          <w:sz w:val="18"/>
          <w:szCs w:val="18"/>
        </w:rPr>
      </w:pPr>
      <w:r>
        <w:rPr>
          <w:rFonts w:ascii="宋体" w:hAnsi="宋体" w:cs="宋体" w:eastAsia="宋体" w:hint="default"/>
          <w:sz w:val="18"/>
          <w:szCs w:val="18"/>
        </w:rPr>
        <w:t>大于或等于营业收入的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w:t>
      </w:r>
    </w:p>
    <w:p>
      <w:pPr>
        <w:spacing w:line="302" w:lineRule="auto" w:before="63"/>
        <w:ind w:left="4356" w:right="-20" w:firstLine="0"/>
        <w:jc w:val="left"/>
        <w:rPr>
          <w:rFonts w:ascii="宋体" w:hAnsi="宋体" w:cs="宋体" w:eastAsia="宋体" w:hint="default"/>
          <w:sz w:val="18"/>
          <w:szCs w:val="18"/>
        </w:rPr>
      </w:pPr>
      <w:r>
        <w:rPr>
          <w:rFonts w:ascii="宋体" w:hAnsi="宋体" w:cs="宋体" w:eastAsia="宋体" w:hint="default"/>
          <w:sz w:val="18"/>
          <w:szCs w:val="18"/>
        </w:rPr>
        <w:t>要缺陷；小于营业收入的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一般缺陷。</w:t>
      </w:r>
    </w:p>
    <w:p>
      <w:pPr>
        <w:spacing w:line="302" w:lineRule="auto" w:before="100"/>
        <w:ind w:left="72" w:right="1230" w:firstLine="0"/>
        <w:jc w:val="left"/>
        <w:rPr>
          <w:rFonts w:ascii="宋体" w:hAnsi="宋体" w:cs="宋体" w:eastAsia="宋体" w:hint="default"/>
          <w:sz w:val="18"/>
          <w:szCs w:val="18"/>
        </w:rPr>
      </w:pPr>
      <w:r>
        <w:rPr/>
        <w:br w:type="column"/>
      </w:r>
      <w:r>
        <w:rPr>
          <w:rFonts w:ascii="宋体" w:hAnsi="宋体" w:cs="宋体" w:eastAsia="宋体" w:hint="default"/>
          <w:sz w:val="18"/>
          <w:szCs w:val="18"/>
        </w:rPr>
        <w:t>陷；损失金额小于营业收入的</w:t>
      </w:r>
      <w:r>
        <w:rPr>
          <w:rFonts w:ascii="宋体" w:hAnsi="宋体" w:cs="宋体" w:eastAsia="宋体" w:hint="default"/>
          <w:spacing w:val="-17"/>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，则</w:t>
      </w:r>
      <w:r>
        <w:rPr>
          <w:rFonts w:ascii="宋体" w:hAnsi="宋体" w:cs="宋体" w:eastAsia="宋体" w:hint="default"/>
          <w:spacing w:val="-18"/>
          <w:sz w:val="18"/>
          <w:szCs w:val="18"/>
        </w:rPr>
        <w:t> </w:t>
      </w:r>
      <w:r>
        <w:rPr>
          <w:rFonts w:ascii="宋体" w:hAnsi="宋体" w:cs="宋体" w:eastAsia="宋体" w:hint="default"/>
          <w:sz w:val="18"/>
          <w:szCs w:val="18"/>
        </w:rPr>
        <w:t>认定为一般缺陷。</w:t>
      </w:r>
    </w:p>
    <w:p>
      <w:pPr>
        <w:spacing w:after="0" w:line="302" w:lineRule="auto"/>
        <w:jc w:val="left"/>
        <w:rPr>
          <w:rFonts w:ascii="宋体" w:hAnsi="宋体" w:cs="宋体" w:eastAsia="宋体" w:hint="default"/>
          <w:sz w:val="18"/>
          <w:szCs w:val="18"/>
        </w:rPr>
        <w:sectPr>
          <w:type w:val="continuous"/>
          <w:pgSz w:w="11910" w:h="16840"/>
          <w:pgMar w:top="1060" w:bottom="1160" w:left="0" w:right="0"/>
          <w:cols w:num="2" w:equalWidth="0">
            <w:col w:w="7567" w:space="40"/>
            <w:col w:w="4303"/>
          </w:cols>
        </w:sectPr>
      </w:pPr>
    </w:p>
    <w:p>
      <w:pPr>
        <w:tabs>
          <w:tab w:pos="10585" w:val="left" w:leader="none"/>
        </w:tabs>
        <w:spacing w:before="118"/>
        <w:ind w:left="1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财务报告重大缺陷数量（个）</w:t>
      </w:r>
      <w:r>
        <w:rPr>
          <w:rFonts w:ascii="Times New Roman" w:hAnsi="Times New Roman" w:cs="Times New Roman" w:eastAsia="Times New Roman" w:hint="default"/>
          <w:sz w:val="18"/>
          <w:szCs w:val="18"/>
        </w:rPr>
        <w:tab/>
        <w:t>0</w:t>
      </w:r>
    </w:p>
    <w:p>
      <w:pPr>
        <w:spacing w:after="0"/>
        <w:jc w:val="lef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我们认为，红相电力公司于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 务报表相关的内部控制。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节 财务报告" w:id="144"/>
      <w:bookmarkEnd w:id="144"/>
      <w:r>
        <w:rPr>
          <w:b w:val="0"/>
          <w:bCs w:val="0"/>
        </w:rPr>
      </w:r>
      <w:bookmarkStart w:name="_bookmark8" w:id="145"/>
      <w:bookmarkEnd w:id="145"/>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350ZA0110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刘维、吴乐霖</w:t>
            </w:r>
          </w:p>
        </w:tc>
      </w:tr>
    </w:tbl>
    <w:p>
      <w:pPr>
        <w:spacing w:before="51"/>
        <w:ind w:left="3403" w:right="340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4"/>
        <w:spacing w:line="240" w:lineRule="auto" w:before="89"/>
        <w:ind w:left="3403" w:right="3402"/>
        <w:jc w:val="center"/>
        <w:rPr>
          <w:b w:val="0"/>
          <w:bCs w:val="0"/>
        </w:rPr>
      </w:pPr>
      <w:r>
        <w:rPr/>
        <w:t>审计报告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7659" w:right="0"/>
        <w:jc w:val="left"/>
      </w:pPr>
      <w:r>
        <w:rPr/>
        <w:t>致同审字（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350ZA0110</w:t>
      </w:r>
      <w:r>
        <w:rPr/>
        <w:t>号</w:t>
      </w:r>
    </w:p>
    <w:p>
      <w:pPr>
        <w:spacing w:line="240" w:lineRule="auto" w:before="1"/>
        <w:rPr>
          <w:rFonts w:ascii="宋体" w:hAnsi="宋体" w:cs="宋体" w:eastAsia="宋体" w:hint="default"/>
          <w:sz w:val="8"/>
          <w:szCs w:val="8"/>
        </w:rPr>
      </w:pPr>
    </w:p>
    <w:p>
      <w:pPr>
        <w:pStyle w:val="Heading4"/>
        <w:spacing w:line="240" w:lineRule="auto" w:before="35"/>
        <w:ind w:left="1134" w:right="0"/>
        <w:jc w:val="left"/>
        <w:rPr>
          <w:b w:val="0"/>
          <w:bCs w:val="0"/>
        </w:rPr>
      </w:pPr>
      <w:r>
        <w:rPr/>
        <w:t>厦门红相电力设备股份有限公司全体股东：</w:t>
      </w:r>
      <w:r>
        <w:rPr>
          <w:b w:val="0"/>
          <w:bCs w:val="0"/>
        </w:rPr>
      </w:r>
    </w:p>
    <w:p>
      <w:pPr>
        <w:pStyle w:val="BodyText"/>
        <w:spacing w:line="256" w:lineRule="auto" w:before="157"/>
        <w:ind w:right="1130" w:firstLine="435"/>
        <w:jc w:val="both"/>
      </w:pPr>
      <w:r>
        <w:rPr>
          <w:spacing w:val="-1"/>
        </w:rPr>
        <w:t>我们审计了后附的厦门红相电力设备股份有限公司（以下简称红相电力公司）财务报表，包括</w:t>
      </w:r>
      <w:r>
        <w:rPr>
          <w:rFonts w:ascii="Times New Roman" w:hAnsi="Times New Roman" w:cs="Times New Roman" w:eastAsia="Times New Roman" w:hint="default"/>
          <w:spacing w:val="-1"/>
        </w:rPr>
        <w:t>2015</w:t>
      </w:r>
      <w:r>
        <w:rPr>
          <w:spacing w:val="-1"/>
        </w:rPr>
        <w:t>年</w:t>
      </w:r>
      <w:r>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2015</w:t>
      </w:r>
      <w:r>
        <w:rPr>
          <w:spacing w:val="-1"/>
        </w:rPr>
        <w:t>年度的合并及公司利润表、合并及公司现金流量表、合并及公司</w:t>
      </w:r>
      <w:r>
        <w:rPr>
          <w:spacing w:val="-83"/>
        </w:rPr>
        <w:t> </w:t>
      </w:r>
      <w:r>
        <w:rPr>
          <w:spacing w:val="-83"/>
        </w:rPr>
      </w:r>
      <w:r>
        <w:rPr/>
        <w:t>股东权益变动表以及财务报表附注。</w:t>
      </w:r>
    </w:p>
    <w:p>
      <w:pPr>
        <w:spacing w:line="432" w:lineRule="exact" w:before="42"/>
        <w:ind w:left="1569" w:right="0" w:hanging="14"/>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编制和公允列报财务报表是红相电力公司管理层的责任，这种责任包括：（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271" w:lineRule="exact"/>
        <w:ind w:right="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p>
    <w:p>
      <w:pPr>
        <w:spacing w:line="376" w:lineRule="auto" w:before="21"/>
        <w:ind w:left="1556" w:right="7393" w:hanging="423"/>
        <w:jc w:val="left"/>
        <w:rPr>
          <w:rFonts w:ascii="宋体" w:hAnsi="宋体" w:cs="宋体" w:eastAsia="宋体" w:hint="default"/>
          <w:sz w:val="21"/>
          <w:szCs w:val="21"/>
        </w:rPr>
      </w:pPr>
      <w:r>
        <w:rPr>
          <w:rFonts w:ascii="宋体" w:hAnsi="宋体" w:cs="宋体" w:eastAsia="宋体" w:hint="default"/>
          <w:sz w:val="21"/>
          <w:szCs w:val="21"/>
        </w:rPr>
        <w:t>在由于舞弊或错误导致的重大错报。 </w:t>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3" w:lineRule="auto" w:before="37"/>
        <w:ind w:left="1134" w:right="1130" w:firstLine="435"/>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0"/>
        </w:rPr>
        <w:t> </w:t>
      </w:r>
      <w:r>
        <w:rPr>
          <w:spacing w:val="-80"/>
        </w:rPr>
      </w:r>
      <w:r>
        <w:rPr/>
        <w:t>行审计工作以对财务报表是否不存在重大错报获取合理保证。</w:t>
      </w:r>
    </w:p>
    <w:p>
      <w:pPr>
        <w:pStyle w:val="BodyText"/>
        <w:spacing w:line="268" w:lineRule="auto" w:before="127"/>
        <w:ind w:right="1130" w:firstLine="435"/>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2"/>
        </w:rPr>
        <w:t> </w:t>
      </w:r>
      <w:r>
        <w:rPr>
          <w:spacing w:val="-82"/>
        </w:rPr>
      </w:r>
      <w:r>
        <w:rPr>
          <w:spacing w:val="-1"/>
        </w:rPr>
        <w:t>会计师考虑与财务报表编制和公允列报相关的内部控制，以设计恰当的审计程序，但目的并非对内部控制</w:t>
      </w:r>
      <w:r>
        <w:rPr>
          <w:spacing w:val="-82"/>
        </w:rPr>
        <w:t> </w:t>
      </w:r>
      <w:r>
        <w:rPr>
          <w:spacing w:val="-82"/>
        </w:rPr>
      </w:r>
      <w:r>
        <w:rPr>
          <w:spacing w:val="-1"/>
        </w:rPr>
        <w:t>的有效性发表意见</w:t>
      </w:r>
      <w:r>
        <w:rPr>
          <w:rFonts w:ascii="宋体" w:hAnsi="宋体" w:cs="宋体" w:eastAsia="宋体" w:hint="default"/>
          <w:i/>
          <w:spacing w:val="-1"/>
          <w:sz w:val="22"/>
          <w:szCs w:val="22"/>
        </w:rPr>
        <w:t>。</w:t>
      </w:r>
      <w:r>
        <w:rPr>
          <w:spacing w:val="-1"/>
        </w:rPr>
        <w:t>审计工作还包括评价管理层选用会计政策的恰当性和作出会计估计的合理性，以及评</w:t>
      </w:r>
      <w:r>
        <w:rPr>
          <w:spacing w:val="-91"/>
        </w:rPr>
        <w:t> </w:t>
      </w:r>
      <w:r>
        <w:rPr>
          <w:spacing w:val="-91"/>
        </w:rPr>
      </w:r>
      <w:r>
        <w:rPr/>
        <w:t>价财务报表的总体列报。</w:t>
      </w:r>
    </w:p>
    <w:p>
      <w:pPr>
        <w:pStyle w:val="BodyText"/>
        <w:spacing w:line="376" w:lineRule="auto" w:before="132"/>
        <w:ind w:left="1556" w:right="2967" w:firstLine="1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64" w:lineRule="auto" w:before="38"/>
        <w:ind w:right="1128" w:firstLine="435"/>
        <w:jc w:val="both"/>
      </w:pPr>
      <w:r>
        <w:rPr>
          <w:spacing w:val="-1"/>
        </w:rPr>
        <w:t>我们认为，红相电力公司财务报表在所有重大方面按照企业会计准则的规定编制，公允反映了红相电</w:t>
      </w:r>
      <w:r>
        <w:rPr/>
        <w:t> </w:t>
      </w:r>
      <w:r>
        <w:rPr>
          <w:spacing w:val="3"/>
        </w:rPr>
        <w:t>力公司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日的合并及公司财务状况以及</w:t>
      </w:r>
      <w:r>
        <w:rPr>
          <w:rFonts w:ascii="Times New Roman" w:hAnsi="Times New Roman" w:cs="Times New Roman" w:eastAsia="Times New Roman" w:hint="default"/>
          <w:spacing w:val="3"/>
        </w:rPr>
        <w:t>2015</w:t>
      </w:r>
      <w:r>
        <w:rPr>
          <w:spacing w:val="3"/>
        </w:rPr>
        <w:t>年度的合并及公司经营成果和合并及公司现金流</w:t>
      </w:r>
      <w:r>
        <w:rPr>
          <w:spacing w:val="-93"/>
        </w:rPr>
        <w:t> </w:t>
      </w:r>
      <w:r>
        <w:rPr>
          <w:spacing w:val="-93"/>
        </w:rPr>
      </w:r>
      <w:r>
        <w:rPr/>
        <w:t>量。</w:t>
      </w:r>
    </w:p>
    <w:p>
      <w:pPr>
        <w:spacing w:after="0" w:line="264"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943" w:type="dxa"/>
        <w:tblLayout w:type="fixed"/>
        <w:tblCellMar>
          <w:top w:w="0" w:type="dxa"/>
          <w:left w:w="0" w:type="dxa"/>
          <w:bottom w:w="0" w:type="dxa"/>
          <w:right w:w="0" w:type="dxa"/>
        </w:tblCellMar>
        <w:tblLook w:val="01E0"/>
      </w:tblPr>
      <w:tblGrid>
        <w:gridCol w:w="3172"/>
        <w:gridCol w:w="3676"/>
      </w:tblGrid>
      <w:tr>
        <w:trPr>
          <w:trHeight w:val="1519"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3676" w:type="dxa"/>
            <w:tcBorders>
              <w:top w:val="nil" w:sz="6" w:space="0" w:color="auto"/>
              <w:left w:val="nil" w:sz="6" w:space="0" w:color="auto"/>
              <w:bottom w:val="nil" w:sz="6" w:space="0" w:color="auto"/>
              <w:right w:val="nil" w:sz="6" w:space="0" w:color="auto"/>
            </w:tcBorders>
          </w:tcPr>
          <w:p>
            <w:pPr>
              <w:pStyle w:val="TableParagraph"/>
              <w:spacing w:line="210" w:lineRule="exact"/>
              <w:ind w:left="1883"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883"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95"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92" w:right="0"/>
              <w:jc w:val="left"/>
              <w:rPr>
                <w:rFonts w:ascii="宋体" w:hAnsi="宋体" w:cs="宋体" w:eastAsia="宋体" w:hint="default"/>
                <w:sz w:val="21"/>
                <w:szCs w:val="21"/>
              </w:rPr>
            </w:pPr>
            <w:r>
              <w:rPr>
                <w:rFonts w:ascii="宋体" w:hAnsi="宋体" w:cs="宋体" w:eastAsia="宋体" w:hint="default"/>
                <w:sz w:val="21"/>
                <w:szCs w:val="21"/>
              </w:rPr>
              <w:t>二Ｏ一六年四</w:t>
            </w:r>
            <w:r>
              <w:rPr>
                <w:rFonts w:ascii="宋体" w:hAnsi="宋体" w:cs="宋体" w:eastAsia="宋体" w:hint="default"/>
                <w:spacing w:val="-21"/>
                <w:sz w:val="21"/>
                <w:szCs w:val="21"/>
              </w:rPr>
              <w:t> </w:t>
            </w:r>
            <w:r>
              <w:rPr>
                <w:rFonts w:ascii="宋体" w:hAnsi="宋体" w:cs="宋体" w:eastAsia="宋体" w:hint="default"/>
                <w:sz w:val="21"/>
                <w:szCs w:val="21"/>
              </w:rPr>
              <w:t>月十四日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26"/>
        <w:ind w:left="1134" w:right="0"/>
        <w:jc w:val="left"/>
        <w:rPr>
          <w:b w:val="0"/>
          <w:bCs w:val="0"/>
        </w:rPr>
      </w:pPr>
      <w:bookmarkStart w:name="二、财务报表" w:id="147"/>
      <w:bookmarkEnd w:id="14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48"/>
      <w:bookmarkEnd w:id="14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编制单位：厦门红相电力设备股份有限公司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61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287,993,878.47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102,891,861.62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11,296,779.54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3,252,600.00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268,835,560.78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226,657,311.14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23,258,600.47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12,334,308.19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746,391.67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7,969,726.60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12,015,028.14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58,646,760.30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21,558,233.53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18,986,321.03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677,734,018.86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378,709,342.62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58,668,020.10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37,132,977.14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1,076,174.36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2,958,849.79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193,437.67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4,099,176.90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4,099,176.90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636,068.46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5,804,495.18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3,912,692.16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3,781,712.00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81,994,021.05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45,338,283.87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759,728,039.91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424,047,626.49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51,088,156.10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51,164,365.04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11,923,775.53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5,848,979.16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14,817,942.23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6,605,036.67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23,780,030.89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27,103,075.80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32,917.41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2,511,443.46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1,897,729.14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2,874,999.96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123,128,265.58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95,504,550.55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3,354,166.82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6,229,166.90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2,724,253.31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6,078,420.13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6,229,166.90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129,206,685.71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101,733,717.45</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9" w:header="747" w:top="1060" w:bottom="1160" w:left="0" w:right="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199,524,557.81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34,925,145.81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-771,701.06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-721,079.83</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30,158,891.74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24,896,948.88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246,428,225.67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196,712,894.18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564,009,974.16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322,313,909.04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66,511,380.04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630,521,354.20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322,313,909.04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759,728,039.91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424,047,626.49</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法定代表人：杨成</w:t>
        <w:tab/>
        <w:t>主管会计工作负责人：马露萍</w:t>
        <w:tab/>
        <w:t>会计机构负责人：黄雅琼</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49"/>
      <w:bookmarkEnd w:id="14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206,937,198.65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100,165,633.61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5,847,690.50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225,926,516.26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225,133,984.67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19,947,982.46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12,333,498.19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746,391.67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6,328,213.78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12,005,263.14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22,068,920.12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27,560,961.08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506,742,913.44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380,451,940.69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73,628,064.26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16,702,474.74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37,694,677.63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36,818,771.45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1,076,174.36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115,480.63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171,762.67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3,616,062.81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2,877,026.35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3,781,712.00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119,912,171.69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56,570,035.21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626,655,085.13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437,021,975.90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86,405,510.99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110,000,446.70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1,300,223.29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5,772,491.41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4,213,234.15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5,775,692.67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18,263,459.05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19,282,496.93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10,364.78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979,878.46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1,346,682.14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2,874,999.96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114,143,043.31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145,063,174.59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3,354,166.82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6,229,166.90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3,354,166.82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6,229,166.90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117,497,210.13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151,292,341.49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199,524,557.81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34,925,145.81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30,158,891.74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24,896,948.88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190,804,425.45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159,407,539.72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509,157,875.00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285,729,634.41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626,655,085.13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437,021,975.90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925048"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4"/>
        <w:spacing w:line="240" w:lineRule="auto" w:before="35"/>
        <w:ind w:right="0"/>
        <w:jc w:val="left"/>
        <w:rPr>
          <w:b w:val="0"/>
          <w:bCs w:val="0"/>
        </w:rPr>
      </w:pPr>
      <w:bookmarkStart w:name="3、合并利润表" w:id="150"/>
      <w:bookmarkEnd w:id="15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305,254,632.75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267,597,005.07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305,254,632.75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267,597,005.07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238,351,576.09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205,712,553.84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152,204,330.76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133,253,406.81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2,431,975.98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2,969,392.40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40,788,485.15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32,884,360.42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39,102,665.41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31,938,906.26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-632,829.63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330,919.11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4,456,948.42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4,335,568.84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4,746,518.94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71,649,575.60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61,884,451.23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16,479,478.54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4,212,927.91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64,709.75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313,134.29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204,175.32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46,809.79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189,764.87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35,574.09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925024"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1117"/>
        <w:gridCol w:w="2106"/>
        <w:gridCol w:w="3278"/>
      </w:tblGrid>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87,924,878.82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66,050,569.35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12,379,952.73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9,745,231.21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75,544,926.09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56,305,338.14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70,937,874.33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56,305,338.14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4,607,051.76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-162,460.24</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-162,460.24</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-162,460.24</w:t>
            </w:r>
            <w:r>
              <w:rPr>
                <w:rFonts w:ascii="Times New Roman"/>
                <w:sz w:val="18"/>
              </w:rPr>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-162,460.24</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75,494,304.86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56,142,877.90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70,887,253.10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56,142,877.90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4,607,051.76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tabs>
          <w:tab w:pos="4464" w:val="left" w:leader="none"/>
          <w:tab w:pos="8695" w:val="left" w:leader="none"/>
        </w:tabs>
        <w:spacing w:line="592" w:lineRule="auto" w:before="44"/>
        <w:ind w:left="113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法定代表人：杨成</w:t>
        <w:tab/>
        <w:t>主管会计工作负责人：马露萍</w:t>
        <w:tab/>
        <w:t>会计机构负责人：黄雅琼 </w:t>
      </w:r>
      <w:bookmarkStart w:name="4、母公司利润表" w:id="151"/>
      <w:bookmarkEnd w:id="15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264,189,261.61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262,080,767.54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143,268,720.40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158,926,330.25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1,897,350.69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2,299,827.25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37,006,786.36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32,618,978.27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24,191,094.67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21,931,086.87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-754,660.56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328,688.13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3,938,234.07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4,310,685.69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4,746,518.94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59,388,254.92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41,665,171.08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3,023,742.44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3,201,950.97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64,709.75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313,134.29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127,110.05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38,974.09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126,247.91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35,574.09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62,284,887.31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44,828,147.96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9,665,458.74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6,666,114.67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52,619,428.57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38,162,033.29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52,619,428.57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38,162,033.29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320,586,950.17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249,145,306.91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5,307,864.94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996,474.79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41,526,043.43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31,004,172.93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367,420,858.54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281,145,954.63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156,451,249.13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124,884,171.38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40,974,476.29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35,381,965.26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44,242,771.34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34,192,344.56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83,279,234.41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69,923,191.52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324,947,731.17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264,381,672.72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42,473,127.37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16,764,281.91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4,000,127.27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506,999.77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146,740,047.47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150,887,174.74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506,999.77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10,561,136.23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944,613.10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150,561,136.23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944,613.10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326,038.51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-437,613.33</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206,398,200.00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206,398,200.00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2,875,000.08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47,620,600.72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15,255,063.65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31,090,190.95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13,027,357.54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63,522,958.34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19,230,063.61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142,875,241.66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-19,230,063.61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-338,026.32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10,349.13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185,336,381.22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-2,893,045.90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102,393,343.62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105,286,389.52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287,729,724.84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102,393,343.62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153"/>
      <w:bookmarkEnd w:id="15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275,890,160.06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244,989,103.07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39,626,889.30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31,100,744.72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315,517,049.36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276,089,847.79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165,414,632.07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132,548,231.13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28,704,361.52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26,578,773.05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31,958,154.83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30,969,668.41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74,236,566.50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66,559,417.92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300,313,714.92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256,656,090.51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15,203,334.44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19,433,757.28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4,000,127.27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506,999.77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125,207,127.27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506,999.77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10,307,850.11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938,781.46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56,925,589.52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207,233,439.63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938,781.46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-82,026,312.36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-431,781.69</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206,398,200.00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206,398,200.00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2,875,000.08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16,392,217.54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15,255,063.65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13,027,357.54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32,294,575.16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19,230,063.61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174,103,624.84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-19,230,063.61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-169,806.88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107,110,840.04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-228,088.02</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99,667,115.61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99,895,203.63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206,777,955.65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99,667,115.61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7、合并所有者权益变动表" w:id="154"/>
      <w:bookmarkEnd w:id="15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145.81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-721,07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9.83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24,896,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948.88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196,712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,894.18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322,313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,909.04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145.81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-721,07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9.83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24,896,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948.88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196,712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,894.18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322,313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,909.04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164,599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5,261,9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42.86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331.49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380.04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308,207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,445.16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70,937,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4,607,0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75,494,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304.86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164,599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,412.00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164,599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,412.00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5,261,9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42.86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-21,222,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542.84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599.98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5,261,9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42.86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-5,261,9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42.86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599.98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599.98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61,904,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328.28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61,904,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328.28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199,524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-771,70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246,428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,225.67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380.04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630,521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,354.20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34,925,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145.81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-558,61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745.55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158,853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,759.37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280,801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,031.14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34,925,</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145.81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-558,61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745.55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158,853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,759.37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280,801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,031.14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-162,46</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3,816,2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37,859,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134.81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41,512,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877.90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-162,46</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56,305,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338.14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56,142,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877.90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3,816,2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-18,446,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203.33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-14,630,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3,816,2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-3,816,2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03.33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-14,630,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34,925,</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145.81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-721,07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24,896,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196,712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,894.18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322,313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,909.04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8、母公司所有者权益变动表" w:id="155"/>
      <w:bookmarkEnd w:id="15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34,925,14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24,896,94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159,407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,539.72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285,729,6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34.41</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34,925,14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24,896,94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159,407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,539.72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285,729,6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34.41</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22,170,0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164,599,4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5,261,942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31,396,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885.73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223,428,2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40.59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52,619,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428.57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52,619,42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8.57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22,170,0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164,599,4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186,769,4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22,170,0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164,599,4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186,769,4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5,261,942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-21,222,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542.84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-15,960,5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5,261,942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-5,261,9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42.86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599.98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-15,960,5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99.98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88,670,0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199,524,5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30,158,89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190,804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,425.45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509,157,8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34,925,14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21,080,74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139,691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,709.76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262,197,6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01.12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34,925,14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21,080,74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139,691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,709.76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262,197,6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01.12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3,816,203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19,715,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829.96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23,532,03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3.29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38,162,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033.29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38,162,03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3.29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3,816,203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-18,446,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203.33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-14,630,0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3,816,203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-3,816,2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03.33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-14,630,0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34,925,14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24,896,94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159,407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,539.72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285,729,6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both"/>
        <w:rPr>
          <w:b w:val="0"/>
          <w:bCs w:val="0"/>
        </w:rPr>
      </w:pPr>
      <w:bookmarkStart w:name="三、公司基本情况" w:id="156"/>
      <w:bookmarkEnd w:id="15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134" w:right="1131"/>
        <w:jc w:val="both"/>
      </w:pPr>
      <w:r>
        <w:rPr>
          <w:spacing w:val="-2"/>
        </w:rPr>
        <w:t>厦门红相电力设备股份有限公司（以下简称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红相电力</w:t>
      </w:r>
      <w:r>
        <w:rPr>
          <w:rFonts w:ascii="Times New Roman" w:hAnsi="Times New Roman" w:cs="Times New Roman" w:eastAsia="Times New Roman" w:hint="default"/>
          <w:spacing w:val="-2"/>
        </w:rPr>
        <w:t>”</w:t>
      </w:r>
      <w:r>
        <w:rPr>
          <w:spacing w:val="-2"/>
        </w:rPr>
        <w:t>）前身为于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月设立的厦门红相电</w:t>
      </w:r>
      <w:r>
        <w:rPr>
          <w:spacing w:val="-88"/>
        </w:rPr>
        <w:t> </w:t>
      </w:r>
      <w:r>
        <w:rPr/>
        <w:t>力设备进出口有限公司（以下简称</w:t>
      </w:r>
      <w:r>
        <w:rPr>
          <w:rFonts w:ascii="Times New Roman" w:hAnsi="Times New Roman" w:cs="Times New Roman" w:eastAsia="Times New Roman" w:hint="default"/>
        </w:rPr>
        <w:t>“</w:t>
      </w:r>
      <w:r>
        <w:rPr/>
        <w:t>厦门红相进出口公司</w:t>
      </w:r>
      <w:r>
        <w:rPr>
          <w:rFonts w:ascii="Times New Roman" w:hAnsi="Times New Roman" w:cs="Times New Roman" w:eastAsia="Times New Roman" w:hint="default"/>
        </w:rPr>
        <w:t>”</w:t>
      </w:r>
      <w:r>
        <w:rPr/>
        <w:t>），初始注册资本为人民币</w:t>
      </w:r>
      <w:r>
        <w:rPr>
          <w:rFonts w:ascii="Times New Roman" w:hAnsi="Times New Roman" w:cs="Times New Roman" w:eastAsia="Times New Roman" w:hint="default"/>
        </w:rPr>
        <w:t>500</w:t>
      </w:r>
      <w:r>
        <w:rPr/>
        <w:t>万元。</w:t>
      </w:r>
    </w:p>
    <w:p>
      <w:pPr>
        <w:spacing w:line="240" w:lineRule="auto" w:before="12"/>
        <w:rPr>
          <w:rFonts w:ascii="宋体" w:hAnsi="宋体" w:cs="宋体" w:eastAsia="宋体" w:hint="default"/>
          <w:sz w:val="16"/>
          <w:szCs w:val="16"/>
        </w:rPr>
      </w:pPr>
    </w:p>
    <w:p>
      <w:pPr>
        <w:pStyle w:val="BodyText"/>
        <w:spacing w:line="256" w:lineRule="auto"/>
        <w:ind w:right="1130"/>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月，根据厦门红相进出口公司股东会决议的规定，以该公司原全体股东作为发起人，采取发起设</w:t>
      </w:r>
      <w:r>
        <w:rPr>
          <w:spacing w:val="-82"/>
        </w:rPr>
        <w:t> </w:t>
      </w:r>
      <w:r>
        <w:rPr>
          <w:spacing w:val="-82"/>
        </w:rPr>
      </w:r>
      <w:r>
        <w:rPr>
          <w:spacing w:val="-1"/>
        </w:rPr>
        <w:t>立方式，将厦门红相进出口公司依法整体变更为股份有限公司。变更基准日为</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日，变更后的</w:t>
      </w:r>
      <w:r>
        <w:rPr>
          <w:spacing w:val="-82"/>
        </w:rPr>
        <w:t> </w:t>
      </w:r>
      <w:r>
        <w:rPr>
          <w:spacing w:val="-82"/>
        </w:rPr>
      </w:r>
      <w:r>
        <w:rPr>
          <w:spacing w:val="-2"/>
        </w:rPr>
        <w:t>注册资本为人民币</w:t>
      </w:r>
      <w:r>
        <w:rPr>
          <w:rFonts w:ascii="Times New Roman" w:hAnsi="Times New Roman" w:cs="Times New Roman" w:eastAsia="Times New Roman" w:hint="default"/>
          <w:spacing w:val="-2"/>
        </w:rPr>
        <w:t>6,000</w:t>
      </w:r>
      <w:r>
        <w:rPr>
          <w:spacing w:val="-2"/>
        </w:rPr>
        <w:t>万元，全体股东同意以截至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日止厦门红相进出口公司的账面净资产折</w:t>
      </w:r>
      <w:r>
        <w:rPr>
          <w:spacing w:val="-80"/>
        </w:rPr>
        <w:t> </w:t>
      </w:r>
      <w:r>
        <w:rPr>
          <w:spacing w:val="-80"/>
        </w:rPr>
      </w:r>
      <w:r>
        <w:rPr/>
        <w:t>股，股份总数</w:t>
      </w:r>
      <w:r>
        <w:rPr>
          <w:rFonts w:ascii="Times New Roman" w:hAnsi="Times New Roman" w:cs="Times New Roman" w:eastAsia="Times New Roman" w:hint="default"/>
        </w:rPr>
        <w:t>6,000</w:t>
      </w:r>
      <w:r>
        <w:rPr/>
        <w:t>万股，每股面值人民币</w:t>
      </w:r>
      <w:r>
        <w:rPr>
          <w:rFonts w:ascii="Times New Roman" w:hAnsi="Times New Roman" w:cs="Times New Roman" w:eastAsia="Times New Roman" w:hint="default"/>
        </w:rPr>
        <w:t>1</w:t>
      </w:r>
      <w:r>
        <w:rPr/>
        <w:t>元，剩余净资产列入资本公积。发起人按照各自持有厦门红相</w:t>
      </w:r>
      <w:r>
        <w:rPr>
          <w:spacing w:val="-78"/>
        </w:rPr>
        <w:t> </w:t>
      </w:r>
      <w:r>
        <w:rPr>
          <w:spacing w:val="-78"/>
        </w:rPr>
      </w:r>
      <w:r>
        <w:rPr>
          <w:spacing w:val="-1"/>
        </w:rPr>
        <w:t>进出口公司的股权比例，持有本公司相应数额的股份。本公司于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日取得厦门市工商行政管理</w:t>
      </w:r>
      <w:r>
        <w:rPr>
          <w:spacing w:val="-80"/>
        </w:rPr>
        <w:t> </w:t>
      </w:r>
      <w:r>
        <w:rPr>
          <w:spacing w:val="-80"/>
        </w:rPr>
      </w:r>
      <w:r>
        <w:rPr/>
        <w:t>局核发的《企业法人营业执照》。</w:t>
      </w:r>
    </w:p>
    <w:p>
      <w:pPr>
        <w:spacing w:line="240" w:lineRule="auto" w:before="3"/>
        <w:rPr>
          <w:rFonts w:ascii="宋体" w:hAnsi="宋体" w:cs="宋体" w:eastAsia="宋体" w:hint="default"/>
          <w:sz w:val="18"/>
          <w:szCs w:val="18"/>
        </w:rPr>
      </w:pPr>
    </w:p>
    <w:p>
      <w:pPr>
        <w:pStyle w:val="BodyText"/>
        <w:spacing w:line="256" w:lineRule="auto"/>
        <w:ind w:right="1131"/>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月，根据本公司</w:t>
      </w:r>
      <w:r>
        <w:rPr>
          <w:rFonts w:ascii="Times New Roman" w:hAnsi="Times New Roman" w:cs="Times New Roman" w:eastAsia="Times New Roman" w:hint="default"/>
          <w:spacing w:val="-1"/>
        </w:rPr>
        <w:t>2010</w:t>
      </w:r>
      <w:r>
        <w:rPr>
          <w:spacing w:val="-1"/>
        </w:rPr>
        <w:t>年第二次临时股东会决议、本公司与新增股东签订的增资扩股协议及修改后</w:t>
      </w:r>
      <w:r>
        <w:rPr>
          <w:spacing w:val="-79"/>
        </w:rPr>
        <w:t> </w:t>
      </w:r>
      <w:r>
        <w:rPr>
          <w:spacing w:val="-79"/>
        </w:rPr>
      </w:r>
      <w:r>
        <w:rPr/>
        <w:t>的章程规定，本公司申请新增股东及新增注册资本人民币</w:t>
      </w:r>
      <w:r>
        <w:rPr>
          <w:rFonts w:ascii="Times New Roman" w:hAnsi="Times New Roman" w:cs="Times New Roman" w:eastAsia="Times New Roman" w:hint="default"/>
        </w:rPr>
        <w:t>510</w:t>
      </w:r>
      <w:r>
        <w:rPr/>
        <w:t>万元，由长江成长资本投资有限公司和深圳</w:t>
      </w:r>
      <w:r>
        <w:rPr>
          <w:spacing w:val="-30"/>
        </w:rPr>
        <w:t> </w:t>
      </w:r>
      <w:r>
        <w:rPr>
          <w:spacing w:val="-30"/>
        </w:rPr>
      </w:r>
      <w:r>
        <w:rPr/>
        <w:t>市中科宏易创业投资有限公司以货币方式出资，变更后的注册资本为人民币</w:t>
      </w:r>
      <w:r>
        <w:rPr>
          <w:rFonts w:ascii="Times New Roman" w:hAnsi="Times New Roman" w:cs="Times New Roman" w:eastAsia="Times New Roman" w:hint="default"/>
        </w:rPr>
        <w:t>6,510</w:t>
      </w:r>
      <w:r>
        <w:rPr/>
        <w:t>万元。</w:t>
      </w:r>
    </w:p>
    <w:p>
      <w:pPr>
        <w:spacing w:line="240" w:lineRule="auto" w:before="12"/>
        <w:rPr>
          <w:rFonts w:ascii="宋体" w:hAnsi="宋体" w:cs="宋体" w:eastAsia="宋体" w:hint="default"/>
          <w:sz w:val="16"/>
          <w:szCs w:val="16"/>
        </w:rPr>
      </w:pPr>
    </w:p>
    <w:p>
      <w:pPr>
        <w:pStyle w:val="BodyText"/>
        <w:spacing w:line="256" w:lineRule="auto"/>
        <w:ind w:right="1128"/>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月，根据本公司</w:t>
      </w:r>
      <w:r>
        <w:rPr>
          <w:rFonts w:ascii="Times New Roman" w:hAnsi="Times New Roman" w:cs="Times New Roman" w:eastAsia="Times New Roman" w:hint="default"/>
        </w:rPr>
        <w:t>2011</w:t>
      </w:r>
      <w:r>
        <w:rPr/>
        <w:t>年第一次临时股东会决议、本公司与新增股东签订的增资扩股协议及修改后</w:t>
      </w:r>
      <w:r>
        <w:rPr>
          <w:spacing w:val="-33"/>
        </w:rPr>
        <w:t> </w:t>
      </w:r>
      <w:r>
        <w:rPr>
          <w:spacing w:val="-33"/>
        </w:rPr>
      </w:r>
      <w:r>
        <w:rPr/>
        <w:t>的章程规定，申请新增股东及新增注册资本人民币</w:t>
      </w:r>
      <w:r>
        <w:rPr>
          <w:rFonts w:ascii="Times New Roman" w:hAnsi="Times New Roman" w:cs="Times New Roman" w:eastAsia="Times New Roman" w:hint="default"/>
        </w:rPr>
        <w:t>140</w:t>
      </w:r>
      <w:r>
        <w:rPr/>
        <w:t>万元，由吴志阳、陈奕锋等</w:t>
      </w:r>
      <w:r>
        <w:rPr>
          <w:rFonts w:ascii="Times New Roman" w:hAnsi="Times New Roman" w:cs="Times New Roman" w:eastAsia="Times New Roman" w:hint="default"/>
        </w:rPr>
        <w:t>59</w:t>
      </w:r>
      <w:r>
        <w:rPr/>
        <w:t>名自然人股东以货币</w:t>
      </w:r>
      <w:r>
        <w:rPr>
          <w:spacing w:val="-27"/>
        </w:rPr>
        <w:t> </w:t>
      </w:r>
      <w:r>
        <w:rPr>
          <w:spacing w:val="-27"/>
        </w:rPr>
      </w:r>
      <w:r>
        <w:rPr/>
        <w:t>方式出资，变更后的注册资本为人民币</w:t>
      </w:r>
      <w:r>
        <w:rPr>
          <w:rFonts w:ascii="Times New Roman" w:hAnsi="Times New Roman" w:cs="Times New Roman" w:eastAsia="Times New Roman" w:hint="default"/>
        </w:rPr>
        <w:t>6,650</w:t>
      </w:r>
      <w:r>
        <w:rPr/>
        <w:t>万元。</w:t>
      </w:r>
    </w:p>
    <w:p>
      <w:pPr>
        <w:spacing w:line="240" w:lineRule="auto" w:before="12"/>
        <w:rPr>
          <w:rFonts w:ascii="宋体" w:hAnsi="宋体" w:cs="宋体" w:eastAsia="宋体" w:hint="default"/>
          <w:sz w:val="16"/>
          <w:szCs w:val="16"/>
        </w:rPr>
      </w:pPr>
    </w:p>
    <w:p>
      <w:pPr>
        <w:pStyle w:val="BodyText"/>
        <w:spacing w:line="261" w:lineRule="auto"/>
        <w:ind w:right="1128"/>
        <w:jc w:val="both"/>
      </w:pPr>
      <w:r>
        <w:rPr/>
        <w:t>经中国证券监督管理委员会证监许可【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179</w:t>
      </w:r>
      <w:r>
        <w:rPr/>
        <w:t>号文核准，红相电力首次公开发行不超过股票</w:t>
      </w:r>
      <w:r>
        <w:rPr>
          <w:rFonts w:ascii="Times New Roman" w:hAnsi="Times New Roman" w:cs="Times New Roman" w:eastAsia="Times New Roman" w:hint="default"/>
        </w:rPr>
        <w:t>2,217</w:t>
      </w:r>
      <w:r>
        <w:rPr/>
        <w:t>万股</w:t>
      </w:r>
      <w:r>
        <w:rPr>
          <w:spacing w:val="-75"/>
        </w:rPr>
        <w:t> </w:t>
      </w:r>
      <w:r>
        <w:rPr>
          <w:spacing w:val="-1"/>
        </w:rPr>
        <w:t>人民币普通股。经深圳证券交易所《关于厦门红相电力设备股份有限公司人民币普通股股票在创业板上市</w:t>
      </w:r>
      <w:r>
        <w:rPr>
          <w:spacing w:val="-80"/>
        </w:rPr>
        <w:t> </w:t>
      </w:r>
      <w:r>
        <w:rPr>
          <w:spacing w:val="-80"/>
        </w:rPr>
      </w:r>
      <w:r>
        <w:rPr>
          <w:spacing w:val="-1"/>
        </w:rPr>
        <w:t>的通知》（深证上【</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81</w:t>
      </w:r>
      <w:r>
        <w:rPr>
          <w:spacing w:val="-1"/>
        </w:rPr>
        <w:t>号）同意，公司发行的人民币普通股股票在深圳证券交易所创业板上市，股</w:t>
      </w:r>
      <w:r>
        <w:rPr>
          <w:spacing w:val="-84"/>
        </w:rPr>
        <w:t> </w:t>
      </w:r>
      <w:r>
        <w:rPr>
          <w:spacing w:val="-84"/>
        </w:rPr>
      </w:r>
      <w:r>
        <w:rPr/>
        <w:t>票简称</w:t>
      </w:r>
      <w:r>
        <w:rPr>
          <w:rFonts w:ascii="Times New Roman" w:hAnsi="Times New Roman" w:cs="Times New Roman" w:eastAsia="Times New Roman" w:hint="default"/>
        </w:rPr>
        <w:t>“</w:t>
      </w:r>
      <w:r>
        <w:rPr/>
        <w:t>红相电力</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“300427”</w:t>
      </w:r>
      <w:r>
        <w:rPr/>
        <w:t>；其中本次发行的</w:t>
      </w:r>
      <w:r>
        <w:rPr>
          <w:rFonts w:ascii="Times New Roman" w:hAnsi="Times New Roman" w:cs="Times New Roman" w:eastAsia="Times New Roman" w:hint="default"/>
        </w:rPr>
        <w:t>2,217</w:t>
      </w:r>
      <w:r>
        <w:rPr/>
        <w:t>万股股票于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日起上市交易。首</w:t>
      </w:r>
      <w:r>
        <w:rPr>
          <w:spacing w:val="-39"/>
        </w:rPr>
        <w:t> </w:t>
      </w:r>
      <w:r>
        <w:rPr>
          <w:spacing w:val="-39"/>
        </w:rPr>
      </w:r>
      <w:r>
        <w:rPr/>
        <w:t>次公开发行后公司总股本为</w:t>
      </w:r>
      <w:r>
        <w:rPr>
          <w:rFonts w:ascii="Times New Roman" w:hAnsi="Times New Roman" w:cs="Times New Roman" w:eastAsia="Times New Roman" w:hint="default"/>
        </w:rPr>
        <w:t>8,867</w:t>
      </w:r>
      <w:r>
        <w:rPr/>
        <w:t>万股。</w:t>
      </w:r>
    </w:p>
    <w:p>
      <w:pPr>
        <w:spacing w:line="240" w:lineRule="auto" w:before="7"/>
        <w:rPr>
          <w:rFonts w:ascii="宋体" w:hAnsi="宋体" w:cs="宋体" w:eastAsia="宋体" w:hint="default"/>
          <w:sz w:val="16"/>
          <w:szCs w:val="16"/>
        </w:rPr>
      </w:pPr>
    </w:p>
    <w:p>
      <w:pPr>
        <w:pStyle w:val="BodyText"/>
        <w:spacing w:line="240" w:lineRule="auto"/>
        <w:ind w:right="0"/>
        <w:jc w:val="both"/>
      </w:pPr>
      <w:r>
        <w:rPr/>
        <w:t>本公司《企业法人营业执照》注册号：</w:t>
      </w:r>
      <w:r>
        <w:rPr>
          <w:rFonts w:ascii="Times New Roman" w:hAnsi="Times New Roman" w:cs="Times New Roman" w:eastAsia="Times New Roman" w:hint="default"/>
        </w:rPr>
        <w:t>350200200013129</w:t>
      </w:r>
      <w:r>
        <w:rPr/>
        <w:t>；注册地址：厦门市思明区水仙路</w:t>
      </w:r>
      <w:r>
        <w:rPr>
          <w:rFonts w:ascii="Times New Roman" w:hAnsi="Times New Roman" w:cs="Times New Roman" w:eastAsia="Times New Roman" w:hint="default"/>
        </w:rPr>
        <w:t>33</w:t>
      </w:r>
      <w:r>
        <w:rPr/>
        <w:t>号海光大厦</w:t>
      </w:r>
    </w:p>
    <w:p>
      <w:pPr>
        <w:pStyle w:val="BodyText"/>
        <w:spacing w:line="436" w:lineRule="auto" w:before="21"/>
        <w:ind w:left="1134" w:right="1132"/>
        <w:jc w:val="both"/>
      </w:pPr>
      <w:r>
        <w:rPr>
          <w:rFonts w:ascii="Times New Roman" w:hAnsi="Times New Roman" w:cs="Times New Roman" w:eastAsia="Times New Roman" w:hint="default"/>
        </w:rPr>
        <w:t>21</w:t>
      </w:r>
      <w:r>
        <w:rPr/>
        <w:t>层</w:t>
      </w:r>
      <w:r>
        <w:rPr>
          <w:rFonts w:ascii="Times New Roman" w:hAnsi="Times New Roman" w:cs="Times New Roman" w:eastAsia="Times New Roman" w:hint="default"/>
        </w:rPr>
        <w:t>E</w:t>
      </w:r>
      <w:r>
        <w:rPr/>
        <w:t>单元（生产场所：厦门市同安区美溪道思明工业园</w:t>
      </w:r>
      <w:r>
        <w:rPr>
          <w:rFonts w:ascii="Times New Roman" w:hAnsi="Times New Roman" w:cs="Times New Roman" w:eastAsia="Times New Roman" w:hint="default"/>
        </w:rPr>
        <w:t>37</w:t>
      </w:r>
      <w:r>
        <w:rPr/>
        <w:t>号第一至第二层）；法定代表人：杨成。 本公司实际控制人为杨保田、杨成。</w:t>
      </w:r>
    </w:p>
    <w:p>
      <w:pPr>
        <w:pStyle w:val="BodyText"/>
        <w:spacing w:line="264" w:lineRule="auto" w:before="81"/>
        <w:ind w:left="1134" w:right="1132"/>
        <w:jc w:val="both"/>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）属电力设备制造行业，主要生产和销售电力设备相关产品，包括 </w:t>
      </w:r>
      <w:r>
        <w:rPr>
          <w:spacing w:val="-1"/>
        </w:rPr>
        <w:t>电能表及用电管理系统、电力设备状态检测、监测产品、配网终端产品和其他电力设备产品，并提供与电</w:t>
      </w:r>
      <w:r>
        <w:rPr>
          <w:spacing w:val="-86"/>
        </w:rPr>
        <w:t> </w:t>
      </w:r>
      <w:r>
        <w:rPr>
          <w:spacing w:val="-86"/>
        </w:rPr>
      </w:r>
      <w:r>
        <w:rPr/>
        <w:t>力设备产品相关的技术服务。</w:t>
      </w:r>
    </w:p>
    <w:p>
      <w:pPr>
        <w:spacing w:line="240" w:lineRule="auto" w:before="10"/>
        <w:rPr>
          <w:rFonts w:ascii="宋体" w:hAnsi="宋体" w:cs="宋体" w:eastAsia="宋体" w:hint="default"/>
          <w:sz w:val="17"/>
          <w:szCs w:val="17"/>
        </w:rPr>
      </w:pPr>
    </w:p>
    <w:p>
      <w:pPr>
        <w:pStyle w:val="BodyText"/>
        <w:spacing w:line="273" w:lineRule="auto"/>
        <w:ind w:left="1134" w:right="1130"/>
        <w:jc w:val="both"/>
      </w:pPr>
      <w:r>
        <w:rPr>
          <w:spacing w:val="-1"/>
        </w:rPr>
        <w:t>本公司建立了股东大会、董事会、监事会的法人治理结构，目前设有轨道事业部、发电事业部，电能计量</w:t>
      </w:r>
      <w:r>
        <w:rPr>
          <w:spacing w:val="-83"/>
        </w:rPr>
        <w:t> </w:t>
      </w:r>
      <w:r>
        <w:rPr>
          <w:spacing w:val="-83"/>
        </w:rPr>
      </w:r>
      <w:r>
        <w:rPr>
          <w:spacing w:val="-1"/>
        </w:rPr>
        <w:t>部、状态检修一部、状态检修二部、新品管理部、工厂、研发中心、销售管理部、市场策划部、物资采购</w:t>
      </w:r>
      <w:r>
        <w:rPr>
          <w:spacing w:val="-84"/>
        </w:rPr>
        <w:t> </w:t>
      </w:r>
      <w:r>
        <w:rPr>
          <w:spacing w:val="-84"/>
        </w:rPr>
      </w:r>
      <w:r>
        <w:rPr>
          <w:spacing w:val="-1"/>
        </w:rPr>
        <w:t>部、仓储运输部、行政管理部、人力资源部、财务管理中心、投资中心、证券部、内部审计部等部门，并</w:t>
      </w:r>
      <w:r>
        <w:rPr>
          <w:spacing w:val="-84"/>
        </w:rPr>
        <w:t> </w:t>
      </w:r>
      <w:r>
        <w:rPr>
          <w:spacing w:val="-84"/>
        </w:rPr>
      </w:r>
      <w:r>
        <w:rPr/>
        <w:t>拥有六家子公司。</w:t>
      </w:r>
    </w:p>
    <w:p>
      <w:pPr>
        <w:spacing w:line="240" w:lineRule="auto" w:before="6"/>
        <w:rPr>
          <w:rFonts w:ascii="宋体" w:hAnsi="宋体" w:cs="宋体" w:eastAsia="宋体" w:hint="default"/>
          <w:sz w:val="24"/>
          <w:szCs w:val="24"/>
        </w:rPr>
      </w:pPr>
    </w:p>
    <w:p>
      <w:pPr>
        <w:pStyle w:val="BodyText"/>
        <w:spacing w:line="240" w:lineRule="auto"/>
        <w:ind w:left="1134" w:right="0"/>
        <w:jc w:val="both"/>
      </w:pPr>
      <w:r>
        <w:rPr/>
        <w:t>本财务报告经本公司第三届董事会第十五次会议于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日批准。</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pStyle w:val="BodyText"/>
        <w:spacing w:line="240" w:lineRule="auto"/>
        <w:ind w:right="0"/>
        <w:jc w:val="both"/>
        <w:rPr>
          <w:rFonts w:ascii="Times New Roman" w:hAnsi="Times New Roman" w:cs="Times New Roman" w:eastAsia="Times New Roman" w:hint="default"/>
        </w:rPr>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日止，本公司拥有红相电力（上海）有限公司（以下简称</w:t>
      </w:r>
      <w:r>
        <w:rPr>
          <w:rFonts w:ascii="Times New Roman" w:hAnsi="Times New Roman" w:cs="Times New Roman" w:eastAsia="Times New Roman" w:hint="default"/>
        </w:rPr>
        <w:t>“</w:t>
      </w:r>
      <w:r>
        <w:rPr/>
        <w:t>上海红相</w:t>
      </w:r>
      <w:r>
        <w:rPr>
          <w:rFonts w:ascii="Times New Roman" w:hAnsi="Times New Roman" w:cs="Times New Roman" w:eastAsia="Times New Roman" w:hint="default"/>
        </w:rPr>
        <w:t>”</w:t>
      </w:r>
      <w:r>
        <w:rPr/>
        <w:t>）、</w:t>
      </w:r>
      <w:r>
        <w:rPr>
          <w:rFonts w:ascii="Times New Roman" w:hAnsi="Times New Roman" w:cs="Times New Roman" w:eastAsia="Times New Roman" w:hint="default"/>
        </w:rPr>
        <w:t>RED  </w:t>
      </w:r>
      <w:r>
        <w:rPr>
          <w:rFonts w:ascii="Times New Roman" w:hAnsi="Times New Roman" w:cs="Times New Roman" w:eastAsia="Times New Roman" w:hint="default"/>
          <w:spacing w:val="6"/>
        </w:rPr>
        <w:t> </w:t>
      </w:r>
      <w:r>
        <w:rPr>
          <w:rFonts w:ascii="Times New Roman" w:hAnsi="Times New Roman" w:cs="Times New Roman" w:eastAsia="Times New Roman" w:hint="default"/>
        </w:rPr>
        <w:t>PHASE</w:t>
      </w:r>
    </w:p>
    <w:p>
      <w:pPr>
        <w:spacing w:after="0" w:line="240" w:lineRule="auto"/>
        <w:jc w:val="both"/>
        <w:rPr>
          <w:rFonts w:ascii="Times New Roman" w:hAnsi="Times New Roman" w:cs="Times New Roman" w:eastAsia="Times New Roman" w:hint="default"/>
        </w:rPr>
        <w:sectPr>
          <w:pgSz w:w="11910" w:h="16840"/>
          <w:pgMar w:header="747" w:footer="979" w:top="1060" w:bottom="1160" w:left="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left="1134" w:right="1026"/>
        <w:jc w:val="both"/>
      </w:pPr>
      <w:r>
        <w:rPr>
          <w:rFonts w:ascii="Times New Roman" w:hAnsi="Times New Roman" w:cs="Times New Roman" w:eastAsia="Times New Roman" w:hint="default"/>
        </w:rPr>
        <w:t>INSTRUMENTS AUSTRALIA PTY</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澳洲红相</w:t>
      </w:r>
      <w:r>
        <w:rPr>
          <w:rFonts w:ascii="Times New Roman" w:hAnsi="Times New Roman" w:cs="Times New Roman" w:eastAsia="Times New Roman" w:hint="default"/>
        </w:rPr>
        <w:t>”</w:t>
      </w:r>
      <w:r>
        <w:rPr/>
        <w:t>）、厦门红相软件有限公司（以下简称</w:t>
      </w:r>
      <w:r>
        <w:rPr>
          <w:rFonts w:ascii="Times New Roman" w:hAnsi="Times New Roman" w:cs="Times New Roman" w:eastAsia="Times New Roman" w:hint="default"/>
        </w:rPr>
        <w:t>“</w:t>
      </w:r>
      <w:r>
        <w:rPr/>
        <w:t>红 </w:t>
      </w:r>
      <w:r>
        <w:rPr>
          <w:spacing w:val="-3"/>
        </w:rPr>
        <w:t>相软件</w:t>
      </w:r>
      <w:r>
        <w:rPr>
          <w:rFonts w:ascii="Times New Roman" w:hAnsi="Times New Roman" w:cs="Times New Roman" w:eastAsia="Times New Roman" w:hint="default"/>
          <w:spacing w:val="-3"/>
        </w:rPr>
        <w:t>”</w:t>
      </w:r>
      <w:r>
        <w:rPr>
          <w:spacing w:val="-3"/>
        </w:rPr>
        <w:t>）、厦门红相信息科技有限公司（以下简称</w:t>
      </w:r>
      <w:r>
        <w:rPr>
          <w:rFonts w:ascii="Times New Roman" w:hAnsi="Times New Roman" w:cs="Times New Roman" w:eastAsia="Times New Roman" w:hint="default"/>
          <w:spacing w:val="-3"/>
        </w:rPr>
        <w:t>“</w:t>
      </w:r>
      <w:r>
        <w:rPr>
          <w:spacing w:val="-3"/>
        </w:rPr>
        <w:t>红相信息</w:t>
      </w:r>
      <w:r>
        <w:rPr>
          <w:rFonts w:ascii="Times New Roman" w:hAnsi="Times New Roman" w:cs="Times New Roman" w:eastAsia="Times New Roman" w:hint="default"/>
          <w:spacing w:val="-3"/>
        </w:rPr>
        <w:t>”</w:t>
      </w:r>
      <w:r>
        <w:rPr>
          <w:spacing w:val="-3"/>
        </w:rPr>
        <w:t>）和浙江涵普电力科技有限公司（以下简称</w:t>
      </w:r>
      <w:r>
        <w:rPr>
          <w:spacing w:val="-59"/>
        </w:rPr>
        <w:t> </w:t>
      </w:r>
      <w:r>
        <w:rPr>
          <w:spacing w:val="-59"/>
        </w:rPr>
      </w:r>
      <w:r>
        <w:rPr>
          <w:rFonts w:ascii="Times New Roman" w:hAnsi="Times New Roman" w:cs="Times New Roman" w:eastAsia="Times New Roman" w:hint="default"/>
          <w:spacing w:val="-2"/>
        </w:rPr>
        <w:t>“</w:t>
      </w:r>
      <w:r>
        <w:rPr>
          <w:spacing w:val="-2"/>
        </w:rPr>
        <w:t>浙江涵普</w:t>
      </w:r>
      <w:r>
        <w:rPr>
          <w:rFonts w:ascii="Times New Roman" w:hAnsi="Times New Roman" w:cs="Times New Roman" w:eastAsia="Times New Roman" w:hint="default"/>
          <w:spacing w:val="-2"/>
        </w:rPr>
        <w:t>”</w:t>
      </w:r>
      <w:r>
        <w:rPr>
          <w:spacing w:val="-2"/>
        </w:rPr>
        <w:t>）五家子公司；并且拥有浙江涵普三维电力科技有限公司（以下简称</w:t>
      </w:r>
      <w:r>
        <w:rPr>
          <w:rFonts w:ascii="Times New Roman" w:hAnsi="Times New Roman" w:cs="Times New Roman" w:eastAsia="Times New Roman" w:hint="default"/>
          <w:spacing w:val="-2"/>
        </w:rPr>
        <w:t>“</w:t>
      </w:r>
      <w:r>
        <w:rPr>
          <w:spacing w:val="-2"/>
        </w:rPr>
        <w:t>涵普三维</w:t>
      </w:r>
      <w:r>
        <w:rPr>
          <w:rFonts w:ascii="Times New Roman" w:hAnsi="Times New Roman" w:cs="Times New Roman" w:eastAsia="Times New Roman" w:hint="default"/>
          <w:spacing w:val="-2"/>
        </w:rPr>
        <w:t>”</w:t>
      </w:r>
      <w:r>
        <w:rPr>
          <w:spacing w:val="-2"/>
        </w:rPr>
        <w:t>）一家孙公司。</w:t>
      </w:r>
    </w:p>
    <w:p>
      <w:pPr>
        <w:spacing w:line="240" w:lineRule="auto" w:before="12"/>
        <w:rPr>
          <w:rFonts w:ascii="宋体" w:hAnsi="宋体" w:cs="宋体" w:eastAsia="宋体" w:hint="default"/>
          <w:sz w:val="16"/>
          <w:szCs w:val="16"/>
        </w:rPr>
      </w:pPr>
    </w:p>
    <w:p>
      <w:pPr>
        <w:pStyle w:val="BodyText"/>
        <w:spacing w:line="273" w:lineRule="auto"/>
        <w:ind w:left="1134" w:right="0"/>
        <w:jc w:val="left"/>
      </w:pPr>
      <w:r>
        <w:rPr>
          <w:spacing w:val="-1"/>
        </w:rPr>
        <w:t>本报告期内，本公司新增子公司红相信息、浙江涵普两家子公司及涵普三维一家孙公司，本期合并财务报</w:t>
      </w:r>
      <w:r>
        <w:rPr>
          <w:spacing w:val="-83"/>
        </w:rPr>
        <w:t> </w:t>
      </w:r>
      <w:r>
        <w:rPr>
          <w:spacing w:val="-83"/>
        </w:rPr>
      </w:r>
      <w:r>
        <w:rPr/>
        <w:t>表范围及其变化情况详见本节</w:t>
      </w:r>
      <w:r>
        <w:rPr>
          <w:rFonts w:ascii="Times New Roman" w:hAnsi="Times New Roman" w:cs="Times New Roman" w:eastAsia="Times New Roman" w:hint="default"/>
        </w:rPr>
        <w:t>“</w:t>
      </w:r>
      <w:r>
        <w:rPr/>
        <w:t>八、合并范围的变动</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left="1134" w:right="0"/>
        <w:jc w:val="both"/>
        <w:rPr>
          <w:b w:val="0"/>
          <w:bCs w:val="0"/>
        </w:rPr>
      </w:pPr>
      <w:bookmarkStart w:name="四、财务报表的编制基础" w:id="157"/>
      <w:bookmarkEnd w:id="15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编制基础" w:id="158"/>
      <w:bookmarkEnd w:id="15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0"/>
        <w:jc w:val="both"/>
      </w:pPr>
      <w:r>
        <w:rPr/>
        <w:t>本财务报表按照财政部颁布的企业会计准则及其应用指南、解释及其他有关规定（统称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 </w:t>
      </w:r>
      <w:r>
        <w:rPr>
          <w:spacing w:val="-1"/>
        </w:rPr>
        <w:t>编制。此外，本公司还按照中国证监会《公开发行证券的公司信息披露编报规则第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w:t>
      </w:r>
      <w:r>
        <w:rPr>
          <w:spacing w:val="-83"/>
        </w:rPr>
        <w:t> </w:t>
      </w:r>
      <w:r>
        <w:rPr>
          <w:spacing w:val="-83"/>
        </w:rPr>
      </w:r>
      <w:r>
        <w:rPr/>
        <w:t>规定》（</w:t>
      </w:r>
      <w:r>
        <w:rPr>
          <w:rFonts w:ascii="Times New Roman" w:hAnsi="Times New Roman" w:cs="Times New Roman" w:eastAsia="Times New Roman" w:hint="default"/>
        </w:rPr>
        <w:t>2014</w:t>
      </w:r>
      <w:r>
        <w:rPr/>
        <w:t>年修订）披露有关财务信息。</w:t>
      </w:r>
    </w:p>
    <w:p>
      <w:pPr>
        <w:spacing w:line="240" w:lineRule="auto" w:before="12"/>
        <w:rPr>
          <w:rFonts w:ascii="宋体" w:hAnsi="宋体" w:cs="宋体" w:eastAsia="宋体" w:hint="default"/>
          <w:sz w:val="16"/>
          <w:szCs w:val="16"/>
        </w:rPr>
      </w:pPr>
    </w:p>
    <w:p>
      <w:pPr>
        <w:pStyle w:val="BodyText"/>
        <w:spacing w:line="240" w:lineRule="auto"/>
        <w:ind w:left="1134" w:right="0"/>
        <w:jc w:val="both"/>
      </w:pPr>
      <w:r>
        <w:rPr/>
        <w:t>本财务报表以持续经营为基础列报。</w:t>
      </w:r>
    </w:p>
    <w:p>
      <w:pPr>
        <w:spacing w:line="240" w:lineRule="auto" w:before="5"/>
        <w:rPr>
          <w:rFonts w:ascii="宋体" w:hAnsi="宋体" w:cs="宋体" w:eastAsia="宋体" w:hint="default"/>
          <w:sz w:val="19"/>
          <w:szCs w:val="19"/>
        </w:rPr>
      </w:pPr>
    </w:p>
    <w:p>
      <w:pPr>
        <w:pStyle w:val="BodyText"/>
        <w:spacing w:line="273" w:lineRule="auto"/>
        <w:ind w:left="1134" w:right="0"/>
        <w:jc w:val="left"/>
      </w:pPr>
      <w:r>
        <w:rPr>
          <w:spacing w:val="-1"/>
        </w:rPr>
        <w:t>本集团会计核算以权责发生制为基础。除某些金融工具外，公司的财务报表均以历史成本为计量基础。资</w:t>
      </w:r>
      <w:r>
        <w:rPr>
          <w:spacing w:val="-83"/>
        </w:rPr>
        <w:t> </w:t>
      </w:r>
      <w:r>
        <w:rPr>
          <w:spacing w:val="-83"/>
        </w:rPr>
      </w:r>
      <w:r>
        <w:rPr/>
        <w:t>产如果发生减值，则按照相关规定计提相应的减值准备。</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持续经营" w:id="159"/>
      <w:bookmarkEnd w:id="15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134" w:right="0"/>
        <w:jc w:val="left"/>
      </w:pPr>
      <w:r>
        <w:rPr>
          <w:spacing w:val="-1"/>
        </w:rPr>
        <w:t>公司对自报告期末起</w:t>
      </w:r>
      <w:r>
        <w:rPr>
          <w:rFonts w:ascii="Times New Roman" w:hAnsi="Times New Roman" w:cs="Times New Roman" w:eastAsia="Times New Roman" w:hint="default"/>
          <w:spacing w:val="-1"/>
        </w:rPr>
        <w:t>12</w:t>
      </w:r>
      <w:r>
        <w:rPr>
          <w:spacing w:val="-1"/>
        </w:rPr>
        <w:t>个月的持续经营能力进行了评估，未发现影响本公司持续经营能力的事项，本公司</w:t>
      </w:r>
      <w:r>
        <w:rPr>
          <w:spacing w:val="-81"/>
        </w:rPr>
        <w:t> </w:t>
      </w:r>
      <w:r>
        <w:rPr>
          <w:spacing w:val="-81"/>
        </w:rPr>
      </w:r>
      <w:r>
        <w:rPr/>
        <w:t>以持续经营为基础编制报表是合理的。</w:t>
      </w:r>
    </w:p>
    <w:p>
      <w:pPr>
        <w:spacing w:line="240" w:lineRule="auto" w:before="13"/>
        <w:rPr>
          <w:rFonts w:ascii="宋体" w:hAnsi="宋体" w:cs="宋体" w:eastAsia="宋体" w:hint="default"/>
          <w:sz w:val="22"/>
          <w:szCs w:val="22"/>
        </w:rPr>
      </w:pPr>
    </w:p>
    <w:p>
      <w:pPr>
        <w:pStyle w:val="Heading2"/>
        <w:spacing w:line="240" w:lineRule="auto"/>
        <w:ind w:left="1134" w:right="0"/>
        <w:jc w:val="both"/>
        <w:rPr>
          <w:b w:val="0"/>
          <w:bCs w:val="0"/>
        </w:rPr>
      </w:pPr>
      <w:bookmarkStart w:name="五、重要会计政策及会计估计" w:id="160"/>
      <w:bookmarkEnd w:id="16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0"/>
        <w:ind w:left="1134" w:right="0"/>
        <w:jc w:val="left"/>
      </w:pPr>
      <w:r>
        <w:rPr>
          <w:spacing w:val="-1"/>
        </w:rPr>
        <w:t>公司根据自身生产经营特点，制定了具体的会计政策和会计估计。以下披露的内容已涵盖了公司重要的会</w:t>
      </w:r>
      <w:r>
        <w:rPr>
          <w:spacing w:val="-81"/>
        </w:rPr>
        <w:t> </w:t>
      </w:r>
      <w:r>
        <w:rPr>
          <w:spacing w:val="-81"/>
        </w:rPr>
      </w:r>
      <w:r>
        <w:rPr/>
        <w:t>计政策和会计估计。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610" w:lineRule="atLeast" w:before="0"/>
        <w:ind w:left="1133" w:right="0" w:firstLine="0"/>
        <w:jc w:val="left"/>
        <w:rPr>
          <w:rFonts w:ascii="宋体" w:hAnsi="宋体" w:cs="宋体" w:eastAsia="宋体" w:hint="default"/>
          <w:sz w:val="21"/>
          <w:szCs w:val="21"/>
        </w:rPr>
      </w:pPr>
      <w:bookmarkStart w:name="1、遵循企业会计准则的声明"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本财务报表符合企业会计准则的要求，真实、完整地反映了本集团</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日的合并及公司财务状况、</w:t>
      </w:r>
    </w:p>
    <w:p>
      <w:pPr>
        <w:pStyle w:val="BodyText"/>
        <w:spacing w:line="240" w:lineRule="auto" w:before="21"/>
        <w:ind w:right="0"/>
        <w:jc w:val="both"/>
      </w:pPr>
      <w:r>
        <w:rPr>
          <w:rFonts w:ascii="Times New Roman" w:hAnsi="Times New Roman" w:cs="Times New Roman" w:eastAsia="Times New Roman" w:hint="default"/>
        </w:rPr>
        <w:t>2015</w:t>
      </w:r>
      <w:r>
        <w:rPr/>
        <w:t>年度的合并及公司经营成果和合并及公司现金流量等有关信息。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2、会计期间" w:id="162"/>
      <w:bookmarkEnd w:id="16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0"/>
        <w:jc w:val="both"/>
      </w:pPr>
      <w:r>
        <w:rPr/>
        <w:t>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506" w:lineRule="auto" w:before="35"/>
        <w:ind w:left="1133" w:right="8023" w:firstLine="0"/>
        <w:jc w:val="left"/>
        <w:rPr>
          <w:rFonts w:ascii="宋体" w:hAnsi="宋体" w:cs="宋体" w:eastAsia="宋体" w:hint="default"/>
          <w:sz w:val="21"/>
          <w:szCs w:val="21"/>
        </w:rPr>
      </w:pPr>
      <w:bookmarkStart w:name="3、营业周期" w:id="163"/>
      <w:bookmarkEnd w:id="1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本集团的营业周期为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240" w:lineRule="auto" w:before="10"/>
        <w:rPr>
          <w:rFonts w:ascii="宋体" w:hAnsi="宋体" w:cs="宋体" w:eastAsia="宋体" w:hint="default"/>
          <w:sz w:val="28"/>
          <w:szCs w:val="28"/>
        </w:rPr>
      </w:pPr>
    </w:p>
    <w:p>
      <w:pPr>
        <w:pStyle w:val="Heading4"/>
        <w:spacing w:line="240" w:lineRule="auto"/>
        <w:ind w:right="0"/>
        <w:jc w:val="both"/>
        <w:rPr>
          <w:b w:val="0"/>
          <w:bCs w:val="0"/>
        </w:rPr>
      </w:pPr>
      <w:bookmarkStart w:name="4、记账本位币" w:id="164"/>
      <w:bookmarkEnd w:id="16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2"/>
        <w:jc w:val="both"/>
      </w:pPr>
      <w:r>
        <w:rPr>
          <w:spacing w:val="-1"/>
        </w:rPr>
        <w:t>本公司及境内子公司以人民币为记账本位币。本公司之境外子公司澳洲红相根据其经营所处的主要经济环</w:t>
      </w:r>
      <w:r>
        <w:rPr>
          <w:spacing w:val="-81"/>
        </w:rPr>
        <w:t> </w:t>
      </w:r>
      <w:r>
        <w:rPr>
          <w:spacing w:val="-81"/>
        </w:rPr>
      </w:r>
      <w:r>
        <w:rPr/>
        <w:t>境中的货币确定澳元作为记账本位币。本集团编制本财务报表时所采用的货币为人民币。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5、同一控制下和非同一控制下企业合并的会计处理方法" w:id="165"/>
      <w:bookmarkEnd w:id="16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w:t>
      </w:r>
      <w:r>
        <w:rPr>
          <w:rFonts w:ascii="Times New Roman" w:hAnsi="Times New Roman" w:cs="Times New Roman" w:eastAsia="Times New Roman" w:hint="default"/>
        </w:rPr>
        <w:t>1</w:t>
      </w:r>
      <w:r>
        <w:rPr/>
        <w:t>）同一控制下的企业合并</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对于同一控制下的企业合并，合并方在合并中取得的被合并方的资产、负债，除因会计政策不同而进行的</w:t>
      </w:r>
      <w:r>
        <w:rPr>
          <w:spacing w:val="-83"/>
        </w:rPr>
        <w:t> </w:t>
      </w:r>
      <w:r>
        <w:rPr>
          <w:spacing w:val="-83"/>
        </w:rPr>
      </w:r>
      <w:r>
        <w:rPr>
          <w:spacing w:val="-1"/>
        </w:rPr>
        <w:t>调整以外，按合并日被合并方在最终控制方合并财务报表中的账面价值计量。合并对价的账面价值与合并</w:t>
      </w:r>
      <w:r>
        <w:rPr>
          <w:spacing w:val="-81"/>
        </w:rPr>
        <w:t> </w:t>
      </w:r>
      <w:r>
        <w:rPr>
          <w:spacing w:val="-81"/>
        </w:rPr>
      </w:r>
      <w:r>
        <w:rPr/>
        <w:t>中取得的净资产账面价值的差额调整资本公积，资本公积不足冲减的，调整留存收益。</w:t>
      </w:r>
    </w:p>
    <w:p>
      <w:pPr>
        <w:spacing w:line="240" w:lineRule="auto" w:before="1"/>
        <w:rPr>
          <w:rFonts w:ascii="宋体" w:hAnsi="宋体" w:cs="宋体" w:eastAsia="宋体" w:hint="default"/>
          <w:sz w:val="17"/>
          <w:szCs w:val="17"/>
        </w:rPr>
      </w:pPr>
    </w:p>
    <w:p>
      <w:pPr>
        <w:pStyle w:val="BodyText"/>
        <w:spacing w:line="240" w:lineRule="auto"/>
        <w:ind w:right="0"/>
        <w:jc w:val="both"/>
      </w:pPr>
      <w:r>
        <w:rPr/>
        <w:t>通过多次交易分步实现同一控制下的企业合并</w:t>
      </w:r>
    </w:p>
    <w:p>
      <w:pPr>
        <w:spacing w:line="240" w:lineRule="auto" w:before="5"/>
        <w:rPr>
          <w:rFonts w:ascii="宋体" w:hAnsi="宋体" w:cs="宋体" w:eastAsia="宋体" w:hint="default"/>
          <w:sz w:val="19"/>
          <w:szCs w:val="19"/>
        </w:rPr>
      </w:pPr>
    </w:p>
    <w:p>
      <w:pPr>
        <w:pStyle w:val="BodyText"/>
        <w:spacing w:line="273" w:lineRule="auto"/>
        <w:ind w:right="1026"/>
        <w:jc w:val="both"/>
      </w:pPr>
      <w:r>
        <w:rPr/>
        <w:t>在个别财务报表中，以合并日持股比例计算的合并日应享有被合并方净资产在最终控制方合并财务报表中 的账面价值的份额作为该项投资的初始投资成本；初始投资成本与合并前持有投资的账面价值加上合并日 新支付对价的账面价值之和的差额，调整资本公积，资本公积不足冲减的，调整留存收益。</w:t>
      </w:r>
    </w:p>
    <w:p>
      <w:pPr>
        <w:spacing w:line="240" w:lineRule="auto" w:before="1"/>
        <w:rPr>
          <w:rFonts w:ascii="宋体" w:hAnsi="宋体" w:cs="宋体" w:eastAsia="宋体" w:hint="default"/>
          <w:sz w:val="17"/>
          <w:szCs w:val="17"/>
        </w:rPr>
      </w:pPr>
    </w:p>
    <w:p>
      <w:pPr>
        <w:pStyle w:val="BodyText"/>
        <w:spacing w:line="273" w:lineRule="auto"/>
        <w:ind w:right="1024"/>
        <w:jc w:val="left"/>
      </w:pPr>
      <w:r>
        <w:rPr>
          <w:spacing w:val="-3"/>
        </w:rPr>
        <w:t>在合并财务报表中，合并方在合并中取得的被合并方的资产、负债，除因会计政策不同而进行的调整以外，</w:t>
      </w:r>
      <w:r>
        <w:rPr>
          <w:spacing w:val="-90"/>
        </w:rPr>
        <w:t> </w:t>
      </w:r>
      <w:r>
        <w:rPr>
          <w:spacing w:val="-90"/>
        </w:rPr>
      </w:r>
      <w:r>
        <w:rPr/>
        <w:t>按合并日在最终控制方合并财务报表中的账面价值计量；合并前持有投资的账面价值加上合并日新支付对</w:t>
      </w:r>
      <w:r>
        <w:rPr/>
        <w:t> 价的账面价值之和，与合并中取得的净资产账面价值的差额，调整资本公积，资本公积不足冲减的，调整 留存收益。合并方在取得被合并方控制权之前持有的长期股权投资，在取得原股权之日与合并方与被合并 方同处于同一方最终控制之日孰晚日起至合并日之间已确认有关损益、其他综合收益和其他所有者权益变 动，应分别冲减比较报表期间的期初留存收益或当期损益。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）非同一控制下的企业合并</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对于非同一控制下的企业合并，合并成本为购买日为取得对被购买方的控制权而付出的资产、发生或承担</w:t>
      </w:r>
      <w:r>
        <w:rPr>
          <w:spacing w:val="-81"/>
        </w:rPr>
        <w:t> </w:t>
      </w:r>
      <w:r>
        <w:rPr>
          <w:spacing w:val="-81"/>
        </w:rPr>
      </w:r>
      <w:r>
        <w:rPr>
          <w:spacing w:val="-1"/>
        </w:rPr>
        <w:t>的负债以及发行的权益性证券的公允价值。在购买日，取得的被购买方的资产、负债及或有负债按公允价</w:t>
      </w:r>
      <w:r>
        <w:rPr>
          <w:spacing w:val="-83"/>
        </w:rPr>
        <w:t> </w:t>
      </w:r>
      <w:r>
        <w:rPr>
          <w:spacing w:val="-83"/>
        </w:rPr>
      </w:r>
      <w:r>
        <w:rPr/>
        <w:t>值确认。</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对合并成本大于合并中取得的被购买方可辨认净资产公允价值份额的差额，确认为商誉，按成本扣除累计</w:t>
      </w:r>
      <w:r>
        <w:rPr>
          <w:spacing w:val="-81"/>
        </w:rPr>
        <w:t> </w:t>
      </w:r>
      <w:r>
        <w:rPr>
          <w:spacing w:val="-81"/>
        </w:rPr>
      </w:r>
      <w:r>
        <w:rPr>
          <w:spacing w:val="-1"/>
        </w:rPr>
        <w:t>减值准备进行后续计量；对合并成本小于合并中取得的被购买方可辨认净资产公允价值份额的差额，经复</w:t>
      </w:r>
      <w:r>
        <w:rPr>
          <w:spacing w:val="-81"/>
        </w:rPr>
        <w:t> </w:t>
      </w:r>
      <w:r>
        <w:rPr>
          <w:spacing w:val="-81"/>
        </w:rPr>
      </w:r>
      <w:r>
        <w:rPr/>
        <w:t>核后计入当期损益。</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通过多次交易分步实现非同一控制下的企业合并</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在个别财务报表中，以购买日之前所持被购买方的股权投资的账面价值与购买日新增投资成本之和，作为</w:t>
      </w:r>
      <w:r>
        <w:rPr>
          <w:spacing w:val="-81"/>
        </w:rPr>
        <w:t> </w:t>
      </w:r>
      <w:r>
        <w:rPr>
          <w:spacing w:val="-81"/>
        </w:rPr>
      </w:r>
      <w:r>
        <w:rPr>
          <w:spacing w:val="-1"/>
        </w:rPr>
        <w:t>该项投资的初始投资成本。购买日之前持有的股权投资因采用权益法核算而确认的其他综合收益，购买日</w:t>
      </w:r>
      <w:r>
        <w:rPr>
          <w:spacing w:val="-81"/>
        </w:rPr>
        <w:t> </w:t>
      </w:r>
      <w:r>
        <w:rPr>
          <w:spacing w:val="-81"/>
        </w:rPr>
      </w:r>
      <w:r>
        <w:rPr>
          <w:spacing w:val="-1"/>
        </w:rPr>
        <w:t>对这部分其他综合收益不作处理，在处置该项投资时采用与被投资单位直接处置相关资产或负债相同的基</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t>础进行会计处理；因被投资方除净损益、其他综合收益和利润分配以外的其他所有者权益变动而确认的所 </w:t>
      </w:r>
      <w:r>
        <w:rPr>
          <w:spacing w:val="-3"/>
        </w:rPr>
        <w:t>有者权益，在处置该项投资时转入处置期间的当期损益。购买日之前持有的股权投资采用公允价值计量的，</w:t>
      </w:r>
      <w:r>
        <w:rPr>
          <w:spacing w:val="-92"/>
        </w:rPr>
        <w:t> </w:t>
      </w:r>
      <w:r>
        <w:rPr>
          <w:spacing w:val="-92"/>
        </w:rPr>
      </w:r>
      <w:r>
        <w:rPr/>
        <w:t>原计入其他综合收益的累计公允价值变动在改按成本法核算时转入当期损益。</w:t>
      </w:r>
    </w:p>
    <w:p>
      <w:pPr>
        <w:spacing w:line="240" w:lineRule="auto" w:before="2"/>
        <w:rPr>
          <w:rFonts w:ascii="宋体" w:hAnsi="宋体" w:cs="宋体" w:eastAsia="宋体" w:hint="default"/>
          <w:sz w:val="17"/>
          <w:szCs w:val="17"/>
        </w:rPr>
      </w:pPr>
    </w:p>
    <w:p>
      <w:pPr>
        <w:pStyle w:val="BodyText"/>
        <w:spacing w:line="273" w:lineRule="auto"/>
        <w:ind w:right="1024"/>
        <w:jc w:val="left"/>
      </w:pPr>
      <w:r>
        <w:rPr/>
        <w:t>在合并财务报表中，合并成本为购买日支付的对价与购买日之前已经持有的被购买方的股权在购买日的公 </w:t>
      </w:r>
      <w:r>
        <w:rPr>
          <w:spacing w:val="-3"/>
        </w:rPr>
        <w:t>允价值之和。对于购买日之前已经持有的被购买方的股权，按照该股权在购买日的公允价值进行重新计量，</w:t>
      </w:r>
      <w:r>
        <w:rPr>
          <w:spacing w:val="-92"/>
        </w:rPr>
        <w:t> </w:t>
      </w:r>
      <w:r>
        <w:rPr>
          <w:spacing w:val="-92"/>
        </w:rPr>
      </w:r>
      <w:r>
        <w:rPr/>
        <w:t>公允价值与其账面价值之间的差额计入当期收益；购买日之前已经持有的被购买方的股权涉及其他综合收</w:t>
      </w:r>
      <w:r>
        <w:rPr/>
        <w:t> 益、其他所有者权益变动转为购买日当期收益，由于被投资方重新计量设定收益计划净负债或净资产变动 而产生的其他综合收益除外。</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）企业合并中有关交易费用的处理</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为进行企业合并发生的审计、法律服务、评估咨询等中介费用以及其他相关管理费用，于发生时计入当期</w:t>
      </w:r>
      <w:r>
        <w:rPr>
          <w:spacing w:val="-83"/>
        </w:rPr>
        <w:t> </w:t>
      </w:r>
      <w:r>
        <w:rPr>
          <w:spacing w:val="-83"/>
        </w:rPr>
      </w:r>
      <w:r>
        <w:rPr>
          <w:spacing w:val="-1"/>
        </w:rPr>
        <w:t>损益。作为合并对价发行的权益性证券或债务性证券的交易费用，计入权益性证券或债务性证券的初始确</w:t>
      </w:r>
      <w:r>
        <w:rPr>
          <w:spacing w:val="-81"/>
        </w:rPr>
        <w:t> </w:t>
      </w:r>
      <w:r>
        <w:rPr>
          <w:spacing w:val="-81"/>
        </w:rPr>
      </w:r>
      <w:r>
        <w:rPr/>
        <w:t>认金额。</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w:t>
      </w:r>
      <w:r>
        <w:rPr>
          <w:rFonts w:ascii="Times New Roman" w:hAnsi="Times New Roman" w:cs="Times New Roman" w:eastAsia="Times New Roman" w:hint="default"/>
        </w:rPr>
        <w:t>1</w:t>
      </w:r>
      <w:r>
        <w:rPr/>
        <w:t>）合并范围</w:t>
      </w:r>
    </w:p>
    <w:p>
      <w:pPr>
        <w:spacing w:line="240" w:lineRule="auto" w:before="2"/>
        <w:rPr>
          <w:rFonts w:ascii="宋体" w:hAnsi="宋体" w:cs="宋体" w:eastAsia="宋体" w:hint="default"/>
          <w:sz w:val="18"/>
          <w:szCs w:val="18"/>
        </w:rPr>
      </w:pPr>
    </w:p>
    <w:p>
      <w:pPr>
        <w:pStyle w:val="BodyText"/>
        <w:spacing w:line="273" w:lineRule="auto"/>
        <w:ind w:left="1134" w:right="1110"/>
        <w:jc w:val="both"/>
      </w:pPr>
      <w:r>
        <w:rPr>
          <w:spacing w:val="-1"/>
        </w:rPr>
        <w:t>合并财务报表的合并范围以控制为基础予以确定。控制，是指本公司拥有对被投资单位的权力，通过参与</w:t>
      </w:r>
      <w:r>
        <w:rPr>
          <w:spacing w:val="-83"/>
        </w:rPr>
        <w:t> </w:t>
      </w:r>
      <w:r>
        <w:rPr>
          <w:spacing w:val="-83"/>
        </w:rPr>
      </w:r>
      <w:r>
        <w:rPr/>
        <w:t>被投资单位的相关活动而享有可变回报，并且有能力运用对被投资单位的权力影响其回报金额。子公司， 是指被本公司控制的主体（含企业、被投资单位中可分割的部分、结构化主体等）。</w:t>
      </w:r>
    </w:p>
    <w:p>
      <w:pPr>
        <w:spacing w:line="240" w:lineRule="auto" w:before="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）合并财务报表的编制方法</w:t>
      </w:r>
    </w:p>
    <w:p>
      <w:pPr>
        <w:spacing w:line="240" w:lineRule="auto" w:before="2"/>
        <w:rPr>
          <w:rFonts w:ascii="宋体" w:hAnsi="宋体" w:cs="宋体" w:eastAsia="宋体" w:hint="default"/>
          <w:sz w:val="18"/>
          <w:szCs w:val="18"/>
        </w:rPr>
      </w:pPr>
    </w:p>
    <w:p>
      <w:pPr>
        <w:pStyle w:val="BodyText"/>
        <w:spacing w:line="273" w:lineRule="auto"/>
        <w:ind w:right="1110"/>
        <w:jc w:val="both"/>
      </w:pPr>
      <w:r>
        <w:rPr>
          <w:spacing w:val="-1"/>
        </w:rPr>
        <w:t>合并财务报表以本公司和子公司的财务报表为基础，根据其他有关资料，由本公司编制。在编制合并财务</w:t>
      </w:r>
      <w:r>
        <w:rPr>
          <w:spacing w:val="-83"/>
        </w:rPr>
        <w:t> </w:t>
      </w:r>
      <w:r>
        <w:rPr>
          <w:spacing w:val="-83"/>
        </w:rPr>
      </w:r>
      <w:r>
        <w:rPr/>
        <w:t>报表时，本公司和子公司的会计政策和会计期间要求保持一致，公司间的重大交易和往来余额予以抵销。</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在报告期内因同一控制下企业合并增加的子公司以及业务，视同该子公司以及业务自同受最终控制方控制</w:t>
      </w:r>
      <w:r>
        <w:rPr>
          <w:spacing w:val="-81"/>
        </w:rPr>
        <w:t> </w:t>
      </w:r>
      <w:r>
        <w:rPr>
          <w:spacing w:val="-81"/>
        </w:rPr>
      </w:r>
      <w:r>
        <w:rPr>
          <w:spacing w:val="-1"/>
        </w:rPr>
        <w:t>之日起纳入本公司的合并范围，将其自同受最终控制方控制之日起的经营成果、现金流量分别纳入合并利</w:t>
      </w:r>
      <w:r>
        <w:rPr>
          <w:spacing w:val="-81"/>
        </w:rPr>
        <w:t> </w:t>
      </w:r>
      <w:r>
        <w:rPr>
          <w:spacing w:val="-81"/>
        </w:rPr>
      </w:r>
      <w:r>
        <w:rPr/>
        <w:t>润表、合并现金流量表中。</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在报告期内因非同一控制下企业合并增加的子公司以及业务，将该子公司以及业务自购买日至报告期末的</w:t>
      </w:r>
      <w:r>
        <w:rPr>
          <w:spacing w:val="-81"/>
        </w:rPr>
        <w:t> </w:t>
      </w:r>
      <w:r>
        <w:rPr>
          <w:spacing w:val="-81"/>
        </w:rPr>
      </w:r>
      <w:r>
        <w:rPr/>
        <w:t>收入、费用、利润纳入合并利润表，将其现金流量纳入合并现金流量表。</w:t>
      </w:r>
    </w:p>
    <w:p>
      <w:pPr>
        <w:spacing w:line="240" w:lineRule="auto" w:before="1"/>
        <w:rPr>
          <w:rFonts w:ascii="宋体" w:hAnsi="宋体" w:cs="宋体" w:eastAsia="宋体" w:hint="default"/>
          <w:sz w:val="17"/>
          <w:szCs w:val="17"/>
        </w:rPr>
      </w:pPr>
    </w:p>
    <w:p>
      <w:pPr>
        <w:pStyle w:val="BodyText"/>
        <w:spacing w:line="266" w:lineRule="auto"/>
        <w:ind w:left="1134" w:right="1131"/>
        <w:jc w:val="both"/>
      </w:pPr>
      <w:r>
        <w:rPr>
          <w:spacing w:val="-1"/>
        </w:rPr>
        <w:t>子公司的股东权益中不属于本公司所拥有的部分，作为少数股东权益在合并资产负债表中股东权益项下单</w:t>
      </w:r>
      <w:r>
        <w:rPr>
          <w:spacing w:val="-81"/>
        </w:rPr>
        <w:t> </w:t>
      </w:r>
      <w:r>
        <w:rPr>
          <w:spacing w:val="-81"/>
        </w:rPr>
      </w:r>
      <w:r>
        <w:rPr/>
        <w:t>独列示；子公司当期净损益中属于少数股东权益的份额，在合并利润表中净利润项目下以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项目列示。少数股东分担的子公司的亏损超过了少数股东在该子公司期初所有者权益中所享有的份额，其</w:t>
      </w:r>
      <w:r>
        <w:rPr>
          <w:spacing w:val="-81"/>
        </w:rPr>
        <w:t> </w:t>
      </w:r>
      <w:r>
        <w:rPr>
          <w:spacing w:val="-81"/>
        </w:rPr>
      </w:r>
      <w:r>
        <w:rPr/>
        <w:t>余额仍冲减少数股东权益。</w:t>
      </w:r>
    </w:p>
    <w:p>
      <w:pPr>
        <w:spacing w:line="240" w:lineRule="auto" w:before="8"/>
        <w:rPr>
          <w:rFonts w:ascii="宋体" w:hAnsi="宋体" w:cs="宋体" w:eastAsia="宋体" w:hint="default"/>
          <w:sz w:val="17"/>
          <w:szCs w:val="17"/>
        </w:rPr>
      </w:pPr>
    </w:p>
    <w:p>
      <w:pPr>
        <w:pStyle w:val="BodyText"/>
        <w:spacing w:line="240" w:lineRule="auto"/>
        <w:ind w:left="1134" w:right="0"/>
        <w:jc w:val="both"/>
      </w:pPr>
      <w:r>
        <w:rPr/>
        <w:t>（</w:t>
      </w:r>
      <w:r>
        <w:rPr>
          <w:rFonts w:ascii="Times New Roman" w:hAnsi="Times New Roman" w:cs="Times New Roman" w:eastAsia="Times New Roman" w:hint="default"/>
        </w:rPr>
        <w:t>3</w:t>
      </w:r>
      <w:r>
        <w:rPr/>
        <w:t>）购买子公司少数股东股权</w:t>
      </w:r>
    </w:p>
    <w:p>
      <w:pPr>
        <w:spacing w:line="240" w:lineRule="auto" w:before="2"/>
        <w:rPr>
          <w:rFonts w:ascii="宋体" w:hAnsi="宋体" w:cs="宋体" w:eastAsia="宋体" w:hint="default"/>
          <w:sz w:val="18"/>
          <w:szCs w:val="18"/>
        </w:rPr>
      </w:pPr>
    </w:p>
    <w:p>
      <w:pPr>
        <w:pStyle w:val="BodyText"/>
        <w:spacing w:line="273" w:lineRule="auto"/>
        <w:ind w:right="1132"/>
        <w:jc w:val="both"/>
      </w:pPr>
      <w:r>
        <w:rPr>
          <w:spacing w:val="3"/>
        </w:rPr>
        <w:t>因购买少数股权新取得的长期股权投资成本与按照新增持股比例计算应享有子公司自购买日或合并日开</w:t>
      </w:r>
      <w:r>
        <w:rPr>
          <w:spacing w:val="-82"/>
        </w:rPr>
        <w:t> </w:t>
      </w:r>
      <w:r>
        <w:rPr>
          <w:spacing w:val="-82"/>
        </w:rPr>
      </w:r>
      <w:r>
        <w:rPr>
          <w:spacing w:val="-1"/>
        </w:rPr>
        <w:t>始持续计算的净资产份额之间的差额，以及在不丧失控制权的情况下因部分处置对子公司的股权投资而取</w:t>
      </w:r>
      <w:r>
        <w:rPr>
          <w:spacing w:val="-81"/>
        </w:rPr>
        <w:t> </w:t>
      </w:r>
      <w:r>
        <w:rPr>
          <w:spacing w:val="-81"/>
        </w:rPr>
      </w:r>
      <w:r>
        <w:rPr>
          <w:spacing w:val="3"/>
        </w:rPr>
        <w:t>得的处置价款与处置长期股权投资相对应享有子公司自购买日或合并日开始持续计算的净资产份额之间</w:t>
      </w:r>
      <w:r>
        <w:rPr>
          <w:spacing w:val="-82"/>
        </w:rPr>
        <w:t> </w:t>
      </w:r>
      <w:r>
        <w:rPr>
          <w:spacing w:val="-82"/>
        </w:rPr>
      </w:r>
      <w:r>
        <w:rPr/>
        <w:t>的差额，均调整合并资产负债表中的资本公积，资本公积不足冲减的，调整留存收益。</w:t>
      </w:r>
    </w:p>
    <w:p>
      <w:pPr>
        <w:spacing w:after="0" w:line="273" w:lineRule="auto"/>
        <w:jc w:val="both"/>
        <w:sectPr>
          <w:footerReference w:type="default" r:id="rId15"/>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w:t>
      </w:r>
      <w:r>
        <w:rPr>
          <w:rFonts w:ascii="Times New Roman" w:hAnsi="Times New Roman" w:cs="Times New Roman" w:eastAsia="Times New Roman" w:hint="default"/>
        </w:rPr>
        <w:t>4</w:t>
      </w:r>
      <w:r>
        <w:rPr/>
        <w:t>）丧失子公司控制权的处理</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因处置部分股权投资或其他原因丧失了对原有子公司控制权的，剩余股权按照其在丧失控制权日的公允价</w:t>
      </w:r>
      <w:r>
        <w:rPr>
          <w:spacing w:val="-81"/>
        </w:rPr>
        <w:t> </w:t>
      </w:r>
      <w:r>
        <w:rPr>
          <w:spacing w:val="-81"/>
        </w:rPr>
      </w:r>
      <w:r>
        <w:rPr>
          <w:spacing w:val="-1"/>
        </w:rPr>
        <w:t>值进行重新计量；处置股权取得的对价与剩余股权公允价值之和，减去按原持股比例计算应享有原有子公</w:t>
      </w:r>
      <w:r>
        <w:rPr>
          <w:spacing w:val="-81"/>
        </w:rPr>
        <w:t> </w:t>
      </w:r>
      <w:r>
        <w:rPr>
          <w:spacing w:val="-81"/>
        </w:rPr>
      </w:r>
      <w:r>
        <w:rPr>
          <w:spacing w:val="-1"/>
        </w:rPr>
        <w:t>司自购买日开始持续计算的净资产账面价值的份额与商誉之和，形成的差额计入丧失控制权当期的投资收</w:t>
      </w:r>
      <w:r>
        <w:rPr>
          <w:spacing w:val="-81"/>
        </w:rPr>
        <w:t> </w:t>
      </w:r>
      <w:r>
        <w:rPr>
          <w:spacing w:val="-81"/>
        </w:rPr>
      </w:r>
      <w:r>
        <w:rPr/>
        <w:t>益。</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与原有子公司的股权投资相关的其他综合收益等，在丧失控制权时转入当期损益，由于被投资方重新计量</w:t>
      </w:r>
      <w:r>
        <w:rPr>
          <w:spacing w:val="-81"/>
        </w:rPr>
        <w:t> </w:t>
      </w:r>
      <w:r>
        <w:rPr>
          <w:spacing w:val="-81"/>
        </w:rPr>
      </w:r>
      <w:r>
        <w:rPr/>
        <w:t>设定收益计划净负债或净资产变动而产生的其他综合收益除外。</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7、现金及现金等价物的确定标准" w:id="167"/>
      <w:bookmarkEnd w:id="167"/>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3"/>
        <w:jc w:val="both"/>
      </w:pPr>
      <w:r>
        <w:rPr>
          <w:spacing w:val="-1"/>
        </w:rPr>
        <w:t>现金是指库存现金以及可以随时用于支付的存款。现金等价物，是指本集团持有的期限短、流动性强、易</w:t>
      </w:r>
      <w:r>
        <w:rPr>
          <w:spacing w:val="-85"/>
        </w:rPr>
        <w:t> </w:t>
      </w:r>
      <w:r>
        <w:rPr>
          <w:spacing w:val="-85"/>
        </w:rPr>
      </w:r>
      <w:r>
        <w:rPr/>
        <w:t>于转换为已知金额现金、价值变动风险很小的投资。</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8、外币业务和外币报表折算" w:id="168"/>
      <w:bookmarkEnd w:id="168"/>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436" w:lineRule="auto"/>
        <w:ind w:left="1134" w:right="4032"/>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pStyle w:val="BodyText"/>
        <w:spacing w:line="273" w:lineRule="auto" w:before="81"/>
        <w:ind w:right="1131"/>
        <w:jc w:val="both"/>
      </w:pPr>
      <w:r>
        <w:rPr>
          <w:spacing w:val="-1"/>
        </w:rPr>
        <w:t>资产负债表日，对外币货币性项目，采用资产负债表日即期汇率折算。因资产负债表日即期汇率与初始确</w:t>
      </w:r>
      <w:r>
        <w:rPr>
          <w:spacing w:val="-83"/>
        </w:rPr>
        <w:t> </w:t>
      </w:r>
      <w:r>
        <w:rPr>
          <w:spacing w:val="-83"/>
        </w:rPr>
      </w:r>
      <w:r>
        <w:rPr>
          <w:spacing w:val="-1"/>
        </w:rPr>
        <w:t>认时或者前一资产负债表日即期汇率不同而产生的汇兑差额，计入当期损益；对以历史成本计量的外币非</w:t>
      </w:r>
      <w:r>
        <w:rPr>
          <w:spacing w:val="-81"/>
        </w:rPr>
        <w:t> </w:t>
      </w:r>
      <w:r>
        <w:rPr>
          <w:spacing w:val="-81"/>
        </w:rPr>
      </w:r>
      <w:r>
        <w:rPr>
          <w:spacing w:val="-1"/>
        </w:rPr>
        <w:t>货币性项目，仍采用交易发生日的即期汇率折算；对以公允价值计量的外币非货币性项目，采用公允价值</w:t>
      </w:r>
      <w:r>
        <w:rPr>
          <w:spacing w:val="-83"/>
        </w:rPr>
        <w:t> </w:t>
      </w:r>
      <w:r>
        <w:rPr>
          <w:spacing w:val="-83"/>
        </w:rPr>
      </w:r>
      <w:r>
        <w:rPr/>
        <w:t>确定日的即期汇率折算，折算后的记账本位币金额与原记账本位币金额的差额，计入当期损益。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）外币财务报表的折算</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资产负债表日，对境外子公司外币财务报表进行折算时，资产负债表中的资产和负债项目，采用资产负债</w:t>
      </w:r>
      <w:r>
        <w:rPr>
          <w:spacing w:val="-83"/>
        </w:rPr>
        <w:t> </w:t>
      </w:r>
      <w:r>
        <w:rPr>
          <w:spacing w:val="-83"/>
        </w:rPr>
      </w:r>
      <w:r>
        <w:rPr/>
        <w:t>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w:t>
      </w:r>
    </w:p>
    <w:p>
      <w:pPr>
        <w:spacing w:line="240" w:lineRule="auto" w:before="8"/>
        <w:rPr>
          <w:rFonts w:ascii="宋体" w:hAnsi="宋体" w:cs="宋体" w:eastAsia="宋体" w:hint="default"/>
          <w:sz w:val="15"/>
          <w:szCs w:val="15"/>
        </w:rPr>
      </w:pPr>
    </w:p>
    <w:p>
      <w:pPr>
        <w:pStyle w:val="BodyText"/>
        <w:spacing w:line="240" w:lineRule="auto"/>
        <w:ind w:right="0"/>
        <w:jc w:val="both"/>
      </w:pPr>
      <w:r>
        <w:rPr/>
        <w:t>利润表中的收入和费用项目，采用会计期间的平均汇率折算。</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现金流量表所有项目均按照会计期间的平均汇率汇率折算。汇率变动对现金的影响额作为调节项目，在现</w:t>
      </w:r>
      <w:r>
        <w:rPr>
          <w:spacing w:val="-81"/>
        </w:rPr>
        <w:t> </w:t>
      </w:r>
      <w:r>
        <w:rPr>
          <w:spacing w:val="-81"/>
        </w:rPr>
      </w:r>
      <w:r>
        <w:rPr/>
        <w:t>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项目反映。</w:t>
      </w:r>
    </w:p>
    <w:p>
      <w:pPr>
        <w:spacing w:line="240" w:lineRule="auto" w:before="8"/>
        <w:rPr>
          <w:rFonts w:ascii="宋体" w:hAnsi="宋体" w:cs="宋体" w:eastAsia="宋体" w:hint="default"/>
          <w:sz w:val="15"/>
          <w:szCs w:val="15"/>
        </w:rPr>
      </w:pPr>
    </w:p>
    <w:p>
      <w:pPr>
        <w:pStyle w:val="BodyText"/>
        <w:spacing w:line="240" w:lineRule="auto"/>
        <w:ind w:right="0"/>
        <w:jc w:val="both"/>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处置境外经营并丧失控制权时，将资产负债表中股东权益项目下列示的、与该境外经营相关的外币报表折</w:t>
      </w:r>
      <w:r>
        <w:rPr>
          <w:spacing w:val="-81"/>
        </w:rPr>
        <w:t> </w:t>
      </w:r>
      <w:r>
        <w:rPr>
          <w:spacing w:val="-81"/>
        </w:rPr>
      </w:r>
      <w:r>
        <w:rPr/>
        <w:t>算差额，全部或按处置该境外经营的比例转入处置当期损益。</w:t>
      </w:r>
    </w:p>
    <w:p>
      <w:pPr>
        <w:spacing w:line="240" w:lineRule="auto" w:before="8"/>
        <w:rPr>
          <w:rFonts w:ascii="宋体" w:hAnsi="宋体" w:cs="宋体" w:eastAsia="宋体" w:hint="default"/>
          <w:sz w:val="23"/>
          <w:szCs w:val="23"/>
        </w:rPr>
      </w:pPr>
    </w:p>
    <w:p>
      <w:pPr>
        <w:pStyle w:val="BodyText"/>
        <w:spacing w:line="506" w:lineRule="auto"/>
        <w:ind w:right="2563"/>
        <w:jc w:val="left"/>
      </w:pPr>
      <w:bookmarkStart w:name="9、金融工具" w:id="169"/>
      <w:bookmarkEnd w:id="169"/>
      <w:r>
        <w:rPr/>
      </w:r>
      <w:r>
        <w:rPr>
          <w:rFonts w:ascii="Times New Roman" w:hAnsi="Times New Roman" w:cs="Times New Roman" w:eastAsia="Times New Roman" w:hint="default"/>
          <w:b/>
          <w:bCs/>
        </w:rPr>
        <w:t>9</w:t>
      </w:r>
      <w:r>
        <w:rPr>
          <w:rFonts w:ascii="宋体" w:hAnsi="宋体" w:cs="宋体" w:eastAsia="宋体" w:hint="default"/>
          <w:b/>
          <w:bCs/>
        </w:rPr>
        <w:t>、金融工具</w:t>
      </w:r>
      <w:r>
        <w:rPr>
          <w:rFonts w:ascii="宋体" w:hAnsi="宋体" w:cs="宋体" w:eastAsia="宋体" w:hint="default"/>
          <w:b/>
          <w:bCs/>
          <w:w w:val="99"/>
        </w:rPr>
        <w:t> </w:t>
      </w:r>
      <w:r>
        <w:rPr/>
        <w:t>金融工具是指形成一个企业的金融资产，并形成其他单位的金融负债或权益工具的合同。</w:t>
      </w:r>
    </w:p>
    <w:p>
      <w:pPr>
        <w:pStyle w:val="BodyText"/>
        <w:spacing w:line="436" w:lineRule="auto" w:before="20"/>
        <w:ind w:right="4453"/>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w:t>
      </w:r>
    </w:p>
    <w:p>
      <w:pPr>
        <w:spacing w:after="0" w:line="436" w:lineRule="auto"/>
        <w:jc w:val="left"/>
        <w:sectPr>
          <w:footerReference w:type="default" r:id="rId16"/>
          <w:pgSz w:w="11910" w:h="16840"/>
          <w:pgMar w:footer="979" w:header="747" w:top="1060" w:bottom="1160" w:left="0" w:right="0"/>
          <w:pgNumType w:start="101"/>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金融资产满足下列条件之一的，终止确认：</w:t>
      </w:r>
    </w:p>
    <w:p>
      <w:pPr>
        <w:spacing w:line="240" w:lineRule="auto" w:before="5"/>
        <w:rPr>
          <w:rFonts w:ascii="宋体" w:hAnsi="宋体" w:cs="宋体" w:eastAsia="宋体" w:hint="default"/>
          <w:sz w:val="19"/>
          <w:szCs w:val="19"/>
        </w:rPr>
      </w:pPr>
    </w:p>
    <w:p>
      <w:pPr>
        <w:pStyle w:val="BodyText"/>
        <w:spacing w:line="240" w:lineRule="auto"/>
        <w:ind w:right="0"/>
        <w:jc w:val="both"/>
      </w:pPr>
      <w:r>
        <w:rPr/>
        <w:t>①</w:t>
      </w:r>
      <w:r>
        <w:rPr>
          <w:spacing w:val="-21"/>
        </w:rPr>
        <w:t> </w:t>
      </w:r>
      <w:r>
        <w:rPr/>
        <w:t>收取该金融资产现金流量的合同权利终止；</w:t>
      </w:r>
    </w:p>
    <w:p>
      <w:pPr>
        <w:spacing w:line="240" w:lineRule="auto" w:before="5"/>
        <w:rPr>
          <w:rFonts w:ascii="宋体" w:hAnsi="宋体" w:cs="宋体" w:eastAsia="宋体" w:hint="default"/>
          <w:sz w:val="19"/>
          <w:szCs w:val="19"/>
        </w:rPr>
      </w:pPr>
    </w:p>
    <w:p>
      <w:pPr>
        <w:pStyle w:val="BodyText"/>
        <w:spacing w:line="240" w:lineRule="auto"/>
        <w:ind w:right="0"/>
        <w:jc w:val="both"/>
      </w:pPr>
      <w:r>
        <w:rPr/>
        <w:t>②</w:t>
      </w:r>
      <w:r>
        <w:rPr>
          <w:spacing w:val="-21"/>
        </w:rPr>
        <w:t> </w:t>
      </w:r>
      <w:r>
        <w:rPr/>
        <w:t>该金融资产已转移，且符合下述金融资产转移的终止确认条件。</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金融负债的现时义务全部或部分已经解除的，终止确认该金融负债或其一部分。本集团（债务人）与债权</w:t>
      </w:r>
      <w:r>
        <w:rPr>
          <w:spacing w:val="-86"/>
        </w:rPr>
        <w:t> </w:t>
      </w:r>
      <w:r>
        <w:rPr>
          <w:spacing w:val="-86"/>
        </w:rPr>
      </w:r>
      <w:r>
        <w:rPr>
          <w:spacing w:val="-1"/>
        </w:rPr>
        <w:t>人之间签订协议，以承担新金融负债方式替换现存金融负债，且新金融负债与现存金融负债的合同条款实</w:t>
      </w:r>
      <w:r>
        <w:rPr>
          <w:spacing w:val="-81"/>
        </w:rPr>
        <w:t> </w:t>
      </w:r>
      <w:r>
        <w:rPr>
          <w:spacing w:val="-81"/>
        </w:rPr>
      </w:r>
      <w:r>
        <w:rPr/>
        <w:t>质上不同的，终止确认现存金融负债，并同时确认新金融负债。</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以常规方式买卖金融资产，按交易日进行会计确认和终止确认。</w:t>
      </w:r>
    </w:p>
    <w:p>
      <w:pPr>
        <w:spacing w:line="240" w:lineRule="auto" w:before="5"/>
        <w:rPr>
          <w:rFonts w:ascii="宋体" w:hAnsi="宋体" w:cs="宋体" w:eastAsia="宋体" w:hint="default"/>
          <w:sz w:val="19"/>
          <w:szCs w:val="19"/>
        </w:rPr>
      </w:pPr>
    </w:p>
    <w:p>
      <w:pPr>
        <w:pStyle w:val="BodyText"/>
        <w:spacing w:line="240" w:lineRule="auto"/>
        <w:ind w:right="0"/>
        <w:jc w:val="both"/>
      </w:pPr>
      <w:r>
        <w:rPr/>
        <w:t>（</w:t>
      </w:r>
      <w:r>
        <w:rPr>
          <w:rFonts w:ascii="Times New Roman" w:hAnsi="Times New Roman" w:cs="Times New Roman" w:eastAsia="Times New Roman" w:hint="default"/>
        </w:rPr>
        <w:t>2</w:t>
      </w:r>
      <w:r>
        <w:rPr/>
        <w:t>）金融资产分类和计量</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本集团的金融资产于初始确认时分为以下四类：以公允价值计量且其变动计入当期损益的金融资产、持有</w:t>
      </w:r>
      <w:r>
        <w:rPr>
          <w:spacing w:val="-81"/>
        </w:rPr>
        <w:t> </w:t>
      </w:r>
      <w:r>
        <w:rPr>
          <w:spacing w:val="-81"/>
        </w:rPr>
      </w:r>
      <w:r>
        <w:rPr>
          <w:spacing w:val="-1"/>
        </w:rPr>
        <w:t>至到期投资、贷款和应收款项、可供出售金融资产。金融资产在初始确认时以公允价值计量。对于以公允</w:t>
      </w:r>
      <w:r>
        <w:rPr>
          <w:spacing w:val="-86"/>
        </w:rPr>
        <w:t> </w:t>
      </w:r>
      <w:r>
        <w:rPr>
          <w:spacing w:val="-86"/>
        </w:rPr>
      </w:r>
      <w:r>
        <w:rPr>
          <w:spacing w:val="-1"/>
        </w:rPr>
        <w:t>价值计量且其变动计入当期损益的金融资产，相关交易费用直接计入当期损益，其他类别的金融资产相关</w:t>
      </w:r>
      <w:r>
        <w:rPr>
          <w:spacing w:val="-81"/>
        </w:rPr>
        <w:t> </w:t>
      </w:r>
      <w:r>
        <w:rPr>
          <w:spacing w:val="-81"/>
        </w:rPr>
      </w:r>
      <w:r>
        <w:rPr/>
        <w:t>交易费用计入其初始确认金额。</w:t>
      </w:r>
    </w:p>
    <w:p>
      <w:pPr>
        <w:spacing w:line="240" w:lineRule="auto" w:before="1"/>
        <w:rPr>
          <w:rFonts w:ascii="宋体" w:hAnsi="宋体" w:cs="宋体" w:eastAsia="宋体" w:hint="default"/>
          <w:sz w:val="17"/>
          <w:szCs w:val="17"/>
        </w:rPr>
      </w:pPr>
    </w:p>
    <w:p>
      <w:pPr>
        <w:pStyle w:val="BodyText"/>
        <w:spacing w:line="460" w:lineRule="auto"/>
        <w:ind w:left="1134" w:right="5712"/>
        <w:jc w:val="left"/>
      </w:pPr>
      <w:r>
        <w:rPr/>
        <w:t>本集团的金融资产包括应收款项、可供出售金融资产。 应收款项</w:t>
      </w:r>
    </w:p>
    <w:p>
      <w:pPr>
        <w:pStyle w:val="BodyText"/>
        <w:spacing w:line="266" w:lineRule="auto" w:before="60"/>
        <w:ind w:left="1134" w:right="1131"/>
        <w:jc w:val="both"/>
      </w:pPr>
      <w:r>
        <w:rPr>
          <w:spacing w:val="-1"/>
        </w:rPr>
        <w:t>应收款项，是指在活跃市场中没有报价、回收金额固定或可确定的非衍生金融资产，包括应收账款和其他</w:t>
      </w:r>
      <w:r>
        <w:rPr>
          <w:spacing w:val="-83"/>
        </w:rPr>
        <w:t> </w:t>
      </w:r>
      <w:r>
        <w:rPr>
          <w:spacing w:val="-83"/>
        </w:rPr>
      </w:r>
      <w:r>
        <w:rPr/>
        <w:t>应收款等（见本节</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“11</w:t>
      </w:r>
      <w:r>
        <w:rPr/>
        <w:t>、应收款项</w:t>
      </w:r>
      <w:r>
        <w:rPr>
          <w:rFonts w:ascii="Times New Roman" w:hAnsi="Times New Roman" w:cs="Times New Roman" w:eastAsia="Times New Roman" w:hint="default"/>
        </w:rPr>
        <w:t>”</w:t>
      </w:r>
      <w:r>
        <w:rPr/>
        <w:t>）。应收款项采用实际利率法，按摊</w:t>
      </w:r>
      <w:r>
        <w:rPr>
          <w:spacing w:val="-87"/>
        </w:rPr>
        <w:t> </w:t>
      </w:r>
      <w:r>
        <w:rPr>
          <w:spacing w:val="-87"/>
        </w:rPr>
      </w:r>
      <w:r>
        <w:rPr/>
        <w:t>余成本进行后续计量，在终止确认、发生减值或摊销时产生的利得或损失，计入当期损益。</w:t>
      </w:r>
    </w:p>
    <w:p>
      <w:pPr>
        <w:spacing w:line="240" w:lineRule="auto" w:before="8"/>
        <w:rPr>
          <w:rFonts w:ascii="宋体" w:hAnsi="宋体" w:cs="宋体" w:eastAsia="宋体" w:hint="default"/>
          <w:sz w:val="17"/>
          <w:szCs w:val="17"/>
        </w:rPr>
      </w:pPr>
    </w:p>
    <w:p>
      <w:pPr>
        <w:pStyle w:val="BodyText"/>
        <w:spacing w:line="240" w:lineRule="auto"/>
        <w:ind w:left="1134"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可供出售金融资产，是指初始确认时即指定为可供出售的非衍生金融资产，以及除上述金融资产类别以外</w:t>
      </w:r>
      <w:r>
        <w:rPr>
          <w:spacing w:val="-81"/>
        </w:rPr>
        <w:t> </w:t>
      </w:r>
      <w:r>
        <w:rPr>
          <w:spacing w:val="-81"/>
        </w:rPr>
      </w:r>
      <w:r>
        <w:rPr>
          <w:spacing w:val="-1"/>
        </w:rPr>
        <w:t>的金融资产。可供出售金融资产采用公允价值进行后续计量，其折溢价采用实际利率法摊销并确认为利息</w:t>
      </w:r>
      <w:r>
        <w:rPr>
          <w:spacing w:val="-81"/>
        </w:rPr>
        <w:t> </w:t>
      </w:r>
      <w:r>
        <w:rPr>
          <w:spacing w:val="-81"/>
        </w:rPr>
      </w:r>
      <w:r>
        <w:rPr>
          <w:spacing w:val="-1"/>
        </w:rPr>
        <w:t>收入。除减值损失及外币货币性金融资产的汇兑差额确认为当期损益外，可供出售金融资产的公允价值变</w:t>
      </w:r>
      <w:r>
        <w:rPr>
          <w:spacing w:val="-81"/>
        </w:rPr>
        <w:t> </w:t>
      </w:r>
      <w:r>
        <w:rPr>
          <w:spacing w:val="-81"/>
        </w:rPr>
      </w:r>
      <w:r>
        <w:rPr>
          <w:spacing w:val="-1"/>
        </w:rPr>
        <w:t>动确认为其他综合收益，在该金融资产终止确认时转出，计入当期损益。与可供出售金融资产相关的股利</w:t>
      </w:r>
      <w:r>
        <w:rPr>
          <w:spacing w:val="-83"/>
        </w:rPr>
        <w:t> </w:t>
      </w:r>
      <w:r>
        <w:rPr>
          <w:spacing w:val="-83"/>
        </w:rPr>
      </w:r>
      <w:r>
        <w:rPr/>
        <w:t>或利息收入，计入当期损益。</w:t>
      </w:r>
    </w:p>
    <w:p>
      <w:pPr>
        <w:spacing w:line="240" w:lineRule="auto" w:before="1"/>
        <w:rPr>
          <w:rFonts w:ascii="宋体" w:hAnsi="宋体" w:cs="宋体" w:eastAsia="宋体" w:hint="default"/>
          <w:sz w:val="17"/>
          <w:szCs w:val="17"/>
        </w:rPr>
      </w:pPr>
    </w:p>
    <w:p>
      <w:pPr>
        <w:pStyle w:val="BodyText"/>
        <w:spacing w:line="273" w:lineRule="auto"/>
        <w:ind w:left="1134" w:right="1132"/>
        <w:jc w:val="both"/>
      </w:pPr>
      <w:r>
        <w:rPr>
          <w:spacing w:val="-1"/>
        </w:rPr>
        <w:t>对于在活跃市场中没有报价且其公允价值不能可靠计量的权益工具投资，以及与该权益工具挂钩并须通过</w:t>
      </w:r>
      <w:r>
        <w:rPr>
          <w:spacing w:val="-81"/>
        </w:rPr>
        <w:t> </w:t>
      </w:r>
      <w:r>
        <w:rPr>
          <w:spacing w:val="-81"/>
        </w:rPr>
      </w:r>
      <w:r>
        <w:rPr/>
        <w:t>交付该权益工具结算的衍生金融资产，按成本计量。</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Times New Roman" w:hAnsi="Times New Roman" w:cs="Times New Roman" w:eastAsia="Times New Roman" w:hint="default"/>
        </w:rPr>
        <w:t>3</w:t>
      </w:r>
      <w:r>
        <w:rPr/>
        <w:t>）金融负债分类和计量</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本集团的金融负债于初始确认时分类为：以公允价值计量且其变动计入当期损益的金融负债、其他金融负</w:t>
      </w:r>
      <w:r>
        <w:rPr>
          <w:spacing w:val="-81"/>
        </w:rPr>
        <w:t> </w:t>
      </w:r>
      <w:r>
        <w:rPr>
          <w:spacing w:val="-81"/>
        </w:rPr>
      </w:r>
      <w:r>
        <w:rPr>
          <w:spacing w:val="-1"/>
        </w:rPr>
        <w:t>债。对于未划分为以公允价值计量且其变动计入当期损益的金融负债的，相关交易费用计入其初始确认金</w:t>
      </w:r>
      <w:r>
        <w:rPr>
          <w:spacing w:val="-81"/>
        </w:rPr>
        <w:t> </w:t>
      </w:r>
      <w:r>
        <w:rPr>
          <w:spacing w:val="-81"/>
        </w:rPr>
      </w:r>
      <w:r>
        <w:rPr/>
        <w:t>额。本集团的金融负债为其他金额负债。</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其他金融负债</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与在活跃市场中没有报价、公允价值不能可靠计量的权益工具挂钩并须通过交付该权益工具结算的衍生金</w:t>
      </w:r>
      <w:r>
        <w:rPr>
          <w:spacing w:val="-81"/>
        </w:rPr>
        <w:t> </w:t>
      </w:r>
      <w:r>
        <w:rPr>
          <w:spacing w:val="-81"/>
        </w:rPr>
      </w:r>
      <w:r>
        <w:rPr>
          <w:spacing w:val="-1"/>
        </w:rPr>
        <w:t>融负债，按照成本进行后续计量。其他金融负债采用实际利率法，按摊余成本进行后续计量，终止确认或</w:t>
      </w:r>
      <w:r>
        <w:rPr>
          <w:spacing w:val="-86"/>
        </w:rPr>
        <w:t> </w:t>
      </w:r>
      <w:r>
        <w:rPr>
          <w:spacing w:val="-86"/>
        </w:rPr>
      </w:r>
      <w:r>
        <w:rPr/>
        <w:t>摊销产生的利得或损失计入当期损益。</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460" w:lineRule="auto" w:before="35"/>
        <w:ind w:right="6763"/>
        <w:jc w:val="left"/>
      </w:pPr>
      <w:r>
        <w:rPr/>
        <w:t>金融负债与权益工具的区分 金融负债，是指符合下列条件之一的负债：</w:t>
      </w:r>
    </w:p>
    <w:p>
      <w:pPr>
        <w:pStyle w:val="BodyText"/>
        <w:spacing w:line="240" w:lineRule="auto" w:before="60"/>
        <w:ind w:right="0"/>
        <w:jc w:val="both"/>
      </w:pPr>
      <w:r>
        <w:rPr/>
        <w:t>①向其他方交付现金或其他金融资产的合同义务。</w:t>
      </w:r>
    </w:p>
    <w:p>
      <w:pPr>
        <w:spacing w:line="240" w:lineRule="auto" w:before="5"/>
        <w:rPr>
          <w:rFonts w:ascii="宋体" w:hAnsi="宋体" w:cs="宋体" w:eastAsia="宋体" w:hint="default"/>
          <w:sz w:val="19"/>
          <w:szCs w:val="19"/>
        </w:rPr>
      </w:pPr>
    </w:p>
    <w:p>
      <w:pPr>
        <w:pStyle w:val="BodyText"/>
        <w:spacing w:line="240" w:lineRule="auto"/>
        <w:ind w:right="0"/>
        <w:jc w:val="both"/>
      </w:pPr>
      <w:r>
        <w:rPr/>
        <w:t>②在潜在不利条件下，与其他方交换金融资产或金融负债的合同义务。</w:t>
      </w:r>
    </w:p>
    <w:p>
      <w:pPr>
        <w:spacing w:line="240" w:lineRule="auto" w:before="5"/>
        <w:rPr>
          <w:rFonts w:ascii="宋体" w:hAnsi="宋体" w:cs="宋体" w:eastAsia="宋体" w:hint="default"/>
          <w:sz w:val="19"/>
          <w:szCs w:val="19"/>
        </w:rPr>
      </w:pPr>
    </w:p>
    <w:p>
      <w:pPr>
        <w:pStyle w:val="BodyText"/>
        <w:spacing w:line="273" w:lineRule="auto"/>
        <w:ind w:right="0"/>
        <w:jc w:val="left"/>
      </w:pPr>
      <w:r>
        <w:rPr>
          <w:spacing w:val="-1"/>
        </w:rPr>
        <w:t>③将来须用或可用企业自身权益工具进行结算的非衍生工具合同，且企业根据该合同将交付可变数量的自</w:t>
      </w:r>
      <w:r>
        <w:rPr>
          <w:spacing w:val="-81"/>
        </w:rPr>
        <w:t> </w:t>
      </w:r>
      <w:r>
        <w:rPr>
          <w:spacing w:val="-81"/>
        </w:rPr>
      </w:r>
      <w:r>
        <w:rPr/>
        <w:t>身权益工具。</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④将来须用或可用企业自身权益工具进行结算的衍生工具合同，但以固定数量的自身权益工具交换固定金</w:t>
      </w:r>
      <w:r>
        <w:rPr>
          <w:spacing w:val="-81"/>
        </w:rPr>
        <w:t> </w:t>
      </w:r>
      <w:r>
        <w:rPr>
          <w:spacing w:val="-81"/>
        </w:rPr>
      </w:r>
      <w:r>
        <w:rPr/>
        <w:t>额的现金或其他金融资产的衍生工具合同除外。</w:t>
      </w:r>
    </w:p>
    <w:p>
      <w:pPr>
        <w:spacing w:line="240" w:lineRule="auto" w:before="1"/>
        <w:rPr>
          <w:rFonts w:ascii="宋体" w:hAnsi="宋体" w:cs="宋体" w:eastAsia="宋体" w:hint="default"/>
          <w:sz w:val="17"/>
          <w:szCs w:val="17"/>
        </w:rPr>
      </w:pPr>
    </w:p>
    <w:p>
      <w:pPr>
        <w:pStyle w:val="BodyText"/>
        <w:spacing w:line="240" w:lineRule="auto"/>
        <w:ind w:right="0"/>
        <w:jc w:val="both"/>
      </w:pPr>
      <w:r>
        <w:rPr/>
        <w:t>权益工具，是指能证明拥有某个企业在扣除所有负债后的资产中剩余权益的合同。</w:t>
      </w:r>
    </w:p>
    <w:p>
      <w:pPr>
        <w:spacing w:line="240" w:lineRule="auto" w:before="5"/>
        <w:rPr>
          <w:rFonts w:ascii="宋体" w:hAnsi="宋体" w:cs="宋体" w:eastAsia="宋体" w:hint="default"/>
          <w:sz w:val="19"/>
          <w:szCs w:val="19"/>
        </w:rPr>
      </w:pPr>
    </w:p>
    <w:p>
      <w:pPr>
        <w:pStyle w:val="BodyText"/>
        <w:spacing w:line="273" w:lineRule="auto"/>
        <w:ind w:right="1116"/>
        <w:jc w:val="left"/>
      </w:pPr>
      <w:r>
        <w:rPr>
          <w:spacing w:val="-1"/>
        </w:rPr>
        <w:t>如果本集团不能无条件地避免以交付现金或其他金融资产来履行一项合同义务，则该合同义务符合金融负</w:t>
      </w:r>
      <w:r>
        <w:rPr>
          <w:spacing w:val="-81"/>
        </w:rPr>
        <w:t> </w:t>
      </w:r>
      <w:r>
        <w:rPr>
          <w:spacing w:val="-81"/>
        </w:rPr>
      </w:r>
      <w:r>
        <w:rPr/>
        <w:t>债的定义。</w:t>
      </w:r>
    </w:p>
    <w:p>
      <w:pPr>
        <w:spacing w:line="240" w:lineRule="auto" w:before="1"/>
        <w:rPr>
          <w:rFonts w:ascii="宋体" w:hAnsi="宋体" w:cs="宋体" w:eastAsia="宋体" w:hint="default"/>
          <w:sz w:val="17"/>
          <w:szCs w:val="17"/>
        </w:rPr>
      </w:pPr>
    </w:p>
    <w:p>
      <w:pPr>
        <w:pStyle w:val="BodyText"/>
        <w:spacing w:line="273" w:lineRule="auto"/>
        <w:ind w:right="1109"/>
        <w:jc w:val="both"/>
      </w:pPr>
      <w:r>
        <w:rPr>
          <w:spacing w:val="-1"/>
        </w:rPr>
        <w:t>如果一项金融工具须用或可用本集团自身权益工具进行结算，需要考虑用于结算该工具的本集团自身权益</w:t>
      </w:r>
      <w:r>
        <w:rPr>
          <w:spacing w:val="-81"/>
        </w:rPr>
        <w:t> </w:t>
      </w:r>
      <w:r>
        <w:rPr>
          <w:spacing w:val="-81"/>
        </w:rPr>
      </w:r>
      <w:r>
        <w:rPr>
          <w:spacing w:val="-1"/>
        </w:rPr>
        <w:t>工具，是作为现金或其他金融资产的替代品，还是为了使该工具持有方享有在发行方扣除所有负债后的资</w:t>
      </w:r>
      <w:r>
        <w:rPr>
          <w:spacing w:val="-81"/>
        </w:rPr>
        <w:t> </w:t>
      </w:r>
      <w:r>
        <w:rPr>
          <w:spacing w:val="-81"/>
        </w:rPr>
      </w:r>
      <w:r>
        <w:rPr/>
        <w:t>产中的剩余权益。如果是前者，该工具是本集团的金融负债；如果是后者，该工具是本集团的权益工具。</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4</w:t>
      </w:r>
      <w:r>
        <w:rPr/>
        <w:t>）金融工具的公允价值</w:t>
      </w:r>
    </w:p>
    <w:p>
      <w:pPr>
        <w:spacing w:line="240" w:lineRule="auto" w:before="2"/>
        <w:rPr>
          <w:rFonts w:ascii="宋体" w:hAnsi="宋体" w:cs="宋体" w:eastAsia="宋体" w:hint="default"/>
          <w:sz w:val="18"/>
          <w:szCs w:val="18"/>
        </w:rPr>
      </w:pPr>
    </w:p>
    <w:p>
      <w:pPr>
        <w:pStyle w:val="BodyText"/>
        <w:spacing w:line="273" w:lineRule="auto"/>
        <w:ind w:left="1134" w:right="0"/>
        <w:jc w:val="left"/>
      </w:pPr>
      <w:r>
        <w:rPr>
          <w:spacing w:val="-1"/>
        </w:rPr>
        <w:t>存在活跃市场的金融资产或金融负债，本集团采用活跃市场中的报价确定其公允价值。金融工具不存在活</w:t>
      </w:r>
      <w:r>
        <w:rPr>
          <w:spacing w:val="-81"/>
        </w:rPr>
        <w:t> </w:t>
      </w:r>
      <w:r>
        <w:rPr>
          <w:spacing w:val="-81"/>
        </w:rPr>
      </w:r>
      <w:r>
        <w:rPr/>
        <w:t>跃市场的，本集团采用估值技术确定其公允价值。</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Times New Roman" w:hAnsi="Times New Roman" w:cs="Times New Roman" w:eastAsia="Times New Roman" w:hint="default"/>
        </w:rPr>
        <w:t>5</w:t>
      </w:r>
      <w:r>
        <w:rPr/>
        <w:t>）金融资产减值</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除了以公允价值计量且其变动计入当期损益的金融资产外，本集团于资产负债表日对其他金融资产的账面</w:t>
      </w:r>
      <w:r>
        <w:rPr>
          <w:spacing w:val="-81"/>
        </w:rPr>
        <w:t> </w:t>
      </w:r>
      <w:r>
        <w:rPr>
          <w:spacing w:val="-81"/>
        </w:rPr>
      </w:r>
      <w:r>
        <w:rPr>
          <w:spacing w:val="-1"/>
        </w:rPr>
        <w:t>价值进行检查，有客观证据表明该金融资产发生减值的，计提减值准备。表明金融资产发生减值的客观证</w:t>
      </w:r>
      <w:r>
        <w:rPr>
          <w:spacing w:val="-83"/>
        </w:rPr>
        <w:t> </w:t>
      </w:r>
      <w:r>
        <w:rPr>
          <w:spacing w:val="-83"/>
        </w:rPr>
      </w:r>
      <w:r>
        <w:rPr>
          <w:spacing w:val="-1"/>
        </w:rPr>
        <w:t>据，是指金融资产初始确认后实际发生的、对该金融资产的预计未来现金流量有影响，且企业能够对该影</w:t>
      </w:r>
      <w:r>
        <w:rPr>
          <w:spacing w:val="-83"/>
        </w:rPr>
        <w:t> </w:t>
      </w:r>
      <w:r>
        <w:rPr>
          <w:spacing w:val="-83"/>
        </w:rPr>
      </w:r>
      <w:r>
        <w:rPr/>
        <w:t>响进行可靠计量的事项。</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金融资产发生减值的客观证据，包括下列可观察到的情形：</w:t>
      </w:r>
    </w:p>
    <w:p>
      <w:pPr>
        <w:spacing w:line="240" w:lineRule="auto" w:before="5"/>
        <w:rPr>
          <w:rFonts w:ascii="宋体" w:hAnsi="宋体" w:cs="宋体" w:eastAsia="宋体" w:hint="default"/>
          <w:sz w:val="19"/>
          <w:szCs w:val="19"/>
        </w:rPr>
      </w:pPr>
    </w:p>
    <w:p>
      <w:pPr>
        <w:pStyle w:val="BodyText"/>
        <w:spacing w:line="240" w:lineRule="auto"/>
        <w:ind w:right="0"/>
        <w:jc w:val="both"/>
      </w:pPr>
      <w:r>
        <w:rPr/>
        <w:t>①发行方或债务人发生严重财务困难；</w:t>
      </w:r>
    </w:p>
    <w:p>
      <w:pPr>
        <w:spacing w:line="240" w:lineRule="auto" w:before="5"/>
        <w:rPr>
          <w:rFonts w:ascii="宋体" w:hAnsi="宋体" w:cs="宋体" w:eastAsia="宋体" w:hint="default"/>
          <w:sz w:val="19"/>
          <w:szCs w:val="19"/>
        </w:rPr>
      </w:pPr>
    </w:p>
    <w:p>
      <w:pPr>
        <w:pStyle w:val="BodyText"/>
        <w:spacing w:line="240" w:lineRule="auto"/>
        <w:ind w:right="0"/>
        <w:jc w:val="both"/>
      </w:pPr>
      <w:r>
        <w:rPr/>
        <w:t>②债务人违反了合同条款，如偿付利息或本金发生违约或逾期等；</w:t>
      </w:r>
    </w:p>
    <w:p>
      <w:pPr>
        <w:spacing w:line="240" w:lineRule="auto" w:before="5"/>
        <w:rPr>
          <w:rFonts w:ascii="宋体" w:hAnsi="宋体" w:cs="宋体" w:eastAsia="宋体" w:hint="default"/>
          <w:sz w:val="19"/>
          <w:szCs w:val="19"/>
        </w:rPr>
      </w:pPr>
    </w:p>
    <w:p>
      <w:pPr>
        <w:pStyle w:val="BodyText"/>
        <w:spacing w:line="240" w:lineRule="auto"/>
        <w:ind w:right="0"/>
        <w:jc w:val="both"/>
      </w:pPr>
      <w:r>
        <w:rPr/>
        <w:t>③本集团出于经济或法律等方面因素的考虑，对发生财务困难的债务人作出让步；</w:t>
      </w:r>
    </w:p>
    <w:p>
      <w:pPr>
        <w:spacing w:line="240" w:lineRule="auto" w:before="5"/>
        <w:rPr>
          <w:rFonts w:ascii="宋体" w:hAnsi="宋体" w:cs="宋体" w:eastAsia="宋体" w:hint="default"/>
          <w:sz w:val="19"/>
          <w:szCs w:val="19"/>
        </w:rPr>
      </w:pPr>
    </w:p>
    <w:p>
      <w:pPr>
        <w:pStyle w:val="BodyText"/>
        <w:spacing w:line="240" w:lineRule="auto"/>
        <w:ind w:right="0"/>
        <w:jc w:val="both"/>
      </w:pPr>
      <w:r>
        <w:rPr/>
        <w:t>④债务人很可能倒闭或者进行其他财务重组；</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⑤因发行方发生重大财务困难，导致金融资产无法在活跃市场继续交易；</w:t>
      </w:r>
    </w:p>
    <w:p>
      <w:pPr>
        <w:spacing w:line="240" w:lineRule="auto" w:before="5"/>
        <w:rPr>
          <w:rFonts w:ascii="宋体" w:hAnsi="宋体" w:cs="宋体" w:eastAsia="宋体" w:hint="default"/>
          <w:sz w:val="19"/>
          <w:szCs w:val="19"/>
        </w:rPr>
      </w:pPr>
    </w:p>
    <w:p>
      <w:pPr>
        <w:pStyle w:val="BodyText"/>
        <w:spacing w:line="273" w:lineRule="auto"/>
        <w:ind w:right="0"/>
        <w:jc w:val="left"/>
      </w:pPr>
      <w:r>
        <w:rPr>
          <w:spacing w:val="-1"/>
        </w:rPr>
        <w:t>⑥无法辨认一组金融资产中的某项资产的现金流量是否已经减少，但根据公开的数据对其进行总体评价后</w:t>
      </w:r>
      <w:r>
        <w:rPr>
          <w:spacing w:val="-81"/>
        </w:rPr>
        <w:t> </w:t>
      </w:r>
      <w:r>
        <w:rPr>
          <w:spacing w:val="-81"/>
        </w:rPr>
      </w:r>
      <w:r>
        <w:rPr/>
        <w:t>发现，该组金融资产自初始确认以来的预计未来现金流量确已减少且可计量，包括：</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left="155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该组金融资产的债务人支付能力逐步恶化；</w:t>
      </w:r>
    </w:p>
    <w:p>
      <w:pPr>
        <w:spacing w:line="240" w:lineRule="auto" w:before="2"/>
        <w:rPr>
          <w:rFonts w:ascii="宋体" w:hAnsi="宋体" w:cs="宋体" w:eastAsia="宋体" w:hint="default"/>
          <w:sz w:val="18"/>
          <w:szCs w:val="18"/>
        </w:rPr>
      </w:pPr>
    </w:p>
    <w:p>
      <w:pPr>
        <w:pStyle w:val="BodyText"/>
        <w:spacing w:line="240" w:lineRule="auto"/>
        <w:ind w:left="155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债务人所在国家或地区经济出现了可能导致该组金融资产无法支付的状况；</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⑦债务人经营所处的技术、市场、经济或法律环境等发生重大不利变化，使权益工具投资人可能无法收回</w:t>
      </w:r>
      <w:r>
        <w:rPr>
          <w:spacing w:val="-83"/>
        </w:rPr>
        <w:t> </w:t>
      </w:r>
      <w:r>
        <w:rPr>
          <w:spacing w:val="-83"/>
        </w:rPr>
      </w:r>
      <w:r>
        <w:rPr/>
        <w:t>投资成本；</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⑧权益工具投资的公允价值发生严重或非暂时性下跌，如权益工具投资于资产负债表日的公允价值低于其</w:t>
      </w:r>
      <w:r>
        <w:rPr>
          <w:spacing w:val="-81"/>
        </w:rPr>
        <w:t> </w:t>
      </w:r>
      <w:r>
        <w:rPr>
          <w:spacing w:val="-81"/>
        </w:rPr>
      </w:r>
      <w:r>
        <w:rPr/>
        <w:t>初始投资成本超过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15"/>
          <w:szCs w:val="15"/>
        </w:rPr>
      </w:pPr>
    </w:p>
    <w:p>
      <w:pPr>
        <w:pStyle w:val="BodyText"/>
        <w:spacing w:line="256" w:lineRule="auto"/>
        <w:ind w:right="1130"/>
        <w:jc w:val="both"/>
      </w:pPr>
      <w:r>
        <w:rPr>
          <w:spacing w:val="-1"/>
        </w:rPr>
        <w:t>低于其初始投资成本持续时间超过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个月）是指，权益工具投资公允价值月度均值连续</w:t>
      </w:r>
      <w:r>
        <w:rPr>
          <w:rFonts w:ascii="Times New Roman" w:hAnsi="Times New Roman" w:cs="Times New Roman" w:eastAsia="Times New Roman" w:hint="default"/>
          <w:spacing w:val="-1"/>
        </w:rPr>
        <w:t>12</w:t>
      </w:r>
      <w:r>
        <w:rPr>
          <w:spacing w:val="-1"/>
        </w:rPr>
        <w:t>个月</w:t>
      </w:r>
      <w:r>
        <w:rPr>
          <w:spacing w:val="-83"/>
        </w:rPr>
        <w:t> </w:t>
      </w:r>
      <w:r>
        <w:rPr/>
        <w:t>均低于其初始投资成本。</w:t>
      </w:r>
    </w:p>
    <w:p>
      <w:pPr>
        <w:spacing w:line="240" w:lineRule="auto" w:before="3"/>
        <w:rPr>
          <w:rFonts w:ascii="宋体" w:hAnsi="宋体" w:cs="宋体" w:eastAsia="宋体" w:hint="default"/>
          <w:sz w:val="18"/>
          <w:szCs w:val="18"/>
        </w:rPr>
      </w:pPr>
    </w:p>
    <w:p>
      <w:pPr>
        <w:pStyle w:val="BodyText"/>
        <w:spacing w:line="460" w:lineRule="auto"/>
        <w:ind w:left="1134" w:right="6762"/>
        <w:jc w:val="left"/>
      </w:pPr>
      <w:r>
        <w:rPr/>
        <w:t>⑨其他表明金融资产发生减值的客观证据。 以摊余成本计量的金融资产</w:t>
      </w:r>
    </w:p>
    <w:p>
      <w:pPr>
        <w:pStyle w:val="BodyText"/>
        <w:spacing w:line="273" w:lineRule="auto" w:before="60"/>
        <w:ind w:left="1134" w:right="1131"/>
        <w:jc w:val="both"/>
      </w:pPr>
      <w:r>
        <w:rPr>
          <w:spacing w:val="-1"/>
        </w:rPr>
        <w:t>如果有客观证据表明该金融资产发生减值，则将该金融资产的账面价值减记至预计未来现金流量（不包括</w:t>
      </w:r>
      <w:r>
        <w:rPr>
          <w:spacing w:val="-81"/>
        </w:rPr>
        <w:t> </w:t>
      </w:r>
      <w:r>
        <w:rPr>
          <w:spacing w:val="-81"/>
        </w:rPr>
      </w:r>
      <w:r>
        <w:rPr>
          <w:spacing w:val="-1"/>
        </w:rPr>
        <w:t>尚未发生的未来信用损失）现值，减记金额计入当期损益。预计未来现金流量现值，按照该金融资产原实</w:t>
      </w:r>
      <w:r>
        <w:rPr>
          <w:spacing w:val="-85"/>
        </w:rPr>
        <w:t> </w:t>
      </w:r>
      <w:r>
        <w:rPr>
          <w:spacing w:val="-85"/>
        </w:rPr>
      </w:r>
      <w:r>
        <w:rPr/>
        <w:t>际利率折现确定，并考虑相关担保物的价值。</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对单项金额重大的金融资产单独进行减值测试，如有客观证据表明其已发生减值，确认减值损失，计入当</w:t>
      </w:r>
      <w:r>
        <w:rPr>
          <w:spacing w:val="-83"/>
        </w:rPr>
        <w:t> </w:t>
      </w:r>
      <w:r>
        <w:rPr>
          <w:spacing w:val="-83"/>
        </w:rPr>
      </w:r>
      <w:r>
        <w:rPr>
          <w:spacing w:val="-1"/>
        </w:rPr>
        <w:t>期损益。对单项金额不重大的金融资产，单独进行减值测试。单独测试未发生减值的金融资产（包括单项</w:t>
      </w:r>
      <w:r>
        <w:rPr>
          <w:spacing w:val="-86"/>
        </w:rPr>
        <w:t> </w:t>
      </w:r>
      <w:r>
        <w:rPr>
          <w:spacing w:val="-86"/>
        </w:rPr>
      </w:r>
      <w:r>
        <w:rPr>
          <w:spacing w:val="-1"/>
        </w:rPr>
        <w:t>金额重大和不重大的金融资产），包括在具有类似信用风险特征的金融资产组合中再进行减值测试。已单</w:t>
      </w:r>
      <w:r>
        <w:rPr>
          <w:spacing w:val="-83"/>
        </w:rPr>
        <w:t> </w:t>
      </w:r>
      <w:r>
        <w:rPr>
          <w:spacing w:val="-83"/>
        </w:rPr>
      </w:r>
      <w:r>
        <w:rPr/>
        <w:t>项确认减值损失的金融资产，不包括在具有类似信用风险特征的金融资产组合中进行减值测试。</w:t>
      </w:r>
    </w:p>
    <w:p>
      <w:pPr>
        <w:spacing w:line="240" w:lineRule="auto" w:before="2"/>
        <w:rPr>
          <w:rFonts w:ascii="宋体" w:hAnsi="宋体" w:cs="宋体" w:eastAsia="宋体" w:hint="default"/>
          <w:sz w:val="17"/>
          <w:szCs w:val="17"/>
        </w:rPr>
      </w:pPr>
    </w:p>
    <w:p>
      <w:pPr>
        <w:pStyle w:val="BodyText"/>
        <w:spacing w:line="273" w:lineRule="auto"/>
        <w:ind w:right="1131"/>
        <w:jc w:val="both"/>
      </w:pPr>
      <w:r>
        <w:rPr>
          <w:spacing w:val="-1"/>
        </w:rPr>
        <w:t>本集团对以摊余成本计量的金融资产确认减值损失后，如有客观证据表明该金融资产价值已恢复，且客观</w:t>
      </w:r>
      <w:r>
        <w:rPr>
          <w:spacing w:val="-81"/>
        </w:rPr>
        <w:t> </w:t>
      </w:r>
      <w:r>
        <w:rPr>
          <w:spacing w:val="-81"/>
        </w:rPr>
      </w:r>
      <w:r>
        <w:rPr>
          <w:spacing w:val="-1"/>
        </w:rPr>
        <w:t>上与确认该损失后发生的事项有关，原确认的减值损失予以转回，计入当期损益。但是，该转回后的账面</w:t>
      </w:r>
      <w:r>
        <w:rPr>
          <w:spacing w:val="-86"/>
        </w:rPr>
        <w:t> </w:t>
      </w:r>
      <w:r>
        <w:rPr>
          <w:spacing w:val="-86"/>
        </w:rPr>
      </w:r>
      <w:r>
        <w:rPr/>
        <w:t>价值不超过假定不计提减值准备情况下该金融资产在转回日的摊余成本。</w:t>
      </w:r>
    </w:p>
    <w:p>
      <w:pPr>
        <w:spacing w:line="240" w:lineRule="auto" w:before="1"/>
        <w:rPr>
          <w:rFonts w:ascii="宋体" w:hAnsi="宋体" w:cs="宋体" w:eastAsia="宋体" w:hint="default"/>
          <w:sz w:val="17"/>
          <w:szCs w:val="17"/>
        </w:rPr>
      </w:pPr>
    </w:p>
    <w:p>
      <w:pPr>
        <w:pStyle w:val="BodyText"/>
        <w:spacing w:line="240" w:lineRule="auto"/>
        <w:ind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right="1110"/>
        <w:jc w:val="both"/>
      </w:pPr>
      <w:r>
        <w:rPr/>
        <w:t>如果有客观证据表明该金融资产发生减值，原直接计入其他综合收益的因公允价值下降形成的累计损失， </w:t>
      </w:r>
      <w:r>
        <w:rPr>
          <w:spacing w:val="-1"/>
        </w:rPr>
        <w:t>予以转出，计入当期损益。该转出的累计损失，为可供出售金融资产的初始取得成本扣除已收回本金和已</w:t>
      </w:r>
      <w:r>
        <w:rPr>
          <w:spacing w:val="-83"/>
        </w:rPr>
        <w:t> </w:t>
      </w:r>
      <w:r>
        <w:rPr>
          <w:spacing w:val="-83"/>
        </w:rPr>
      </w:r>
      <w:r>
        <w:rPr/>
        <w:t>摊销金额、当前公允价值和原已计入损益的减值损失后的余额。</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对于已确认减值损失的可供出售债务工具，在随后的会计期间公允价值已上升且客观上与确认原减值损失</w:t>
      </w:r>
      <w:r>
        <w:rPr>
          <w:spacing w:val="-81"/>
        </w:rPr>
        <w:t> </w:t>
      </w:r>
      <w:r>
        <w:rPr>
          <w:spacing w:val="-81"/>
        </w:rPr>
      </w:r>
      <w:r>
        <w:rPr>
          <w:spacing w:val="-1"/>
        </w:rPr>
        <w:t>确认后发生的事项有关的，原确认的减值损失予以转回，计入当期损益。可供出售权益工具投资发生的减</w:t>
      </w:r>
      <w:r>
        <w:rPr>
          <w:spacing w:val="-83"/>
        </w:rPr>
        <w:t> </w:t>
      </w:r>
      <w:r>
        <w:rPr>
          <w:spacing w:val="-83"/>
        </w:rPr>
      </w:r>
      <w:r>
        <w:rPr/>
        <w:t>值损失，不通过损益转回。</w:t>
      </w:r>
    </w:p>
    <w:p>
      <w:pPr>
        <w:spacing w:line="240" w:lineRule="auto" w:before="1"/>
        <w:rPr>
          <w:rFonts w:ascii="宋体" w:hAnsi="宋体" w:cs="宋体" w:eastAsia="宋体" w:hint="default"/>
          <w:sz w:val="17"/>
          <w:szCs w:val="17"/>
        </w:rPr>
      </w:pPr>
    </w:p>
    <w:p>
      <w:pPr>
        <w:pStyle w:val="BodyText"/>
        <w:spacing w:line="240" w:lineRule="auto"/>
        <w:ind w:right="0"/>
        <w:jc w:val="both"/>
      </w:pPr>
      <w:r>
        <w:rPr/>
        <w:t>以成本计量的金融资产</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在活跃市场中没有报价且其公允价值不能可靠计量的权益工具投资，或与该权益工具挂钩并须通过交付该</w:t>
      </w:r>
      <w:r>
        <w:rPr>
          <w:spacing w:val="-81"/>
        </w:rPr>
        <w:t> </w:t>
      </w:r>
      <w:r>
        <w:rPr>
          <w:spacing w:val="-81"/>
        </w:rPr>
      </w:r>
      <w:r>
        <w:rPr>
          <w:spacing w:val="-1"/>
        </w:rPr>
        <w:t>权益工具结算的衍生金融资产发生减值时，将该金融资产的账面价值，与按照类似金融资产当时市场收益</w:t>
      </w:r>
      <w:r>
        <w:rPr>
          <w:spacing w:val="-81"/>
        </w:rPr>
        <w:t> </w:t>
      </w:r>
      <w:r>
        <w:rPr>
          <w:spacing w:val="-81"/>
        </w:rPr>
      </w:r>
      <w:r>
        <w:rPr>
          <w:spacing w:val="-1"/>
        </w:rPr>
        <w:t>率对未来现金流量折现确定的现值之间的差额，确认为减值损失，计入当期损益。发生的减值损失一经确</w:t>
      </w:r>
      <w:r>
        <w:rPr>
          <w:spacing w:val="-83"/>
        </w:rPr>
        <w:t> </w:t>
      </w:r>
      <w:r>
        <w:rPr>
          <w:spacing w:val="-83"/>
        </w:rPr>
      </w:r>
      <w:r>
        <w:rPr/>
        <w:t>认，不得转回。</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6</w:t>
      </w:r>
      <w:r>
        <w:rPr/>
        <w:t>）金融资产转移</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金融资产转移，是指将金融资产让与或交付给该金融资产发行方以外的另一方（转入方）。</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本集团已将金融资产所有权上几乎所有的风险和报酬转移给转入方的，终止确认该金融资产；保留了金融</w:t>
      </w:r>
      <w:r>
        <w:rPr>
          <w:spacing w:val="-81"/>
        </w:rPr>
        <w:t> </w:t>
      </w:r>
      <w:r>
        <w:rPr>
          <w:spacing w:val="-81"/>
        </w:rPr>
      </w:r>
      <w:r>
        <w:rPr/>
        <w:t>资产所有权上几乎所有的风险和报酬的，不终止确认该金融资产。</w:t>
      </w:r>
    </w:p>
    <w:p>
      <w:pPr>
        <w:spacing w:line="240" w:lineRule="auto" w:before="2"/>
        <w:rPr>
          <w:rFonts w:ascii="宋体" w:hAnsi="宋体" w:cs="宋体" w:eastAsia="宋体" w:hint="default"/>
          <w:sz w:val="17"/>
          <w:szCs w:val="17"/>
        </w:rPr>
      </w:pPr>
    </w:p>
    <w:p>
      <w:pPr>
        <w:pStyle w:val="BodyText"/>
        <w:spacing w:line="273" w:lineRule="auto"/>
        <w:ind w:right="1131"/>
        <w:jc w:val="both"/>
      </w:pPr>
      <w:r>
        <w:rPr>
          <w:spacing w:val="-1"/>
        </w:rPr>
        <w:t>本集团既没有转移也没有保留金融资产所有权上几乎所有的风险和报酬的，分别下列情况处理：放弃了对</w:t>
      </w:r>
      <w:r>
        <w:rPr>
          <w:spacing w:val="-81"/>
        </w:rPr>
        <w:t> </w:t>
      </w:r>
      <w:r>
        <w:rPr>
          <w:spacing w:val="-81"/>
        </w:rPr>
      </w:r>
      <w:r>
        <w:rPr>
          <w:spacing w:val="-1"/>
        </w:rPr>
        <w:t>该金融资产控制的，终止确认该金融资产并确认产生的资产和负债；未放弃对该金融资产控制的，按照其</w:t>
      </w:r>
      <w:r>
        <w:rPr>
          <w:spacing w:val="-82"/>
        </w:rPr>
        <w:t> </w:t>
      </w:r>
      <w:r>
        <w:rPr>
          <w:spacing w:val="-82"/>
        </w:rPr>
      </w:r>
      <w:r>
        <w:rPr/>
        <w:t>继续涉入所转移金融资产的程度确认有关金融资产，并相应确认有关负债。</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7</w:t>
      </w:r>
      <w:r>
        <w:rPr/>
        <w:t>）金融资产和金融负债的抵销</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当本集团具有抵销已确认金融资产和金融负债的法定权利，且目前可执行该种法定权利，同时本集团计划</w:t>
      </w:r>
      <w:r>
        <w:rPr>
          <w:spacing w:val="-81"/>
        </w:rPr>
        <w:t> </w:t>
      </w:r>
      <w:r>
        <w:rPr>
          <w:spacing w:val="-81"/>
        </w:rPr>
      </w:r>
      <w:r>
        <w:rPr>
          <w:spacing w:val="-1"/>
        </w:rPr>
        <w:t>以净额结算或同时变现该金融资产和清偿该金融负债时，金融资产和金融负债以相互抵销后的金额在资产</w:t>
      </w:r>
      <w:r>
        <w:rPr>
          <w:spacing w:val="-81"/>
        </w:rPr>
        <w:t> </w:t>
      </w:r>
      <w:r>
        <w:rPr>
          <w:spacing w:val="-81"/>
        </w:rPr>
      </w:r>
      <w:r>
        <w:rPr/>
        <w:t>负债表内列示。除此以外，金融资产和金融负债在资产负债表内分别列示，不予相互抵销。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10、 公允价值" w:id="170"/>
      <w:bookmarkEnd w:id="170"/>
      <w:r>
        <w:rPr>
          <w:b w:val="0"/>
          <w:bCs w:val="0"/>
        </w:rPr>
      </w:r>
      <w:r>
        <w:rPr>
          <w:rFonts w:ascii="Times New Roman" w:hAnsi="Times New Roman" w:cs="Times New Roman" w:eastAsia="Times New Roman" w:hint="default"/>
        </w:rPr>
        <w:t>10</w:t>
      </w:r>
      <w:r>
        <w:rPr/>
        <w:t>、</w:t>
      </w:r>
      <w:r>
        <w:rPr>
          <w:spacing w:val="-3"/>
        </w:rPr>
        <w:t> </w:t>
      </w:r>
      <w:r>
        <w:rPr/>
        <w:t>公允价值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jc w:val="both"/>
      </w:pPr>
      <w:r>
        <w:rPr>
          <w:spacing w:val="-1"/>
        </w:rPr>
        <w:t>公允价值是指市场参与者在计量日发生的有序交易中，出售一项资产所能收到或者转移一项负债所需支付</w:t>
      </w:r>
      <w:r>
        <w:rPr>
          <w:spacing w:val="-81"/>
        </w:rPr>
        <w:t> </w:t>
      </w:r>
      <w:r>
        <w:rPr>
          <w:spacing w:val="-81"/>
        </w:rPr>
      </w:r>
      <w:r>
        <w:rPr/>
        <w:t>的价格。</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本集团以公允价值计量相关资产或负债，假定出售资产或者转移负债的有序交易在相关资产或负债的主要</w:t>
      </w:r>
      <w:r>
        <w:rPr>
          <w:spacing w:val="-81"/>
        </w:rPr>
        <w:t> </w:t>
      </w:r>
      <w:r>
        <w:rPr>
          <w:spacing w:val="-81"/>
        </w:rPr>
      </w:r>
      <w:r>
        <w:rPr>
          <w:spacing w:val="-1"/>
        </w:rPr>
        <w:t>市场进行；不存在主要市场的，本集团假定该交易在相关资产或负债的最有利市场进行。主要市场（或最</w:t>
      </w:r>
      <w:r>
        <w:rPr>
          <w:spacing w:val="-86"/>
        </w:rPr>
        <w:t> </w:t>
      </w:r>
      <w:r>
        <w:rPr>
          <w:spacing w:val="-86"/>
        </w:rPr>
      </w:r>
      <w:r>
        <w:rPr>
          <w:spacing w:val="-1"/>
        </w:rPr>
        <w:t>有利市场）是本集团在计量日能够进入的交易市场。本集团采用市场参与者在对该资产或负债定价时为实</w:t>
      </w:r>
      <w:r>
        <w:rPr>
          <w:spacing w:val="-81"/>
        </w:rPr>
        <w:t> </w:t>
      </w:r>
      <w:r>
        <w:rPr>
          <w:spacing w:val="-81"/>
        </w:rPr>
      </w:r>
      <w:r>
        <w:rPr/>
        <w:t>现其经济利益最大化所使用的假设。</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存在活跃市场的金融资产或金融负债，本集团采用活跃市场中的报价确定其公允价值。金融工具不存在活</w:t>
      </w:r>
      <w:r>
        <w:rPr>
          <w:spacing w:val="-81"/>
        </w:rPr>
        <w:t> </w:t>
      </w:r>
      <w:r>
        <w:rPr>
          <w:spacing w:val="-81"/>
        </w:rPr>
      </w:r>
      <w:r>
        <w:rPr/>
        <w:t>跃市场的，本集团采用估值技术确定其公允价值。</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以公允价值计量非金融资产的，考虑市场参与者将该资产用于最佳用途产生经济利益的能力，或者将该资</w:t>
      </w:r>
      <w:r>
        <w:rPr>
          <w:spacing w:val="-81"/>
        </w:rPr>
        <w:t> </w:t>
      </w:r>
      <w:r>
        <w:rPr>
          <w:spacing w:val="-81"/>
        </w:rPr>
      </w:r>
      <w:r>
        <w:rPr/>
        <w:t>产出售给能够用于最佳用途的其他市场参与者产生经济利益的能力。</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本集团采用在当前情况下适用并且有足够可利用数据和其他信息支持的估值技术，优先使用相关可观察输</w:t>
      </w:r>
      <w:r>
        <w:rPr>
          <w:spacing w:val="-81"/>
        </w:rPr>
        <w:t> </w:t>
      </w:r>
      <w:r>
        <w:rPr>
          <w:spacing w:val="-81"/>
        </w:rPr>
      </w:r>
      <w:r>
        <w:rPr/>
        <w:t>入值，只有在可观察输入值无法取得或取得不切实可行的情况下，才使用不可观察输入值。</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在财务报表中以公允价值计量或披露的资产和负债，根据对公允价值计量整体而言具有重要意义的最低层</w:t>
      </w:r>
      <w:r>
        <w:rPr>
          <w:spacing w:val="-81"/>
        </w:rPr>
        <w:t> </w:t>
      </w:r>
      <w:r>
        <w:rPr>
          <w:spacing w:val="-81"/>
        </w:rPr>
      </w:r>
      <w:r>
        <w:rPr>
          <w:spacing w:val="-1"/>
        </w:rPr>
        <w:t>次输入值，确定所属的公允价值层次：第一层次输入值，是在计量日能够取得的相同资产或负债在活跃市</w:t>
      </w:r>
      <w:r>
        <w:rPr>
          <w:spacing w:val="-83"/>
        </w:rPr>
        <w:t> </w:t>
      </w:r>
      <w:r>
        <w:rPr>
          <w:spacing w:val="-83"/>
        </w:rPr>
      </w:r>
      <w:r>
        <w:rPr>
          <w:spacing w:val="-1"/>
        </w:rPr>
        <w:t>场上未经调整的报价；第二层次输入值，是除第一层次输入值外相关资产或负债直接或间接可观察的输入</w:t>
      </w:r>
      <w:r>
        <w:rPr>
          <w:spacing w:val="-81"/>
        </w:rPr>
        <w:t> </w:t>
      </w:r>
      <w:r>
        <w:rPr>
          <w:spacing w:val="-81"/>
        </w:rPr>
      </w:r>
      <w:r>
        <w:rPr/>
        <w:t>值；第三层次输入值，是相关资产或负债的不可观察输入值。</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每个资产负债表日，本集团对在财务报表中确认的持续以公允价值计量的资产和负债进行重新评估，以确</w:t>
      </w:r>
      <w:r>
        <w:rPr>
          <w:spacing w:val="-81"/>
        </w:rPr>
        <w:t> </w:t>
      </w:r>
      <w:r>
        <w:rPr>
          <w:spacing w:val="-81"/>
        </w:rPr>
      </w:r>
      <w:r>
        <w:rPr/>
        <w:t>定是否在公允价值计量层次之间发生转换。</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1、应收款项" w:id="171"/>
      <w:bookmarkEnd w:id="17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单项金额重大并单独计提坏账准备的应收款项" w:id="172"/>
      <w:bookmarkEnd w:id="17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2" w:lineRule="auto" w:before="63"/>
              <w:ind w:left="23" w:right="69"/>
              <w:jc w:val="left"/>
              <w:rPr>
                <w:rFonts w:ascii="宋体" w:hAnsi="宋体" w:cs="宋体" w:eastAsia="宋体" w:hint="default"/>
                <w:sz w:val="18"/>
                <w:szCs w:val="18"/>
              </w:rPr>
            </w:pPr>
            <w:r>
              <w:rPr>
                <w:rFonts w:ascii="宋体" w:hAnsi="宋体" w:cs="宋体" w:eastAsia="宋体" w:hint="default"/>
                <w:sz w:val="18"/>
                <w:szCs w:val="18"/>
              </w:rPr>
              <w:t>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万元）以上的应收款项为单项金额重大的应收款 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单项金额重大并单项计提坏账准备的计提方法：对于单项金 额重大的应收款项单独进行减值测试，有客观证据表明发生 了减值，根据其未来现金流量现值低于其账面价值的差额计 提坏账准备。单项金额重大经单独测试未发生减值的应收款 项，再按组合计提坏账准备。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173"/>
      <w:bookmarkEnd w:id="17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：应收销货款及除组合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之外的其他 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：其他应收款之应收备用金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：其他应收款之应收保证金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：其他应收款之应收备用金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：其他应收款之应收保证金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单项金额不重大但单独计提坏账准备的应收款项" w:id="174"/>
      <w:bookmarkEnd w:id="17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12、存货" w:id="175"/>
      <w:bookmarkEnd w:id="175"/>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436" w:lineRule="auto"/>
        <w:ind w:left="1134" w:right="2982"/>
        <w:jc w:val="left"/>
      </w:pPr>
      <w:r>
        <w:rPr>
          <w:rFonts w:ascii="Times New Roman" w:hAnsi="Times New Roman" w:cs="Times New Roman" w:eastAsia="Times New Roman" w:hint="default"/>
        </w:rPr>
        <w:t>1</w:t>
      </w:r>
      <w:r>
        <w:rPr/>
        <w:t>）存货的分类 本集团存货分为在途物资、原材料、在产品、低值易耗品、库存商品、发出商品等。</w:t>
      </w:r>
    </w:p>
    <w:p>
      <w:pPr>
        <w:pStyle w:val="BodyText"/>
        <w:spacing w:line="240" w:lineRule="auto" w:before="81"/>
        <w:ind w:right="0"/>
        <w:jc w:val="both"/>
      </w:pPr>
      <w:r>
        <w:rPr/>
        <w:t>（</w:t>
      </w:r>
      <w:r>
        <w:rPr>
          <w:rFonts w:ascii="Times New Roman" w:hAnsi="Times New Roman" w:cs="Times New Roman" w:eastAsia="Times New Roman" w:hint="default"/>
        </w:rPr>
        <w:t>2</w:t>
      </w:r>
      <w:r>
        <w:rPr/>
        <w:t>）发出存货的计价方法</w:t>
      </w:r>
    </w:p>
    <w:p>
      <w:pPr>
        <w:spacing w:line="240" w:lineRule="auto" w:before="2"/>
        <w:rPr>
          <w:rFonts w:ascii="宋体" w:hAnsi="宋体" w:cs="宋体" w:eastAsia="宋体" w:hint="default"/>
          <w:sz w:val="18"/>
          <w:szCs w:val="18"/>
        </w:rPr>
      </w:pPr>
    </w:p>
    <w:p>
      <w:pPr>
        <w:pStyle w:val="BodyText"/>
        <w:spacing w:line="273" w:lineRule="auto"/>
        <w:ind w:left="1134" w:right="1133"/>
        <w:jc w:val="both"/>
      </w:pPr>
      <w:r>
        <w:rPr>
          <w:spacing w:val="-1"/>
        </w:rPr>
        <w:t>本集团存货取得时按实际成本计价。在途物资、原材料、在产品、库存商品、发出商品等发出时采用加权</w:t>
      </w:r>
      <w:r>
        <w:rPr>
          <w:spacing w:val="-83"/>
        </w:rPr>
        <w:t> </w:t>
      </w:r>
      <w:r>
        <w:rPr>
          <w:spacing w:val="-83"/>
        </w:rPr>
      </w:r>
      <w:r>
        <w:rPr/>
        <w:t>平均法计价。</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存货可变现净值是按存货的估计售价减去至完工时估计将要发生的成本、估计的销售费用以及相关税费后</w:t>
      </w:r>
      <w:r>
        <w:rPr>
          <w:spacing w:val="-81"/>
        </w:rPr>
        <w:t> </w:t>
      </w:r>
      <w:r>
        <w:rPr>
          <w:spacing w:val="-81"/>
        </w:rPr>
      </w:r>
      <w:r>
        <w:rPr>
          <w:spacing w:val="-1"/>
        </w:rPr>
        <w:t>的金额。在确定存货的可变现净值时，以取得的确凿证据为基础，同时考虑持有存货的目的以及资产负债</w:t>
      </w:r>
      <w:r>
        <w:rPr>
          <w:spacing w:val="-83"/>
        </w:rPr>
        <w:t> </w:t>
      </w:r>
      <w:r>
        <w:rPr>
          <w:spacing w:val="-83"/>
        </w:rPr>
      </w:r>
      <w:r>
        <w:rPr/>
        <w:t>表日后事项的影响。</w:t>
      </w:r>
    </w:p>
    <w:p>
      <w:pPr>
        <w:spacing w:line="240" w:lineRule="auto" w:before="2"/>
        <w:rPr>
          <w:rFonts w:ascii="宋体" w:hAnsi="宋体" w:cs="宋体" w:eastAsia="宋体" w:hint="default"/>
          <w:sz w:val="17"/>
          <w:szCs w:val="17"/>
        </w:rPr>
      </w:pPr>
    </w:p>
    <w:p>
      <w:pPr>
        <w:pStyle w:val="BodyText"/>
        <w:spacing w:line="273" w:lineRule="auto"/>
        <w:ind w:left="1134" w:right="1131"/>
        <w:jc w:val="both"/>
      </w:pPr>
      <w:r>
        <w:rPr>
          <w:spacing w:val="-1"/>
        </w:rPr>
        <w:t>资产负债表日，存货成本高于其可变现净值的，计提存货跌价准备。本集团通常按照单个存货项目计提存</w:t>
      </w:r>
      <w:r>
        <w:rPr>
          <w:spacing w:val="-83"/>
        </w:rPr>
        <w:t> </w:t>
      </w:r>
      <w:r>
        <w:rPr>
          <w:spacing w:val="-83"/>
        </w:rPr>
      </w:r>
      <w:r>
        <w:rPr>
          <w:spacing w:val="-1"/>
        </w:rPr>
        <w:t>货跌价准备，资产负债表日，以前减记存货价值的影响因素已经消失的，存货跌价准备在原已计提的金额</w:t>
      </w:r>
      <w:r>
        <w:rPr>
          <w:spacing w:val="-83"/>
        </w:rPr>
        <w:t> </w:t>
      </w:r>
      <w:r>
        <w:rPr>
          <w:spacing w:val="-83"/>
        </w:rPr>
      </w:r>
      <w:r>
        <w:rPr/>
        <w:t>内转回。</w:t>
      </w:r>
    </w:p>
    <w:p>
      <w:pPr>
        <w:spacing w:line="240" w:lineRule="auto" w:before="1"/>
        <w:rPr>
          <w:rFonts w:ascii="宋体" w:hAnsi="宋体" w:cs="宋体" w:eastAsia="宋体" w:hint="default"/>
          <w:sz w:val="17"/>
          <w:szCs w:val="17"/>
        </w:rPr>
      </w:pPr>
    </w:p>
    <w:p>
      <w:pPr>
        <w:pStyle w:val="BodyText"/>
        <w:spacing w:line="436" w:lineRule="auto"/>
        <w:ind w:left="1134" w:right="7182"/>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436" w:lineRule="auto" w:before="81"/>
        <w:ind w:right="6343"/>
        <w:jc w:val="left"/>
      </w:pPr>
      <w:r>
        <w:rPr/>
        <w:t>（</w:t>
      </w:r>
      <w:r>
        <w:rPr>
          <w:rFonts w:ascii="Times New Roman" w:hAnsi="Times New Roman" w:cs="Times New Roman" w:eastAsia="Times New Roman" w:hint="default"/>
        </w:rPr>
        <w:t>5</w:t>
      </w:r>
      <w:r>
        <w:rPr/>
        <w:t>）低值易耗品的摊销方法 本集团低值易耗品领用时采用一次转销法摊销。</w:t>
      </w:r>
    </w:p>
    <w:p>
      <w:pPr>
        <w:pStyle w:val="Heading4"/>
        <w:spacing w:line="240" w:lineRule="auto" w:before="166"/>
        <w:ind w:left="1134" w:right="0"/>
        <w:jc w:val="both"/>
        <w:rPr>
          <w:b w:val="0"/>
          <w:bCs w:val="0"/>
        </w:rPr>
      </w:pPr>
      <w:bookmarkStart w:name="13、长期股权投资" w:id="176"/>
      <w:bookmarkEnd w:id="176"/>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jc w:val="both"/>
      </w:pPr>
      <w:r>
        <w:rPr>
          <w:spacing w:val="-1"/>
        </w:rPr>
        <w:t>所得税包括当期所得税和递延所得税。除由于企业合并产生的调整商誉，或与直接计入所有者权益的交易</w:t>
      </w:r>
      <w:r>
        <w:rPr>
          <w:spacing w:val="-81"/>
        </w:rPr>
        <w:t> </w:t>
      </w:r>
      <w:r>
        <w:rPr>
          <w:spacing w:val="-81"/>
        </w:rPr>
      </w:r>
      <w:r>
        <w:rPr/>
        <w:t>或者事项相关的递延所得税计入所有者权益外，均作为所得税费用计入当期损益。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本集团长期股权投资均为对子公司的权益性投资。</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w:t>
      </w:r>
      <w:r>
        <w:rPr>
          <w:rFonts w:ascii="Times New Roman" w:hAnsi="Times New Roman" w:cs="Times New Roman" w:eastAsia="Times New Roman" w:hint="default"/>
        </w:rPr>
        <w:t>1</w:t>
      </w:r>
      <w:r>
        <w:rPr/>
        <w:t>）初始投资成本确定</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形成企业合并的长期股权投资：同一控制下企业合并取得的长期股权投资，在合并日按照取得被合并方所</w:t>
      </w:r>
      <w:r>
        <w:rPr>
          <w:spacing w:val="-81"/>
        </w:rPr>
        <w:t> </w:t>
      </w:r>
      <w:r>
        <w:rPr>
          <w:spacing w:val="-81"/>
        </w:rPr>
      </w:r>
      <w:r>
        <w:rPr>
          <w:spacing w:val="-1"/>
        </w:rPr>
        <w:t>有者权益在最终控制方合并财务报表中的账面价值份额作为投资成本；非同一控制下企业合并取得的长期</w:t>
      </w:r>
      <w:r>
        <w:rPr>
          <w:spacing w:val="-81"/>
        </w:rPr>
        <w:t> </w:t>
      </w:r>
      <w:r>
        <w:rPr>
          <w:spacing w:val="-81"/>
        </w:rPr>
      </w:r>
      <w:r>
        <w:rPr/>
        <w:t>股权投资，按照合并成本作为长期股权投资的投资成本。</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对于其他方式取得的长期股权投资：支付现金取得的长期股权投资，按照实际支付的购买价款作为初始投</w:t>
      </w:r>
      <w:r>
        <w:rPr>
          <w:spacing w:val="-81"/>
        </w:rPr>
        <w:t> </w:t>
      </w:r>
      <w:r>
        <w:rPr>
          <w:spacing w:val="-81"/>
        </w:rPr>
      </w:r>
      <w:r>
        <w:rPr/>
        <w:t>资成本；发行权益性证券取得的长期股权投资，以发行权益性证券的公允价值作为初始投资成本。</w:t>
      </w:r>
    </w:p>
    <w:p>
      <w:pPr>
        <w:spacing w:line="240" w:lineRule="auto" w:before="1"/>
        <w:rPr>
          <w:rFonts w:ascii="宋体" w:hAnsi="宋体" w:cs="宋体" w:eastAsia="宋体" w:hint="default"/>
          <w:sz w:val="17"/>
          <w:szCs w:val="17"/>
        </w:rPr>
      </w:pPr>
    </w:p>
    <w:p>
      <w:pPr>
        <w:pStyle w:val="BodyText"/>
        <w:spacing w:line="436" w:lineRule="auto"/>
        <w:ind w:right="6763"/>
        <w:jc w:val="left"/>
      </w:pPr>
      <w:r>
        <w:rPr/>
        <w:t>（</w:t>
      </w:r>
      <w:r>
        <w:rPr>
          <w:rFonts w:ascii="Times New Roman" w:hAnsi="Times New Roman" w:cs="Times New Roman" w:eastAsia="Times New Roman" w:hint="default"/>
        </w:rPr>
        <w:t>2</w:t>
      </w:r>
      <w:r>
        <w:rPr/>
        <w:t>）后续计量及损益确认方法 本公司对子公司的投资，采用成本法核算。</w:t>
      </w:r>
    </w:p>
    <w:p>
      <w:pPr>
        <w:pStyle w:val="BodyText"/>
        <w:spacing w:line="273" w:lineRule="auto" w:before="81"/>
        <w:ind w:left="1134" w:right="1131"/>
        <w:jc w:val="both"/>
      </w:pPr>
      <w:r>
        <w:rPr>
          <w:spacing w:val="-1"/>
        </w:rPr>
        <w:t>采用成本法核算的长期股权投资，除取得投资时实际支付的价款或对价中包含的已宣告但尚未发放的现金</w:t>
      </w:r>
      <w:r>
        <w:rPr>
          <w:spacing w:val="-81"/>
        </w:rPr>
        <w:t> </w:t>
      </w:r>
      <w:r>
        <w:rPr>
          <w:spacing w:val="-81"/>
        </w:rPr>
      </w:r>
      <w:r>
        <w:rPr/>
        <w:t>股利或利润外，被投资单位宣告分派的现金股利或利润，确认为投资收益计入当期损益。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2"/>
        <w:rPr>
          <w:rFonts w:ascii="宋体" w:hAnsi="宋体" w:cs="宋体" w:eastAsia="宋体" w:hint="default"/>
          <w:sz w:val="18"/>
          <w:szCs w:val="18"/>
        </w:rPr>
      </w:pPr>
    </w:p>
    <w:p>
      <w:pPr>
        <w:pStyle w:val="BodyText"/>
        <w:spacing w:line="273" w:lineRule="auto"/>
        <w:ind w:right="1130"/>
        <w:jc w:val="both"/>
      </w:pP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与方一致同意后才能决策。在判断是否存在共同控制时，首先判断是否由所有参与方或参与方组合集体控</w:t>
      </w:r>
      <w:r>
        <w:rPr>
          <w:spacing w:val="-81"/>
        </w:rPr>
        <w:t> </w:t>
      </w:r>
      <w:r>
        <w:rPr>
          <w:spacing w:val="-81"/>
        </w:rPr>
      </w:r>
      <w:r>
        <w:rPr>
          <w:spacing w:val="-1"/>
        </w:rPr>
        <w:t>制该安排，其次再判断该安排相关活动的决策是否必须经过这些集体控制该安排的参与方一致同意。如果</w:t>
      </w:r>
      <w:r>
        <w:rPr>
          <w:spacing w:val="-81"/>
        </w:rPr>
        <w:t> </w:t>
      </w:r>
      <w:r>
        <w:rPr>
          <w:spacing w:val="-81"/>
        </w:rPr>
      </w:r>
      <w:r>
        <w:rPr>
          <w:spacing w:val="-1"/>
        </w:rPr>
        <w:t>所有参与方或一组参与方必须一致行动才能决定某项安排的相关活动，则认为所有参与方或一组参与方集</w:t>
      </w:r>
      <w:r>
        <w:rPr>
          <w:spacing w:val="-80"/>
        </w:rPr>
        <w:t> </w:t>
      </w:r>
      <w:r>
        <w:rPr>
          <w:spacing w:val="-80"/>
        </w:rPr>
      </w:r>
      <w:r>
        <w:rPr>
          <w:spacing w:val="-1"/>
        </w:rPr>
        <w:t>体控制该安排；如果存在两个或两个以上的参与方组合能够集体控制某项安排的，不构成共同控制。判断</w:t>
      </w:r>
      <w:r>
        <w:rPr>
          <w:spacing w:val="-83"/>
        </w:rPr>
        <w:t> </w:t>
      </w:r>
      <w:r>
        <w:rPr>
          <w:spacing w:val="-83"/>
        </w:rPr>
      </w:r>
      <w:r>
        <w:rPr/>
        <w:t>是否存在共同控制时，不考虑享有的保护性权利。</w:t>
      </w:r>
    </w:p>
    <w:p>
      <w:pPr>
        <w:spacing w:line="240" w:lineRule="auto" w:before="1"/>
        <w:rPr>
          <w:rFonts w:ascii="宋体" w:hAnsi="宋体" w:cs="宋体" w:eastAsia="宋体" w:hint="default"/>
          <w:sz w:val="17"/>
          <w:szCs w:val="17"/>
        </w:rPr>
      </w:pPr>
    </w:p>
    <w:p>
      <w:pPr>
        <w:pStyle w:val="BodyText"/>
        <w:spacing w:line="273" w:lineRule="auto"/>
        <w:ind w:left="1134" w:right="1130"/>
        <w:jc w:val="both"/>
      </w:pPr>
      <w:r>
        <w:rPr>
          <w:spacing w:val="-1"/>
        </w:rPr>
        <w:t>重大影响，是指投资方对被投资单位的财务和经营政策有参与决策的权力，但并不能够控制或者与其他方</w:t>
      </w:r>
      <w:r>
        <w:rPr>
          <w:spacing w:val="-81"/>
        </w:rPr>
        <w:t> </w:t>
      </w:r>
      <w:r>
        <w:rPr>
          <w:spacing w:val="-81"/>
        </w:rPr>
      </w:r>
      <w:r>
        <w:rPr>
          <w:spacing w:val="-1"/>
        </w:rPr>
        <w:t>一起共同控制这些政策的制定。在确定能否对被投资单位施加重大影响时，考虑投资方直接或间接持有被</w:t>
      </w:r>
      <w:r>
        <w:rPr>
          <w:spacing w:val="-81"/>
        </w:rPr>
        <w:t> </w:t>
      </w:r>
      <w:r>
        <w:rPr>
          <w:spacing w:val="-81"/>
        </w:rPr>
      </w:r>
      <w:r>
        <w:rPr>
          <w:spacing w:val="3"/>
        </w:rPr>
        <w:t>投资单位的表决权股份以及投资方及其他方持有的当期可执行潜在表决权在假定转换为对被投资方单位</w:t>
      </w:r>
      <w:r>
        <w:rPr>
          <w:spacing w:val="-82"/>
        </w:rPr>
        <w:t> </w:t>
      </w:r>
      <w:r>
        <w:rPr>
          <w:spacing w:val="-82"/>
        </w:rPr>
      </w:r>
      <w:r>
        <w:rPr>
          <w:spacing w:val="-1"/>
        </w:rPr>
        <w:t>的股权后产生的影响，包括被投资单位发行的当期可转换的认股权证、股份期权及可转换公司债券等的影</w:t>
      </w:r>
      <w:r>
        <w:rPr>
          <w:spacing w:val="-80"/>
        </w:rPr>
        <w:t> </w:t>
      </w:r>
      <w:r>
        <w:rPr>
          <w:spacing w:val="-80"/>
        </w:rPr>
      </w:r>
      <w:r>
        <w:rPr/>
        <w:t>响。</w:t>
      </w:r>
    </w:p>
    <w:p>
      <w:pPr>
        <w:spacing w:line="240" w:lineRule="auto" w:before="2"/>
        <w:rPr>
          <w:rFonts w:ascii="宋体" w:hAnsi="宋体" w:cs="宋体" w:eastAsia="宋体" w:hint="default"/>
          <w:sz w:val="17"/>
          <w:szCs w:val="17"/>
        </w:rPr>
      </w:pPr>
    </w:p>
    <w:p>
      <w:pPr>
        <w:pStyle w:val="BodyText"/>
        <w:spacing w:line="261" w:lineRule="auto"/>
        <w:ind w:left="1134" w:right="1131"/>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w:t>
      </w:r>
      <w:r>
        <w:rPr>
          <w:spacing w:val="-30"/>
        </w:rPr>
        <w:t> </w:t>
      </w:r>
      <w:r>
        <w:rPr>
          <w:spacing w:val="-30"/>
        </w:rPr>
      </w:r>
      <w:r>
        <w:rPr>
          <w:spacing w:val="-1"/>
        </w:rPr>
        <w:t>为对被投资单位具有重大影响，除非有明确证据表明该种情况下不能参与被投资单位的生产经营决策，不</w:t>
      </w:r>
      <w:r>
        <w:rPr>
          <w:spacing w:val="-81"/>
        </w:rPr>
        <w:t> </w:t>
      </w:r>
      <w:r>
        <w:rPr>
          <w:spacing w:val="-81"/>
        </w:rPr>
      </w:r>
      <w:r>
        <w:rPr/>
        <w:t>形成重大影响；本公司拥有被投资单位</w:t>
      </w:r>
      <w:r>
        <w:rPr>
          <w:rFonts w:ascii="Times New Roman" w:hAnsi="Times New Roman" w:cs="Times New Roman" w:eastAsia="Times New Roman" w:hint="default"/>
        </w:rPr>
        <w:t>20%</w:t>
      </w:r>
      <w:r>
        <w:rPr/>
        <w:t>（不含）以下的表决权股份时，一般不认为对被投资单位具有</w:t>
      </w:r>
      <w:r>
        <w:rPr>
          <w:spacing w:val="-98"/>
        </w:rPr>
        <w:t> </w:t>
      </w:r>
      <w:r>
        <w:rPr>
          <w:spacing w:val="-98"/>
        </w:rPr>
      </w:r>
      <w:r>
        <w:rPr/>
        <w:t>重大影响，除非有明确证据表明该种情况下能够参与被投资单位的生产经营决策，形成重大影响。</w:t>
      </w:r>
    </w:p>
    <w:p>
      <w:pPr>
        <w:spacing w:line="240" w:lineRule="auto" w:before="12"/>
        <w:rPr>
          <w:rFonts w:ascii="宋体" w:hAnsi="宋体" w:cs="宋体" w:eastAsia="宋体" w:hint="default"/>
          <w:sz w:val="17"/>
          <w:szCs w:val="17"/>
        </w:rPr>
      </w:pPr>
    </w:p>
    <w:p>
      <w:pPr>
        <w:pStyle w:val="BodyText"/>
        <w:spacing w:line="240" w:lineRule="auto"/>
        <w:ind w:left="1134" w:right="0"/>
        <w:jc w:val="both"/>
      </w:pPr>
      <w:r>
        <w:rPr/>
        <w:t>（</w:t>
      </w:r>
      <w:r>
        <w:rPr>
          <w:rFonts w:ascii="Times New Roman" w:hAnsi="Times New Roman" w:cs="Times New Roman" w:eastAsia="Times New Roman" w:hint="default"/>
        </w:rPr>
        <w:t>4</w:t>
      </w:r>
      <w:r>
        <w:rPr/>
        <w:t>）减值测试方法及减值准备计提方法</w:t>
      </w:r>
    </w:p>
    <w:p>
      <w:pPr>
        <w:spacing w:line="240" w:lineRule="auto" w:before="2"/>
        <w:rPr>
          <w:rFonts w:ascii="宋体" w:hAnsi="宋体" w:cs="宋体" w:eastAsia="宋体" w:hint="default"/>
          <w:sz w:val="18"/>
          <w:szCs w:val="18"/>
        </w:rPr>
      </w:pPr>
    </w:p>
    <w:p>
      <w:pPr>
        <w:pStyle w:val="BodyText"/>
        <w:spacing w:line="256" w:lineRule="auto"/>
        <w:ind w:right="1126"/>
        <w:jc w:val="both"/>
      </w:pPr>
      <w:r>
        <w:rPr>
          <w:spacing w:val="2"/>
        </w:rPr>
        <w:t>对子公司的投资，本集团计提资产减值的方法见本节之</w:t>
      </w:r>
      <w:r>
        <w:rPr>
          <w:rFonts w:ascii="Times New Roman" w:hAnsi="Times New Roman" w:cs="Times New Roman" w:eastAsia="Times New Roman" w:hint="default"/>
          <w:spacing w:val="2"/>
        </w:rPr>
        <w:t>“</w:t>
      </w:r>
      <w:r>
        <w:rPr>
          <w:spacing w:val="2"/>
        </w:rPr>
        <w:t>五、重要会计政策及会计估计之</w:t>
      </w:r>
      <w:r>
        <w:rPr>
          <w:rFonts w:ascii="Times New Roman" w:hAnsi="Times New Roman" w:cs="Times New Roman" w:eastAsia="Times New Roman" w:hint="default"/>
          <w:spacing w:val="2"/>
        </w:rPr>
        <w:t>20</w:t>
      </w:r>
      <w:r>
        <w:rPr>
          <w:spacing w:val="2"/>
        </w:rPr>
        <w:t>、长期资产减 </w:t>
      </w:r>
      <w:r>
        <w:rPr/>
        <w:t>值</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bookmarkStart w:name="14、投资性房地产" w:id="177"/>
      <w:bookmarkEnd w:id="177"/>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left="1134" w:right="0"/>
        <w:jc w:val="both"/>
        <w:rPr>
          <w:b w:val="0"/>
          <w:bCs w:val="0"/>
        </w:rPr>
      </w:pPr>
      <w:bookmarkStart w:name="15、固定资产" w:id="178"/>
      <w:bookmarkEnd w:id="178"/>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确认条件" w:id="179"/>
      <w:bookmarkEnd w:id="17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line="319" w:lineRule="auto" w:before="0"/>
        <w:ind w:left="1134" w:right="1131" w:firstLine="0"/>
        <w:jc w:val="both"/>
        <w:rPr>
          <w:rFonts w:ascii="宋体" w:hAnsi="宋体" w:cs="宋体" w:eastAsia="宋体" w:hint="default"/>
          <w:sz w:val="18"/>
          <w:szCs w:val="18"/>
        </w:rPr>
      </w:pPr>
      <w:r>
        <w:rPr>
          <w:rFonts w:ascii="宋体" w:hAnsi="宋体" w:cs="宋体" w:eastAsia="宋体" w:hint="default"/>
          <w:spacing w:val="-2"/>
          <w:sz w:val="18"/>
          <w:szCs w:val="18"/>
        </w:rPr>
        <w:t>本集团固定资产是指为生产商品、提供劳务、出租或经营管理而持有的，使用寿命超过一个会计年度的有形资产。与该固定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资产有关的经济利益很可能流入企业，并且该固定资产的成本能够可靠地计量时，固定资产才能予以确认。本集团固定资产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按照取得时的实际成本进行初始计量。</w:t>
      </w:r>
    </w:p>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3.17%</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3）融资租入固定资产的认定依据、计价和折旧方法" w:id="181"/>
      <w:bookmarkEnd w:id="18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134" w:right="1130" w:firstLine="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中较短的期间内计提折旧。</w:t>
      </w:r>
    </w:p>
    <w:p>
      <w:pPr>
        <w:spacing w:line="240" w:lineRule="auto" w:before="4"/>
        <w:rPr>
          <w:rFonts w:ascii="宋体" w:hAnsi="宋体" w:cs="宋体" w:eastAsia="宋体" w:hint="default"/>
          <w:sz w:val="22"/>
          <w:szCs w:val="22"/>
        </w:rPr>
      </w:pPr>
    </w:p>
    <w:p>
      <w:pPr>
        <w:pStyle w:val="Heading4"/>
        <w:spacing w:line="240" w:lineRule="auto"/>
        <w:ind w:left="1134" w:right="0"/>
        <w:jc w:val="both"/>
        <w:rPr>
          <w:b w:val="0"/>
          <w:bCs w:val="0"/>
        </w:rPr>
      </w:pPr>
      <w:bookmarkStart w:name="16、在建工程" w:id="182"/>
      <w:bookmarkEnd w:id="182"/>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134" w:right="1131"/>
        <w:jc w:val="both"/>
      </w:pPr>
      <w:r>
        <w:rPr>
          <w:spacing w:val="-1"/>
        </w:rPr>
        <w:t>本集团在建工程成本按实际工程支出确定，包括在建期间发生的各项必要工程支出、工程达到预定可使用</w:t>
      </w:r>
      <w:r>
        <w:rPr>
          <w:spacing w:val="-81"/>
        </w:rPr>
        <w:t> </w:t>
      </w:r>
      <w:r>
        <w:rPr>
          <w:spacing w:val="-81"/>
        </w:rPr>
      </w:r>
      <w:r>
        <w:rPr/>
        <w:t>状态前的应予资本化的借款费用以及其他相关费用等。</w:t>
      </w:r>
    </w:p>
    <w:p>
      <w:pPr>
        <w:spacing w:line="240" w:lineRule="auto" w:before="1"/>
        <w:rPr>
          <w:rFonts w:ascii="宋体" w:hAnsi="宋体" w:cs="宋体" w:eastAsia="宋体" w:hint="default"/>
          <w:sz w:val="17"/>
          <w:szCs w:val="17"/>
        </w:rPr>
      </w:pPr>
    </w:p>
    <w:p>
      <w:pPr>
        <w:pStyle w:val="BodyText"/>
        <w:spacing w:line="484" w:lineRule="auto"/>
        <w:ind w:left="1134" w:right="2533"/>
        <w:jc w:val="left"/>
        <w:rPr>
          <w:rFonts w:ascii="宋体" w:hAnsi="宋体" w:cs="宋体" w:eastAsia="宋体" w:hint="default"/>
        </w:rPr>
      </w:pPr>
      <w:r>
        <w:rPr/>
        <w:t>在建工程在达到预定可使用状态时转入固定资产。 在建工程计提资产减值方法见本节之</w:t>
      </w:r>
      <w:r>
        <w:rPr>
          <w:rFonts w:ascii="Times New Roman" w:hAnsi="Times New Roman" w:cs="Times New Roman" w:eastAsia="Times New Roman" w:hint="default"/>
        </w:rPr>
        <w:t>“</w:t>
      </w:r>
      <w:r>
        <w:rPr/>
        <w:t>五、重要会计政策及会计估计之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rFonts w:ascii="Times New Roman" w:hAnsi="Times New Roman" w:cs="Times New Roman" w:eastAsia="Times New Roman" w:hint="default"/>
          <w:w w:val="100"/>
        </w:rPr>
        <w:t> </w:t>
      </w:r>
      <w:bookmarkStart w:name="17、借款费用" w:id="183"/>
      <w:bookmarkEnd w:id="183"/>
      <w:r>
        <w:rPr>
          <w:rFonts w:ascii="Times New Roman" w:hAnsi="Times New Roman" w:cs="Times New Roman" w:eastAsia="Times New Roman" w:hint="default"/>
          <w:w w:val="100"/>
        </w:rPr>
      </w:r>
      <w:r>
        <w:rPr>
          <w:rFonts w:ascii="Times New Roman" w:hAnsi="Times New Roman" w:cs="Times New Roman" w:eastAsia="Times New Roman" w:hint="default"/>
          <w:b/>
          <w:bCs/>
        </w:rPr>
        <w:t>17</w:t>
      </w:r>
      <w:r>
        <w:rPr>
          <w:rFonts w:ascii="宋体" w:hAnsi="宋体" w:cs="宋体" w:eastAsia="宋体" w:hint="default"/>
          <w:b/>
          <w:bCs/>
        </w:rPr>
        <w:t>、借款费用</w:t>
      </w:r>
      <w:r>
        <w:rPr>
          <w:rFonts w:ascii="宋体" w:hAnsi="宋体" w:cs="宋体" w:eastAsia="宋体" w:hint="default"/>
        </w:rPr>
      </w:r>
    </w:p>
    <w:p>
      <w:pPr>
        <w:pStyle w:val="BodyText"/>
        <w:spacing w:line="240" w:lineRule="auto" w:before="84"/>
        <w:ind w:left="1134" w:right="0"/>
        <w:jc w:val="both"/>
      </w:pPr>
      <w:r>
        <w:rPr/>
        <w:t>（</w:t>
      </w:r>
      <w:r>
        <w:rPr>
          <w:rFonts w:ascii="Times New Roman" w:hAnsi="Times New Roman" w:cs="Times New Roman" w:eastAsia="Times New Roman" w:hint="default"/>
        </w:rPr>
        <w:t>1</w:t>
      </w:r>
      <w:r>
        <w:rPr/>
        <w:t>）借款费用资本化的确认原则</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本集团发生的借款费用，可直接归属于符合资本化条件的资产的购建或者生产的，予以资本化，计入相关</w:t>
      </w:r>
      <w:r>
        <w:rPr>
          <w:spacing w:val="-83"/>
        </w:rPr>
        <w:t> </w:t>
      </w:r>
      <w:r>
        <w:rPr>
          <w:spacing w:val="-83"/>
        </w:rPr>
      </w:r>
      <w:r>
        <w:rPr>
          <w:spacing w:val="-1"/>
        </w:rPr>
        <w:t>资产成本；其他借款费用，在发生时根据其发生额确认为费用，计入当期损益。借款费用同时满足下列条</w:t>
      </w:r>
      <w:r>
        <w:rPr>
          <w:spacing w:val="-85"/>
        </w:rPr>
        <w:t> </w:t>
      </w:r>
      <w:r>
        <w:rPr>
          <w:spacing w:val="-85"/>
        </w:rPr>
      </w:r>
      <w:r>
        <w:rPr/>
        <w:t>件的，开始资本化：</w:t>
      </w:r>
    </w:p>
    <w:p>
      <w:pPr>
        <w:spacing w:line="240" w:lineRule="auto" w:before="1"/>
        <w:rPr>
          <w:rFonts w:ascii="宋体" w:hAnsi="宋体" w:cs="宋体" w:eastAsia="宋体" w:hint="default"/>
          <w:sz w:val="17"/>
          <w:szCs w:val="17"/>
        </w:rPr>
      </w:pPr>
    </w:p>
    <w:p>
      <w:pPr>
        <w:pStyle w:val="BodyText"/>
        <w:spacing w:line="273" w:lineRule="auto"/>
        <w:ind w:right="1130"/>
        <w:jc w:val="both"/>
      </w:pPr>
      <w:r>
        <w:rPr/>
        <w:t>①</w:t>
      </w:r>
      <w:r>
        <w:rPr>
          <w:spacing w:val="48"/>
        </w:rPr>
        <w:t> </w:t>
      </w:r>
      <w:r>
        <w:rPr/>
        <w:t>资产支出已经发生，资产支出包括为购建或者生产符合资本化条件的资产而以支付现金、转移非现金</w:t>
      </w:r>
      <w:r>
        <w:rPr>
          <w:spacing w:val="-87"/>
        </w:rPr>
        <w:t> </w:t>
      </w:r>
      <w:r>
        <w:rPr>
          <w:spacing w:val="-87"/>
        </w:rPr>
      </w:r>
      <w:r>
        <w:rPr/>
        <w:t>资产或者承担带息债务形式发生的支出；</w:t>
      </w:r>
    </w:p>
    <w:p>
      <w:pPr>
        <w:spacing w:line="240" w:lineRule="auto" w:before="1"/>
        <w:rPr>
          <w:rFonts w:ascii="宋体" w:hAnsi="宋体" w:cs="宋体" w:eastAsia="宋体" w:hint="default"/>
          <w:sz w:val="17"/>
          <w:szCs w:val="17"/>
        </w:rPr>
      </w:pPr>
    </w:p>
    <w:p>
      <w:pPr>
        <w:pStyle w:val="BodyText"/>
        <w:spacing w:line="240" w:lineRule="auto"/>
        <w:ind w:right="0"/>
        <w:jc w:val="both"/>
      </w:pPr>
      <w:r>
        <w:rPr/>
        <w:t>②</w:t>
      </w:r>
      <w:r>
        <w:rPr>
          <w:spacing w:val="-21"/>
        </w:rPr>
        <w:t> </w:t>
      </w:r>
      <w:r>
        <w:rPr/>
        <w:t>借款费用已经发生；</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③</w:t>
      </w:r>
      <w:r>
        <w:rPr>
          <w:spacing w:val="-21"/>
        </w:rPr>
        <w:t> </w:t>
      </w:r>
      <w:r>
        <w:rPr/>
        <w:t>为使资产达到预定可使用或者可销售状态所必要的购建或者生产活动已经开始。</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w:t>
      </w:r>
      <w:r>
        <w:rPr>
          <w:rFonts w:ascii="Times New Roman" w:hAnsi="Times New Roman" w:cs="Times New Roman" w:eastAsia="Times New Roman" w:hint="default"/>
        </w:rPr>
        <w:t>2</w:t>
      </w:r>
      <w:r>
        <w:rPr/>
        <w:t>）借款费用资本化期间</w:t>
      </w:r>
    </w:p>
    <w:p>
      <w:pPr>
        <w:spacing w:line="240" w:lineRule="auto" w:before="2"/>
        <w:rPr>
          <w:rFonts w:ascii="宋体" w:hAnsi="宋体" w:cs="宋体" w:eastAsia="宋体" w:hint="default"/>
          <w:sz w:val="18"/>
          <w:szCs w:val="18"/>
        </w:rPr>
      </w:pPr>
    </w:p>
    <w:p>
      <w:pPr>
        <w:pStyle w:val="BodyText"/>
        <w:spacing w:line="273" w:lineRule="auto"/>
        <w:ind w:left="1134" w:right="1129"/>
        <w:jc w:val="both"/>
      </w:pPr>
      <w:r>
        <w:rPr>
          <w:spacing w:val="-1"/>
        </w:rPr>
        <w:t>本集团购建或者生产符合资本化条件的资产达到预定可使用或者可销售状态时，借款费用停止资本化。在</w:t>
      </w:r>
      <w:r>
        <w:rPr>
          <w:spacing w:val="-81"/>
        </w:rPr>
        <w:t> </w:t>
      </w:r>
      <w:r>
        <w:rPr>
          <w:spacing w:val="-81"/>
        </w:rPr>
      </w:r>
      <w:r>
        <w:rPr>
          <w:spacing w:val="-1"/>
        </w:rPr>
        <w:t>符合资本化条件的资产达到预定可使用或者可销售状态之后所发生的借款费用，在发生时根据其发生额确</w:t>
      </w:r>
      <w:r>
        <w:rPr>
          <w:spacing w:val="-81"/>
        </w:rPr>
        <w:t> </w:t>
      </w:r>
      <w:r>
        <w:rPr>
          <w:spacing w:val="-81"/>
        </w:rPr>
      </w:r>
      <w:r>
        <w:rPr/>
        <w:t>认为费用，计入当期损益。</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费用的资本化；正常中断期间的借款费用继续资本化。</w:t>
      </w:r>
    </w:p>
    <w:p>
      <w:pPr>
        <w:spacing w:line="240" w:lineRule="auto" w:before="5"/>
        <w:rPr>
          <w:rFonts w:ascii="宋体" w:hAnsi="宋体" w:cs="宋体" w:eastAsia="宋体" w:hint="default"/>
          <w:sz w:val="19"/>
          <w:szCs w:val="19"/>
        </w:rPr>
      </w:pPr>
    </w:p>
    <w:p>
      <w:pPr>
        <w:pStyle w:val="BodyText"/>
        <w:spacing w:line="240" w:lineRule="auto"/>
        <w:ind w:right="0"/>
        <w:jc w:val="both"/>
      </w:pPr>
      <w:r>
        <w:rPr/>
        <w:t>（</w:t>
      </w:r>
      <w:r>
        <w:rPr>
          <w:rFonts w:ascii="Times New Roman" w:hAnsi="Times New Roman" w:cs="Times New Roman" w:eastAsia="Times New Roman" w:hint="default"/>
        </w:rPr>
        <w:t>3</w:t>
      </w:r>
      <w:r>
        <w:rPr/>
        <w:t>）借款费用资本化率以及资本化金额的计算方法</w:t>
      </w:r>
    </w:p>
    <w:p>
      <w:pPr>
        <w:spacing w:line="240" w:lineRule="auto" w:before="2"/>
        <w:rPr>
          <w:rFonts w:ascii="宋体" w:hAnsi="宋体" w:cs="宋体" w:eastAsia="宋体" w:hint="default"/>
          <w:sz w:val="18"/>
          <w:szCs w:val="18"/>
        </w:rPr>
      </w:pPr>
    </w:p>
    <w:p>
      <w:pPr>
        <w:pStyle w:val="BodyText"/>
        <w:spacing w:line="273" w:lineRule="auto"/>
        <w:ind w:right="1110"/>
        <w:jc w:val="both"/>
      </w:pPr>
      <w:r>
        <w:rPr>
          <w:spacing w:val="-1"/>
        </w:rPr>
        <w:t>专门借款当期实际发生的利息费用，减去尚未动用的借款资金存入银行取得的利息收入或进行暂时性投资</w:t>
      </w:r>
      <w:r>
        <w:rPr>
          <w:spacing w:val="-81"/>
        </w:rPr>
        <w:t> </w:t>
      </w:r>
      <w:r>
        <w:rPr>
          <w:spacing w:val="-81"/>
        </w:rPr>
      </w:r>
      <w:r>
        <w:rPr>
          <w:spacing w:val="-1"/>
        </w:rPr>
        <w:t>取得的投资收益后的金额予以资本化；一般借款根据累计资产支出超过专门借款部分的资产支出加权平均</w:t>
      </w:r>
      <w:r>
        <w:rPr>
          <w:spacing w:val="-81"/>
        </w:rPr>
        <w:t> </w:t>
      </w:r>
      <w:r>
        <w:rPr>
          <w:spacing w:val="-81"/>
        </w:rPr>
      </w:r>
      <w:r>
        <w:rPr/>
        <w:t>数乘以所占用一般借款的资本化率，确定资本化金额。资本化率根据一般借款的加权平均利率计算确定。</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资本化期间内，外币专门借款的汇兑差额全部予以资本化；外币一般借款的汇兑差额计入当期损益。</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18、 商誉" w:id="184"/>
      <w:bookmarkEnd w:id="184"/>
      <w:r>
        <w:rPr>
          <w:b w:val="0"/>
          <w:bCs w:val="0"/>
        </w:rPr>
      </w:r>
      <w:r>
        <w:rPr>
          <w:rFonts w:ascii="Times New Roman" w:hAnsi="Times New Roman" w:cs="Times New Roman" w:eastAsia="Times New Roman" w:hint="default"/>
        </w:rPr>
        <w:t>18</w:t>
      </w:r>
      <w:r>
        <w:rPr/>
        <w:t>、</w:t>
      </w:r>
      <w:r>
        <w:rPr>
          <w:spacing w:val="-1"/>
        </w:rPr>
        <w:t> </w:t>
      </w:r>
      <w:r>
        <w:rPr/>
        <w:t>商誉</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31"/>
        <w:jc w:val="both"/>
      </w:pPr>
      <w:r>
        <w:rPr>
          <w:spacing w:val="3"/>
        </w:rPr>
        <w:t>商誉为非同一控制下企业合并成本超过应享有的被投资单位或被购买方可辨认净资产于取得日或购买日</w:t>
      </w:r>
      <w:r>
        <w:rPr>
          <w:spacing w:val="-82"/>
        </w:rPr>
        <w:t> </w:t>
      </w:r>
      <w:r>
        <w:rPr>
          <w:spacing w:val="-82"/>
        </w:rPr>
      </w:r>
      <w:r>
        <w:rPr/>
        <w:t>的公允价值份额的差额。</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与子公司有关的商誉在合并财务报表上单独列示，与联营企业和合营企业有关的商誉，包含在长期股权投</w:t>
      </w:r>
      <w:r>
        <w:rPr>
          <w:spacing w:val="-81"/>
        </w:rPr>
        <w:t> </w:t>
      </w:r>
      <w:r>
        <w:rPr>
          <w:spacing w:val="-81"/>
        </w:rPr>
      </w:r>
      <w:r>
        <w:rPr/>
        <w:t>资的账面价值中。本公司的商誉系与子公司有关的商誉。</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在财务报表中单独列示的商誉至少在每年年终进行减值测试。减值测试时，商誉的账面价值依据相关的资</w:t>
      </w:r>
      <w:r>
        <w:rPr>
          <w:spacing w:val="-81"/>
        </w:rPr>
        <w:t> </w:t>
      </w:r>
      <w:r>
        <w:rPr>
          <w:spacing w:val="-81"/>
        </w:rPr>
      </w:r>
      <w:r>
        <w:rPr/>
        <w:t>产组或者资产组组合能够从企业合并的协同效应中受益的情况分摊至受益的资产组或资产组组合。</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19、无形资产" w:id="185"/>
      <w:bookmarkEnd w:id="185"/>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计价方法、使用寿命、减值测试" w:id="186"/>
      <w:bookmarkEnd w:id="18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134" w:right="0"/>
        <w:jc w:val="both"/>
      </w:pPr>
      <w:r>
        <w:rPr/>
        <w:t>本集团无形资产包括土地使用权、商标使用权、办公软件、计算机软件著作权等。</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无形资产按照成本进行初始计量，并于取得无形资产时分析判断其使用寿命。使用寿命为有限的，自无形</w:t>
      </w:r>
      <w:r>
        <w:rPr>
          <w:spacing w:val="-83"/>
        </w:rPr>
        <w:t> </w:t>
      </w:r>
      <w:r>
        <w:rPr>
          <w:spacing w:val="-83"/>
        </w:rPr>
      </w:r>
      <w:r>
        <w:rPr>
          <w:spacing w:val="-1"/>
        </w:rPr>
        <w:t>资产可供使用时起，采用能反映与该资产有关的经济利益的预期实现方式的摊销方法，在预计使用年限内</w:t>
      </w:r>
      <w:r>
        <w:rPr>
          <w:spacing w:val="-81"/>
        </w:rPr>
        <w:t> </w:t>
      </w:r>
      <w:r>
        <w:rPr>
          <w:spacing w:val="-81"/>
        </w:rPr>
      </w:r>
      <w:r>
        <w:rPr/>
        <w:t>摊销；无法可靠确定预期实现方式的，采用直线法摊销；使用寿命不确定的无形资产，不作摊销。</w:t>
      </w:r>
    </w:p>
    <w:p>
      <w:pPr>
        <w:spacing w:line="240" w:lineRule="auto" w:before="1"/>
        <w:rPr>
          <w:rFonts w:ascii="宋体" w:hAnsi="宋体" w:cs="宋体" w:eastAsia="宋体" w:hint="default"/>
          <w:sz w:val="17"/>
          <w:szCs w:val="17"/>
        </w:rPr>
      </w:pPr>
    </w:p>
    <w:p>
      <w:pPr>
        <w:pStyle w:val="BodyText"/>
        <w:spacing w:line="240" w:lineRule="auto"/>
        <w:ind w:right="0"/>
        <w:jc w:val="both"/>
      </w:pPr>
      <w:r>
        <w:rPr/>
        <w:t>使用寿命有限的无形资产摊销方法如下：</w:t>
      </w:r>
    </w:p>
    <w:p>
      <w:pPr>
        <w:spacing w:line="240" w:lineRule="auto" w:before="6"/>
        <w:rPr>
          <w:rFonts w:ascii="宋体" w:hAnsi="宋体" w:cs="宋体" w:eastAsia="宋体" w:hint="default"/>
          <w:sz w:val="20"/>
          <w:szCs w:val="20"/>
        </w:rPr>
      </w:pPr>
    </w:p>
    <w:tbl>
      <w:tblPr>
        <w:tblW w:w="0" w:type="auto"/>
        <w:jc w:val="left"/>
        <w:tblInd w:w="1134" w:type="dxa"/>
        <w:tblLayout w:type="fixed"/>
        <w:tblCellMar>
          <w:top w:w="0" w:type="dxa"/>
          <w:left w:w="0" w:type="dxa"/>
          <w:bottom w:w="0" w:type="dxa"/>
          <w:right w:w="0" w:type="dxa"/>
        </w:tblCellMar>
        <w:tblLook w:val="01E0"/>
      </w:tblPr>
      <w:tblGrid>
        <w:gridCol w:w="3017"/>
        <w:gridCol w:w="3781"/>
        <w:gridCol w:w="1759"/>
      </w:tblGrid>
      <w:tr>
        <w:trPr>
          <w:trHeight w:val="349" w:hRule="exact"/>
        </w:trPr>
        <w:tc>
          <w:tcPr>
            <w:tcW w:w="3017"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781"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769" w:right="0"/>
              <w:jc w:val="center"/>
              <w:rPr>
                <w:rFonts w:ascii="宋体" w:hAnsi="宋体" w:cs="宋体" w:eastAsia="宋体" w:hint="default"/>
                <w:sz w:val="21"/>
                <w:szCs w:val="21"/>
              </w:rPr>
            </w:pPr>
            <w:r>
              <w:rPr>
                <w:rFonts w:ascii="宋体" w:hAnsi="宋体" w:cs="宋体" w:eastAsia="宋体" w:hint="default"/>
                <w:b/>
                <w:bCs/>
                <w:sz w:val="21"/>
                <w:szCs w:val="21"/>
              </w:rPr>
              <w:t>预计使用寿命（年）</w:t>
            </w:r>
            <w:r>
              <w:rPr>
                <w:rFonts w:ascii="宋体" w:hAnsi="宋体" w:cs="宋体" w:eastAsia="宋体" w:hint="default"/>
                <w:sz w:val="21"/>
                <w:szCs w:val="21"/>
              </w:rPr>
            </w:r>
          </w:p>
        </w:tc>
        <w:tc>
          <w:tcPr>
            <w:tcW w:w="1759"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center"/>
              <w:rPr>
                <w:rFonts w:ascii="宋体" w:hAnsi="宋体" w:cs="宋体" w:eastAsia="宋体" w:hint="default"/>
                <w:sz w:val="21"/>
                <w:szCs w:val="21"/>
              </w:rPr>
            </w:pPr>
            <w:r>
              <w:rPr>
                <w:rFonts w:ascii="宋体" w:hAnsi="宋体" w:cs="宋体" w:eastAsia="宋体" w:hint="default"/>
                <w:b/>
                <w:bCs/>
                <w:sz w:val="21"/>
                <w:szCs w:val="21"/>
              </w:rPr>
              <w:t>净残值</w:t>
            </w:r>
            <w:r>
              <w:rPr>
                <w:rFonts w:ascii="宋体" w:hAnsi="宋体" w:cs="宋体" w:eastAsia="宋体" w:hint="default"/>
                <w:sz w:val="21"/>
                <w:szCs w:val="21"/>
              </w:rPr>
            </w:r>
          </w:p>
        </w:tc>
      </w:tr>
      <w:tr>
        <w:trPr>
          <w:trHeight w:val="348" w:hRule="exact"/>
        </w:trPr>
        <w:tc>
          <w:tcPr>
            <w:tcW w:w="301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78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771" w:right="0"/>
              <w:jc w:val="center"/>
              <w:rPr>
                <w:rFonts w:ascii="Times New Roman" w:hAnsi="Times New Roman" w:cs="Times New Roman" w:eastAsia="Times New Roman" w:hint="default"/>
                <w:sz w:val="21"/>
                <w:szCs w:val="21"/>
              </w:rPr>
            </w:pPr>
            <w:r>
              <w:rPr>
                <w:rFonts w:ascii="Times New Roman"/>
                <w:sz w:val="21"/>
              </w:rPr>
              <w:t>30</w:t>
            </w:r>
          </w:p>
        </w:tc>
        <w:tc>
          <w:tcPr>
            <w:tcW w:w="175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47" w:hRule="exact"/>
        </w:trPr>
        <w:tc>
          <w:tcPr>
            <w:tcW w:w="3017"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378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771" w:right="0"/>
              <w:jc w:val="center"/>
              <w:rPr>
                <w:rFonts w:ascii="Times New Roman" w:hAnsi="Times New Roman" w:cs="Times New Roman" w:eastAsia="Times New Roman" w:hint="default"/>
                <w:sz w:val="21"/>
                <w:szCs w:val="21"/>
              </w:rPr>
            </w:pPr>
            <w:r>
              <w:rPr>
                <w:rFonts w:ascii="Times New Roman"/>
                <w:sz w:val="21"/>
              </w:rPr>
              <w:t>10</w:t>
            </w:r>
          </w:p>
        </w:tc>
        <w:tc>
          <w:tcPr>
            <w:tcW w:w="1759"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9"/>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47" w:hRule="exact"/>
        </w:trPr>
        <w:tc>
          <w:tcPr>
            <w:tcW w:w="301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378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771" w:right="0"/>
              <w:jc w:val="center"/>
              <w:rPr>
                <w:rFonts w:ascii="Times New Roman" w:hAnsi="Times New Roman" w:cs="Times New Roman" w:eastAsia="Times New Roman" w:hint="default"/>
                <w:sz w:val="21"/>
                <w:szCs w:val="21"/>
              </w:rPr>
            </w:pPr>
            <w:r>
              <w:rPr>
                <w:rFonts w:ascii="Times New Roman"/>
                <w:sz w:val="21"/>
              </w:rPr>
              <w:t>5</w:t>
            </w:r>
          </w:p>
        </w:tc>
        <w:tc>
          <w:tcPr>
            <w:tcW w:w="175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48" w:hRule="exact"/>
        </w:trPr>
        <w:tc>
          <w:tcPr>
            <w:tcW w:w="301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计算机软件著作权</w:t>
            </w:r>
          </w:p>
        </w:tc>
        <w:tc>
          <w:tcPr>
            <w:tcW w:w="378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771" w:right="0"/>
              <w:jc w:val="center"/>
              <w:rPr>
                <w:rFonts w:ascii="Times New Roman" w:hAnsi="Times New Roman" w:cs="Times New Roman" w:eastAsia="Times New Roman" w:hint="default"/>
                <w:sz w:val="21"/>
                <w:szCs w:val="21"/>
              </w:rPr>
            </w:pPr>
            <w:r>
              <w:rPr>
                <w:rFonts w:ascii="Times New Roman"/>
                <w:sz w:val="21"/>
              </w:rPr>
              <w:t>5</w:t>
            </w:r>
          </w:p>
        </w:tc>
        <w:tc>
          <w:tcPr>
            <w:tcW w:w="175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5"/>
          <w:szCs w:val="5"/>
        </w:rPr>
      </w:pPr>
    </w:p>
    <w:p>
      <w:pPr>
        <w:pStyle w:val="BodyText"/>
        <w:spacing w:line="273" w:lineRule="auto" w:before="35"/>
        <w:ind w:left="1134" w:right="1023"/>
        <w:jc w:val="left"/>
      </w:pPr>
      <w:r>
        <w:rPr>
          <w:spacing w:val="-3"/>
        </w:rPr>
        <w:t>本集团于每年年度终了，对使用寿命有限的无形资产的使用寿命及摊销方法进行复核，与以前估计不同的，</w:t>
      </w:r>
      <w:r>
        <w:rPr>
          <w:spacing w:val="-92"/>
        </w:rPr>
        <w:t> </w:t>
      </w:r>
      <w:r>
        <w:rPr>
          <w:spacing w:val="-92"/>
        </w:rPr>
      </w:r>
      <w:r>
        <w:rPr/>
        <w:t>调整原先估计数，并按会计估计变更处理。</w:t>
      </w:r>
    </w:p>
    <w:p>
      <w:pPr>
        <w:spacing w:line="240" w:lineRule="auto" w:before="1"/>
        <w:rPr>
          <w:rFonts w:ascii="宋体" w:hAnsi="宋体" w:cs="宋体" w:eastAsia="宋体" w:hint="default"/>
          <w:sz w:val="17"/>
          <w:szCs w:val="17"/>
        </w:rPr>
      </w:pPr>
    </w:p>
    <w:p>
      <w:pPr>
        <w:pStyle w:val="BodyText"/>
        <w:spacing w:line="273" w:lineRule="auto"/>
        <w:ind w:left="1134" w:right="0"/>
        <w:jc w:val="left"/>
      </w:pPr>
      <w:r>
        <w:rPr>
          <w:spacing w:val="-1"/>
        </w:rPr>
        <w:t>资产负债表日预计某项无形资产已经不能给企业带来未来经济利益的，将该项无形资产的账面价值全部转</w:t>
      </w:r>
      <w:r>
        <w:rPr>
          <w:spacing w:val="-81"/>
        </w:rPr>
        <w:t> </w:t>
      </w:r>
      <w:r>
        <w:rPr>
          <w:spacing w:val="-81"/>
        </w:rPr>
      </w:r>
      <w:r>
        <w:rPr/>
        <w:t>入当期损益。</w:t>
      </w:r>
    </w:p>
    <w:p>
      <w:pPr>
        <w:spacing w:line="240" w:lineRule="auto" w:before="1"/>
        <w:rPr>
          <w:rFonts w:ascii="宋体" w:hAnsi="宋体" w:cs="宋体" w:eastAsia="宋体" w:hint="default"/>
          <w:sz w:val="17"/>
          <w:szCs w:val="17"/>
        </w:rPr>
      </w:pPr>
    </w:p>
    <w:p>
      <w:pPr>
        <w:pStyle w:val="BodyText"/>
        <w:spacing w:line="240" w:lineRule="auto"/>
        <w:ind w:left="1134" w:right="0"/>
        <w:jc w:val="left"/>
      </w:pPr>
      <w:r>
        <w:rPr/>
        <w:t>无形资产计提资产减值方法见本节之</w:t>
      </w:r>
      <w:r>
        <w:rPr>
          <w:rFonts w:ascii="Times New Roman" w:hAnsi="Times New Roman" w:cs="Times New Roman" w:eastAsia="Times New Roman" w:hint="default"/>
        </w:rPr>
        <w:t>“</w:t>
      </w:r>
      <w:r>
        <w:rPr/>
        <w:t>五、重要会计政策及会计估计之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2" w:lineRule="auto" w:before="35"/>
        <w:ind w:left="1134" w:right="2113" w:firstLine="0"/>
        <w:jc w:val="left"/>
        <w:rPr>
          <w:rFonts w:ascii="宋体" w:hAnsi="宋体" w:cs="宋体" w:eastAsia="宋体" w:hint="default"/>
          <w:sz w:val="21"/>
          <w:szCs w:val="21"/>
        </w:rPr>
      </w:pPr>
      <w:bookmarkStart w:name="（2）内部研究开发支出会计政策"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本集团将内部研究开发项目的支出，区分为研究阶段支出和开发阶段支出。 研究阶段的支出，于发生时计入当期损益。</w:t>
      </w:r>
    </w:p>
    <w:p>
      <w:pPr>
        <w:pStyle w:val="BodyText"/>
        <w:spacing w:line="273" w:lineRule="auto" w:before="41"/>
        <w:ind w:left="1134" w:right="1027"/>
        <w:jc w:val="both"/>
      </w:pPr>
      <w:r>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w:t>
      </w:r>
      <w:r>
        <w:rPr>
          <w:spacing w:val="-3"/>
        </w:rPr>
        <w:t>无形资产；归属于该无形资产开发阶段的支出能够可靠地计量。不满足上述条件的开发支出计入当期损益。</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本集团研究开发项目在满足上述条件，通过技术可行性及经济可行性研究，形成项目立项后，进入开发阶</w:t>
      </w:r>
      <w:r>
        <w:rPr>
          <w:spacing w:val="-82"/>
        </w:rPr>
        <w:t> </w:t>
      </w:r>
      <w:r>
        <w:rPr>
          <w:spacing w:val="-82"/>
        </w:rPr>
      </w:r>
      <w:r>
        <w:rPr/>
        <w:t>段。</w:t>
      </w:r>
    </w:p>
    <w:p>
      <w:pPr>
        <w:spacing w:line="240" w:lineRule="auto" w:before="1"/>
        <w:rPr>
          <w:rFonts w:ascii="宋体" w:hAnsi="宋体" w:cs="宋体" w:eastAsia="宋体" w:hint="default"/>
          <w:sz w:val="17"/>
          <w:szCs w:val="17"/>
        </w:rPr>
      </w:pPr>
    </w:p>
    <w:p>
      <w:pPr>
        <w:pStyle w:val="BodyText"/>
        <w:spacing w:line="273" w:lineRule="auto"/>
        <w:ind w:left="1134" w:right="1132"/>
        <w:jc w:val="both"/>
      </w:pPr>
      <w:r>
        <w:rPr>
          <w:spacing w:val="-1"/>
        </w:rPr>
        <w:t>已资本化的开发阶段的支出在资产负债表上列示为开发支出，自该项目达到预定可使用状态之日转为无形</w:t>
      </w:r>
      <w:r>
        <w:rPr>
          <w:spacing w:val="-81"/>
        </w:rPr>
        <w:t> </w:t>
      </w:r>
      <w:r>
        <w:rPr>
          <w:spacing w:val="-81"/>
        </w:rPr>
      </w:r>
      <w:r>
        <w:rPr/>
        <w:t>资产。</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本集团报告期内的内部研究开发项目的支出均为计入当期损益的研究阶段的支出。</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20、长期资产减值" w:id="188"/>
      <w:bookmarkEnd w:id="188"/>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10"/>
        <w:jc w:val="both"/>
      </w:pPr>
      <w:r>
        <w:rPr>
          <w:spacing w:val="-1"/>
        </w:rPr>
        <w:t>对子公司的长期股权投资、固定资产、在建工程、无形资产和商誉等（存货、递延所得税资产、金融资产</w:t>
      </w:r>
      <w:r>
        <w:rPr>
          <w:spacing w:val="-83"/>
        </w:rPr>
        <w:t> </w:t>
      </w:r>
      <w:r>
        <w:rPr>
          <w:spacing w:val="-83"/>
        </w:rPr>
      </w:r>
      <w:r>
        <w:rPr/>
        <w:t>除外）的资产减值，按以下方法确定：</w:t>
      </w:r>
    </w:p>
    <w:p>
      <w:pPr>
        <w:spacing w:line="240" w:lineRule="auto" w:before="2"/>
        <w:rPr>
          <w:rFonts w:ascii="宋体" w:hAnsi="宋体" w:cs="宋体" w:eastAsia="宋体" w:hint="default"/>
          <w:sz w:val="17"/>
          <w:szCs w:val="17"/>
        </w:rPr>
      </w:pPr>
    </w:p>
    <w:p>
      <w:pPr>
        <w:pStyle w:val="BodyText"/>
        <w:spacing w:line="273" w:lineRule="auto"/>
        <w:ind w:left="1134" w:right="1110"/>
        <w:jc w:val="both"/>
      </w:pPr>
      <w:r>
        <w:rPr/>
        <w:t>于资产负债表日判断资产是否存在可能发生减值的迹象，存在减值迹象的，本集团将估计其可收回金额， </w:t>
      </w:r>
      <w:r>
        <w:rPr>
          <w:spacing w:val="-1"/>
        </w:rPr>
        <w:t>进行减值测试。对因企业合并所形成的商誉、使用寿命不确定的无形资产和尚未达到可使用状态的无形资</w:t>
      </w:r>
      <w:r>
        <w:rPr>
          <w:spacing w:val="-81"/>
        </w:rPr>
        <w:t> </w:t>
      </w:r>
      <w:r>
        <w:rPr>
          <w:spacing w:val="-81"/>
        </w:rPr>
      </w:r>
      <w:r>
        <w:rPr/>
        <w:t>产无论是否存在减值迹象，每年都进行减值测试。</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3"/>
        </w:rPr>
        <w:t>可收回金额根据资产的公允价值减去处置费用后的净额与资产预计未来现金流量的现值两者之间较高者</w:t>
      </w:r>
      <w:r>
        <w:rPr>
          <w:spacing w:val="-82"/>
        </w:rPr>
        <w:t> </w:t>
      </w:r>
      <w:r>
        <w:rPr>
          <w:spacing w:val="-82"/>
        </w:rPr>
      </w:r>
      <w:r>
        <w:rPr>
          <w:spacing w:val="-1"/>
        </w:rPr>
        <w:t>确定。本集团以单项资产为基础估计其可收回金额；难以对单项资产的可收回金额进行估计的，以该资产</w:t>
      </w:r>
      <w:r>
        <w:rPr>
          <w:spacing w:val="-83"/>
        </w:rPr>
        <w:t> </w:t>
      </w:r>
      <w:r>
        <w:rPr>
          <w:spacing w:val="-83"/>
        </w:rPr>
      </w:r>
      <w:r>
        <w:rPr>
          <w:spacing w:val="-1"/>
        </w:rPr>
        <w:t>所属的资产组为基础确定资产组的可收回金额。资产组的认定，以资产组产生的主要现金流入是否独立于</w:t>
      </w:r>
      <w:r>
        <w:rPr>
          <w:spacing w:val="-81"/>
        </w:rPr>
        <w:t> </w:t>
      </w:r>
      <w:r>
        <w:rPr>
          <w:spacing w:val="-81"/>
        </w:rPr>
      </w:r>
      <w:r>
        <w:rPr/>
        <w:t>其他资产或者资产组的现金流入为依据。</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当资产或资产组的可收回金额低于其账面价值时，本集团将其账面价值减记至可收回金额，减记的金额计</w:t>
      </w:r>
      <w:r>
        <w:rPr>
          <w:spacing w:val="-81"/>
        </w:rPr>
        <w:t> </w:t>
      </w:r>
      <w:r>
        <w:rPr>
          <w:spacing w:val="-81"/>
        </w:rPr>
      </w:r>
      <w:r>
        <w:rPr/>
        <w:t>入当期损益，同时计提相应的资产减值准备。</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就商誉的减值测试而言，对于因企业合并形成的商誉的账面价值，自购买日起按照合理的方法分摊至相关</w:t>
      </w:r>
      <w:r>
        <w:rPr>
          <w:spacing w:val="-81"/>
        </w:rPr>
        <w:t> </w:t>
      </w:r>
      <w:r>
        <w:rPr>
          <w:spacing w:val="-81"/>
        </w:rPr>
      </w:r>
      <w:r>
        <w:rPr>
          <w:spacing w:val="-1"/>
        </w:rPr>
        <w:t>的资产组；难以分摊至相关的资产组的，将其分摊至相关的资产组组合。相关的资产组或资产组组合，是</w:t>
      </w:r>
      <w:r>
        <w:rPr>
          <w:spacing w:val="-85"/>
        </w:rPr>
        <w:t> </w:t>
      </w:r>
      <w:r>
        <w:rPr>
          <w:spacing w:val="-85"/>
        </w:rPr>
      </w:r>
      <w:r>
        <w:rPr/>
        <w:t>能够从企业合并的协同效应中受益的资产组或者资产组组合，且不大于本集团确定的报告分部。</w:t>
      </w:r>
    </w:p>
    <w:p>
      <w:pPr>
        <w:spacing w:line="240" w:lineRule="auto" w:before="1"/>
        <w:rPr>
          <w:rFonts w:ascii="宋体" w:hAnsi="宋体" w:cs="宋体" w:eastAsia="宋体" w:hint="default"/>
          <w:sz w:val="17"/>
          <w:szCs w:val="17"/>
        </w:rPr>
      </w:pPr>
    </w:p>
    <w:p>
      <w:pPr>
        <w:pStyle w:val="BodyText"/>
        <w:spacing w:line="273" w:lineRule="auto"/>
        <w:ind w:right="1109"/>
        <w:jc w:val="both"/>
      </w:pPr>
      <w:r>
        <w:rPr>
          <w:spacing w:val="-1"/>
        </w:rPr>
        <w:t>减值测试时，如与商誉相关的资产组或者资产组组合存在减值迹象的，首先对不包含商誉的资产组或者资</w:t>
      </w:r>
      <w:r>
        <w:rPr>
          <w:spacing w:val="-81"/>
        </w:rPr>
        <w:t> </w:t>
      </w:r>
      <w:r>
        <w:rPr>
          <w:spacing w:val="-81"/>
        </w:rPr>
      </w:r>
      <w:r>
        <w:rPr>
          <w:spacing w:val="-1"/>
        </w:rPr>
        <w:t>产组组合进行减值测试，计算可收回金额，确认相应的减值损失。然后对包含商誉的资产组或者资产组组</w:t>
      </w:r>
      <w:r>
        <w:rPr>
          <w:spacing w:val="-83"/>
        </w:rPr>
        <w:t> </w:t>
      </w:r>
      <w:r>
        <w:rPr>
          <w:spacing w:val="-83"/>
        </w:rPr>
      </w:r>
      <w:r>
        <w:rPr/>
        <w:t>合进行减值测试，比较其账面价值与可收回金额，如可收回金额低于账面价值的，确认商誉的减值损失。</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资产减值损失一经确认，在以后会计期间不再转回。</w:t>
      </w:r>
    </w:p>
    <w:p>
      <w:pPr>
        <w:spacing w:after="0" w:line="240"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21、长期待摊费用" w:id="189"/>
      <w:bookmarkEnd w:id="189"/>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31"/>
        <w:jc w:val="both"/>
      </w:pPr>
      <w:r>
        <w:rPr>
          <w:spacing w:val="-1"/>
        </w:rPr>
        <w:t>本集团发生的长期待摊费用按实际成本计价，并按预计受益期限平均摊销。对不能使以后会计期间受益的</w:t>
      </w:r>
      <w:r>
        <w:rPr>
          <w:spacing w:val="-81"/>
        </w:rPr>
        <w:t> </w:t>
      </w:r>
      <w:r>
        <w:rPr>
          <w:spacing w:val="-81"/>
        </w:rPr>
      </w:r>
      <w:r>
        <w:rPr/>
        <w:t>长期待摊费用项目，其摊余价值全部计入当期损益。</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22、职工薪酬" w:id="190"/>
      <w:bookmarkEnd w:id="190"/>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短期薪酬的会计处理方法" w:id="191"/>
      <w:bookmarkEnd w:id="19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31"/>
        <w:jc w:val="both"/>
      </w:pPr>
      <w:r>
        <w:rPr>
          <w:spacing w:val="-1"/>
        </w:rPr>
        <w:t>本集团在职工提供服务的会计期间，将实际发生的职工工资、奖金、按规定的基准和比例为职工缴纳的医</w:t>
      </w:r>
      <w:r>
        <w:rPr>
          <w:spacing w:val="-83"/>
        </w:rPr>
        <w:t> </w:t>
      </w:r>
      <w:r>
        <w:rPr>
          <w:spacing w:val="-83"/>
        </w:rPr>
      </w:r>
      <w:r>
        <w:rPr>
          <w:spacing w:val="-1"/>
        </w:rPr>
        <w:t>疗保险费、工伤保险费和生育保险费等社会保险费和住房公积金，确认为负债，并计入当期损益或相关资</w:t>
      </w:r>
      <w:r>
        <w:rPr>
          <w:spacing w:val="-83"/>
        </w:rPr>
        <w:t> </w:t>
      </w:r>
      <w:r>
        <w:rPr>
          <w:spacing w:val="-83"/>
        </w:rPr>
      </w:r>
      <w:r>
        <w:rPr>
          <w:spacing w:val="-1"/>
        </w:rPr>
        <w:t>产成本。如果该负债预期在职工提供相关服务的年度报告期结束后十二个月内不能完全支付，且财务影响</w:t>
      </w:r>
      <w:r>
        <w:rPr>
          <w:spacing w:val="-81"/>
        </w:rPr>
        <w:t> </w:t>
      </w:r>
      <w:r>
        <w:rPr>
          <w:spacing w:val="-81"/>
        </w:rPr>
      </w:r>
      <w:r>
        <w:rPr/>
        <w:t>重大的，则该负债将以折现后的金额计量。</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2）离职后福利的会计处理方法" w:id="192"/>
      <w:bookmarkEnd w:id="19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31"/>
        <w:jc w:val="both"/>
      </w:pPr>
      <w:r>
        <w:rPr>
          <w:spacing w:val="-1"/>
        </w:rPr>
        <w:t>离职后福利计划包括设定提存计划和设定受益计划。其中，设定提存计划，是指向独立的基金缴存固定费</w:t>
      </w:r>
      <w:r>
        <w:rPr>
          <w:spacing w:val="-83"/>
        </w:rPr>
        <w:t> </w:t>
      </w:r>
      <w:r>
        <w:rPr>
          <w:spacing w:val="-83"/>
        </w:rPr>
      </w:r>
      <w:r>
        <w:rPr>
          <w:spacing w:val="-1"/>
        </w:rPr>
        <w:t>用后，企业不再承担进一步支付义务的离职后福利计划；设定受益计划，是指除设定提存计划以外的离职</w:t>
      </w:r>
      <w:r>
        <w:rPr>
          <w:spacing w:val="-83"/>
        </w:rPr>
        <w:t> </w:t>
      </w:r>
      <w:r>
        <w:rPr>
          <w:spacing w:val="-83"/>
        </w:rPr>
      </w:r>
      <w:r>
        <w:rPr/>
        <w:t>后福利计划。本集团离职后福利计划均为设定提存计划。</w:t>
      </w:r>
    </w:p>
    <w:p>
      <w:pPr>
        <w:spacing w:line="240" w:lineRule="auto" w:before="1"/>
        <w:rPr>
          <w:rFonts w:ascii="宋体" w:hAnsi="宋体" w:cs="宋体" w:eastAsia="宋体" w:hint="default"/>
          <w:sz w:val="17"/>
          <w:szCs w:val="17"/>
        </w:rPr>
      </w:pPr>
    </w:p>
    <w:p>
      <w:pPr>
        <w:pStyle w:val="BodyText"/>
        <w:spacing w:line="460" w:lineRule="auto"/>
        <w:ind w:right="6343"/>
        <w:jc w:val="left"/>
      </w:pPr>
      <w:r>
        <w:rPr/>
        <w:t>设定提存计划 设定提存计划包括基本养老保险、失业保险等。</w:t>
      </w:r>
    </w:p>
    <w:p>
      <w:pPr>
        <w:pStyle w:val="BodyText"/>
        <w:spacing w:line="273" w:lineRule="auto" w:before="60"/>
        <w:ind w:left="1134" w:right="1131"/>
        <w:jc w:val="both"/>
      </w:pPr>
      <w:r>
        <w:rPr>
          <w:spacing w:val="-1"/>
        </w:rPr>
        <w:t>在职工提供服务的会计期间，根据设定提存计划计算的应缴存金额确认为负债，并计入当期损益或相关资</w:t>
      </w:r>
      <w:r>
        <w:rPr>
          <w:spacing w:val="-81"/>
        </w:rPr>
        <w:t> </w:t>
      </w:r>
      <w:r>
        <w:rPr>
          <w:spacing w:val="-81"/>
        </w:rPr>
      </w:r>
      <w:r>
        <w:rPr/>
        <w:t>产成本。</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3）辞退福利的会计处理方法" w:id="193"/>
      <w:bookmarkEnd w:id="19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10"/>
        <w:jc w:val="both"/>
      </w:pPr>
      <w:r>
        <w:rPr/>
        <w:t>本集团向职工提供辞退福利的，在下列两者孰早日确认辞退福利产生的职工薪酬负债，并计入当期损益： </w:t>
      </w:r>
      <w:r>
        <w:rPr>
          <w:spacing w:val="-1"/>
        </w:rPr>
        <w:t>本集团不能单方面撤回因解除劳动关系计划或裁减建议所提供的辞退福利时；本集团确认与涉及支付辞退</w:t>
      </w:r>
      <w:r>
        <w:rPr>
          <w:spacing w:val="-81"/>
        </w:rPr>
        <w:t> </w:t>
      </w:r>
      <w:r>
        <w:rPr>
          <w:spacing w:val="-81"/>
        </w:rPr>
      </w:r>
      <w:r>
        <w:rPr/>
        <w:t>福利的重组相关的成本或费用时。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left="1134" w:right="0"/>
        <w:jc w:val="both"/>
        <w:rPr>
          <w:b w:val="0"/>
          <w:bCs w:val="0"/>
        </w:rPr>
      </w:pPr>
      <w:bookmarkStart w:name="（4）其他长期职工福利的会计处理方法" w:id="194"/>
      <w:bookmarkEnd w:id="19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0"/>
        <w:jc w:val="both"/>
      </w:pPr>
      <w:r>
        <w:rPr>
          <w:spacing w:val="-1"/>
        </w:rPr>
        <w:t>本集团向职工提供的其他长期职工福利，符合设定提存计划条件的，按照上述关于设定提存计划的有关规</w:t>
      </w:r>
      <w:r>
        <w:rPr>
          <w:spacing w:val="-81"/>
        </w:rPr>
        <w:t> </w:t>
      </w:r>
      <w:r>
        <w:rPr>
          <w:spacing w:val="-81"/>
        </w:rPr>
      </w:r>
      <w:r>
        <w:rPr>
          <w:spacing w:val="-1"/>
        </w:rPr>
        <w:t>定进行处理。符合设定受益计划的，按照上述关于设定受益计划的有关规定进行处理，但相关职工薪酬成</w:t>
      </w:r>
      <w:r>
        <w:rPr>
          <w:spacing w:val="-82"/>
        </w:rPr>
        <w:t> </w:t>
      </w:r>
      <w:r>
        <w:rPr>
          <w:spacing w:val="-82"/>
        </w:rPr>
      </w:r>
      <w:r>
        <w:rPr/>
        <w:t>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部分计入当期损益或相关资产成本。</w:t>
      </w:r>
    </w:p>
    <w:p>
      <w:pPr>
        <w:spacing w:line="240" w:lineRule="auto" w:before="2"/>
        <w:rPr>
          <w:rFonts w:ascii="宋体" w:hAnsi="宋体" w:cs="宋体" w:eastAsia="宋体" w:hint="default"/>
          <w:sz w:val="22"/>
          <w:szCs w:val="22"/>
        </w:rPr>
      </w:pPr>
    </w:p>
    <w:p>
      <w:pPr>
        <w:pStyle w:val="BodyText"/>
        <w:spacing w:line="506" w:lineRule="auto"/>
        <w:ind w:left="1134" w:right="3612"/>
        <w:jc w:val="left"/>
      </w:pPr>
      <w:bookmarkStart w:name="23、预计负债" w:id="195"/>
      <w:bookmarkEnd w:id="195"/>
      <w:r>
        <w:rPr/>
      </w:r>
      <w:r>
        <w:rPr>
          <w:rFonts w:ascii="Times New Roman" w:hAnsi="Times New Roman" w:cs="Times New Roman" w:eastAsia="Times New Roman" w:hint="default"/>
          <w:b/>
          <w:bCs/>
        </w:rPr>
        <w:t>23</w:t>
      </w:r>
      <w:r>
        <w:rPr>
          <w:rFonts w:ascii="宋体" w:hAnsi="宋体" w:cs="宋体" w:eastAsia="宋体" w:hint="default"/>
          <w:b/>
          <w:bCs/>
        </w:rPr>
        <w:t>、预计负债</w:t>
      </w:r>
      <w:r>
        <w:rPr>
          <w:rFonts w:ascii="宋体" w:hAnsi="宋体" w:cs="宋体" w:eastAsia="宋体" w:hint="default"/>
          <w:b/>
          <w:bCs/>
          <w:w w:val="99"/>
        </w:rPr>
        <w:t> </w:t>
      </w:r>
      <w:r>
        <w:rPr/>
        <w:t>如果与或有事项相关的义务同时符合以下条件，本集团将其确认为预计负债：</w:t>
      </w:r>
    </w:p>
    <w:p>
      <w:pPr>
        <w:pStyle w:val="BodyText"/>
        <w:spacing w:line="240" w:lineRule="auto" w:before="20"/>
        <w:ind w:right="0"/>
        <w:jc w:val="both"/>
      </w:pPr>
      <w:r>
        <w:rPr/>
        <w:t>（</w:t>
      </w:r>
      <w:r>
        <w:rPr>
          <w:rFonts w:ascii="Times New Roman" w:hAnsi="Times New Roman" w:cs="Times New Roman" w:eastAsia="Times New Roman" w:hint="default"/>
        </w:rPr>
        <w:t>1</w:t>
      </w:r>
      <w:r>
        <w:rPr/>
        <w:t>）该义务是本集团承担的现时义务；</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w:t>
      </w:r>
      <w:r>
        <w:rPr>
          <w:rFonts w:ascii="Times New Roman" w:hAnsi="Times New Roman" w:cs="Times New Roman" w:eastAsia="Times New Roman" w:hint="default"/>
        </w:rPr>
        <w:t>2</w:t>
      </w:r>
      <w:r>
        <w:rPr/>
        <w:t>）该义务的履行很可能导致经济利益流出本集团；</w:t>
      </w:r>
    </w:p>
    <w:p>
      <w:pPr>
        <w:spacing w:line="240" w:lineRule="auto" w:before="2"/>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3</w:t>
      </w:r>
      <w:r>
        <w:rPr/>
        <w:t>）该义务的金额能够可靠地计量。</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3"/>
        </w:rPr>
        <w:t>预计负债按照履行相关现时义务所需支出的最佳估计数进行初始计量，并综合考虑与或有事项有关的风</w:t>
      </w:r>
      <w:r>
        <w:rPr>
          <w:spacing w:val="-82"/>
        </w:rPr>
        <w:t> </w:t>
      </w:r>
      <w:r>
        <w:rPr>
          <w:spacing w:val="-82"/>
        </w:rPr>
      </w:r>
      <w:r>
        <w:rPr>
          <w:spacing w:val="-1"/>
        </w:rPr>
        <w:t>险、不确定性和货币时间价值等因素。货币时间价值影响重大的，通过对相关未来现金流出进行折现后确</w:t>
      </w:r>
      <w:r>
        <w:rPr>
          <w:spacing w:val="-83"/>
        </w:rPr>
        <w:t> </w:t>
      </w:r>
      <w:r>
        <w:rPr>
          <w:spacing w:val="-83"/>
        </w:rPr>
      </w:r>
      <w:r>
        <w:rPr>
          <w:spacing w:val="-1"/>
        </w:rPr>
        <w:t>定最佳估计数。本集团于资产负债表日对预计负债的账面价值进行复核，并对账面价值进行调整以反映当</w:t>
      </w:r>
      <w:r>
        <w:rPr>
          <w:spacing w:val="-81"/>
        </w:rPr>
        <w:t> </w:t>
      </w:r>
      <w:r>
        <w:rPr>
          <w:spacing w:val="-81"/>
        </w:rPr>
      </w:r>
      <w:r>
        <w:rPr/>
        <w:t>前最佳估计数。</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如果清偿已确认预计负债所需支出全部或部分预期由第三方或其他方补偿，则补偿金额只能在基本确定能</w:t>
      </w:r>
      <w:r>
        <w:rPr>
          <w:spacing w:val="-81"/>
        </w:rPr>
        <w:t> </w:t>
      </w:r>
      <w:r>
        <w:rPr>
          <w:spacing w:val="-81"/>
        </w:rPr>
      </w:r>
      <w:r>
        <w:rPr/>
        <w:t>收到时，作为资产单独确认。确认的补偿金额不超过所确认负债的账面价值。</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4、收入" w:id="196"/>
      <w:bookmarkEnd w:id="196"/>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134" w:right="0"/>
        <w:jc w:val="both"/>
      </w:pPr>
      <w:r>
        <w:rPr/>
        <w:t>（</w:t>
      </w:r>
      <w:r>
        <w:rPr>
          <w:rFonts w:ascii="Times New Roman" w:hAnsi="Times New Roman" w:cs="Times New Roman" w:eastAsia="Times New Roman" w:hint="default"/>
        </w:rPr>
        <w:t>1</w:t>
      </w:r>
      <w:r>
        <w:rPr/>
        <w:t>）一般原则</w:t>
      </w:r>
    </w:p>
    <w:p>
      <w:pPr>
        <w:spacing w:line="240" w:lineRule="auto" w:before="2"/>
        <w:rPr>
          <w:rFonts w:ascii="宋体" w:hAnsi="宋体" w:cs="宋体" w:eastAsia="宋体" w:hint="default"/>
          <w:sz w:val="18"/>
          <w:szCs w:val="18"/>
        </w:rPr>
      </w:pPr>
    </w:p>
    <w:p>
      <w:pPr>
        <w:pStyle w:val="BodyText"/>
        <w:spacing w:line="240" w:lineRule="auto"/>
        <w:ind w:left="1134" w:right="0"/>
        <w:jc w:val="both"/>
      </w:pPr>
      <w:r>
        <w:rPr/>
        <w:t>①销售商品</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在已将商品所有权上的主要风险和报酬转移给购货方，既没有保留通常与所有权相联系的继续管理权，也</w:t>
      </w:r>
      <w:r>
        <w:rPr>
          <w:spacing w:val="-81"/>
        </w:rPr>
        <w:t> </w:t>
      </w:r>
      <w:r>
        <w:rPr>
          <w:spacing w:val="-81"/>
        </w:rPr>
      </w:r>
      <w:r>
        <w:rPr>
          <w:spacing w:val="-1"/>
        </w:rPr>
        <w:t>没有对已售商品实施有效控制，收入的金额能够可靠地计量，相关的经济利益很可能流入企业，相关的已</w:t>
      </w:r>
      <w:r>
        <w:rPr>
          <w:spacing w:val="-83"/>
        </w:rPr>
        <w:t> </w:t>
      </w:r>
      <w:r>
        <w:rPr>
          <w:spacing w:val="-83"/>
        </w:rPr>
      </w:r>
      <w:r>
        <w:rPr/>
        <w:t>发生或将发生的成本能够可靠地计量时，确认商品销售收入的实现。</w:t>
      </w:r>
    </w:p>
    <w:p>
      <w:pPr>
        <w:spacing w:line="240" w:lineRule="auto" w:before="1"/>
        <w:rPr>
          <w:rFonts w:ascii="宋体" w:hAnsi="宋体" w:cs="宋体" w:eastAsia="宋体" w:hint="default"/>
          <w:sz w:val="17"/>
          <w:szCs w:val="17"/>
        </w:rPr>
      </w:pPr>
    </w:p>
    <w:p>
      <w:pPr>
        <w:pStyle w:val="BodyText"/>
        <w:spacing w:line="460" w:lineRule="auto"/>
        <w:ind w:right="1116"/>
        <w:jc w:val="left"/>
      </w:pPr>
      <w:r>
        <w:rPr/>
        <w:t>②提供劳务 对在提供劳务交易的结果能够可靠估计的情况下，本集团于资产负债表日按完工百分比法确认收入。 劳务交易的完工进度按已经提供的劳务占应提供劳务总量的比例确定。</w:t>
      </w:r>
    </w:p>
    <w:p>
      <w:pPr>
        <w:pStyle w:val="BodyText"/>
        <w:spacing w:line="256" w:lineRule="auto" w:before="60"/>
        <w:ind w:right="1011"/>
        <w:jc w:val="left"/>
      </w:pPr>
      <w:r>
        <w:rPr>
          <w:spacing w:val="-3"/>
        </w:rPr>
        <w:t>提供劳务交易的结果能够可靠估计是指同时满足：</w:t>
      </w:r>
      <w:r>
        <w:rPr>
          <w:rFonts w:ascii="Times New Roman" w:hAnsi="Times New Roman" w:cs="Times New Roman" w:eastAsia="Times New Roman" w:hint="default"/>
          <w:spacing w:val="-3"/>
        </w:rPr>
        <w:t>A</w:t>
      </w:r>
      <w:r>
        <w:rPr>
          <w:spacing w:val="-3"/>
        </w:rPr>
        <w:t>、收入的金额能够可靠地计量；</w:t>
      </w:r>
      <w:r>
        <w:rPr>
          <w:rFonts w:ascii="Times New Roman" w:hAnsi="Times New Roman" w:cs="Times New Roman" w:eastAsia="Times New Roman" w:hint="default"/>
          <w:spacing w:val="-3"/>
        </w:rPr>
        <w:t>B</w:t>
      </w:r>
      <w:r>
        <w:rPr>
          <w:spacing w:val="-3"/>
        </w:rPr>
        <w:t>、相关的经济利益很</w:t>
      </w:r>
      <w:r>
        <w:rPr>
          <w:spacing w:val="-70"/>
        </w:rPr>
        <w:t> </w:t>
      </w:r>
      <w:r>
        <w:rPr>
          <w:spacing w:val="-70"/>
        </w:rPr>
      </w:r>
      <w:r>
        <w:rPr/>
        <w:t>可能流入企业；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spacing w:line="240" w:lineRule="auto" w:before="12"/>
        <w:rPr>
          <w:rFonts w:ascii="宋体" w:hAnsi="宋体" w:cs="宋体" w:eastAsia="宋体" w:hint="default"/>
          <w:sz w:val="16"/>
          <w:szCs w:val="16"/>
        </w:rPr>
      </w:pPr>
    </w:p>
    <w:p>
      <w:pPr>
        <w:pStyle w:val="BodyText"/>
        <w:spacing w:line="273" w:lineRule="auto"/>
        <w:ind w:right="1131"/>
        <w:jc w:val="both"/>
      </w:pPr>
      <w:r>
        <w:rPr>
          <w:spacing w:val="-1"/>
        </w:rPr>
        <w:t>如果提供劳务交易的结果不能够可靠估计，则按已经发生并预计能够得到补偿的劳务成本金额确认提供的</w:t>
      </w:r>
      <w:r>
        <w:rPr>
          <w:spacing w:val="-81"/>
        </w:rPr>
        <w:t> </w:t>
      </w:r>
      <w:r>
        <w:rPr>
          <w:spacing w:val="-81"/>
        </w:rPr>
      </w:r>
      <w:r>
        <w:rPr>
          <w:spacing w:val="-1"/>
        </w:rPr>
        <w:t>劳务收入，并将已发生的劳务成本作为当期费用。已经发生的劳务成本如预计不能得到补偿的，则不确认</w:t>
      </w:r>
      <w:r>
        <w:rPr>
          <w:spacing w:val="-83"/>
        </w:rPr>
        <w:t> </w:t>
      </w:r>
      <w:r>
        <w:rPr>
          <w:spacing w:val="-83"/>
        </w:rPr>
      </w:r>
      <w:r>
        <w:rPr/>
        <w:t>收入。</w:t>
      </w:r>
    </w:p>
    <w:p>
      <w:pPr>
        <w:spacing w:line="240" w:lineRule="auto" w:before="1"/>
        <w:rPr>
          <w:rFonts w:ascii="宋体" w:hAnsi="宋体" w:cs="宋体" w:eastAsia="宋体" w:hint="default"/>
          <w:sz w:val="17"/>
          <w:szCs w:val="17"/>
        </w:rPr>
      </w:pPr>
    </w:p>
    <w:p>
      <w:pPr>
        <w:pStyle w:val="BodyText"/>
        <w:spacing w:line="460" w:lineRule="auto"/>
        <w:ind w:right="1933"/>
        <w:jc w:val="left"/>
      </w:pPr>
      <w:r>
        <w:rPr/>
        <w:t>③让渡资产使用权 与资产使用权让渡相关的经济利益能够流入及收入的金额能够可靠地计量时，本集团确认收入。</w:t>
      </w:r>
    </w:p>
    <w:p>
      <w:pPr>
        <w:pStyle w:val="BodyText"/>
        <w:spacing w:line="436" w:lineRule="auto" w:before="60"/>
        <w:ind w:left="1134" w:right="3402"/>
        <w:jc w:val="left"/>
      </w:pPr>
      <w:r>
        <w:rPr/>
        <w:t>（</w:t>
      </w:r>
      <w:r>
        <w:rPr>
          <w:rFonts w:ascii="Times New Roman" w:hAnsi="Times New Roman" w:cs="Times New Roman" w:eastAsia="Times New Roman" w:hint="default"/>
        </w:rPr>
        <w:t>2</w:t>
      </w:r>
      <w:r>
        <w:rPr/>
        <w:t>）收入确认的具体方法 本公司销售模式包括直销和经销，直销和经销模式下本公司收入确认的情况如下</w:t>
      </w:r>
    </w:p>
    <w:p>
      <w:pPr>
        <w:pStyle w:val="BodyText"/>
        <w:spacing w:line="240" w:lineRule="auto" w:before="81"/>
        <w:ind w:right="0"/>
        <w:jc w:val="both"/>
      </w:pPr>
      <w:r>
        <w:rPr/>
        <w:t>①本公司直销模式下收入的确认政策</w:t>
      </w:r>
    </w:p>
    <w:p>
      <w:pPr>
        <w:spacing w:line="240" w:lineRule="auto" w:before="5"/>
        <w:rPr>
          <w:rFonts w:ascii="宋体" w:hAnsi="宋体" w:cs="宋体" w:eastAsia="宋体" w:hint="default"/>
          <w:sz w:val="19"/>
          <w:szCs w:val="19"/>
        </w:rPr>
      </w:pPr>
    </w:p>
    <w:p>
      <w:pPr>
        <w:pStyle w:val="BodyText"/>
        <w:spacing w:line="240" w:lineRule="auto"/>
        <w:ind w:right="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0"/>
        </w:rPr>
        <w:t> </w:t>
      </w:r>
      <w:r>
        <w:rPr/>
        <w:t>销售商品收入确认的具体原则</w:t>
      </w:r>
    </w:p>
    <w:p>
      <w:pPr>
        <w:spacing w:line="240" w:lineRule="auto" w:before="2"/>
        <w:rPr>
          <w:rFonts w:ascii="宋体" w:hAnsi="宋体" w:cs="宋体" w:eastAsia="宋体" w:hint="default"/>
          <w:sz w:val="18"/>
          <w:szCs w:val="18"/>
        </w:rPr>
      </w:pPr>
    </w:p>
    <w:p>
      <w:pPr>
        <w:pStyle w:val="BodyText"/>
        <w:spacing w:line="256" w:lineRule="auto"/>
        <w:ind w:left="1134" w:right="0" w:firstLine="420"/>
        <w:jc w:val="left"/>
      </w:pPr>
      <w:r>
        <w:rPr>
          <w:rFonts w:ascii="Times New Roman" w:hAnsi="Times New Roman" w:cs="Times New Roman" w:eastAsia="Times New Roman" w:hint="default"/>
          <w:spacing w:val="-5"/>
          <w:w w:val="99"/>
        </w:rPr>
        <w:t>-</w:t>
      </w:r>
      <w:r>
        <w:rPr>
          <w:spacing w:val="-5"/>
          <w:w w:val="99"/>
        </w:rPr>
        <w:t>对于需要承担安装调试义务的产品，本公司通过第三方物流公司将产品发出后，于产品安装调试完毕，</w:t>
      </w:r>
      <w:r>
        <w:rPr>
          <w:w w:val="99"/>
        </w:rPr>
        <w:t> </w:t>
      </w:r>
      <w:r>
        <w:rPr/>
        <w:t>经客户验收合格并取得客户盖章确认的《验收单》后确认营业收入。</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64" w:lineRule="auto" w:before="35"/>
        <w:ind w:right="1131" w:firstLine="420"/>
        <w:jc w:val="both"/>
      </w:pPr>
      <w:r>
        <w:rPr>
          <w:rFonts w:ascii="Times New Roman" w:hAnsi="Times New Roman" w:cs="Times New Roman" w:eastAsia="Times New Roman" w:hint="default"/>
          <w:spacing w:val="-3"/>
        </w:rPr>
        <w:t>-</w:t>
      </w:r>
      <w:r>
        <w:rPr>
          <w:spacing w:val="-3"/>
        </w:rPr>
        <w:t>对于不需要承担安装调试义务的产品，本公司的合同义务仅限于向客户提供符合要求的产品。本公司</w:t>
      </w:r>
      <w:r>
        <w:rPr>
          <w:w w:val="99"/>
        </w:rPr>
        <w:t> </w:t>
      </w:r>
      <w:r>
        <w:rPr>
          <w:spacing w:val="-1"/>
        </w:rPr>
        <w:t>通过第三方物流公司将产品交付客户后，与产品所有权相关的主要风险和报酬也同时转移。对此类产品的</w:t>
      </w:r>
      <w:r>
        <w:rPr>
          <w:spacing w:val="-82"/>
        </w:rPr>
        <w:t> </w:t>
      </w:r>
      <w:r>
        <w:rPr>
          <w:spacing w:val="-82"/>
        </w:rPr>
      </w:r>
      <w:r>
        <w:rPr/>
        <w:t>销售，本公司于产品交付并取得客户签收确认的《签收单》后确认营业收入。</w:t>
      </w:r>
    </w:p>
    <w:p>
      <w:pPr>
        <w:spacing w:line="240" w:lineRule="auto" w:before="10"/>
        <w:rPr>
          <w:rFonts w:ascii="宋体" w:hAnsi="宋体" w:cs="宋体" w:eastAsia="宋体" w:hint="default"/>
          <w:sz w:val="17"/>
          <w:szCs w:val="17"/>
        </w:rPr>
      </w:pPr>
    </w:p>
    <w:p>
      <w:pPr>
        <w:pStyle w:val="BodyText"/>
        <w:spacing w:line="436" w:lineRule="auto"/>
        <w:ind w:right="19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提供劳务收入确认具体原则 提供劳务收入包括向客户提供的技术开发、产品维护、委托测试服务以及技术培训服务收入等。</w:t>
      </w:r>
    </w:p>
    <w:p>
      <w:pPr>
        <w:pStyle w:val="BodyText"/>
        <w:spacing w:line="256" w:lineRule="auto" w:before="81"/>
        <w:ind w:right="1131" w:firstLine="420"/>
        <w:jc w:val="both"/>
      </w:pPr>
      <w:r>
        <w:rPr>
          <w:rFonts w:ascii="Times New Roman" w:hAnsi="Times New Roman" w:cs="Times New Roman" w:eastAsia="Times New Roman" w:hint="default"/>
          <w:spacing w:val="-3"/>
        </w:rPr>
        <w:t>-</w:t>
      </w:r>
      <w:r>
        <w:rPr>
          <w:spacing w:val="-3"/>
        </w:rPr>
        <w:t>对于技术开发和委托测试服务，合同明确约定服务成果需经客户验收确认的，在本公司提交相应服务</w:t>
      </w:r>
      <w:r>
        <w:rPr>
          <w:w w:val="99"/>
        </w:rPr>
        <w:t> </w:t>
      </w:r>
      <w:r>
        <w:rPr/>
        <w:t>成果，通过客户验收并取得客户盖章确认的《验收单》后确认收入。</w:t>
      </w:r>
    </w:p>
    <w:p>
      <w:pPr>
        <w:spacing w:line="240" w:lineRule="auto" w:before="3"/>
        <w:rPr>
          <w:rFonts w:ascii="宋体" w:hAnsi="宋体" w:cs="宋体" w:eastAsia="宋体" w:hint="default"/>
          <w:sz w:val="18"/>
          <w:szCs w:val="18"/>
        </w:rPr>
      </w:pPr>
    </w:p>
    <w:p>
      <w:pPr>
        <w:pStyle w:val="BodyText"/>
        <w:spacing w:line="264" w:lineRule="auto"/>
        <w:ind w:right="1133" w:firstLine="420"/>
        <w:jc w:val="both"/>
      </w:pPr>
      <w:r>
        <w:rPr>
          <w:rFonts w:ascii="Times New Roman" w:hAnsi="Times New Roman" w:cs="Times New Roman" w:eastAsia="Times New Roman" w:hint="default"/>
          <w:spacing w:val="-3"/>
        </w:rPr>
        <w:t>-</w:t>
      </w:r>
      <w:r>
        <w:rPr>
          <w:spacing w:val="-3"/>
        </w:rPr>
        <w:t>对于产品维护及技术培训服务，合同明确约定服务期限的，在合同约定的服务期限内，在本公司提供</w:t>
      </w:r>
      <w:r>
        <w:rPr>
          <w:w w:val="99"/>
        </w:rPr>
        <w:t> </w:t>
      </w:r>
      <w:r>
        <w:rPr>
          <w:spacing w:val="-1"/>
        </w:rPr>
        <w:t>了相应服务，取得明确的收款证据，相关成本能够可靠地计量时，确认收入。如果收入跨期，按完工百分</w:t>
      </w:r>
      <w:r>
        <w:rPr>
          <w:spacing w:val="-84"/>
        </w:rPr>
        <w:t> </w:t>
      </w:r>
      <w:r>
        <w:rPr>
          <w:spacing w:val="-84"/>
        </w:rPr>
      </w:r>
      <w:r>
        <w:rPr/>
        <w:t>比法确认收入，完工进度按已经提供的劳务占应提供劳务总量的比例确定。</w:t>
      </w:r>
    </w:p>
    <w:p>
      <w:pPr>
        <w:spacing w:line="240" w:lineRule="auto" w:before="10"/>
        <w:rPr>
          <w:rFonts w:ascii="宋体" w:hAnsi="宋体" w:cs="宋体" w:eastAsia="宋体" w:hint="default"/>
          <w:sz w:val="17"/>
          <w:szCs w:val="17"/>
        </w:rPr>
      </w:pPr>
    </w:p>
    <w:p>
      <w:pPr>
        <w:pStyle w:val="BodyText"/>
        <w:spacing w:line="240" w:lineRule="auto"/>
        <w:ind w:right="0"/>
        <w:jc w:val="left"/>
      </w:pPr>
      <w:r>
        <w:rPr/>
        <w:t>②经销模式收入确认政策</w:t>
      </w:r>
    </w:p>
    <w:p>
      <w:pPr>
        <w:spacing w:line="240" w:lineRule="auto" w:before="5"/>
        <w:rPr>
          <w:rFonts w:ascii="宋体" w:hAnsi="宋体" w:cs="宋体" w:eastAsia="宋体" w:hint="default"/>
          <w:sz w:val="19"/>
          <w:szCs w:val="19"/>
        </w:rPr>
      </w:pPr>
    </w:p>
    <w:p>
      <w:pPr>
        <w:pStyle w:val="BodyText"/>
        <w:spacing w:line="273" w:lineRule="auto"/>
        <w:ind w:right="0"/>
        <w:jc w:val="left"/>
      </w:pPr>
      <w:r>
        <w:rPr>
          <w:spacing w:val="-1"/>
        </w:rPr>
        <w:t>根据本公司与经销商签订的销售合同中约定，本公司产品在交付经销商或经其验收合格后，产品的所有权</w:t>
      </w:r>
      <w:r>
        <w:rPr>
          <w:spacing w:val="-81"/>
        </w:rPr>
        <w:t> </w:t>
      </w:r>
      <w:r>
        <w:rPr>
          <w:spacing w:val="-81"/>
        </w:rPr>
      </w:r>
      <w:r>
        <w:rPr/>
        <w:t>相关的风险和报酬已经转移。</w:t>
      </w:r>
    </w:p>
    <w:p>
      <w:pPr>
        <w:spacing w:line="240" w:lineRule="auto" w:before="1"/>
        <w:rPr>
          <w:rFonts w:ascii="宋体" w:hAnsi="宋体" w:cs="宋体" w:eastAsia="宋体" w:hint="default"/>
          <w:sz w:val="17"/>
          <w:szCs w:val="17"/>
        </w:rPr>
      </w:pPr>
    </w:p>
    <w:p>
      <w:pPr>
        <w:pStyle w:val="BodyText"/>
        <w:spacing w:line="273" w:lineRule="auto"/>
        <w:ind w:right="1118"/>
        <w:jc w:val="left"/>
      </w:pPr>
      <w:r>
        <w:rPr>
          <w:spacing w:val="-5"/>
        </w:rPr>
        <w:t>经销模式下，本公司根据合同约定条款，在通过第三方物流公司将商品交付经销商并取得经销商确认的《签</w:t>
      </w:r>
      <w:r>
        <w:rPr>
          <w:spacing w:val="-101"/>
        </w:rPr>
        <w:t> </w:t>
      </w:r>
      <w:r>
        <w:rPr>
          <w:spacing w:val="-101"/>
        </w:rPr>
      </w:r>
      <w:r>
        <w:rPr/>
        <w:t>收单》或需经验收合格情况下取得经销商确认的《验收单》后，确认收入。</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5、政府补助" w:id="197"/>
      <w:bookmarkEnd w:id="197"/>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与资产相关的政府补助判断依据及会计处理方法" w:id="198"/>
      <w:bookmarkEnd w:id="19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与资产相关的政府补助，是指本集团取得的、用于购建或以其他方式形成长期资产的政府补助。 </w:t>
      </w:r>
      <w:r>
        <w:rPr>
          <w:spacing w:val="-1"/>
        </w:rPr>
        <w:t>对于政府文件未明确规定补助对象的，能够形成长期资产的，与资产价值相对应的政府补助部分作为与资</w:t>
      </w:r>
      <w:r>
        <w:rPr>
          <w:spacing w:val="-81"/>
        </w:rPr>
        <w:t> </w:t>
      </w:r>
      <w:r>
        <w:rPr>
          <w:spacing w:val="-81"/>
        </w:rPr>
      </w:r>
      <w:r>
        <w:rPr>
          <w:spacing w:val="-1"/>
        </w:rPr>
        <w:t>产相关的政府补助，其余部分作为与收益相关的政府补助；难以区分的，将政府补助整体作为与收益相关</w:t>
      </w:r>
      <w:r>
        <w:rPr>
          <w:spacing w:val="-83"/>
        </w:rPr>
        <w:t> </w:t>
      </w:r>
      <w:r>
        <w:rPr>
          <w:spacing w:val="-83"/>
        </w:rPr>
      </w:r>
      <w:r>
        <w:rPr/>
        <w:t>的政府补助。</w:t>
      </w:r>
    </w:p>
    <w:p>
      <w:pPr>
        <w:spacing w:line="240" w:lineRule="auto" w:before="1"/>
        <w:rPr>
          <w:rFonts w:ascii="宋体" w:hAnsi="宋体" w:cs="宋体" w:eastAsia="宋体" w:hint="default"/>
          <w:sz w:val="17"/>
          <w:szCs w:val="17"/>
        </w:rPr>
      </w:pPr>
    </w:p>
    <w:p>
      <w:pPr>
        <w:pStyle w:val="BodyText"/>
        <w:spacing w:line="460" w:lineRule="auto"/>
        <w:ind w:right="0"/>
        <w:jc w:val="left"/>
      </w:pPr>
      <w:r>
        <w:rPr/>
        <w:t>与资产相关的政府补助，确认为递延收益，并在相关资产使用期限内平均分配，计入当期损益。 政府补助在满足政府补助所附条件并能够收到时确认。</w:t>
      </w:r>
    </w:p>
    <w:p>
      <w:pPr>
        <w:pStyle w:val="BodyText"/>
        <w:spacing w:line="266" w:lineRule="auto" w:before="60"/>
        <w:ind w:left="1134" w:right="1128"/>
        <w:jc w:val="both"/>
      </w:pPr>
      <w:r>
        <w:rPr>
          <w:spacing w:val="-1"/>
        </w:rPr>
        <w:t>对于货币性资产的政府补助，按照收到或应收的金额计量。其中，对期末有确凿证据表明能够符合财政扶</w:t>
      </w:r>
      <w:r>
        <w:rPr>
          <w:spacing w:val="-83"/>
        </w:rPr>
        <w:t> </w:t>
      </w:r>
      <w:r>
        <w:rPr>
          <w:spacing w:val="-83"/>
        </w:rPr>
      </w:r>
      <w:r>
        <w:rPr>
          <w:spacing w:val="-1"/>
        </w:rPr>
        <w:t>持政策规定的相关条件且预计能够收到财政扶持资金时，按应收金额计量；否则，按照实际收到的金额计</w:t>
      </w:r>
      <w:r>
        <w:rPr>
          <w:spacing w:val="-83"/>
        </w:rPr>
        <w:t> </w:t>
      </w:r>
      <w:r>
        <w:rPr>
          <w:spacing w:val="-83"/>
        </w:rPr>
      </w:r>
      <w:r>
        <w:rPr/>
        <w:t>量。对于非货币性资产的政府补助，按照公允价值计量；公允价值不能够可靠取得的，按照名义金额</w:t>
      </w:r>
      <w:r>
        <w:rPr>
          <w:rFonts w:ascii="Times New Roman" w:hAnsi="Times New Roman" w:cs="Times New Roman" w:eastAsia="Times New Roman" w:hint="default"/>
        </w:rPr>
        <w:t>1</w:t>
      </w:r>
      <w:r>
        <w:rPr/>
        <w:t>元</w:t>
      </w:r>
      <w:r>
        <w:rPr>
          <w:spacing w:val="-24"/>
        </w:rPr>
        <w:t> </w:t>
      </w:r>
      <w:r>
        <w:rPr/>
        <w:t>计量。</w:t>
      </w:r>
    </w:p>
    <w:p>
      <w:pPr>
        <w:spacing w:line="240" w:lineRule="auto" w:before="1"/>
        <w:rPr>
          <w:rFonts w:ascii="宋体" w:hAnsi="宋体" w:cs="宋体" w:eastAsia="宋体" w:hint="default"/>
          <w:sz w:val="24"/>
          <w:szCs w:val="24"/>
        </w:rPr>
      </w:pPr>
    </w:p>
    <w:p>
      <w:pPr>
        <w:pStyle w:val="Heading4"/>
        <w:spacing w:line="240" w:lineRule="auto"/>
        <w:ind w:left="1134" w:right="0"/>
        <w:jc w:val="left"/>
        <w:rPr>
          <w:b w:val="0"/>
          <w:bCs w:val="0"/>
        </w:rPr>
      </w:pPr>
      <w:bookmarkStart w:name="（2）与收益相关的政府补助判断依据及会计处理方法" w:id="199"/>
      <w:bookmarkEnd w:id="19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spacing w:val="-1"/>
        </w:rPr>
        <w:t>本集团将从政府取得的各种奖励、定额补贴、财政贴息、拨付的研发经费（不包括购建固定资产）等与资</w:t>
      </w:r>
      <w:r>
        <w:rPr>
          <w:spacing w:val="-83"/>
        </w:rPr>
        <w:t> </w:t>
      </w:r>
      <w:r>
        <w:rPr>
          <w:spacing w:val="-83"/>
        </w:rPr>
      </w:r>
      <w:r>
        <w:rPr/>
        <w:t>产相关的政府补助之外的政府补助，确认为与收益相关的政府补助。</w:t>
      </w:r>
    </w:p>
    <w:p>
      <w:pPr>
        <w:spacing w:line="240" w:lineRule="auto" w:before="1"/>
        <w:rPr>
          <w:rFonts w:ascii="宋体" w:hAnsi="宋体" w:cs="宋体" w:eastAsia="宋体" w:hint="default"/>
          <w:sz w:val="17"/>
          <w:szCs w:val="17"/>
        </w:rPr>
      </w:pPr>
    </w:p>
    <w:p>
      <w:pPr>
        <w:pStyle w:val="BodyText"/>
        <w:spacing w:line="273" w:lineRule="auto"/>
        <w:ind w:right="1093"/>
        <w:jc w:val="left"/>
      </w:pPr>
      <w:r>
        <w:rPr>
          <w:spacing w:val="-1"/>
        </w:rPr>
        <w:t>与收益相关的政府补助，如果用于补偿已发生的相关费用或损失，则计入当期损益；如果用于补偿以后期</w:t>
      </w:r>
      <w:r>
        <w:rPr>
          <w:spacing w:val="-83"/>
        </w:rPr>
        <w:t> </w:t>
      </w:r>
      <w:r>
        <w:rPr>
          <w:spacing w:val="-83"/>
        </w:rPr>
      </w:r>
      <w:r>
        <w:rPr/>
        <w:t>间的相关费用或损失，则计入递延收益，于费用确认期间计入当期损益。按照名义金额计量的政府补助，</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直接计入当期损益。</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已确认的政府补助需要返还时，存在相关递延收益余额的，冲减相关递延收益账面余额，超出部分计入当</w:t>
      </w:r>
      <w:r>
        <w:rPr>
          <w:spacing w:val="-83"/>
        </w:rPr>
        <w:t> </w:t>
      </w:r>
      <w:r>
        <w:rPr>
          <w:spacing w:val="-83"/>
        </w:rPr>
      </w:r>
      <w:r>
        <w:rPr/>
        <w:t>期损益；不存在相关递延收益的，直接计入当期损益。</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6、递延所得税资产/递延所得税负债" w:id="200"/>
      <w:bookmarkEnd w:id="200"/>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09"/>
        <w:jc w:val="both"/>
      </w:pPr>
      <w:r>
        <w:rPr>
          <w:spacing w:val="-1"/>
        </w:rPr>
        <w:t>本集团根据资产、负债于资产负债表日的账面价值与计税基础之间的暂时性差异，采用资产负债表债务法</w:t>
      </w:r>
      <w:r>
        <w:rPr>
          <w:spacing w:val="-81"/>
        </w:rPr>
        <w:t> </w:t>
      </w:r>
      <w:r>
        <w:rPr>
          <w:spacing w:val="-81"/>
        </w:rPr>
      </w:r>
      <w:r>
        <w:rPr/>
        <w:t>确认递延所得税。</w:t>
      </w:r>
    </w:p>
    <w:p>
      <w:pPr>
        <w:spacing w:line="240" w:lineRule="auto" w:before="1"/>
        <w:rPr>
          <w:rFonts w:ascii="宋体" w:hAnsi="宋体" w:cs="宋体" w:eastAsia="宋体" w:hint="default"/>
          <w:sz w:val="17"/>
          <w:szCs w:val="17"/>
        </w:rPr>
      </w:pPr>
    </w:p>
    <w:p>
      <w:pPr>
        <w:pStyle w:val="BodyText"/>
        <w:spacing w:line="240" w:lineRule="auto"/>
        <w:ind w:right="0"/>
        <w:jc w:val="both"/>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19"/>
          <w:szCs w:val="19"/>
        </w:rPr>
      </w:pPr>
    </w:p>
    <w:p>
      <w:pPr>
        <w:pStyle w:val="BodyText"/>
        <w:spacing w:line="256" w:lineRule="auto"/>
        <w:ind w:left="1134" w:right="0"/>
        <w:jc w:val="left"/>
      </w:pPr>
      <w:r>
        <w:rPr>
          <w:spacing w:val="-1"/>
        </w:rPr>
        <w:t>（</w:t>
      </w:r>
      <w:r>
        <w:rPr>
          <w:rFonts w:ascii="Times New Roman" w:hAnsi="Times New Roman" w:cs="Times New Roman" w:eastAsia="Times New Roman" w:hint="default"/>
          <w:spacing w:val="-1"/>
        </w:rPr>
        <w:t>1</w:t>
      </w:r>
      <w:r>
        <w:rPr>
          <w:spacing w:val="-1"/>
        </w:rPr>
        <w:t>）商誉的初始确认，或者具有以下特征的交易中产生的资产或负债的初始确认：该交易不是企业合并，</w:t>
      </w:r>
      <w:r>
        <w:rPr>
          <w:spacing w:val="-84"/>
        </w:rPr>
        <w:t> </w:t>
      </w:r>
      <w:r>
        <w:rPr>
          <w:spacing w:val="-84"/>
        </w:rPr>
      </w:r>
      <w:r>
        <w:rPr/>
        <w:t>并且交易发生时既不影响会计利润也不影响应纳税所得额；</w:t>
      </w:r>
    </w:p>
    <w:p>
      <w:pPr>
        <w:spacing w:line="240" w:lineRule="auto" w:before="3"/>
        <w:rPr>
          <w:rFonts w:ascii="宋体" w:hAnsi="宋体" w:cs="宋体" w:eastAsia="宋体" w:hint="default"/>
          <w:sz w:val="18"/>
          <w:szCs w:val="18"/>
        </w:rPr>
      </w:pPr>
    </w:p>
    <w:p>
      <w:pPr>
        <w:pStyle w:val="BodyText"/>
        <w:spacing w:line="256" w:lineRule="auto"/>
        <w:ind w:right="1131"/>
        <w:jc w:val="both"/>
      </w:pPr>
      <w:r>
        <w:rPr/>
        <w:t>（</w:t>
      </w:r>
      <w:r>
        <w:rPr>
          <w:rFonts w:ascii="Times New Roman" w:hAnsi="Times New Roman" w:cs="Times New Roman" w:eastAsia="Times New Roman" w:hint="default"/>
        </w:rPr>
        <w:t>2</w:t>
      </w:r>
      <w:r>
        <w:rPr/>
        <w:t>）对于与子公司投资相关的应纳税暂时性差异，该暂时性差异转回的时间能够控制并且该暂时性差异</w:t>
      </w:r>
      <w:r>
        <w:rPr>
          <w:spacing w:val="-35"/>
        </w:rPr>
        <w:t> </w:t>
      </w:r>
      <w:r>
        <w:rPr>
          <w:spacing w:val="-35"/>
        </w:rPr>
      </w:r>
      <w:r>
        <w:rPr/>
        <w:t>在可预见的未来很可能不会转回。</w:t>
      </w:r>
    </w:p>
    <w:p>
      <w:pPr>
        <w:spacing w:line="240" w:lineRule="auto" w:before="3"/>
        <w:rPr>
          <w:rFonts w:ascii="宋体" w:hAnsi="宋体" w:cs="宋体" w:eastAsia="宋体" w:hint="default"/>
          <w:sz w:val="18"/>
          <w:szCs w:val="18"/>
        </w:rPr>
      </w:pPr>
    </w:p>
    <w:p>
      <w:pPr>
        <w:pStyle w:val="BodyText"/>
        <w:spacing w:line="273" w:lineRule="auto"/>
        <w:ind w:right="1131"/>
        <w:jc w:val="both"/>
      </w:pPr>
      <w:r>
        <w:rPr>
          <w:spacing w:val="-1"/>
        </w:rPr>
        <w:t>对于可抵扣暂时性差异、能够结转以后年度的可抵扣亏损和税款抵减，本集团以很可能取得用来抵扣可抵</w:t>
      </w:r>
      <w:r>
        <w:rPr>
          <w:spacing w:val="-81"/>
        </w:rPr>
        <w:t> </w:t>
      </w:r>
      <w:r>
        <w:rPr>
          <w:spacing w:val="-81"/>
        </w:rPr>
      </w:r>
      <w:r>
        <w:rPr>
          <w:spacing w:val="-1"/>
        </w:rPr>
        <w:t>扣暂时性差异、可抵扣亏损和税款抵减的未来应纳税所得额为限，确认由此产生的递延所得税资产，除非</w:t>
      </w:r>
      <w:r>
        <w:rPr>
          <w:spacing w:val="-83"/>
        </w:rPr>
        <w:t> </w:t>
      </w:r>
      <w:r>
        <w:rPr>
          <w:spacing w:val="-83"/>
        </w:rPr>
      </w:r>
      <w:r>
        <w:rPr/>
        <w:t>该可抵扣暂时性差异是在以下交易中产生的：</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2"/>
        <w:rPr>
          <w:rFonts w:ascii="宋体" w:hAnsi="宋体" w:cs="宋体" w:eastAsia="宋体" w:hint="default"/>
          <w:sz w:val="18"/>
          <w:szCs w:val="18"/>
        </w:rPr>
      </w:pPr>
    </w:p>
    <w:p>
      <w:pPr>
        <w:pStyle w:val="BodyText"/>
        <w:spacing w:line="256" w:lineRule="auto"/>
        <w:ind w:left="1134" w:right="1110"/>
        <w:jc w:val="both"/>
      </w:pPr>
      <w:r>
        <w:rPr/>
        <w:t>（</w:t>
      </w:r>
      <w:r>
        <w:rPr>
          <w:rFonts w:ascii="Times New Roman" w:hAnsi="Times New Roman" w:cs="Times New Roman" w:eastAsia="Times New Roman" w:hint="default"/>
        </w:rPr>
        <w:t>2</w:t>
      </w:r>
      <w:r>
        <w:rPr/>
        <w:t>）对于与子公司投资相关的可抵扣暂时性差异，同时满足下列条件的，确认相应的递延所得税资产：</w:t>
      </w:r>
      <w:r>
        <w:rPr>
          <w:spacing w:val="-35"/>
        </w:rPr>
        <w:t> </w:t>
      </w:r>
      <w:r>
        <w:rPr>
          <w:spacing w:val="-35"/>
        </w:rPr>
      </w:r>
      <w:r>
        <w:rPr/>
        <w:t>暂时性差异在可预见的未来很可能转回，且未来很可能获得用来抵扣可抵扣暂时性差异的应纳税所得额。</w:t>
      </w:r>
    </w:p>
    <w:p>
      <w:pPr>
        <w:spacing w:line="240" w:lineRule="auto" w:before="3"/>
        <w:rPr>
          <w:rFonts w:ascii="宋体" w:hAnsi="宋体" w:cs="宋体" w:eastAsia="宋体" w:hint="default"/>
          <w:sz w:val="18"/>
          <w:szCs w:val="18"/>
        </w:rPr>
      </w:pPr>
    </w:p>
    <w:p>
      <w:pPr>
        <w:pStyle w:val="BodyText"/>
        <w:spacing w:line="273" w:lineRule="auto"/>
        <w:ind w:left="1134" w:right="1131"/>
        <w:jc w:val="both"/>
      </w:pPr>
      <w:r>
        <w:rPr>
          <w:spacing w:val="-1"/>
        </w:rPr>
        <w:t>于资产负债表日，本集团对递延所得税资产和递延所得税负债，按照预期收回该资产或清偿该负债期间的</w:t>
      </w:r>
      <w:r>
        <w:rPr>
          <w:spacing w:val="-81"/>
        </w:rPr>
        <w:t> </w:t>
      </w:r>
      <w:r>
        <w:rPr>
          <w:spacing w:val="-81"/>
        </w:rPr>
      </w:r>
      <w:r>
        <w:rPr/>
        <w:t>适用税率计量，并反映资产负债表日预期收回资产或清偿负债方式的所得税影响。</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于资产负债表日，本集团对递延所得税资产的账面价值进行复核。如果未来期间很可能无法获得足够的应</w:t>
      </w:r>
      <w:r>
        <w:rPr>
          <w:spacing w:val="-81"/>
        </w:rPr>
        <w:t> </w:t>
      </w:r>
      <w:r>
        <w:rPr>
          <w:spacing w:val="-81"/>
        </w:rPr>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税所得额时，减记的金额予以转回。</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27、租赁" w:id="201"/>
      <w:bookmarkEnd w:id="201"/>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32"/>
        <w:jc w:val="both"/>
      </w:pPr>
      <w:r>
        <w:rPr>
          <w:spacing w:val="-1"/>
        </w:rPr>
        <w:t>本集团将实质上转移了与资产所有权有关的全部风险和报酬的租赁确认为融资租赁，除融资租赁之外的其</w:t>
      </w:r>
      <w:r>
        <w:rPr>
          <w:spacing w:val="-81"/>
        </w:rPr>
        <w:t> </w:t>
      </w:r>
      <w:r>
        <w:rPr>
          <w:spacing w:val="-81"/>
        </w:rPr>
      </w:r>
      <w:r>
        <w:rPr/>
        <w:t>他租赁确认为经营租赁。</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Times New Roman" w:hAnsi="Times New Roman" w:cs="Times New Roman" w:eastAsia="Times New Roman" w:hint="default"/>
        </w:rPr>
        <w:t>1</w:t>
      </w:r>
      <w:r>
        <w:rPr/>
        <w:t>）本集团作为出租人</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经营租赁中的租金，本集团在租赁期内各个期间按照直线法确认当期损益。发生的初始直接费用，计入当</w:t>
      </w:r>
      <w:r>
        <w:rPr>
          <w:spacing w:val="-83"/>
        </w:rPr>
        <w:t> </w:t>
      </w:r>
      <w:r>
        <w:rPr>
          <w:spacing w:val="-83"/>
        </w:rPr>
      </w:r>
      <w:r>
        <w:rPr/>
        <w:t>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）本集团作为承租人</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经营租赁中的租金，本集团在租赁期内各个期间按照直线法计入相关资产成本或当期损益；发生的初始直</w:t>
      </w:r>
      <w:r>
        <w:rPr>
          <w:spacing w:val="-81"/>
        </w:rPr>
        <w:t> </w:t>
      </w:r>
      <w:r>
        <w:rPr>
          <w:spacing w:val="-81"/>
        </w:rPr>
      </w:r>
      <w:r>
        <w:rPr/>
        <w:t>接费用，计入当期损益。</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2"/>
        <w:jc w:val="both"/>
      </w:pPr>
      <w:r>
        <w:rPr>
          <w:spacing w:val="-1"/>
        </w:rPr>
        <w:t>本集团将实质上转移了与资产所有权有关的全部风险和报酬的租赁确认为融资租赁，除融资租赁之外的其</w:t>
      </w:r>
      <w:r>
        <w:rPr>
          <w:spacing w:val="-81"/>
        </w:rPr>
        <w:t> </w:t>
      </w:r>
      <w:r>
        <w:rPr>
          <w:spacing w:val="-81"/>
        </w:rPr>
      </w:r>
      <w:r>
        <w:rPr/>
        <w:t>他租赁确认为经营租赁。</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）本集团作为出租人</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3"/>
        </w:rPr>
        <w:t>融资租赁中，在租赁开始日本集团按最低租赁收款额与初始直接费用之和作为应收融资租赁款的入账价</w:t>
      </w:r>
      <w:r>
        <w:rPr>
          <w:spacing w:val="-82"/>
        </w:rPr>
        <w:t> </w:t>
      </w:r>
      <w:r>
        <w:rPr>
          <w:spacing w:val="-82"/>
        </w:rPr>
      </w:r>
      <w:r>
        <w:rPr>
          <w:spacing w:val="-1"/>
        </w:rPr>
        <w:t>值，同时记录未担保余值；将最低租赁收款额、初始直接费用及未担保余值之和与其现值之和的差额确认</w:t>
      </w:r>
      <w:r>
        <w:rPr>
          <w:spacing w:val="-83"/>
        </w:rPr>
        <w:t> </w:t>
      </w:r>
      <w:r>
        <w:rPr>
          <w:spacing w:val="-83"/>
        </w:rPr>
      </w:r>
      <w:r>
        <w:rPr/>
        <w:t>为未实现融资收益。未实现融资收益在租赁期内各个期间采用实际利率法计算确认当期的融资收入。</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）本集团作为承租人</w:t>
      </w:r>
    </w:p>
    <w:p>
      <w:pPr>
        <w:spacing w:line="240" w:lineRule="auto" w:before="2"/>
        <w:rPr>
          <w:rFonts w:ascii="宋体" w:hAnsi="宋体" w:cs="宋体" w:eastAsia="宋体" w:hint="default"/>
          <w:sz w:val="18"/>
          <w:szCs w:val="18"/>
        </w:rPr>
      </w:pPr>
    </w:p>
    <w:p>
      <w:pPr>
        <w:pStyle w:val="BodyText"/>
        <w:spacing w:line="273" w:lineRule="auto"/>
        <w:ind w:left="1134" w:right="1131"/>
        <w:jc w:val="both"/>
      </w:pPr>
      <w:r>
        <w:rPr>
          <w:spacing w:val="-1"/>
        </w:rPr>
        <w:t>融资租赁中，在租赁开始日本集团将租赁资产公允价值与最低租赁付款额现值两者中较低者作为租入资产</w:t>
      </w:r>
      <w:r>
        <w:rPr>
          <w:spacing w:val="-81"/>
        </w:rPr>
        <w:t> </w:t>
      </w:r>
      <w:r>
        <w:rPr>
          <w:spacing w:val="-81"/>
        </w:rPr>
      </w:r>
      <w:r>
        <w:rPr>
          <w:spacing w:val="-1"/>
        </w:rPr>
        <w:t>的入账价值，将最低租赁付款额作为长期应付款的入账价值，其差额作为未确认融资费用。初始直接费用</w:t>
      </w:r>
      <w:r>
        <w:rPr>
          <w:spacing w:val="-83"/>
        </w:rPr>
        <w:t> </w:t>
      </w:r>
      <w:r>
        <w:rPr>
          <w:spacing w:val="-83"/>
        </w:rPr>
      </w:r>
      <w:r>
        <w:rPr>
          <w:spacing w:val="-1"/>
        </w:rPr>
        <w:t>计入租入资产价值。未确认融资费用在租赁期内各个期间采用实际利率法计算确认当期的融资费用。本集</w:t>
      </w:r>
      <w:r>
        <w:rPr>
          <w:spacing w:val="-81"/>
        </w:rPr>
        <w:t> </w:t>
      </w:r>
      <w:r>
        <w:rPr>
          <w:spacing w:val="-81"/>
        </w:rPr>
      </w:r>
      <w:r>
        <w:rPr/>
        <w:t>团采用与自有固定资产相一致的折旧政策计提租赁资产折旧。</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8、其他重要的会计政策和会计估计" w:id="204"/>
      <w:bookmarkEnd w:id="204"/>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0"/>
        <w:jc w:val="both"/>
      </w:pPr>
      <w:r>
        <w:rPr>
          <w:spacing w:val="-1"/>
        </w:rPr>
        <w:t>本集团根据历史经验和其它因素，包括对未来事项的合理预期，对所采用的重要会计估计和关键假设进行</w:t>
      </w:r>
      <w:r>
        <w:rPr>
          <w:spacing w:val="-81"/>
        </w:rPr>
        <w:t> </w:t>
      </w:r>
      <w:r>
        <w:rPr>
          <w:spacing w:val="-81"/>
        </w:rPr>
      </w:r>
      <w:r>
        <w:rPr/>
        <w:t>持续的评价。</w:t>
      </w:r>
    </w:p>
    <w:p>
      <w:pPr>
        <w:spacing w:line="240" w:lineRule="auto" w:before="1"/>
        <w:rPr>
          <w:rFonts w:ascii="宋体" w:hAnsi="宋体" w:cs="宋体" w:eastAsia="宋体" w:hint="default"/>
          <w:sz w:val="17"/>
          <w:szCs w:val="17"/>
        </w:rPr>
      </w:pPr>
    </w:p>
    <w:p>
      <w:pPr>
        <w:pStyle w:val="BodyText"/>
        <w:spacing w:line="460" w:lineRule="auto"/>
        <w:ind w:left="1134" w:right="1110"/>
        <w:jc w:val="both"/>
      </w:pPr>
      <w:r>
        <w:rPr/>
        <w:t>很可能导致下一会计年度资产和负债的账面价值出现重大调整风险的重要会计估计和关键假设列示如下： 商誉减值</w:t>
      </w:r>
    </w:p>
    <w:p>
      <w:pPr>
        <w:pStyle w:val="BodyText"/>
        <w:spacing w:line="273" w:lineRule="auto" w:before="60"/>
        <w:ind w:left="1134" w:right="1131"/>
        <w:jc w:val="both"/>
      </w:pPr>
      <w:r>
        <w:rPr>
          <w:spacing w:val="-1"/>
        </w:rPr>
        <w:t>本集团至少每年评估商誉是否发生减值。这要求对分配了商誉的资产组的使用价值进行估计。估计使用价</w:t>
      </w:r>
      <w:r>
        <w:rPr>
          <w:spacing w:val="-81"/>
        </w:rPr>
        <w:t> </w:t>
      </w:r>
      <w:r>
        <w:rPr>
          <w:spacing w:val="-81"/>
        </w:rPr>
      </w:r>
      <w:r>
        <w:rPr/>
        <w:t>值时，本集团需要估计未来来自资产组的现金流量，同时选择恰当的折现率计算未来现金流量的现值。</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29、重要会计政策和会计估计变更" w:id="205"/>
      <w:bookmarkEnd w:id="205"/>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30、其他" w:id="208"/>
      <w:bookmarkEnd w:id="208"/>
      <w:r>
        <w:rPr>
          <w:b w:val="0"/>
          <w:bCs w:val="0"/>
        </w:rPr>
      </w:r>
      <w:r>
        <w:rPr>
          <w:rFonts w:ascii="Times New Roman" w:hAnsi="Times New Roman" w:cs="Times New Roman" w:eastAsia="Times New Roman" w:hint="default"/>
        </w:rPr>
        <w:t>30</w:t>
      </w:r>
      <w:r>
        <w:rPr/>
        <w:t>、其他</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209"/>
      <w:bookmarkEnd w:id="20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0"/>
      <w:bookmarkEnd w:id="21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劳务收入境内销售；提供加工、修理修 配劳务；以及进口等货物</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商品与服务税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销售商品或提供服务额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厦门红相电力设备股份有限公司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RED PHASE INSTRUMENTS AUSTRALIA PTY</w:t>
            </w:r>
            <w:r>
              <w:rPr>
                <w:rFonts w:ascii="Times New Roman"/>
                <w:spacing w:val="-31"/>
                <w:sz w:val="18"/>
              </w:rPr>
              <w:t> </w:t>
            </w:r>
            <w:r>
              <w:rPr>
                <w:rFonts w:ascii="Times New Roman"/>
                <w:spacing w:val="-6"/>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浙江涵普三维电力科技有限公司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2、税收优惠" w:id="211"/>
      <w:bookmarkEnd w:id="21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134" w:right="0"/>
        <w:jc w:val="both"/>
      </w:pPr>
      <w:r>
        <w:rPr/>
        <w:t>（</w:t>
      </w:r>
      <w:r>
        <w:rPr>
          <w:rFonts w:ascii="Times New Roman" w:hAnsi="Times New Roman" w:cs="Times New Roman" w:eastAsia="Times New Roman" w:hint="default"/>
        </w:rPr>
        <w:t>1</w:t>
      </w:r>
      <w:r>
        <w:rPr/>
        <w:t>）企业所得税优惠</w:t>
      </w:r>
    </w:p>
    <w:p>
      <w:pPr>
        <w:spacing w:line="240" w:lineRule="auto" w:before="2"/>
        <w:rPr>
          <w:rFonts w:ascii="宋体" w:hAnsi="宋体" w:cs="宋体" w:eastAsia="宋体" w:hint="default"/>
          <w:sz w:val="18"/>
          <w:szCs w:val="18"/>
        </w:rPr>
      </w:pPr>
    </w:p>
    <w:p>
      <w:pPr>
        <w:pStyle w:val="BodyText"/>
        <w:spacing w:line="240" w:lineRule="auto"/>
        <w:ind w:left="1134" w:right="0"/>
        <w:jc w:val="both"/>
      </w:pPr>
      <w:r>
        <w:rPr/>
        <w:t>①高新技术企业所得税优惠</w:t>
      </w:r>
    </w:p>
    <w:p>
      <w:pPr>
        <w:spacing w:line="240" w:lineRule="auto" w:before="5"/>
        <w:rPr>
          <w:rFonts w:ascii="宋体" w:hAnsi="宋体" w:cs="宋体" w:eastAsia="宋体" w:hint="default"/>
          <w:sz w:val="19"/>
          <w:szCs w:val="19"/>
        </w:rPr>
      </w:pPr>
    </w:p>
    <w:p>
      <w:pPr>
        <w:pStyle w:val="BodyText"/>
        <w:spacing w:line="256" w:lineRule="auto"/>
        <w:ind w:right="1116"/>
        <w:jc w:val="both"/>
      </w:pPr>
      <w:r>
        <w:rPr/>
        <w:t>母公司厦门红相电力科技股份有限公司于</w:t>
      </w:r>
      <w:r>
        <w:rPr>
          <w:rFonts w:ascii="Times New Roman" w:hAnsi="Times New Roman" w:cs="Times New Roman" w:eastAsia="Times New Roman" w:hint="default"/>
        </w:rPr>
        <w:t>2009</w:t>
      </w:r>
      <w:r>
        <w:rPr/>
        <w:t>年获得《高新技术企业证书》，并于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月通过高新技</w:t>
      </w:r>
      <w:r>
        <w:rPr>
          <w:spacing w:val="-28"/>
        </w:rPr>
        <w:t> </w:t>
      </w:r>
      <w:r>
        <w:rPr>
          <w:spacing w:val="-28"/>
        </w:rPr>
      </w:r>
      <w:r>
        <w:rPr/>
        <w:t>术企业复审，根据《中华人民共和国企业所得税法》规定，在有效认定期（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11"/>
        </w:rPr>
        <w:t>年）内按</w:t>
      </w:r>
      <w:r>
        <w:rPr>
          <w:rFonts w:ascii="Times New Roman" w:hAnsi="Times New Roman" w:cs="Times New Roman" w:eastAsia="Times New Roman" w:hint="default"/>
          <w:spacing w:val="11"/>
        </w:rPr>
        <w:t>15%</w:t>
      </w:r>
      <w:r>
        <w:rPr>
          <w:spacing w:val="11"/>
        </w:rPr>
        <w:t>的税率征收企业所得税。</w:t>
      </w:r>
      <w:r>
        <w:rPr>
          <w:rFonts w:ascii="Times New Roman" w:hAnsi="Times New Roman" w:cs="Times New Roman" w:eastAsia="Times New Roman" w:hint="default"/>
          <w:spacing w:val="11"/>
        </w:rPr>
        <w:t>2016</w:t>
      </w:r>
      <w:r>
        <w:rPr>
          <w:spacing w:val="11"/>
        </w:rPr>
        <w:t>年</w:t>
      </w:r>
      <w:r>
        <w:rPr>
          <w:rFonts w:ascii="Times New Roman" w:hAnsi="Times New Roman" w:cs="Times New Roman" w:eastAsia="Times New Roman" w:hint="default"/>
          <w:spacing w:val="11"/>
        </w:rPr>
        <w:t>1</w:t>
      </w:r>
      <w:r>
        <w:rPr>
          <w:spacing w:val="11"/>
        </w:rPr>
        <w:t>月，本公司通过高新技术企业复审，取得证书编号：</w:t>
      </w:r>
      <w:r>
        <w:rPr>
          <w:spacing w:val="-79"/>
        </w:rPr>
        <w:t> </w:t>
      </w:r>
      <w:r>
        <w:rPr>
          <w:rFonts w:ascii="Times New Roman" w:hAnsi="Times New Roman" w:cs="Times New Roman" w:eastAsia="Times New Roman" w:hint="default"/>
          <w:spacing w:val="-2"/>
        </w:rPr>
        <w:t>GR201535100078</w:t>
      </w:r>
      <w:r>
        <w:rPr>
          <w:spacing w:val="-2"/>
        </w:rPr>
        <w:t>，签发日期为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日的《高新技术企业证书》，根据《中华人民共和国企业所得</w:t>
      </w:r>
      <w:r>
        <w:rPr/>
        <w:t> 税法》规定，在有效认定期（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年）内按</w:t>
      </w:r>
      <w:r>
        <w:rPr>
          <w:rFonts w:ascii="Times New Roman" w:hAnsi="Times New Roman" w:cs="Times New Roman" w:eastAsia="Times New Roman" w:hint="default"/>
        </w:rPr>
        <w:t>15%</w:t>
      </w:r>
      <w:r>
        <w:rPr/>
        <w:t>的税率征收企业所得税。</w:t>
      </w:r>
    </w:p>
    <w:p>
      <w:pPr>
        <w:spacing w:line="240" w:lineRule="auto" w:before="12"/>
        <w:rPr>
          <w:rFonts w:ascii="宋体" w:hAnsi="宋体" w:cs="宋体" w:eastAsia="宋体" w:hint="default"/>
          <w:sz w:val="16"/>
          <w:szCs w:val="16"/>
        </w:rPr>
      </w:pPr>
    </w:p>
    <w:p>
      <w:pPr>
        <w:pStyle w:val="BodyText"/>
        <w:spacing w:line="256" w:lineRule="auto"/>
        <w:ind w:right="1129"/>
        <w:jc w:val="both"/>
      </w:pPr>
      <w:r>
        <w:rPr>
          <w:spacing w:val="-1"/>
        </w:rPr>
        <w:t>子公司浙江涵普电力科技有限公司于</w:t>
      </w:r>
      <w:r>
        <w:rPr>
          <w:rFonts w:ascii="Times New Roman" w:hAnsi="Times New Roman" w:cs="Times New Roman" w:eastAsia="Times New Roman" w:hint="default"/>
          <w:spacing w:val="-1"/>
        </w:rPr>
        <w:t>2009</w:t>
      </w:r>
      <w:r>
        <w:rPr>
          <w:spacing w:val="-1"/>
        </w:rPr>
        <w:t>年获得《高新技术企业证书》，并于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月通过高新技术企</w:t>
      </w:r>
      <w:r>
        <w:rPr>
          <w:spacing w:val="-82"/>
        </w:rPr>
        <w:t> </w:t>
      </w:r>
      <w:r>
        <w:rPr>
          <w:spacing w:val="-82"/>
        </w:rPr>
      </w:r>
      <w:r>
        <w:rPr/>
        <w:t>业复审，根据《中华人民共和国企业所得税法》规定，在有效认定期（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）内</w:t>
      </w:r>
      <w:r>
        <w:rPr>
          <w:spacing w:val="-66"/>
        </w:rPr>
        <w:t> </w:t>
      </w:r>
      <w:r>
        <w:rPr/>
        <w:t>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月，浙江涵普通过高新技术企业复审，于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日取得编号</w:t>
      </w:r>
      <w:r>
        <w:rPr>
          <w:spacing w:val="-101"/>
        </w:rPr>
        <w:t> </w:t>
      </w:r>
      <w:r>
        <w:rPr>
          <w:spacing w:val="-101"/>
        </w:rPr>
      </w:r>
      <w:r>
        <w:rPr>
          <w:spacing w:val="-3"/>
        </w:rPr>
        <w:t>为</w:t>
      </w:r>
      <w:r>
        <w:rPr>
          <w:rFonts w:ascii="Times New Roman" w:hAnsi="Times New Roman" w:cs="Times New Roman" w:eastAsia="Times New Roman" w:hint="default"/>
          <w:spacing w:val="-3"/>
        </w:rPr>
        <w:t>GR201533000586</w:t>
      </w:r>
      <w:r>
        <w:rPr>
          <w:spacing w:val="-3"/>
        </w:rPr>
        <w:t>的《高新技术企业证书》。根据《中华人民共和国企业所得税法》规定，浙江涵普在有</w:t>
      </w:r>
      <w:r>
        <w:rPr>
          <w:spacing w:val="-55"/>
        </w:rPr>
        <w:t> </w:t>
      </w:r>
      <w:r>
        <w:rPr>
          <w:spacing w:val="-55"/>
        </w:rPr>
      </w:r>
      <w:r>
        <w:rPr/>
        <w:t>效认定期（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年）内按</w:t>
      </w:r>
      <w:r>
        <w:rPr>
          <w:rFonts w:ascii="Times New Roman" w:hAnsi="Times New Roman" w:cs="Times New Roman" w:eastAsia="Times New Roman" w:hint="default"/>
        </w:rPr>
        <w:t>15%</w:t>
      </w:r>
      <w:r>
        <w:rPr/>
        <w:t>的税率缴纳企业所得税。</w:t>
      </w:r>
    </w:p>
    <w:p>
      <w:pPr>
        <w:spacing w:after="0" w:line="256"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w:t>
      </w:r>
      <w:r>
        <w:rPr>
          <w:rFonts w:ascii="Times New Roman" w:hAnsi="Times New Roman" w:cs="Times New Roman" w:eastAsia="Times New Roman" w:hint="default"/>
        </w:rPr>
        <w:t>2</w:t>
      </w:r>
      <w:r>
        <w:rPr/>
        <w:t>）增值税优惠</w:t>
      </w:r>
    </w:p>
    <w:p>
      <w:pPr>
        <w:spacing w:line="240" w:lineRule="auto" w:before="2"/>
        <w:rPr>
          <w:rFonts w:ascii="宋体" w:hAnsi="宋体" w:cs="宋体" w:eastAsia="宋体" w:hint="default"/>
          <w:sz w:val="18"/>
          <w:szCs w:val="18"/>
        </w:rPr>
      </w:pPr>
    </w:p>
    <w:p>
      <w:pPr>
        <w:pStyle w:val="BodyText"/>
        <w:spacing w:line="261" w:lineRule="auto"/>
        <w:ind w:right="1131"/>
        <w:jc w:val="both"/>
      </w:pPr>
      <w:r>
        <w:rPr>
          <w:spacing w:val="-1"/>
        </w:rPr>
        <w:t>根据财政部、国家税务总局、海关总署联合下发的《关于鼓励软件产业和集成电路产业发展有关税收政策</w:t>
      </w:r>
      <w:r>
        <w:rPr>
          <w:spacing w:val="-83"/>
        </w:rPr>
        <w:t> </w:t>
      </w:r>
      <w:r>
        <w:rPr>
          <w:spacing w:val="-83"/>
        </w:rPr>
      </w:r>
      <w:r>
        <w:rPr>
          <w:spacing w:val="-2"/>
        </w:rPr>
        <w:t>问题的通知》（财税</w:t>
      </w:r>
      <w:r>
        <w:rPr>
          <w:rFonts w:ascii="Times New Roman" w:hAnsi="Times New Roman" w:cs="Times New Roman" w:eastAsia="Times New Roman" w:hint="default"/>
          <w:spacing w:val="-2"/>
        </w:rPr>
        <w:t>[2000]25</w:t>
      </w:r>
      <w:r>
        <w:rPr>
          <w:spacing w:val="-2"/>
        </w:rPr>
        <w:t>号）的规定，自</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日起至</w:t>
      </w:r>
      <w:r>
        <w:rPr>
          <w:rFonts w:ascii="Times New Roman" w:hAnsi="Times New Roman" w:cs="Times New Roman" w:eastAsia="Times New Roman" w:hint="default"/>
          <w:spacing w:val="-2"/>
        </w:rPr>
        <w:t>2010</w:t>
      </w:r>
      <w:r>
        <w:rPr>
          <w:spacing w:val="-2"/>
        </w:rPr>
        <w:t>年底以前，对增值税一般纳税人销售</w:t>
      </w:r>
      <w:r>
        <w:rPr>
          <w:spacing w:val="-59"/>
        </w:rPr>
        <w:t> </w:t>
      </w:r>
      <w:r>
        <w:rPr>
          <w:spacing w:val="-59"/>
        </w:rPr>
      </w:r>
      <w:r>
        <w:rPr>
          <w:spacing w:val="-2"/>
        </w:rPr>
        <w:t>其自行开发生产的软件产品，按</w:t>
      </w:r>
      <w:r>
        <w:rPr>
          <w:rFonts w:ascii="Times New Roman" w:hAnsi="Times New Roman" w:cs="Times New Roman" w:eastAsia="Times New Roman" w:hint="default"/>
          <w:spacing w:val="-2"/>
        </w:rPr>
        <w:t>17%</w:t>
      </w:r>
      <w:r>
        <w:rPr>
          <w:spacing w:val="-2"/>
        </w:rPr>
        <w:t>的法定税率征收增值税后，对其增值税实际税负超过</w:t>
      </w:r>
      <w:r>
        <w:rPr>
          <w:rFonts w:ascii="Times New Roman" w:hAnsi="Times New Roman" w:cs="Times New Roman" w:eastAsia="Times New Roman" w:hint="default"/>
          <w:spacing w:val="-2"/>
        </w:rPr>
        <w:t>3%</w:t>
      </w:r>
      <w:r>
        <w:rPr>
          <w:spacing w:val="-2"/>
        </w:rPr>
        <w:t>的部分实行即</w:t>
      </w:r>
      <w:r>
        <w:rPr>
          <w:spacing w:val="-70"/>
        </w:rPr>
        <w:t> </w:t>
      </w:r>
      <w:r>
        <w:rPr>
          <w:spacing w:val="-70"/>
        </w:rPr>
      </w:r>
      <w:r>
        <w:rPr/>
        <w:t>征即退政策。根据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日国务院发布的《国务院关于印发进一步鼓励软件产业和集成电路产业发</w:t>
      </w:r>
      <w:r>
        <w:rPr>
          <w:spacing w:val="-35"/>
        </w:rPr>
        <w:t> </w:t>
      </w:r>
      <w:r>
        <w:rPr>
          <w:spacing w:val="-35"/>
        </w:rPr>
      </w:r>
      <w:r>
        <w:rPr>
          <w:spacing w:val="-2"/>
        </w:rPr>
        <w:t>展若干政策的通知》（国发</w:t>
      </w:r>
      <w:r>
        <w:rPr>
          <w:rFonts w:ascii="Times New Roman" w:hAnsi="Times New Roman" w:cs="Times New Roman" w:eastAsia="Times New Roman" w:hint="default"/>
          <w:spacing w:val="-2"/>
        </w:rPr>
        <w:t>[2011]4</w:t>
      </w:r>
      <w:r>
        <w:rPr>
          <w:spacing w:val="-2"/>
        </w:rPr>
        <w:t>号文），子公司红相软件和浙江涵普自行开发销售的软件产品继续享受</w:t>
      </w:r>
      <w:r>
        <w:rPr>
          <w:spacing w:val="-65"/>
        </w:rPr>
        <w:t> </w:t>
      </w:r>
      <w:r>
        <w:rPr>
          <w:spacing w:val="-65"/>
        </w:rPr>
      </w:r>
      <w:r>
        <w:rPr/>
        <w:t>上述增值税优惠政策。</w:t>
      </w:r>
    </w:p>
    <w:p>
      <w:pPr>
        <w:spacing w:line="240" w:lineRule="auto" w:before="5"/>
        <w:rPr>
          <w:rFonts w:ascii="宋体" w:hAnsi="宋体" w:cs="宋体" w:eastAsia="宋体" w:hint="default"/>
          <w:sz w:val="24"/>
          <w:szCs w:val="24"/>
        </w:rPr>
      </w:pPr>
    </w:p>
    <w:p>
      <w:pPr>
        <w:spacing w:line="487" w:lineRule="auto" w:before="0"/>
        <w:ind w:left="1134" w:right="7693" w:firstLine="0"/>
        <w:jc w:val="left"/>
        <w:rPr>
          <w:rFonts w:ascii="宋体" w:hAnsi="宋体" w:cs="宋体" w:eastAsia="宋体" w:hint="default"/>
          <w:sz w:val="21"/>
          <w:szCs w:val="21"/>
        </w:rPr>
      </w:pPr>
      <w:bookmarkStart w:name="3、其他" w:id="212"/>
      <w:bookmarkEnd w:id="21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3"/>
      <w:bookmarkEnd w:id="21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4"/>
      <w:bookmarkEnd w:id="21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67,308.57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37,173.87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287,662,416.27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102,356,169.75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264,153.63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498,518.00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287,993,878.47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102,891,861.62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0"/>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日，存放在境外的款项为</w:t>
      </w:r>
      <w:r>
        <w:rPr>
          <w:rFonts w:ascii="Times New Roman" w:hAnsi="Times New Roman" w:cs="Times New Roman" w:eastAsia="Times New Roman" w:hint="default"/>
        </w:rPr>
        <w:t>AUD418,645.00</w:t>
      </w:r>
      <w:r>
        <w:rPr/>
        <w:t>，折合人民币为</w:t>
      </w:r>
      <w:r>
        <w:rPr>
          <w:rFonts w:ascii="Times New Roman" w:hAnsi="Times New Roman" w:cs="Times New Roman" w:eastAsia="Times New Roman" w:hint="default"/>
        </w:rPr>
        <w:t>1,979,186.10</w:t>
      </w:r>
      <w:r>
        <w:rPr/>
        <w:t>元，系本集团</w:t>
      </w:r>
      <w:r>
        <w:rPr>
          <w:spacing w:val="-20"/>
        </w:rPr>
        <w:t> </w:t>
      </w:r>
      <w:r>
        <w:rPr>
          <w:spacing w:val="-20"/>
        </w:rPr>
      </w:r>
      <w:r>
        <w:rPr/>
        <w:t>之境外子公司</w:t>
      </w:r>
      <w:r>
        <w:rPr>
          <w:rFonts w:ascii="Times New Roman" w:hAnsi="Times New Roman" w:cs="Times New Roman" w:eastAsia="Times New Roman" w:hint="default"/>
        </w:rPr>
        <w:t>RED PHASE INSTRUMENTS AUSTRALIA PTY.</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t>存放于澳大利亚的现金及银行存款。</w:t>
      </w:r>
    </w:p>
    <w:p>
      <w:pPr>
        <w:spacing w:line="240" w:lineRule="auto" w:before="12"/>
        <w:rPr>
          <w:rFonts w:ascii="宋体" w:hAnsi="宋体" w:cs="宋体" w:eastAsia="宋体" w:hint="default"/>
          <w:sz w:val="16"/>
          <w:szCs w:val="16"/>
        </w:rPr>
      </w:pPr>
    </w:p>
    <w:p>
      <w:pPr>
        <w:pStyle w:val="BodyText"/>
        <w:spacing w:line="256" w:lineRule="auto"/>
        <w:ind w:left="1134" w:right="0"/>
        <w:jc w:val="left"/>
      </w:pPr>
      <w:r>
        <w:rPr>
          <w:rFonts w:ascii="Times New Roman" w:hAnsi="Times New Roman" w:cs="Times New Roman" w:eastAsia="Times New Roman" w:hint="default"/>
        </w:rPr>
        <w:t>2</w:t>
      </w:r>
      <w:r>
        <w:rPr/>
        <w:t>）其他货币资金期末、期初余额系使用受限的银行履约保函保证金，在编制现金流量表时不计入期末、</w:t>
      </w:r>
      <w:r>
        <w:rPr>
          <w:spacing w:val="-34"/>
        </w:rPr>
        <w:t> </w:t>
      </w:r>
      <w:r>
        <w:rPr>
          <w:spacing w:val="-34"/>
        </w:rPr>
      </w:r>
      <w:r>
        <w:rPr/>
        <w:t>期初的</w:t>
      </w:r>
      <w:r>
        <w:rPr>
          <w:rFonts w:ascii="Times New Roman" w:hAnsi="Times New Roman" w:cs="Times New Roman" w:eastAsia="Times New Roman" w:hint="default"/>
        </w:rPr>
        <w:t>“</w:t>
      </w:r>
      <w:r>
        <w:rPr/>
        <w:t>现金及现金等价物</w:t>
      </w:r>
      <w:r>
        <w:rPr>
          <w:rFonts w:ascii="Times New Roman" w:hAnsi="Times New Roman" w:cs="Times New Roman" w:eastAsia="Times New Roman" w:hint="default"/>
        </w:rPr>
        <w:t>”</w:t>
      </w:r>
      <w:r>
        <w:rPr/>
        <w:t>。除此之外，本集团期末不存在质押、冻结，或有潜在收回风险的款项。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Heading4"/>
        <w:spacing w:line="240" w:lineRule="auto"/>
        <w:ind w:left="1134" w:right="0"/>
        <w:jc w:val="left"/>
        <w:rPr>
          <w:b w:val="0"/>
          <w:bCs w:val="0"/>
        </w:rPr>
      </w:pPr>
      <w:bookmarkStart w:name="2、应收票据" w:id="215"/>
      <w:bookmarkEnd w:id="215"/>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票据分类列示" w:id="216"/>
      <w:bookmarkEnd w:id="21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6,583,657.54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4,713,122.00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11,296,779.54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期末公司已质押的应收票据" w:id="217"/>
      <w:bookmarkEnd w:id="21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公司已背书或贴现且在资产负债表日尚未到期的应收票据" w:id="218"/>
      <w:bookmarkEnd w:id="21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7,734,399.39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824,788.06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8,559,187.45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期末公司因出票人未履约而将其转应收账款的票据" w:id="219"/>
      <w:bookmarkEnd w:id="21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357" w:lineRule="auto" w:before="51"/>
        <w:ind w:left="113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4"/>
        <w:spacing w:line="240" w:lineRule="auto"/>
        <w:ind w:left="1134" w:right="0"/>
        <w:jc w:val="left"/>
        <w:rPr>
          <w:b w:val="0"/>
          <w:bCs w:val="0"/>
        </w:rPr>
      </w:pPr>
      <w:bookmarkStart w:name="3、应收账款" w:id="220"/>
      <w:bookmarkEnd w:id="220"/>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294,553,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806.52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25,878,2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268,675,5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245,874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,906.28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19,217,59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226,657,31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1.14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4,667,59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4,507,59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299,221,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398.51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30,385,8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268,835,5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245,874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19,217,59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226,657,31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1.14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after="0" w:line="3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199,979,267.17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9,998,963.37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58,101,500.44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5,810,150.05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24,065,732.87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4,813,146.57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7,789,188.93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2,336,756.68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3,397,776.08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1,698,888.04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1,220,341.03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1,220,341.03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294,553,806.52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25,878,245.74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w:t>
            </w:r>
          </w:p>
        </w:tc>
      </w:tr>
    </w:tbl>
    <w:p>
      <w:pPr>
        <w:spacing w:line="331" w:lineRule="auto" w:before="51"/>
        <w:ind w:left="1134" w:right="571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z w:val="21"/>
          <w:szCs w:val="21"/>
        </w:rPr>
        <w:t>确定该等应收账款组合的依据是各个明细项目的账龄。</w:t>
      </w:r>
      <w:r>
        <w:rPr>
          <w:rFonts w:ascii="宋体" w:hAnsi="宋体" w:cs="宋体" w:eastAsia="宋体" w:hint="default"/>
          <w:sz w:val="21"/>
          <w:szCs w:val="21"/>
        </w:rPr>
        <w:t> </w:t>
      </w:r>
      <w:r>
        <w:rPr>
          <w:rFonts w:ascii="宋体" w:hAnsi="宋体" w:cs="宋体" w:eastAsia="宋体" w:hint="default"/>
          <w:sz w:val="18"/>
          <w:szCs w:val="18"/>
        </w:rPr>
        <w:t>组合中，采用余额百分比法计提坏账准备的应收账款：</w:t>
      </w:r>
    </w:p>
    <w:p>
      <w:pPr>
        <w:spacing w:line="340" w:lineRule="auto" w:before="4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3,537,262.14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5"/>
          <w:szCs w:val="5"/>
        </w:rPr>
      </w:pPr>
    </w:p>
    <w:p>
      <w:pPr>
        <w:pStyle w:val="BodyText"/>
        <w:spacing w:line="273" w:lineRule="auto" w:before="35"/>
        <w:ind w:left="1134" w:right="0"/>
        <w:jc w:val="left"/>
      </w:pPr>
      <w:r>
        <w:rPr>
          <w:spacing w:val="-1"/>
        </w:rPr>
        <w:t>本报告期不存在以前年度已单项全额计提坏账准备，或单项计提坏账准备的比例较大，但在本报告期内又</w:t>
      </w:r>
      <w:r>
        <w:rPr>
          <w:spacing w:val="-81"/>
        </w:rPr>
        <w:t> </w:t>
      </w:r>
      <w:r>
        <w:rPr>
          <w:spacing w:val="-81"/>
        </w:rPr>
      </w:r>
      <w:r>
        <w:rPr/>
        <w:t>全额收回或转回的应收账款情况。</w:t>
      </w:r>
    </w:p>
    <w:p>
      <w:pPr>
        <w:spacing w:line="240" w:lineRule="auto" w:before="8"/>
        <w:rPr>
          <w:rFonts w:ascii="宋体" w:hAnsi="宋体" w:cs="宋体" w:eastAsia="宋体" w:hint="default"/>
          <w:sz w:val="23"/>
          <w:szCs w:val="23"/>
        </w:rPr>
      </w:pPr>
    </w:p>
    <w:p>
      <w:pPr>
        <w:pStyle w:val="Heading4"/>
        <w:spacing w:line="240" w:lineRule="auto"/>
        <w:ind w:left="1134" w:right="0"/>
        <w:jc w:val="left"/>
        <w:rPr>
          <w:b w:val="0"/>
          <w:bCs w:val="0"/>
        </w:rPr>
      </w:pPr>
      <w:bookmarkStart w:name="（3）本期实际核销的应收账款情况" w:id="223"/>
      <w:bookmarkEnd w:id="22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0"/>
        <w:ind w:left="1134" w:right="0"/>
        <w:jc w:val="left"/>
      </w:pPr>
      <w:r>
        <w:rPr/>
        <w:t>本报告期无实际核销的应收账款。</w:t>
      </w:r>
    </w:p>
    <w:p>
      <w:pPr>
        <w:spacing w:after="0" w:line="240"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按欠款方归集的期末余额前五名的应收账款情况" w:id="224"/>
      <w:bookmarkEnd w:id="22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t>本期按欠款方归集的期末余额前五名应收账款汇总金额</w:t>
      </w:r>
      <w:r>
        <w:rPr>
          <w:rFonts w:ascii="Times New Roman" w:hAnsi="Times New Roman" w:cs="Times New Roman" w:eastAsia="Times New Roman" w:hint="default"/>
        </w:rPr>
        <w:t>70,512,555.90</w:t>
      </w:r>
      <w:r>
        <w:rPr/>
        <w:t>元，占应收账款期末余额合计数的比</w:t>
      </w:r>
      <w:r>
        <w:rPr>
          <w:spacing w:val="-78"/>
        </w:rPr>
        <w:t> </w:t>
      </w:r>
      <w:r>
        <w:rPr>
          <w:spacing w:val="-78"/>
        </w:rPr>
      </w:r>
      <w:r>
        <w:rPr/>
        <w:t>例</w:t>
      </w:r>
      <w:r>
        <w:rPr>
          <w:rFonts w:ascii="Times New Roman" w:hAnsi="Times New Roman" w:cs="Times New Roman" w:eastAsia="Times New Roman" w:hint="default"/>
        </w:rPr>
        <w:t>23.57%</w:t>
      </w:r>
      <w:r>
        <w:rPr/>
        <w:t>，相应计提的坏账准备期末余额汇总金额</w:t>
      </w:r>
      <w:r>
        <w:rPr>
          <w:rFonts w:ascii="Times New Roman" w:hAnsi="Times New Roman" w:cs="Times New Roman" w:eastAsia="Times New Roman" w:hint="default"/>
        </w:rPr>
        <w:t>4,953,249.05</w:t>
      </w:r>
      <w:r>
        <w:rPr/>
        <w:t>元。</w:t>
      </w:r>
    </w:p>
    <w:p>
      <w:pPr>
        <w:spacing w:line="240" w:lineRule="auto" w:before="6"/>
        <w:rPr>
          <w:rFonts w:ascii="宋体" w:hAnsi="宋体" w:cs="宋体" w:eastAsia="宋体" w:hint="default"/>
          <w:sz w:val="23"/>
          <w:szCs w:val="23"/>
        </w:rPr>
      </w:pPr>
    </w:p>
    <w:p>
      <w:pPr>
        <w:pStyle w:val="Heading4"/>
        <w:spacing w:line="240" w:lineRule="auto"/>
        <w:ind w:left="1134" w:right="0"/>
        <w:jc w:val="left"/>
        <w:rPr>
          <w:b w:val="0"/>
          <w:bCs w:val="0"/>
        </w:rPr>
      </w:pPr>
      <w:bookmarkStart w:name="（5）因金融资产转移而终止确认的应收账款" w:id="225"/>
      <w:bookmarkEnd w:id="22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6）转移应收账款且继续涉入形成的资产、负债金额" w:id="226"/>
      <w:bookmarkEnd w:id="22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98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20"/>
          <w:szCs w:val="20"/>
        </w:rPr>
      </w:pPr>
    </w:p>
    <w:p>
      <w:pPr>
        <w:pStyle w:val="Heading4"/>
        <w:spacing w:line="240" w:lineRule="auto"/>
        <w:ind w:left="1134" w:right="0"/>
        <w:jc w:val="left"/>
        <w:rPr>
          <w:b w:val="0"/>
          <w:bCs w:val="0"/>
        </w:rPr>
      </w:pPr>
      <w:bookmarkStart w:name="4、预付款项" w:id="227"/>
      <w:bookmarkEnd w:id="22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21,570,884.74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6,527,278.28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1,384,790.67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2,070,047.64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166,929.94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3,577,940.43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135,995.12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159,041.84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23,258,600.47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12,334,308.19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75"/>
        <w:ind w:left="1134"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日，无账龄超过</w:t>
      </w:r>
      <w:r>
        <w:rPr>
          <w:rFonts w:ascii="Times New Roman" w:hAnsi="Times New Roman" w:cs="Times New Roman" w:eastAsia="Times New Roman" w:hint="default"/>
        </w:rPr>
        <w:t>1</w:t>
      </w:r>
      <w:r>
        <w:rPr/>
        <w:t>年的大额预付账款。</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134" w:right="0"/>
        <w:jc w:val="left"/>
      </w:pPr>
      <w:r>
        <w:rPr/>
        <w:t>本期按预付对象归集的期末余额前五名预付款项汇总金额</w:t>
      </w:r>
      <w:r>
        <w:rPr>
          <w:rFonts w:ascii="Times New Roman" w:hAnsi="Times New Roman" w:cs="Times New Roman" w:eastAsia="Times New Roman" w:hint="default"/>
        </w:rPr>
        <w:t>14,746,872.90</w:t>
      </w:r>
      <w:r>
        <w:rPr/>
        <w:t>元，占预付款项期末余额合计数的</w:t>
      </w:r>
      <w:r>
        <w:rPr>
          <w:spacing w:val="-78"/>
        </w:rPr>
        <w:t> </w:t>
      </w:r>
      <w:r>
        <w:rPr>
          <w:spacing w:val="-78"/>
        </w:rPr>
      </w:r>
      <w:r>
        <w:rPr/>
        <w:t>比例</w:t>
      </w:r>
      <w:r>
        <w:rPr>
          <w:rFonts w:ascii="Times New Roman" w:hAnsi="Times New Roman" w:cs="Times New Roman" w:eastAsia="Times New Roman" w:hint="default"/>
        </w:rPr>
        <w:t>63.40%</w:t>
      </w:r>
      <w:r>
        <w:rPr/>
        <w:t>。</w:t>
      </w:r>
    </w:p>
    <w:p>
      <w:pPr>
        <w:spacing w:line="240" w:lineRule="auto" w:before="12"/>
        <w:rPr>
          <w:rFonts w:ascii="宋体" w:hAnsi="宋体" w:cs="宋体" w:eastAsia="宋体" w:hint="default"/>
          <w:sz w:val="18"/>
          <w:szCs w:val="18"/>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应收利息" w:id="230"/>
      <w:bookmarkEnd w:id="230"/>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利息分类" w:id="231"/>
      <w:bookmarkEnd w:id="23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理财产品应收利息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746,391.67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746,391.67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逾期利息" w:id="232"/>
      <w:bookmarkEnd w:id="23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357" w:lineRule="auto" w:before="52"/>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left="1134"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234"/>
      <w:bookmarkEnd w:id="23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7,502,76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7,414,336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12,058,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868.80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43,840.66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12,015,028.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1,110,78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555,390.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555,390.0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8,613,54</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1.64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643,815.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7,969,726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12,058,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868.80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43,840.66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12,015,028.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432,960.40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21,648.02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303,885.09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60,777.02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1" w:right="0"/>
              <w:jc w:val="left"/>
              <w:rPr>
                <w:rFonts w:ascii="Times New Roman" w:hAnsi="Times New Roman" w:cs="Times New Roman" w:eastAsia="Times New Roman" w:hint="default"/>
                <w:sz w:val="18"/>
                <w:szCs w:val="18"/>
              </w:rPr>
            </w:pPr>
            <w:r>
              <w:rPr>
                <w:rFonts w:ascii="Times New Roman"/>
                <w:sz w:val="18"/>
              </w:rPr>
              <w:t>756,845.49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59" w:lineRule="auto" w:before="150"/>
        <w:ind w:right="1132"/>
        <w:jc w:val="both"/>
      </w:pPr>
      <w:r>
        <w:rPr>
          <w:spacing w:val="-1"/>
        </w:rPr>
        <w:t>组合中按账龄分析法计提坏账准的是除组合</w:t>
      </w:r>
      <w:r>
        <w:rPr>
          <w:rFonts w:ascii="Times New Roman" w:hAnsi="Times New Roman" w:cs="Times New Roman" w:eastAsia="Times New Roman" w:hint="default"/>
          <w:spacing w:val="-1"/>
        </w:rPr>
        <w:t>2</w:t>
      </w:r>
      <w:r>
        <w:rPr>
          <w:spacing w:val="-1"/>
        </w:rPr>
        <w:t>合并范围内的关联方的其他应收款、组合</w:t>
      </w:r>
      <w:r>
        <w:rPr>
          <w:rFonts w:ascii="Times New Roman" w:hAnsi="Times New Roman" w:cs="Times New Roman" w:eastAsia="Times New Roman" w:hint="default"/>
          <w:spacing w:val="-1"/>
        </w:rPr>
        <w:t>3</w:t>
      </w:r>
      <w:r>
        <w:rPr>
          <w:spacing w:val="-1"/>
        </w:rPr>
        <w:t>其他应收款之应收</w:t>
      </w:r>
      <w:r>
        <w:rPr>
          <w:spacing w:val="-84"/>
        </w:rPr>
        <w:t> </w:t>
      </w:r>
      <w:r>
        <w:rPr>
          <w:spacing w:val="-84"/>
        </w:rPr>
      </w:r>
      <w:r>
        <w:rPr>
          <w:spacing w:val="-1"/>
        </w:rPr>
        <w:t>备用金、组合</w:t>
      </w:r>
      <w:r>
        <w:rPr>
          <w:rFonts w:ascii="Times New Roman" w:hAnsi="Times New Roman" w:cs="Times New Roman" w:eastAsia="Times New Roman" w:hint="default"/>
          <w:spacing w:val="-1"/>
        </w:rPr>
        <w:t>4</w:t>
      </w:r>
      <w:r>
        <w:rPr>
          <w:spacing w:val="-1"/>
        </w:rPr>
        <w:t>其他应收款之应收保证金之外的其他应收款。对组合</w:t>
      </w:r>
      <w:r>
        <w:rPr>
          <w:rFonts w:ascii="Times New Roman" w:hAnsi="Times New Roman" w:cs="Times New Roman" w:eastAsia="Times New Roman" w:hint="default"/>
          <w:spacing w:val="-1"/>
        </w:rPr>
        <w:t>2</w:t>
      </w:r>
      <w:r>
        <w:rPr>
          <w:spacing w:val="-1"/>
        </w:rPr>
        <w:t>不计提坏账准备，对组合</w:t>
      </w:r>
      <w:r>
        <w:rPr>
          <w:rFonts w:ascii="Times New Roman" w:hAnsi="Times New Roman" w:cs="Times New Roman" w:eastAsia="Times New Roman" w:hint="default"/>
          <w:spacing w:val="-1"/>
        </w:rPr>
        <w:t>3</w:t>
      </w:r>
      <w:r>
        <w:rPr>
          <w:spacing w:val="-1"/>
        </w:rPr>
        <w:t>、组合</w:t>
      </w:r>
      <w:r>
        <w:rPr>
          <w:rFonts w:ascii="Times New Roman" w:hAnsi="Times New Roman" w:cs="Times New Roman" w:eastAsia="Times New Roman" w:hint="default"/>
          <w:spacing w:val="-1"/>
        </w:rPr>
        <w:t>4</w:t>
      </w:r>
      <w:r>
        <w:rPr>
          <w:spacing w:val="-1"/>
        </w:rPr>
        <w:t>按</w:t>
      </w:r>
      <w:r>
        <w:rPr>
          <w:spacing w:val="-87"/>
        </w:rPr>
        <w:t> </w:t>
      </w:r>
      <w:r>
        <w:rPr/>
        <w:t>个别认定法根据具体情况确定坏账准备计提比例。</w:t>
      </w:r>
    </w:p>
    <w:p>
      <w:pPr>
        <w:spacing w:before="145"/>
        <w:ind w:left="113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right="1132"/>
        <w:jc w:val="both"/>
      </w:pPr>
      <w:r>
        <w:rPr>
          <w:spacing w:val="-1"/>
        </w:rPr>
        <w:t>采用其他方法计提坏账准备的其他应收款包括组合</w:t>
      </w:r>
      <w:r>
        <w:rPr>
          <w:rFonts w:ascii="Times New Roman" w:hAnsi="Times New Roman" w:cs="Times New Roman" w:eastAsia="Times New Roman" w:hint="default"/>
          <w:spacing w:val="-1"/>
        </w:rPr>
        <w:t>3</w:t>
      </w:r>
      <w:r>
        <w:rPr>
          <w:spacing w:val="-1"/>
        </w:rPr>
        <w:t>其他应收款之应收备用金、组合</w:t>
      </w:r>
      <w:r>
        <w:rPr>
          <w:rFonts w:ascii="Times New Roman" w:hAnsi="Times New Roman" w:cs="Times New Roman" w:eastAsia="Times New Roman" w:hint="default"/>
          <w:spacing w:val="-1"/>
        </w:rPr>
        <w:t>4</w:t>
      </w:r>
      <w:r>
        <w:rPr>
          <w:spacing w:val="-1"/>
        </w:rPr>
        <w:t>其他应收款之应收保</w:t>
      </w:r>
      <w:r>
        <w:rPr>
          <w:spacing w:val="-84"/>
        </w:rPr>
        <w:t> </w:t>
      </w:r>
      <w:r>
        <w:rPr>
          <w:spacing w:val="-84"/>
        </w:rPr>
      </w:r>
      <w:r>
        <w:rPr/>
        <w:t>证金，按个别认定法根据具体情况确定坏账计提比例，具体的明细如下：</w:t>
      </w:r>
    </w:p>
    <w:p>
      <w:pPr>
        <w:spacing w:line="240" w:lineRule="auto" w:before="11"/>
        <w:rPr>
          <w:rFonts w:ascii="宋体" w:hAnsi="宋体" w:cs="宋体" w:eastAsia="宋体" w:hint="default"/>
          <w:sz w:val="2"/>
          <w:szCs w:val="2"/>
        </w:rPr>
      </w:pPr>
    </w:p>
    <w:tbl>
      <w:tblPr>
        <w:tblW w:w="0" w:type="auto"/>
        <w:jc w:val="left"/>
        <w:tblInd w:w="1134" w:type="dxa"/>
        <w:tblLayout w:type="fixed"/>
        <w:tblCellMar>
          <w:top w:w="0" w:type="dxa"/>
          <w:left w:w="0" w:type="dxa"/>
          <w:bottom w:w="0" w:type="dxa"/>
          <w:right w:w="0" w:type="dxa"/>
        </w:tblCellMar>
        <w:tblLook w:val="01E0"/>
      </w:tblPr>
      <w:tblGrid>
        <w:gridCol w:w="2824"/>
        <w:gridCol w:w="1470"/>
        <w:gridCol w:w="1153"/>
        <w:gridCol w:w="1261"/>
        <w:gridCol w:w="1199"/>
      </w:tblGrid>
      <w:tr>
        <w:trPr>
          <w:trHeight w:val="349" w:hRule="exact"/>
        </w:trPr>
        <w:tc>
          <w:tcPr>
            <w:tcW w:w="2824" w:type="dxa"/>
            <w:tcBorders>
              <w:top w:val="single" w:sz="6" w:space="0" w:color="000000"/>
              <w:left w:val="nil" w:sz="6" w:space="0" w:color="auto"/>
              <w:bottom w:val="nil" w:sz="6" w:space="0" w:color="auto"/>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种</w:t>
            </w:r>
            <w:r>
              <w:rPr>
                <w:rFonts w:ascii="宋体" w:hAnsi="宋体" w:cs="宋体" w:eastAsia="宋体" w:hint="default"/>
                <w:b/>
                <w:bCs/>
                <w:spacing w:val="73"/>
                <w:sz w:val="21"/>
                <w:szCs w:val="21"/>
              </w:rPr>
              <w:t> </w:t>
            </w:r>
            <w:r>
              <w:rPr>
                <w:rFonts w:ascii="宋体" w:hAnsi="宋体" w:cs="宋体" w:eastAsia="宋体" w:hint="default"/>
                <w:b/>
                <w:bCs/>
                <w:sz w:val="21"/>
                <w:szCs w:val="21"/>
              </w:rPr>
              <w:t>类</w:t>
            </w:r>
            <w:r>
              <w:rPr>
                <w:rFonts w:ascii="宋体" w:hAnsi="宋体" w:cs="宋体" w:eastAsia="宋体" w:hint="default"/>
                <w:sz w:val="21"/>
                <w:szCs w:val="21"/>
              </w:rPr>
            </w:r>
          </w:p>
        </w:tc>
        <w:tc>
          <w:tcPr>
            <w:tcW w:w="1470" w:type="dxa"/>
            <w:tcBorders>
              <w:top w:val="single" w:sz="6" w:space="0" w:color="000000"/>
              <w:left w:val="nil" w:sz="6" w:space="0" w:color="auto"/>
              <w:bottom w:val="single" w:sz="8" w:space="0" w:color="000000"/>
              <w:right w:val="nil" w:sz="6" w:space="0" w:color="auto"/>
            </w:tcBorders>
          </w:tcPr>
          <w:p>
            <w:pPr/>
          </w:p>
        </w:tc>
        <w:tc>
          <w:tcPr>
            <w:tcW w:w="2414" w:type="dxa"/>
            <w:gridSpan w:val="2"/>
            <w:tcBorders>
              <w:top w:val="single" w:sz="6" w:space="0" w:color="000000"/>
              <w:left w:val="nil" w:sz="6" w:space="0" w:color="auto"/>
              <w:bottom w:val="single" w:sz="8" w:space="0" w:color="000000"/>
              <w:right w:val="nil" w:sz="6" w:space="0" w:color="auto"/>
            </w:tcBorders>
          </w:tcPr>
          <w:p>
            <w:pPr>
              <w:pStyle w:val="TableParagraph"/>
              <w:spacing w:line="270" w:lineRule="exact"/>
              <w:ind w:left="75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199"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2824" w:type="dxa"/>
            <w:tcBorders>
              <w:top w:val="nil" w:sz="6" w:space="0" w:color="auto"/>
              <w:left w:val="nil" w:sz="6" w:space="0" w:color="auto"/>
              <w:bottom w:val="single" w:sz="8" w:space="0" w:color="000000"/>
              <w:right w:val="nil" w:sz="6" w:space="0" w:color="auto"/>
            </w:tcBorders>
          </w:tcPr>
          <w:p>
            <w:pP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84"/>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7"/>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1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19"/>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82" w:lineRule="exact"/>
              <w:ind w:right="83"/>
              <w:jc w:val="right"/>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9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r>
        <w:trPr>
          <w:trHeight w:val="347" w:hRule="exact"/>
        </w:trPr>
        <w:tc>
          <w:tcPr>
            <w:tcW w:w="2824"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：应收员工备用金等</w:t>
            </w: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84"/>
              <w:jc w:val="right"/>
              <w:rPr>
                <w:rFonts w:ascii="Times New Roman" w:hAnsi="Times New Roman" w:cs="Times New Roman" w:eastAsia="Times New Roman" w:hint="default"/>
                <w:sz w:val="21"/>
                <w:szCs w:val="21"/>
              </w:rPr>
            </w:pPr>
            <w:r>
              <w:rPr>
                <w:rFonts w:ascii="Times New Roman"/>
                <w:sz w:val="21"/>
              </w:rPr>
              <w:t>83,153.69</w:t>
            </w:r>
          </w:p>
        </w:tc>
        <w:tc>
          <w:tcPr>
            <w:tcW w:w="1153"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2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9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1"/>
                <w:szCs w:val="21"/>
              </w:rPr>
            </w:pPr>
            <w:r>
              <w:rPr>
                <w:rFonts w:ascii="Times New Roman"/>
                <w:sz w:val="21"/>
              </w:rPr>
              <w:t>83,153.69</w:t>
            </w:r>
          </w:p>
        </w:tc>
      </w:tr>
      <w:tr>
        <w:trPr>
          <w:trHeight w:val="347" w:hRule="exact"/>
        </w:trPr>
        <w:tc>
          <w:tcPr>
            <w:tcW w:w="2824"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：应收保证金</w:t>
            </w: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85"/>
              <w:jc w:val="right"/>
              <w:rPr>
                <w:rFonts w:ascii="Times New Roman" w:hAnsi="Times New Roman" w:cs="Times New Roman" w:eastAsia="Times New Roman" w:hint="default"/>
                <w:sz w:val="21"/>
                <w:szCs w:val="21"/>
              </w:rPr>
            </w:pPr>
            <w:r>
              <w:rPr>
                <w:rFonts w:ascii="Times New Roman"/>
                <w:spacing w:val="-1"/>
                <w:sz w:val="21"/>
              </w:rPr>
              <w:t>6,662,762.46</w:t>
            </w:r>
          </w:p>
        </w:tc>
        <w:tc>
          <w:tcPr>
            <w:tcW w:w="1153"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2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9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pacing w:val="-1"/>
                <w:sz w:val="21"/>
              </w:rPr>
              <w:t>6,662,762.46</w:t>
            </w:r>
          </w:p>
        </w:tc>
      </w:tr>
      <w:tr>
        <w:trPr>
          <w:trHeight w:val="348" w:hRule="exact"/>
        </w:trPr>
        <w:tc>
          <w:tcPr>
            <w:tcW w:w="282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85"/>
              <w:jc w:val="right"/>
              <w:rPr>
                <w:rFonts w:ascii="Times New Roman" w:hAnsi="Times New Roman" w:cs="Times New Roman" w:eastAsia="Times New Roman" w:hint="default"/>
                <w:sz w:val="21"/>
                <w:szCs w:val="21"/>
              </w:rPr>
            </w:pPr>
            <w:r>
              <w:rPr>
                <w:rFonts w:ascii="Times New Roman"/>
                <w:b/>
                <w:spacing w:val="-1"/>
                <w:sz w:val="21"/>
              </w:rPr>
              <w:t>6,745,916.15</w:t>
            </w:r>
            <w:r>
              <w:rPr>
                <w:rFonts w:ascii="Times New Roman"/>
                <w:spacing w:val="-1"/>
                <w:sz w:val="21"/>
              </w:rPr>
            </w:r>
          </w:p>
        </w:tc>
        <w:tc>
          <w:tcPr>
            <w:tcW w:w="1153" w:type="dxa"/>
            <w:tcBorders>
              <w:top w:val="single" w:sz="8" w:space="0" w:color="000000"/>
              <w:left w:val="nil" w:sz="6" w:space="0" w:color="auto"/>
              <w:bottom w:val="single" w:sz="8" w:space="0" w:color="000000"/>
              <w:right w:val="nil" w:sz="6" w:space="0" w:color="auto"/>
            </w:tcBorders>
          </w:tcPr>
          <w:p>
            <w:pPr/>
          </w:p>
        </w:tc>
        <w:tc>
          <w:tcPr>
            <w:tcW w:w="1261" w:type="dxa"/>
            <w:tcBorders>
              <w:top w:val="single" w:sz="8" w:space="0" w:color="000000"/>
              <w:left w:val="nil" w:sz="6" w:space="0" w:color="auto"/>
              <w:bottom w:val="single" w:sz="8" w:space="0" w:color="000000"/>
              <w:right w:val="nil" w:sz="6" w:space="0" w:color="auto"/>
            </w:tcBorders>
          </w:tcPr>
          <w:p>
            <w:pPr/>
          </w:p>
        </w:tc>
        <w:tc>
          <w:tcPr>
            <w:tcW w:w="1199"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9"/>
              <w:jc w:val="right"/>
              <w:rPr>
                <w:rFonts w:ascii="Times New Roman" w:hAnsi="Times New Roman" w:cs="Times New Roman" w:eastAsia="Times New Roman" w:hint="default"/>
                <w:sz w:val="21"/>
                <w:szCs w:val="21"/>
              </w:rPr>
            </w:pPr>
            <w:r>
              <w:rPr>
                <w:rFonts w:ascii="Times New Roman"/>
                <w:b/>
                <w:spacing w:val="-1"/>
                <w:sz w:val="21"/>
              </w:rPr>
              <w:t>6,745,916.15</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40"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505,098.18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300" w:space="1530"/>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73" w:lineRule="auto" w:before="86"/>
        <w:ind w:left="1134" w:right="0"/>
        <w:jc w:val="left"/>
      </w:pPr>
      <w:r>
        <w:rPr>
          <w:spacing w:val="-1"/>
        </w:rPr>
        <w:t>本报告期不存在以前年度已全额计提坏账准备，或计提坏账准备的比例较大，但在本报告期内又全额收回</w:t>
      </w:r>
      <w:r>
        <w:rPr>
          <w:spacing w:val="-81"/>
        </w:rPr>
        <w:t> </w:t>
      </w:r>
      <w:r>
        <w:rPr>
          <w:spacing w:val="-81"/>
        </w:rPr>
      </w:r>
      <w:r>
        <w:rPr/>
        <w:t>或转回的情况。</w:t>
      </w:r>
    </w:p>
    <w:p>
      <w:pPr>
        <w:spacing w:line="240" w:lineRule="auto" w:before="6"/>
        <w:rPr>
          <w:rFonts w:ascii="宋体" w:hAnsi="宋体" w:cs="宋体" w:eastAsia="宋体" w:hint="default"/>
          <w:sz w:val="23"/>
          <w:szCs w:val="23"/>
        </w:rPr>
      </w:pPr>
    </w:p>
    <w:p>
      <w:pPr>
        <w:pStyle w:val="Heading4"/>
        <w:spacing w:line="240" w:lineRule="auto"/>
        <w:ind w:left="1134" w:right="0"/>
        <w:jc w:val="left"/>
        <w:rPr>
          <w:b w:val="0"/>
          <w:bCs w:val="0"/>
        </w:rPr>
      </w:pPr>
      <w:bookmarkStart w:name="（3）本期实际核销的其他应收款情况" w:id="236"/>
      <w:bookmarkEnd w:id="23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152"/>
        <w:ind w:left="1134" w:right="0"/>
        <w:jc w:val="left"/>
        <w:rPr>
          <w:rFonts w:ascii="Times New Roman" w:hAnsi="Times New Roman" w:cs="Times New Roman" w:eastAsia="Times New Roman" w:hint="default"/>
        </w:rPr>
      </w:pPr>
      <w:r>
        <w:rPr/>
        <w:t>本报告期无实际核销的其他应收款</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sectPr>
      </w:pPr>
    </w:p>
    <w:p>
      <w:pPr>
        <w:spacing w:line="240" w:lineRule="auto" w:before="2"/>
        <w:rPr>
          <w:rFonts w:ascii="Times New Roman" w:hAnsi="Times New Roman" w:cs="Times New Roman" w:eastAsia="Times New Roman" w:hint="default"/>
          <w:sz w:val="28"/>
          <w:szCs w:val="28"/>
        </w:rPr>
      </w:pPr>
      <w:r>
        <w:rPr/>
        <w:pict>
          <v:group style="position:absolute;margin-left:375.820007pt;margin-top:407.149994pt;width:78.1pt;height:20.8pt;mso-position-horizontal-relative:page;mso-position-vertical-relative:page;z-index:-924976" coordorigin="7516,8143" coordsize="1562,416">
            <v:group style="position:absolute;left:7528;top:8154;width:2;height:393" coordorigin="7528,8154" coordsize="2,393">
              <v:shape style="position:absolute;left:7528;top:8154;width:2;height:393" coordorigin="7528,8154" coordsize="0,393" path="m7528,8154l7528,8547e" filled="false" stroked="true" strokeweight="1.140pt" strokecolor="#ffffff">
                <v:path arrowok="t"/>
              </v:shape>
            </v:group>
            <v:group style="position:absolute;left:7539;top:8154;width:1539;height:393" coordorigin="7539,8154" coordsize="1539,393">
              <v:shape style="position:absolute;left:7539;top:8154;width:1539;height:393" coordorigin="7539,8154" coordsize="1539,393" path="m7539,8547l9078,8547,9078,8154,7539,8154,7539,8547xe" filled="true" fillcolor="#ffffff" stroked="false">
                <v:path arrowok="t"/>
                <v:fill type="solid"/>
              </v:shape>
            </v:group>
            <w10:wrap type="none"/>
          </v:group>
        </w:pict>
      </w:r>
    </w:p>
    <w:p>
      <w:pPr>
        <w:pStyle w:val="Heading4"/>
        <w:spacing w:line="240" w:lineRule="auto" w:before="35"/>
        <w:ind w:right="0"/>
        <w:jc w:val="left"/>
        <w:rPr>
          <w:b w:val="0"/>
          <w:bCs w:val="0"/>
        </w:rPr>
      </w:pPr>
      <w:bookmarkStart w:name="（4）其他应收款按款项性质分类情况" w:id="237"/>
      <w:bookmarkEnd w:id="23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6,662,762.46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11,552,905.60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1,867,625.49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505,963.20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83,153.69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8,613,541.64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12,058,868.80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238"/>
      <w:bookmarkEnd w:id="23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375.820007pt;margin-top:55.371704pt;width:79.25pt;height:28pt;mso-position-horizontal-relative:page;mso-position-vertical-relative:paragraph;z-index:-925000" coordorigin="7516,1107" coordsize="1585,560">
            <v:group style="position:absolute;left:7516;top:1107;width:1585;height:156" coordorigin="7516,1107" coordsize="1585,156">
              <v:shape style="position:absolute;left:7516;top:1107;width:1585;height:156" coordorigin="7516,1107" coordsize="1585,156" path="m7516,1263l9101,1263,9101,1107,7516,1107,7516,1263xe" filled="true" fillcolor="#ffffff" stroked="false">
                <v:path arrowok="t"/>
                <v:fill type="solid"/>
              </v:shape>
            </v:group>
            <v:group style="position:absolute;left:7528;top:1263;width:2;height:393" coordorigin="7528,1263" coordsize="2,393">
              <v:shape style="position:absolute;left:7528;top:1263;width:2;height:393" coordorigin="7528,1263" coordsize="0,393" path="m7528,1263l7528,1656e" filled="false" stroked="true" strokeweight="1.140pt" strokecolor="#ffffff">
                <v:path arrowok="t"/>
              </v:shape>
            </v:group>
            <v:group style="position:absolute;left:7539;top:1263;width:1539;height:393" coordorigin="7539,1263" coordsize="1539,393">
              <v:shape style="position:absolute;left:7539;top:1263;width:1539;height:393" coordorigin="7539,1263" coordsize="1539,393" path="m7539,1656l9078,1656,9078,1263,7539,1263,7539,1656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538"/>
        <w:gridCol w:w="1059"/>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四川启明星蜀达电 气有限公司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297,400.00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558,000.00</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442,700.00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上海通翌招标代理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670,000.00</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宁波三维电测设备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298,800.00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300,000.00</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5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甘肃科源工程技术 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370,000.00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8,000.00</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5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贵州电网有限责任 公司物流服务中心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74"/>
                <w:sz w:val="18"/>
                <w:szCs w:val="18"/>
              </w:rPr>
              <w:t> </w:t>
            </w:r>
            <w:r>
              <w:rPr>
                <w:rFonts w:ascii="宋体" w:hAnsi="宋体" w:cs="宋体" w:eastAsia="宋体" w:hint="default"/>
                <w:sz w:val="18"/>
                <w:szCs w:val="18"/>
              </w:rPr>
              <w:t>：</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250,000.00</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2,782,200.00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32.30%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502,700.00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r>
        <w:rPr/>
        <w:pict>
          <v:group style="position:absolute;margin-left:375.820007pt;margin-top:-104.636337pt;width:78.1pt;height:20.8pt;mso-position-horizontal-relative:page;mso-position-vertical-relative:paragraph;z-index:-924952" coordorigin="7516,-2093" coordsize="1562,416">
            <v:group style="position:absolute;left:7528;top:-2081;width:2;height:393" coordorigin="7528,-2081" coordsize="2,393">
              <v:shape style="position:absolute;left:7528;top:-2081;width:2;height:393" coordorigin="7528,-2081" coordsize="0,393" path="m7528,-2081l7528,-1689e" filled="false" stroked="true" strokeweight="1.140pt" strokecolor="#ffffff">
                <v:path arrowok="t"/>
              </v:shape>
            </v:group>
            <v:group style="position:absolute;left:7539;top:-2081;width:1539;height:393" coordorigin="7539,-2081" coordsize="1539,393">
              <v:shape style="position:absolute;left:7539;top:-2081;width:1539;height:393" coordorigin="7539,-2081" coordsize="1539,393" path="m7539,-1689l9078,-1689,9078,-2081,7539,-2081,7539,-1689xe" filled="true" fillcolor="#ffffff" stroked="false">
                <v:path arrowok="t"/>
                <v:fill type="solid"/>
              </v:shape>
            </v:group>
            <w10:wrap type="none"/>
          </v:group>
        </w:pict>
      </w:r>
      <w:bookmarkStart w:name="（6）涉及政府补助的应收款项" w:id="239"/>
      <w:bookmarkEnd w:id="23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7）因金融资产转移而终止确认的其他应收款" w:id="240"/>
      <w:bookmarkEnd w:id="24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转移其他应收款且继续涉入形成的资产、负债金额" w:id="241"/>
      <w:bookmarkEnd w:id="24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98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20"/>
          <w:szCs w:val="20"/>
        </w:rPr>
      </w:pPr>
    </w:p>
    <w:p>
      <w:pPr>
        <w:pStyle w:val="Heading4"/>
        <w:spacing w:line="240" w:lineRule="auto"/>
        <w:ind w:left="1134" w:right="0"/>
        <w:jc w:val="left"/>
        <w:rPr>
          <w:b w:val="0"/>
          <w:bCs w:val="0"/>
        </w:rPr>
      </w:pPr>
      <w:bookmarkStart w:name="7、存货" w:id="242"/>
      <w:bookmarkEnd w:id="242"/>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存货分类" w:id="243"/>
      <w:bookmarkEnd w:id="24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20,462,393.22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1,816,602.41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18,645,790.81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5,549,205.15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5,549,205.15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9,040,710.02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9,040,710.02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576,292.88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576,292.88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21,395,910.43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1,551,164.20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19,844,746.23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14,432,052.69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14,432,052.69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24,044.09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24,044.09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434,236.70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434,236.70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11,091,469.15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11,091,469.15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566,446.11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566,446.11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62,014,526.91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3,367,766.61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58,646,760.30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21,558,233.53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21,558,233.53</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存货跌价准备" w:id="244"/>
      <w:bookmarkEnd w:id="24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1,864,683.30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50,530.93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1,816,602.41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412,138.06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1,210,038.27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71,012.13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1,551,164.20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414,588.10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3,074,721.57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121,543.06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3,367,766.61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Heading4"/>
        <w:tabs>
          <w:tab w:pos="3321" w:val="left" w:leader="none"/>
        </w:tabs>
        <w:spacing w:line="260" w:lineRule="exact"/>
        <w:ind w:left="0" w:right="0"/>
        <w:jc w:val="right"/>
        <w:rPr>
          <w:b w:val="0"/>
          <w:bCs w:val="0"/>
        </w:rPr>
      </w:pPr>
      <w:r>
        <w:rPr>
          <w:w w:val="95"/>
        </w:rPr>
        <w:t>存货种类</w:t>
        <w:tab/>
        <w:t>确定可变现净值的</w:t>
      </w:r>
      <w:r>
        <w:rPr>
          <w:b w:val="0"/>
          <w:bCs w:val="0"/>
        </w:rPr>
      </w:r>
    </w:p>
    <w:p>
      <w:pPr>
        <w:pStyle w:val="Heading4"/>
        <w:spacing w:line="240" w:lineRule="auto" w:before="37"/>
        <w:ind w:left="0" w:right="0"/>
        <w:jc w:val="right"/>
        <w:rPr>
          <w:b w:val="0"/>
          <w:bCs w:val="0"/>
        </w:rPr>
      </w:pPr>
      <w:r>
        <w:rPr/>
        <w:t>具体依据</w:t>
      </w:r>
      <w:r>
        <w:rPr>
          <w:b w:val="0"/>
          <w:bCs w:val="0"/>
        </w:rPr>
      </w:r>
    </w:p>
    <w:p>
      <w:pPr>
        <w:pStyle w:val="BodyText"/>
        <w:tabs>
          <w:tab w:pos="3380" w:val="left" w:leader="none"/>
        </w:tabs>
        <w:spacing w:line="273" w:lineRule="auto" w:before="67"/>
        <w:ind w:left="3380" w:right="138" w:hanging="2235"/>
        <w:jc w:val="both"/>
      </w:pPr>
      <w:r>
        <w:rPr/>
        <w:pict>
          <v:group style="position:absolute;margin-left:56.220001pt;margin-top:3.133673pt;width:417.55pt;height:1pt;mso-position-horizontal-relative:page;mso-position-vertical-relative:paragraph;z-index:-924904" coordorigin="1124,63" coordsize="8351,20">
            <v:group style="position:absolute;left:1134;top:72;width:2236;height:2" coordorigin="1134,72" coordsize="2236,2">
              <v:shape style="position:absolute;left:1134;top:72;width:2236;height:2" coordorigin="1134,72" coordsize="2236,0" path="m1134,72l3370,72e" filled="false" stroked="true" strokeweight=".96pt" strokecolor="#000000">
                <v:path arrowok="t"/>
              </v:shape>
            </v:group>
            <v:group style="position:absolute;left:3370;top:72;width:20;height:2" coordorigin="3370,72" coordsize="20,2">
              <v:shape style="position:absolute;left:3370;top:72;width:20;height:2" coordorigin="3370,72" coordsize="20,0" path="m3370,72l3389,72e" filled="false" stroked="true" strokeweight=".96pt" strokecolor="#000000">
                <v:path arrowok="t"/>
              </v:shape>
            </v:group>
            <v:group style="position:absolute;left:3389;top:72;width:2959;height:2" coordorigin="3389,72" coordsize="2959,2">
              <v:shape style="position:absolute;left:3389;top:72;width:2959;height:2" coordorigin="3389,72" coordsize="2959,0" path="m3389,72l6348,72e" filled="false" stroked="true" strokeweight=".96pt" strokecolor="#000000">
                <v:path arrowok="t"/>
              </v:shape>
            </v:group>
            <v:group style="position:absolute;left:6348;top:72;width:20;height:2" coordorigin="6348,72" coordsize="20,2">
              <v:shape style="position:absolute;left:6348;top:72;width:20;height:2" coordorigin="6348,72" coordsize="20,0" path="m6348,72l6367,72e" filled="false" stroked="true" strokeweight=".96pt" strokecolor="#000000">
                <v:path arrowok="t"/>
              </v:shape>
            </v:group>
            <v:group style="position:absolute;left:6367;top:72;width:3099;height:2" coordorigin="6367,72" coordsize="3099,2">
              <v:shape style="position:absolute;left:6367;top:72;width:3099;height:2" coordorigin="6367,72" coordsize="3099,0" path="m6367,72l9466,72e" filled="false" stroked="true" strokeweight=".96pt" strokecolor="#000000">
                <v:path arrowok="t"/>
              </v:shape>
            </v:group>
            <w10:wrap type="none"/>
          </v:group>
        </w:pict>
      </w:r>
      <w:r>
        <w:rPr/>
        <w:t>原材料</w:t>
        <w:tab/>
      </w:r>
      <w:r>
        <w:rPr>
          <w:spacing w:val="6"/>
        </w:rPr>
        <w:t>估计的售价减去至完工时估计</w:t>
      </w:r>
      <w:r>
        <w:rPr/>
        <w:t> </w:t>
      </w:r>
      <w:r>
        <w:rPr>
          <w:spacing w:val="6"/>
        </w:rPr>
        <w:t>将要发生的成本、估计的销售</w:t>
      </w:r>
      <w:r>
        <w:rPr/>
        <w:t> 费用及相关税费</w:t>
      </w:r>
    </w:p>
    <w:p>
      <w:pPr>
        <w:pStyle w:val="BodyText"/>
        <w:tabs>
          <w:tab w:pos="3380" w:val="left" w:leader="none"/>
        </w:tabs>
        <w:spacing w:line="273" w:lineRule="auto" w:before="37"/>
        <w:ind w:left="3380" w:right="138" w:hanging="2238"/>
        <w:jc w:val="both"/>
      </w:pPr>
      <w:r>
        <w:rPr/>
        <w:pict>
          <v:group style="position:absolute;margin-left:56.220001pt;margin-top:1.63367pt;width:417.55pt;height:1pt;mso-position-horizontal-relative:page;mso-position-vertical-relative:paragraph;z-index:-924880" coordorigin="1124,33" coordsize="8351,20">
            <v:group style="position:absolute;left:1134;top:42;width:2236;height:2" coordorigin="1134,42" coordsize="2236,2">
              <v:shape style="position:absolute;left:1134;top:42;width:2236;height:2" coordorigin="1134,42" coordsize="2236,0" path="m1134,42l3370,42e" filled="false" stroked="true" strokeweight=".96pt" strokecolor="#000000">
                <v:path arrowok="t"/>
              </v:shape>
            </v:group>
            <v:group style="position:absolute;left:3370;top:42;width:20;height:2" coordorigin="3370,42" coordsize="20,2">
              <v:shape style="position:absolute;left:3370;top:42;width:20;height:2" coordorigin="3370,42" coordsize="20,0" path="m3370,42l3389,42e" filled="false" stroked="true" strokeweight=".96pt" strokecolor="#000000">
                <v:path arrowok="t"/>
              </v:shape>
            </v:group>
            <v:group style="position:absolute;left:3389;top:42;width:2959;height:2" coordorigin="3389,42" coordsize="2959,2">
              <v:shape style="position:absolute;left:3389;top:42;width:2959;height:2" coordorigin="3389,42" coordsize="2959,0" path="m3389,42l6348,42e" filled="false" stroked="true" strokeweight=".96pt" strokecolor="#000000">
                <v:path arrowok="t"/>
              </v:shape>
            </v:group>
            <v:group style="position:absolute;left:6348;top:42;width:20;height:2" coordorigin="6348,42" coordsize="20,2">
              <v:shape style="position:absolute;left:6348;top:42;width:20;height:2" coordorigin="6348,42" coordsize="20,0" path="m6348,42l6367,42e" filled="false" stroked="true" strokeweight=".96pt" strokecolor="#000000">
                <v:path arrowok="t"/>
              </v:shape>
            </v:group>
            <v:group style="position:absolute;left:6367;top:42;width:3099;height:2" coordorigin="6367,42" coordsize="3099,2">
              <v:shape style="position:absolute;left:6367;top:42;width:3099;height:2" coordorigin="6367,42" coordsize="3099,0" path="m6367,42l9466,42e" filled="false" stroked="true" strokeweight=".96pt" strokecolor="#000000">
                <v:path arrowok="t"/>
              </v:shape>
            </v:group>
            <w10:wrap type="none"/>
          </v:group>
        </w:pict>
      </w:r>
      <w:r>
        <w:rPr/>
        <w:t>库存商品</w:t>
        <w:tab/>
      </w:r>
      <w:r>
        <w:rPr>
          <w:spacing w:val="6"/>
        </w:rPr>
        <w:t>估计的售价减去估计的销售费</w:t>
      </w:r>
      <w:r>
        <w:rPr/>
        <w:t> 用及相关税费</w:t>
      </w:r>
    </w:p>
    <w:p>
      <w:pPr>
        <w:pStyle w:val="Heading4"/>
        <w:spacing w:line="260" w:lineRule="exact"/>
        <w:ind w:left="1143" w:right="0" w:firstLine="422"/>
        <w:jc w:val="left"/>
        <w:rPr>
          <w:b w:val="0"/>
          <w:bCs w:val="0"/>
        </w:rPr>
      </w:pPr>
      <w:r>
        <w:rPr>
          <w:b w:val="0"/>
          <w:bCs w:val="0"/>
        </w:rPr>
        <w:br w:type="column"/>
      </w:r>
      <w:r>
        <w:rPr/>
        <w:t>本期转回或转销</w:t>
      </w:r>
      <w:r>
        <w:rPr>
          <w:b w:val="0"/>
          <w:bCs w:val="0"/>
        </w:rPr>
      </w:r>
    </w:p>
    <w:p>
      <w:pPr>
        <w:pStyle w:val="Heading4"/>
        <w:spacing w:line="240" w:lineRule="auto" w:before="37"/>
        <w:ind w:left="1143" w:right="0"/>
        <w:jc w:val="left"/>
        <w:rPr>
          <w:b w:val="0"/>
          <w:bCs w:val="0"/>
        </w:rPr>
      </w:pPr>
      <w:r>
        <w:rPr/>
        <w:t>存货跌价准备的原因</w:t>
      </w:r>
      <w:r>
        <w:rPr>
          <w:b w:val="0"/>
          <w:bCs w:val="0"/>
        </w:rPr>
      </w:r>
    </w:p>
    <w:p>
      <w:pPr>
        <w:pStyle w:val="BodyText"/>
        <w:spacing w:line="240" w:lineRule="auto" w:before="67"/>
        <w:ind w:left="2182" w:right="2430"/>
        <w:jc w:val="center"/>
      </w:pPr>
      <w:r>
        <w:rPr/>
        <w:t>生产销售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182" w:right="2430"/>
        <w:jc w:val="center"/>
      </w:pPr>
      <w:r>
        <w:rPr/>
        <w:t>对外销售</w:t>
      </w:r>
    </w:p>
    <w:p>
      <w:pPr>
        <w:spacing w:after="0" w:line="240" w:lineRule="auto"/>
        <w:jc w:val="center"/>
        <w:sectPr>
          <w:type w:val="continuous"/>
          <w:pgSz w:w="11910" w:h="16840"/>
          <w:pgMar w:top="1060" w:bottom="1160" w:left="0" w:right="0"/>
          <w:cols w:num="2" w:equalWidth="0">
            <w:col w:w="6340" w:space="74"/>
            <w:col w:w="5496"/>
          </w:cols>
        </w:sectPr>
      </w:pPr>
    </w:p>
    <w:p>
      <w:pPr>
        <w:spacing w:line="240" w:lineRule="auto" w:before="7"/>
        <w:rPr>
          <w:rFonts w:ascii="宋体" w:hAnsi="宋体" w:cs="宋体" w:eastAsia="宋体" w:hint="default"/>
          <w:sz w:val="2"/>
          <w:szCs w:val="2"/>
        </w:rPr>
      </w:pPr>
    </w:p>
    <w:p>
      <w:pPr>
        <w:spacing w:line="20" w:lineRule="exact"/>
        <w:ind w:left="1110" w:right="0" w:firstLine="0"/>
        <w:rPr>
          <w:rFonts w:ascii="宋体" w:hAnsi="宋体" w:cs="宋体" w:eastAsia="宋体" w:hint="default"/>
          <w:sz w:val="2"/>
          <w:szCs w:val="2"/>
        </w:rPr>
      </w:pPr>
      <w:r>
        <w:rPr>
          <w:rFonts w:ascii="宋体" w:hAnsi="宋体" w:cs="宋体" w:eastAsia="宋体" w:hint="default"/>
          <w:sz w:val="2"/>
          <w:szCs w:val="2"/>
        </w:rPr>
        <w:pict>
          <v:group style="width:418.3pt;height:1pt;mso-position-horizontal-relative:char;mso-position-vertical-relative:line" coordorigin="0,0" coordsize="8366,20">
            <v:group style="position:absolute;left:10;top:10;width:2251;height:2" coordorigin="10,10" coordsize="2251,2">
              <v:shape style="position:absolute;left:10;top:10;width:2251;height:2" coordorigin="10,10" coordsize="2251,0" path="m10,10l2260,10e" filled="false" stroked="true" strokeweight=".96pt" strokecolor="#000000">
                <v:path arrowok="t"/>
              </v:shape>
            </v:group>
            <v:group style="position:absolute;left:2246;top:10;width:20;height:2" coordorigin="2246,10" coordsize="20,2">
              <v:shape style="position:absolute;left:2246;top:10;width:20;height:2" coordorigin="2246,10" coordsize="20,0" path="m2246,10l2265,10e" filled="false" stroked="true" strokeweight=".96pt" strokecolor="#000000">
                <v:path arrowok="t"/>
              </v:shape>
            </v:group>
            <v:group style="position:absolute;left:2265;top:10;width:2973;height:2" coordorigin="2265,10" coordsize="2973,2">
              <v:shape style="position:absolute;left:2265;top:10;width:2973;height:2" coordorigin="2265,10" coordsize="2973,0" path="m2265,10l5238,10e" filled="false" stroked="true" strokeweight=".96pt" strokecolor="#000000">
                <v:path arrowok="t"/>
              </v:shape>
            </v:group>
            <v:group style="position:absolute;left:5223;top:10;width:20;height:2" coordorigin="5223,10" coordsize="20,2">
              <v:shape style="position:absolute;left:5223;top:10;width:20;height:2" coordorigin="5223,10" coordsize="20,0" path="m5223,10l5242,10e" filled="false" stroked="true" strokeweight=".96pt" strokecolor="#000000">
                <v:path arrowok="t"/>
              </v:shape>
            </v:group>
            <v:group style="position:absolute;left:5242;top:10;width:3114;height:2" coordorigin="5242,10" coordsize="3114,2">
              <v:shape style="position:absolute;left:5242;top:10;width:3114;height:2" coordorigin="5242,10" coordsize="3114,0" path="m5242,10l8356,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5"/>
          <w:szCs w:val="5"/>
        </w:rPr>
      </w:pPr>
    </w:p>
    <w:p>
      <w:pPr>
        <w:pStyle w:val="BodyText"/>
        <w:spacing w:line="256" w:lineRule="auto" w:before="35"/>
        <w:ind w:left="1134" w:right="0"/>
        <w:jc w:val="left"/>
      </w:pPr>
      <w:r>
        <w:rPr>
          <w:spacing w:val="-1"/>
        </w:rPr>
        <w:t>说明：存货跌价准备其他增加系</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月非同一控制下企业合并，被合并企业于购买日的存货跌价准备</w:t>
      </w:r>
      <w:r>
        <w:rPr>
          <w:spacing w:val="-80"/>
        </w:rPr>
        <w:t> </w:t>
      </w:r>
      <w:r>
        <w:rPr>
          <w:spacing w:val="-80"/>
        </w:rPr>
      </w:r>
      <w:r>
        <w:rPr/>
        <w:t>导致的增加。</w:t>
      </w:r>
    </w:p>
    <w:p>
      <w:pPr>
        <w:spacing w:after="0" w:line="256"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其他流动资产" w:id="245"/>
      <w:bookmarkEnd w:id="245"/>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24,451.15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21,869.88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18,986,321.03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56" w:lineRule="auto"/>
        <w:ind w:right="1034"/>
        <w:jc w:val="left"/>
      </w:pPr>
      <w:r>
        <w:rPr/>
        <w:t>理财产品余额系购买长江证券股份有限公司发行的</w:t>
      </w:r>
      <w:r>
        <w:rPr>
          <w:rFonts w:ascii="Times New Roman" w:hAnsi="Times New Roman" w:cs="Times New Roman" w:eastAsia="Times New Roman" w:hint="default"/>
        </w:rPr>
        <w:t>“</w:t>
      </w:r>
      <w:r>
        <w:rPr/>
        <w:t>长江证券收益凭证长江宝</w:t>
      </w:r>
      <w:r>
        <w:rPr>
          <w:rFonts w:ascii="Times New Roman" w:hAnsi="Times New Roman" w:cs="Times New Roman" w:eastAsia="Times New Roman" w:hint="default"/>
        </w:rPr>
        <w:t>79</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本金保障型理财产品， 产品存续期为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日，固定收益率为</w:t>
      </w:r>
      <w:r>
        <w:rPr>
          <w:rFonts w:ascii="Times New Roman" w:hAnsi="Times New Roman" w:cs="Times New Roman" w:eastAsia="Times New Roman" w:hint="default"/>
        </w:rPr>
        <w:t>6.20%</w:t>
      </w:r>
      <w:r>
        <w:rPr/>
        <w:t>。</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9、可供出售金融资产" w:id="246"/>
      <w:bookmarkEnd w:id="246"/>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7"/>
      <w:bookmarkEnd w:id="24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成本计量的可供出售金融资产" w:id="248"/>
      <w:bookmarkEnd w:id="248"/>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杭州厚达 自动化系 统有限公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4.88%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报告期内可供出售金融资产减值的变动情况" w:id="249"/>
      <w:bookmarkEnd w:id="249"/>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4</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0、固定资产" w:id="251"/>
      <w:bookmarkEnd w:id="251"/>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252"/>
      <w:bookmarkEnd w:id="25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40,936,121.55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8,011,159.14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4,924,140.76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3,461,977.15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57,333,398.60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19,410,222.97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1,397,350.45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5,141,990.79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831,573.60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26,781,137.81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573,078.45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4,256,544.79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251,575.71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5,081,198.95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381,358.97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381,358.97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19,028,864.00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824,272.00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885,446.00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579,997.89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21,318,579.89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1,204,578.02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1,645,805.00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1,313,442.85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4,163,825.87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1,204,578.02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1,645,805.00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1,305,695.44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4,156,078.46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其他减</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7,747.41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60,346,344.52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8,203,931.57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8,420,326.55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2,980,107.90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79,950,710.54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8,708,837.98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5,008,450.58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3,809,702.49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2,673,430.41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20,200,421.46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2,277,299.34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1,161,204.14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1,129,076.46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462,229.34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5,029,809.28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2,277,299.34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1,161,204.14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1,129,076.46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462,229.34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5,029,809.28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1,144,812.18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1,563,514.75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1,239,213.37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3,947,540.30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1,144,812.18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1,563,514.75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1,239,213.37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3,947,540.30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10,986,137.32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5,024,842.54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3,375,264.20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1,896,446.38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21,282,690.44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49,360,207.20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3,179,089.03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5,045,062.35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1,083,661.52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58,668,020.10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32,227,283.57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3,002,708.56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1,114,438.27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788,546.74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37,132,977.14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暂时闲置的固定资产情况" w:id="253"/>
      <w:bookmarkEnd w:id="25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25,468,055.90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6,250,285.29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19,217,770.61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暂时闲置固定资产 系本公司思明工业 </w:t>
            </w:r>
            <w:r>
              <w:rPr>
                <w:rFonts w:ascii="宋体" w:hAnsi="宋体" w:cs="宋体" w:eastAsia="宋体" w:hint="default"/>
                <w:spacing w:val="-10"/>
                <w:sz w:val="18"/>
                <w:szCs w:val="18"/>
              </w:rPr>
              <w:t>园厂房，尚有部分楼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层未投入使用</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通过融资租赁租入的固定资产情况" w:id="254"/>
      <w:bookmarkEnd w:id="25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4）通过经营租赁租出的固定资产" w:id="255"/>
      <w:bookmarkEnd w:id="25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办妥产权证书的固定资产情况" w:id="256"/>
      <w:bookmarkEnd w:id="25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在建工程" w:id="257"/>
      <w:bookmarkEnd w:id="257"/>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建工程情况" w:id="258"/>
      <w:bookmarkEnd w:id="25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研发中心扩建项 目建设工程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1,076,174.36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1,076,174.36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1,076,174.36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1,076,174.36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在建工程项目本期变动情况" w:id="259"/>
      <w:bookmarkEnd w:id="25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研发中 心扩建 项目建 设工程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3,550,00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1,076,17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1,076,17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30.31%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3,550,00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1,076,17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1,076,17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4.36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计提在建工程减值准备情况" w:id="260"/>
      <w:bookmarkEnd w:id="26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无形资产" w:id="261"/>
      <w:bookmarkEnd w:id="261"/>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262"/>
      <w:bookmarkEnd w:id="26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6"/>
        <w:gridCol w:w="1196"/>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12" w:right="53" w:hanging="360"/>
              <w:jc w:val="left"/>
              <w:rPr>
                <w:rFonts w:ascii="宋体" w:hAnsi="宋体" w:cs="宋体" w:eastAsia="宋体" w:hint="default"/>
                <w:sz w:val="18"/>
                <w:szCs w:val="18"/>
              </w:rPr>
            </w:pPr>
            <w:r>
              <w:rPr>
                <w:rFonts w:ascii="宋体" w:hAnsi="宋体" w:cs="宋体" w:eastAsia="宋体" w:hint="default"/>
                <w:sz w:val="18"/>
                <w:szCs w:val="18"/>
              </w:rPr>
              <w:t>计算机软件著 作权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620,788.47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733,788.47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2,557,907.00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310,512.40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2,868,419.40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2,557,907.00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931,300.87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3,611,207.87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466,942.29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32,083.51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540,350.80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19,983.64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73,073.60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112,007.28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19,983.64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73,073.60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112,007.28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19,983.64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540,015.89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37,083.55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55,275.00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652,358.08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2,537,923.36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391,284.98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12,916.45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2,958,849.79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153,846.18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17,916.49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21,675.00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193,437.67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0.57%</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63"/>
      <w:bookmarkEnd w:id="26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left="1134" w:right="0"/>
        <w:jc w:val="left"/>
        <w:rPr>
          <w:b w:val="0"/>
          <w:bCs w:val="0"/>
        </w:rPr>
      </w:pPr>
      <w:bookmarkStart w:name="13、商誉" w:id="264"/>
      <w:bookmarkEnd w:id="264"/>
      <w:r>
        <w:rPr>
          <w:b w:val="0"/>
          <w:bCs w:val="0"/>
        </w:rPr>
      </w: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商誉账面原值" w:id="265"/>
      <w:bookmarkEnd w:id="26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2"/>
              <w:ind w:left="22" w:right="61"/>
              <w:jc w:val="left"/>
              <w:rPr>
                <w:rFonts w:ascii="Times New Roman" w:hAnsi="Times New Roman" w:cs="Times New Roman" w:eastAsia="Times New Roman" w:hint="default"/>
                <w:sz w:val="18"/>
                <w:szCs w:val="18"/>
              </w:rPr>
            </w:pPr>
            <w:r>
              <w:rPr>
                <w:rFonts w:ascii="Times New Roman"/>
                <w:sz w:val="18"/>
              </w:rPr>
              <w:t>RED</w:t>
            </w:r>
            <w:r>
              <w:rPr>
                <w:rFonts w:ascii="Times New Roman"/>
                <w:spacing w:val="-1"/>
                <w:sz w:val="18"/>
              </w:rPr>
              <w:t> </w:t>
            </w:r>
            <w:r>
              <w:rPr>
                <w:rFonts w:ascii="Times New Roman"/>
                <w:sz w:val="18"/>
              </w:rPr>
              <w:t>PHASE</w:t>
            </w:r>
            <w:r>
              <w:rPr>
                <w:rFonts w:ascii="Times New Roman"/>
                <w:sz w:val="18"/>
              </w:rPr>
              <w:t> INSTRUMENTS</w:t>
            </w:r>
            <w:r>
              <w:rPr>
                <w:rFonts w:ascii="Times New Roman"/>
                <w:w w:val="99"/>
                <w:sz w:val="18"/>
              </w:rPr>
              <w:t> </w:t>
            </w:r>
            <w:r>
              <w:rPr>
                <w:rFonts w:ascii="Times New Roman"/>
                <w:sz w:val="18"/>
              </w:rPr>
              <w:t>AUSTRALIA</w:t>
            </w:r>
            <w:r>
              <w:rPr>
                <w:rFonts w:ascii="Times New Roman"/>
                <w:w w:val="99"/>
                <w:sz w:val="18"/>
              </w:rPr>
              <w:t> </w:t>
            </w:r>
            <w:r>
              <w:rPr>
                <w:rFonts w:ascii="Times New Roman"/>
                <w:spacing w:val="-6"/>
                <w:sz w:val="18"/>
              </w:rPr>
              <w:t>PTY.</w:t>
            </w:r>
            <w:r>
              <w:rPr>
                <w:rFonts w:ascii="Times New Roman"/>
                <w:sz w:val="18"/>
              </w:rPr>
              <w:t> </w:t>
            </w:r>
            <w:r>
              <w:rPr>
                <w:rFonts w:ascii="Times New Roman"/>
                <w:spacing w:val="-5"/>
                <w:sz w:val="18"/>
              </w:rPr>
              <w:t>LTD.</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4,099,176.90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4,099,176.90</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4,099,176.90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4,099,176.90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商誉减值准备" w:id="266"/>
      <w:bookmarkEnd w:id="26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66" w:lineRule="auto" w:before="89"/>
        <w:ind w:right="1117"/>
        <w:jc w:val="left"/>
      </w:pPr>
      <w:r>
        <w:rPr/>
        <w:t>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资产减值》第四条、第五条的相关规定，本公司对因非同一控制合并澳洲红相 </w:t>
      </w:r>
      <w:r>
        <w:rPr>
          <w:spacing w:val="-1"/>
        </w:rPr>
        <w:t>公司所形成的商誉进行减值测试。本公司进行逐项比对、核查测试，未发现澳洲红相公司（整体资产负债</w:t>
      </w:r>
      <w:r>
        <w:rPr>
          <w:spacing w:val="-86"/>
        </w:rPr>
        <w:t> </w:t>
      </w:r>
      <w:r>
        <w:rPr>
          <w:spacing w:val="-86"/>
        </w:rPr>
      </w:r>
      <w:r>
        <w:rPr>
          <w:spacing w:val="-1"/>
        </w:rPr>
        <w:t>作为一个资产组）存在任何表明资产可能已经发生减值的迹象，同时为了审慎起见，本公司还采用预计未</w:t>
      </w:r>
      <w:r>
        <w:rPr>
          <w:spacing w:val="-83"/>
        </w:rPr>
        <w:t> </w:t>
      </w:r>
      <w:r>
        <w:rPr>
          <w:spacing w:val="-83"/>
        </w:rPr>
      </w:r>
      <w:r>
        <w:rPr/>
        <w:t>来现金流现值的方法计算资产组的可收回金额。 本公司根据过往表现及对市场发展的预期预计未来</w:t>
      </w:r>
      <w:r>
        <w:rPr>
          <w:rFonts w:ascii="Times New Roman" w:hAnsi="Times New Roman" w:cs="Times New Roman" w:eastAsia="Times New Roman" w:hint="default"/>
        </w:rPr>
        <w:t>5</w:t>
      </w:r>
      <w:r>
        <w:rPr/>
        <w:t>年内现金流量，其后年度采用的现金流量增长率预计 </w:t>
      </w:r>
      <w:r>
        <w:rPr>
          <w:spacing w:val="-2"/>
        </w:rPr>
        <w:t>为</w:t>
      </w:r>
      <w:r>
        <w:rPr>
          <w:rFonts w:ascii="Times New Roman" w:hAnsi="Times New Roman" w:cs="Times New Roman" w:eastAsia="Times New Roman" w:hint="default"/>
          <w:spacing w:val="-2"/>
        </w:rPr>
        <w:t>0%</w:t>
      </w:r>
      <w:r>
        <w:rPr>
          <w:spacing w:val="-2"/>
        </w:rPr>
        <w:t>，不会超过资产组经营业务的长期平均增长率。计算未来现金流现值所采用的折现率时考虑了通货膨</w:t>
      </w:r>
      <w:r>
        <w:rPr/>
        <w:t> 胀率、无风险资本成本率、风险溢价等因素。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日，未发现需要对商誉计提减值准备的情况。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长期待摊费用" w:id="267"/>
      <w:bookmarkEnd w:id="267"/>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629,674.92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45,606.46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584,068.46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681,674.92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45,606.46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636,068.46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日，无一年内到期的长期待摊费用。</w:t>
      </w:r>
    </w:p>
    <w:p>
      <w:pPr>
        <w:spacing w:line="240" w:lineRule="auto" w:before="8"/>
        <w:rPr>
          <w:rFonts w:ascii="宋体" w:hAnsi="宋体" w:cs="宋体" w:eastAsia="宋体" w:hint="default"/>
          <w:sz w:val="24"/>
          <w:szCs w:val="24"/>
        </w:rPr>
      </w:pPr>
    </w:p>
    <w:p>
      <w:pPr>
        <w:pStyle w:val="Heading4"/>
        <w:spacing w:line="240" w:lineRule="auto"/>
        <w:ind w:left="1134" w:right="0"/>
        <w:jc w:val="left"/>
        <w:rPr>
          <w:b w:val="0"/>
          <w:bCs w:val="0"/>
        </w:rPr>
      </w:pPr>
      <w:bookmarkStart w:name="15、递延所得税资产/递延所得税负债" w:id="268"/>
      <w:bookmarkEnd w:id="268"/>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69"/>
      <w:bookmarkEnd w:id="26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34,376,929.38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5,157,809.40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19,261,435.80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2,897,917.48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2,995,407.90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449,311.18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6,391,254.93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958,688.24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20,636.74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86,355.93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25,906.78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94,788.38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28,436.51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100,598.87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30,179.66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已开票未确认收入暂时 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988,675.69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148,301.35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38,524,590.48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5,804,495.18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25,839,645.53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3,912,692.16</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经抵销的递延所得税负债" w:id="270"/>
      <w:bookmarkEnd w:id="27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18,161,688.71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2,724,253.31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18,161,688.71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2,724,253.31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以抵销后净额列示的递延所得税资产或负债" w:id="271"/>
      <w:bookmarkEnd w:id="27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5,804,495.18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3,912,692.16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2,724,253.31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未确认递延所得税资产明细" w:id="272"/>
      <w:bookmarkEnd w:id="27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-8,481,926.79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-6,218,357.13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-8,481,926.79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-6,218,357.13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确认递延所得税资产的可抵扣亏损将于以下年度到期" w:id="273"/>
      <w:bookmarkEnd w:id="27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-87,959.28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-87,959.28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-691,151.19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-691,151.19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-1,415,704.11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-1,415,704.11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-3,486,041.07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-3,486,041.07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-2,801,071.14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-537,501.48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7" w:right="0"/>
              <w:jc w:val="left"/>
              <w:rPr>
                <w:rFonts w:ascii="Times New Roman" w:hAnsi="Times New Roman" w:cs="Times New Roman" w:eastAsia="Times New Roman" w:hint="default"/>
                <w:sz w:val="18"/>
                <w:szCs w:val="18"/>
              </w:rPr>
            </w:pPr>
            <w:r>
              <w:rPr>
                <w:rFonts w:ascii="Times New Roman"/>
                <w:sz w:val="18"/>
              </w:rPr>
              <w:t>-8,481,926.79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4" w:right="0"/>
              <w:jc w:val="left"/>
              <w:rPr>
                <w:rFonts w:ascii="Times New Roman" w:hAnsi="Times New Roman" w:cs="Times New Roman" w:eastAsia="Times New Roman" w:hint="default"/>
                <w:sz w:val="18"/>
                <w:szCs w:val="18"/>
              </w:rPr>
            </w:pPr>
            <w:r>
              <w:rPr>
                <w:rFonts w:ascii="Times New Roman"/>
                <w:sz w:val="18"/>
              </w:rPr>
              <w:t>-6,218,357.13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其他非流动资产" w:id="274"/>
      <w:bookmarkEnd w:id="274"/>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3,781,712.00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3,781,712.00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7、短期借款" w:id="275"/>
      <w:bookmarkEnd w:id="275"/>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276"/>
      <w:bookmarkEnd w:id="27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已逾期未偿还的短期借款情况" w:id="277"/>
      <w:bookmarkEnd w:id="27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left="1134" w:right="0"/>
        <w:jc w:val="left"/>
        <w:rPr>
          <w:b w:val="0"/>
          <w:bCs w:val="0"/>
        </w:rPr>
      </w:pPr>
      <w:bookmarkStart w:name="18、衍生金融负债" w:id="278"/>
      <w:bookmarkEnd w:id="278"/>
      <w:r>
        <w:rPr>
          <w:b w:val="0"/>
          <w:bCs w:val="0"/>
        </w:rPr>
      </w:r>
      <w:r>
        <w:rPr>
          <w:rFonts w:ascii="Times New Roman" w:hAnsi="Times New Roman" w:cs="Times New Roman" w:eastAsia="Times New Roman" w:hint="default"/>
        </w:rPr>
        <w:t>18</w:t>
      </w:r>
      <w:r>
        <w:rPr/>
        <w:t>、衍生金融负债</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9、应付票据" w:id="279"/>
      <w:bookmarkEnd w:id="279"/>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0、应付账款" w:id="280"/>
      <w:bookmarkEnd w:id="280"/>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281"/>
      <w:bookmarkEnd w:id="28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货款及劳务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51,068,156.10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51,164,365.04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51,088,156.10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51,164,365.04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应付账款" w:id="282"/>
      <w:bookmarkEnd w:id="28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上海英孚特电子技术有限公司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1,282,800.80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1,282,800.80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预收款项" w:id="283"/>
      <w:bookmarkEnd w:id="283"/>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284"/>
      <w:bookmarkEnd w:id="28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11,923,775.53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5,848,979.16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11,923,775.53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5,848,979.16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预收款项" w:id="285"/>
      <w:bookmarkEnd w:id="28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建造合同形成的已结算未完工项目情况" w:id="286"/>
      <w:bookmarkEnd w:id="28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2、应付职工薪酬" w:id="287"/>
      <w:bookmarkEnd w:id="287"/>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职工薪酬列示" w:id="288"/>
      <w:bookmarkEnd w:id="28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6,545,063.69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46,259,168.71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38,205,288.26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14,598,944.14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59,972.98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2,889,426.14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2,730,401.03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218,998.09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40,387.00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6,605,036.67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49,188,981.85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40,976,076.29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14,817,942.23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短期薪酬列示" w:id="289"/>
      <w:bookmarkEnd w:id="28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6,537,936.51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37,995,930.52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33,097,326.71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11,436,540.32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1,827,930.77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1,827,930.77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1,514,257.79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1,426,714.13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87,543.66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1,282,388.85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1,212,752.23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69,636.62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103,363.17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90,722.91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12,640.26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128,505.77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123,238.99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5,266.78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1,592,142.08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1,530,697.08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66,432.70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320,907.88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321,019.57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2,027.79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、职工奖励及福利金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3,007,999.67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3,006,399.67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6,545,063.69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46,259,168.71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38,205,288.26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14,598,944.14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设定提存计划列示" w:id="290"/>
      <w:bookmarkEnd w:id="29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59,972.98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2,601,666.77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2,459,758.49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201,881.26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287,759.37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270,642.54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17,116.83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59,972.98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2,889,426.14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2,730,401.03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218,998.09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64" w:lineRule="auto"/>
        <w:ind w:left="1134" w:right="1131"/>
        <w:jc w:val="both"/>
      </w:pPr>
      <w:r>
        <w:rPr>
          <w:spacing w:val="-1"/>
        </w:rPr>
        <w:t>注：期末应付职工奖励及福利基金系</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月本集团通过非同一控制下企业合并取得浙江涵普公司控股</w:t>
      </w:r>
      <w:r>
        <w:rPr>
          <w:spacing w:val="-80"/>
        </w:rPr>
        <w:t> </w:t>
      </w:r>
      <w:r>
        <w:rPr>
          <w:spacing w:val="-1"/>
        </w:rPr>
        <w:t>权，相应转入浙江涵普公司于合并日的职工奖励及福利基金所导致。职工奖励及福利基金系浙江涵普公司</w:t>
      </w:r>
      <w:r>
        <w:rPr>
          <w:spacing w:val="-81"/>
        </w:rPr>
        <w:t> </w:t>
      </w:r>
      <w:r>
        <w:rPr>
          <w:spacing w:val="-81"/>
        </w:rPr>
      </w:r>
      <w:r>
        <w:rPr/>
        <w:t>原计提的外商投资企业职工奖励及福利基金。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ind w:left="1134" w:right="0"/>
        <w:jc w:val="both"/>
        <w:rPr>
          <w:b w:val="0"/>
          <w:bCs w:val="0"/>
        </w:rPr>
      </w:pPr>
      <w:bookmarkStart w:name="23、应交税费" w:id="291"/>
      <w:bookmarkEnd w:id="291"/>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12,243,999.54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15,099,049.21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10,106,965.23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9,921,988.39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251,034.94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256,228.82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644,661.20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1,065,019.00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304,618.95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456,458.79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201,688.76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304,305.85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26,379.04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23,780,030.89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27,103,075.80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4、应付利息" w:id="292"/>
      <w:bookmarkEnd w:id="292"/>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10,364.78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32,917.41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10,364.78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5、其他应付款" w:id="293"/>
      <w:bookmarkEnd w:id="293"/>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294"/>
      <w:bookmarkEnd w:id="29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983,794.78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1,214,981.93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498,625.78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143,196.60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66,260.08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118,376.61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其他外部单位往来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562,762.82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21,174.00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2,511,443.46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1,897,729.14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其他应付款" w:id="295"/>
      <w:bookmarkEnd w:id="29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本期末无账龄超过</w:t>
      </w:r>
      <w:r>
        <w:rPr>
          <w:rFonts w:ascii="Times New Roman" w:hAnsi="Times New Roman" w:cs="Times New Roman" w:eastAsia="Times New Roman" w:hint="default"/>
        </w:rPr>
        <w:t>1</w:t>
      </w:r>
      <w:r>
        <w:rPr/>
        <w:t>年的重要其他应付款。</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26、一年内到期的非流动负债" w:id="296"/>
      <w:bookmarkEnd w:id="296"/>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2,874,999.96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2,874,999.96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一年内到期的非流动负债系一年内到期的银行长期借款（抵押借款）中一年内到期的部分。</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7、长期借款" w:id="297"/>
      <w:bookmarkEnd w:id="297"/>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借款分类" w:id="298"/>
      <w:bookmarkEnd w:id="29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6,229,166.78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9,104,166.86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-2,874,999.96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3,354,166.82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6,229,166.90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line="360" w:lineRule="auto" w:before="44"/>
        <w:ind w:left="1133" w:right="8593" w:firstLine="0"/>
        <w:jc w:val="left"/>
        <w:rPr>
          <w:rFonts w:ascii="宋体" w:hAnsi="宋体" w:cs="宋体" w:eastAsia="宋体" w:hint="default"/>
          <w:sz w:val="18"/>
          <w:szCs w:val="18"/>
        </w:rPr>
      </w:pPr>
      <w:r>
        <w:rPr>
          <w:rFonts w:ascii="宋体" w:hAnsi="宋体" w:cs="宋体" w:eastAsia="宋体" w:hint="default"/>
          <w:sz w:val="18"/>
          <w:szCs w:val="18"/>
        </w:rPr>
        <w:t>按担保方式分类。 其他说明，包括利率区间：</w:t>
      </w:r>
    </w:p>
    <w:p>
      <w:pPr>
        <w:pStyle w:val="BodyText"/>
        <w:spacing w:line="256" w:lineRule="auto" w:before="81"/>
        <w:ind w:left="1134" w:right="1129"/>
        <w:jc w:val="both"/>
      </w:pPr>
      <w:r>
        <w:rPr>
          <w:spacing w:val="-1"/>
        </w:rPr>
        <w:t>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日与中国农业银行股份有限公司厦门莲前支行签订《厂房按揭借款合同》，以环东海</w:t>
      </w:r>
      <w:r>
        <w:rPr>
          <w:spacing w:val="-84"/>
        </w:rPr>
        <w:t> </w:t>
      </w:r>
      <w:r>
        <w:rPr>
          <w:spacing w:val="-84"/>
        </w:rPr>
      </w:r>
      <w:r>
        <w:rPr>
          <w:spacing w:val="-2"/>
        </w:rPr>
        <w:t>域思明工业园</w:t>
      </w:r>
      <w:r>
        <w:rPr>
          <w:rFonts w:ascii="Times New Roman" w:hAnsi="Times New Roman" w:cs="Times New Roman" w:eastAsia="Times New Roman" w:hint="default"/>
          <w:spacing w:val="-2"/>
        </w:rPr>
        <w:t>37#</w:t>
      </w:r>
      <w:r>
        <w:rPr>
          <w:spacing w:val="-2"/>
        </w:rPr>
        <w:t>、</w:t>
      </w:r>
      <w:r>
        <w:rPr>
          <w:rFonts w:ascii="Times New Roman" w:hAnsi="Times New Roman" w:cs="Times New Roman" w:eastAsia="Times New Roman" w:hint="default"/>
          <w:spacing w:val="-2"/>
        </w:rPr>
        <w:t>38#</w:t>
      </w:r>
      <w:r>
        <w:rPr>
          <w:spacing w:val="-2"/>
        </w:rPr>
        <w:t>厂房作为抵押，向银行按揭借款计人民币</w:t>
      </w:r>
      <w:r>
        <w:rPr>
          <w:rFonts w:ascii="Times New Roman" w:hAnsi="Times New Roman" w:cs="Times New Roman" w:eastAsia="Times New Roman" w:hint="default"/>
          <w:spacing w:val="-2"/>
        </w:rPr>
        <w:t>23,000,000.00</w:t>
      </w:r>
      <w:r>
        <w:rPr>
          <w:spacing w:val="-2"/>
        </w:rPr>
        <w:t>元，借款期限为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rFonts w:ascii="Times New Roman" w:hAnsi="Times New Roman" w:cs="Times New Roman" w:eastAsia="Times New Roman" w:hint="default"/>
          <w:spacing w:val="-12"/>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日，根据基准利率下浮</w:t>
      </w:r>
      <w:r>
        <w:rPr>
          <w:rFonts w:ascii="Times New Roman" w:hAnsi="Times New Roman" w:cs="Times New Roman" w:eastAsia="Times New Roman" w:hint="default"/>
        </w:rPr>
        <w:t>10%</w:t>
      </w:r>
      <w:r>
        <w:rPr/>
        <w:t>的浮动利率。截止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日，上述银行借款本金余额</w:t>
      </w:r>
      <w:r>
        <w:rPr>
          <w:spacing w:val="-7"/>
        </w:rPr>
        <w:t> </w:t>
      </w:r>
      <w:r>
        <w:rPr>
          <w:spacing w:val="-7"/>
        </w:rPr>
      </w:r>
      <w:r>
        <w:rPr>
          <w:rFonts w:ascii="Times New Roman" w:hAnsi="Times New Roman" w:cs="Times New Roman" w:eastAsia="Times New Roman" w:hint="default"/>
        </w:rPr>
        <w:t>6,229,166.78</w:t>
      </w:r>
      <w:r>
        <w:rPr/>
        <w:t>元，其中一年内到期长期借款金额为</w:t>
      </w:r>
      <w:r>
        <w:rPr>
          <w:rFonts w:ascii="Times New Roman" w:hAnsi="Times New Roman" w:cs="Times New Roman" w:eastAsia="Times New Roman" w:hint="default"/>
        </w:rPr>
        <w:t>2,874,999.96</w:t>
      </w:r>
      <w:r>
        <w:rPr/>
        <w:t>元。</w:t>
      </w:r>
    </w:p>
    <w:p>
      <w:pPr>
        <w:spacing w:line="240" w:lineRule="auto" w:before="5"/>
        <w:rPr>
          <w:rFonts w:ascii="宋体" w:hAnsi="宋体" w:cs="宋体" w:eastAsia="宋体" w:hint="default"/>
          <w:sz w:val="23"/>
          <w:szCs w:val="23"/>
        </w:rPr>
      </w:pPr>
    </w:p>
    <w:p>
      <w:pPr>
        <w:pStyle w:val="Heading4"/>
        <w:spacing w:line="240" w:lineRule="auto"/>
        <w:ind w:left="1134" w:right="0"/>
        <w:jc w:val="both"/>
        <w:rPr>
          <w:b w:val="0"/>
          <w:bCs w:val="0"/>
        </w:rPr>
      </w:pPr>
      <w:bookmarkStart w:name="28、长期应付职工薪酬" w:id="299"/>
      <w:bookmarkEnd w:id="299"/>
      <w:r>
        <w:rPr>
          <w:b w:val="0"/>
          <w:bCs w:val="0"/>
        </w:rPr>
      </w:r>
      <w:r>
        <w:rPr>
          <w:rFonts w:ascii="Times New Roman" w:hAnsi="Times New Roman" w:cs="Times New Roman" w:eastAsia="Times New Roman" w:hint="default"/>
        </w:rPr>
        <w:t>28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长期应付职工薪酬表" w:id="300"/>
      <w:bookmarkEnd w:id="30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设定受益计划变动情况" w:id="301"/>
      <w:bookmarkEnd w:id="30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13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9、股本" w:id="302"/>
      <w:bookmarkEnd w:id="302"/>
      <w:r>
        <w:rPr>
          <w:b w:val="0"/>
          <w:bCs w:val="0"/>
        </w:rPr>
      </w:r>
      <w:r>
        <w:rPr>
          <w:rFonts w:ascii="Times New Roman" w:hAnsi="Times New Roman" w:cs="Times New Roman" w:eastAsia="Times New Roman" w:hint="default"/>
        </w:rPr>
        <w:t>29</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66,500,000.00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22,170,000.00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22,170,000.00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88,670,000.00</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68"/>
        <w:jc w:val="both"/>
      </w:pPr>
      <w:r>
        <w:rPr/>
        <w:t>根据本公司</w:t>
      </w:r>
      <w:r>
        <w:rPr>
          <w:rFonts w:ascii="Times New Roman" w:hAnsi="Times New Roman" w:cs="Times New Roman" w:eastAsia="Times New Roman" w:hint="default"/>
        </w:rPr>
        <w:t>2011</w:t>
      </w:r>
      <w:r>
        <w:rPr/>
        <w:t>年度第四次临时股东大会决议和修改后章程的规定，经中国证券监督管理委员会</w:t>
      </w:r>
      <w:r>
        <w:rPr>
          <w:rFonts w:ascii="Times New Roman" w:hAnsi="Times New Roman" w:cs="Times New Roman" w:eastAsia="Times New Roman" w:hint="default"/>
        </w:rPr>
        <w:t>“</w:t>
      </w:r>
      <w:r>
        <w:rPr/>
        <w:t>证监许 可</w:t>
      </w:r>
      <w:r>
        <w:rPr>
          <w:rFonts w:ascii="Times New Roman" w:hAnsi="Times New Roman" w:cs="Times New Roman" w:eastAsia="Times New Roman" w:hint="default"/>
        </w:rPr>
        <w:t>[2015]179</w:t>
      </w:r>
      <w:r>
        <w:rPr/>
        <w:t>号</w:t>
      </w:r>
      <w:r>
        <w:rPr>
          <w:rFonts w:ascii="Times New Roman" w:hAnsi="Times New Roman" w:cs="Times New Roman" w:eastAsia="Times New Roman" w:hint="default"/>
        </w:rPr>
        <w:t>”</w:t>
      </w:r>
      <w:r>
        <w:rPr/>
        <w:t>《关于核准厦门红相电力设备股份有限公司首次公开发行股票的批复》核准，本公司向社 会公众发行人民币普通股（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2,217</w:t>
      </w:r>
      <w:r>
        <w:rPr/>
        <w:t>万股，每股面值</w:t>
      </w:r>
      <w:r>
        <w:rPr>
          <w:rFonts w:ascii="Times New Roman" w:hAnsi="Times New Roman" w:cs="Times New Roman" w:eastAsia="Times New Roman" w:hint="default"/>
        </w:rPr>
        <w:t>1</w:t>
      </w:r>
      <w:r>
        <w:rPr/>
        <w:t>元，每股发行价格</w:t>
      </w:r>
      <w:r>
        <w:rPr>
          <w:rFonts w:ascii="Times New Roman" w:hAnsi="Times New Roman" w:cs="Times New Roman" w:eastAsia="Times New Roman" w:hint="default"/>
        </w:rPr>
        <w:t>10.46</w:t>
      </w:r>
      <w:r>
        <w:rPr/>
        <w:t>元，扣除承销费用人民币 </w:t>
      </w:r>
      <w:r>
        <w:rPr>
          <w:rFonts w:ascii="Times New Roman" w:hAnsi="Times New Roman" w:cs="Times New Roman" w:eastAsia="Times New Roman" w:hint="default"/>
        </w:rPr>
        <w:t>2,550</w:t>
      </w:r>
      <w:r>
        <w:rPr/>
        <w:t>万元后，本公司实际收到募集资金</w:t>
      </w:r>
      <w:r>
        <w:rPr>
          <w:rFonts w:ascii="Times New Roman" w:hAnsi="Times New Roman" w:cs="Times New Roman" w:eastAsia="Times New Roman" w:hint="default"/>
        </w:rPr>
        <w:t>206,398,200.00</w:t>
      </w:r>
      <w:r>
        <w:rPr/>
        <w:t>元，扣除本公司自行支付的中介机构费和其他发行</w:t>
      </w:r>
    </w:p>
    <w:p>
      <w:pPr>
        <w:spacing w:after="0" w:line="256"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56" w:lineRule="auto" w:before="35"/>
        <w:ind w:right="1145"/>
        <w:jc w:val="left"/>
      </w:pPr>
      <w:r>
        <w:rPr/>
        <w:t>相关费用合计人民币</w:t>
      </w:r>
      <w:r>
        <w:rPr>
          <w:rFonts w:ascii="Times New Roman" w:hAnsi="Times New Roman" w:cs="Times New Roman" w:eastAsia="Times New Roman" w:hint="default"/>
        </w:rPr>
        <w:t>19,628,788.00</w:t>
      </w:r>
      <w:r>
        <w:rPr/>
        <w:t>元后，实际募集资金净额</w:t>
      </w:r>
      <w:r>
        <w:rPr>
          <w:rFonts w:ascii="Times New Roman" w:hAnsi="Times New Roman" w:cs="Times New Roman" w:eastAsia="Times New Roman" w:hint="default"/>
        </w:rPr>
        <w:t>186,769,412.00</w:t>
      </w:r>
      <w:r>
        <w:rPr/>
        <w:t>元，其中新增股本人民币 </w:t>
      </w:r>
      <w:r>
        <w:rPr>
          <w:rFonts w:ascii="Times New Roman" w:hAnsi="Times New Roman" w:cs="Times New Roman" w:eastAsia="Times New Roman" w:hint="default"/>
        </w:rPr>
        <w:t>22,170,000</w:t>
      </w:r>
      <w:r>
        <w:rPr/>
        <w:t>元，余额计人民币</w:t>
      </w:r>
      <w:r>
        <w:rPr>
          <w:rFonts w:ascii="Times New Roman" w:hAnsi="Times New Roman" w:cs="Times New Roman" w:eastAsia="Times New Roman" w:hint="default"/>
        </w:rPr>
        <w:t>164,599,412.00</w:t>
      </w:r>
      <w:r>
        <w:rPr/>
        <w:t>元转入资本公积。本次增资业经致同会计师事务所（特殊普通 合伙）以</w:t>
      </w:r>
      <w:r>
        <w:rPr>
          <w:rFonts w:ascii="Times New Roman" w:hAnsi="Times New Roman" w:cs="Times New Roman" w:eastAsia="Times New Roman" w:hint="default"/>
        </w:rPr>
        <w:t>“</w:t>
      </w:r>
      <w:r>
        <w:rPr/>
        <w:t>致同验字（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320ZA0005</w:t>
      </w:r>
      <w:r>
        <w:rPr/>
        <w:t>号</w:t>
      </w:r>
      <w:r>
        <w:rPr>
          <w:rFonts w:ascii="Times New Roman" w:hAnsi="Times New Roman" w:cs="Times New Roman" w:eastAsia="Times New Roman" w:hint="default"/>
        </w:rPr>
        <w:t>”</w:t>
      </w:r>
      <w:r>
        <w:rPr/>
        <w:t>《验资报告》审验。</w:t>
      </w:r>
    </w:p>
    <w:p>
      <w:pPr>
        <w:spacing w:line="240" w:lineRule="auto" w:before="6"/>
        <w:rPr>
          <w:rFonts w:ascii="宋体" w:hAnsi="宋体" w:cs="宋体" w:eastAsia="宋体" w:hint="default"/>
          <w:sz w:val="23"/>
          <w:szCs w:val="23"/>
        </w:rPr>
      </w:pPr>
    </w:p>
    <w:p>
      <w:pPr>
        <w:pStyle w:val="Heading4"/>
        <w:spacing w:line="240" w:lineRule="auto"/>
        <w:ind w:left="1134" w:right="0"/>
        <w:jc w:val="left"/>
        <w:rPr>
          <w:b w:val="0"/>
          <w:bCs w:val="0"/>
        </w:rPr>
      </w:pPr>
      <w:bookmarkStart w:name="30、资本公积" w:id="303"/>
      <w:bookmarkEnd w:id="303"/>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34,925,145.81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164,599,412.00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199,524,557.81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34,925,145.81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164,599,412.00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199,524,557.81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89"/>
        <w:ind w:right="0"/>
        <w:jc w:val="left"/>
      </w:pPr>
      <w:r>
        <w:rPr>
          <w:spacing w:val="-2"/>
        </w:rPr>
        <w:t>股本溢价本期增加系本公司首次发行人民币普通股（</w:t>
      </w:r>
      <w:r>
        <w:rPr>
          <w:rFonts w:ascii="Times New Roman" w:hAnsi="Times New Roman" w:cs="Times New Roman" w:eastAsia="Times New Roman" w:hint="default"/>
          <w:spacing w:val="-2"/>
        </w:rPr>
        <w:t>A</w:t>
      </w:r>
      <w:r>
        <w:rPr>
          <w:spacing w:val="-2"/>
        </w:rPr>
        <w:t>股）募集资金溢价转入，详见本节</w:t>
      </w:r>
      <w:r>
        <w:rPr>
          <w:rFonts w:ascii="Times New Roman" w:hAnsi="Times New Roman" w:cs="Times New Roman" w:eastAsia="Times New Roman" w:hint="default"/>
          <w:spacing w:val="-2"/>
        </w:rPr>
        <w:t>“</w:t>
      </w:r>
      <w:r>
        <w:rPr>
          <w:spacing w:val="-2"/>
        </w:rPr>
        <w:t>七、财务报表项</w:t>
      </w:r>
      <w:r>
        <w:rPr>
          <w:spacing w:val="-71"/>
        </w:rPr>
        <w:t> </w:t>
      </w:r>
      <w:r>
        <w:rPr>
          <w:spacing w:val="-71"/>
        </w:rPr>
      </w:r>
      <w:r>
        <w:rPr/>
        <w:t>目注释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29</w:t>
      </w:r>
      <w:r>
        <w:rPr/>
        <w:t>。</w:t>
      </w:r>
    </w:p>
    <w:p>
      <w:pPr>
        <w:spacing w:line="240" w:lineRule="auto" w:before="5"/>
        <w:rPr>
          <w:rFonts w:ascii="宋体" w:hAnsi="宋体" w:cs="宋体" w:eastAsia="宋体" w:hint="default"/>
          <w:sz w:val="23"/>
          <w:szCs w:val="23"/>
        </w:rPr>
      </w:pPr>
    </w:p>
    <w:p>
      <w:pPr>
        <w:pStyle w:val="Heading4"/>
        <w:spacing w:line="240" w:lineRule="auto"/>
        <w:ind w:left="1134" w:right="0"/>
        <w:jc w:val="left"/>
        <w:rPr>
          <w:b w:val="0"/>
          <w:bCs w:val="0"/>
        </w:rPr>
      </w:pPr>
      <w:bookmarkStart w:name="31、其他综合收益" w:id="304"/>
      <w:bookmarkEnd w:id="304"/>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397"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5"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-721,079.83</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-771,701.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-721,079.80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-50,621.23</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-771,701.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06</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-721,079.83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-50,621.23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-50,621.23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-771,701.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盈余公积" w:id="305"/>
      <w:bookmarkEnd w:id="305"/>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24,896,948.88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5,261,942.86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30,158,891.74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24,896,948.88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5,261,942.86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30,158,891.74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3、未分配利润" w:id="306"/>
      <w:bookmarkEnd w:id="306"/>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196,712,894.18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158,853,759.37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196,712,894.18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158,853,759.37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70,937,874.33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56,305,338.14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5,261,942.86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3,816,203.33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15,960,599.98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246,428,225.67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196,712,894.18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34、营业收入和营业成本" w:id="307"/>
      <w:bookmarkEnd w:id="307"/>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302,127,682.30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151,725,074.79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267,597,005.07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133,253,406.81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3,126,950.45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479,255.97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305,254,632.75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152,204,330.76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267,597,005.07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133,253,406.81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5、营业税金及附加" w:id="308"/>
      <w:bookmarkEnd w:id="308"/>
      <w:r>
        <w:rPr>
          <w:b w:val="0"/>
          <w:bCs w:val="0"/>
        </w:rPr>
      </w:r>
      <w:r>
        <w:rPr>
          <w:rFonts w:ascii="Times New Roman" w:hAnsi="Times New Roman" w:cs="Times New Roman" w:eastAsia="Times New Roman" w:hint="default"/>
        </w:rPr>
        <w:t>35</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8,677.39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1,355,628.02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1,726,410.32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617,393.84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740,538.73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411,595.87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493,692.49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38,432.27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2,431,975.98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2,969,392.40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销售费用" w:id="309"/>
      <w:bookmarkEnd w:id="309"/>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11,836,659.61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9,994,415.92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7,320,828.06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7,882,474.47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市场调研及市场推广费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6,357,545.44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4,056,026.35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6,204,898.30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4,319,684.67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3,713,078.31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3,076,135.23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运输、检验及维修费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2,766,463.60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1,938,104.94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2,589,011.83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1,617,518.84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40,788,485.15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32,884,360.42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7、管理费用" w:id="310"/>
      <w:bookmarkEnd w:id="310"/>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17,014,668.12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12,124,631.28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11,113,518.27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11,172,273.31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2,847,156.46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2,143,033.90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2,611,609.87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3,235,394.28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2,170,811.01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511,268.87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1,430,340.91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986,258.72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1,171,879.56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1,039,316.39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569,097.45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508,088.21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173,583.76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218,641.30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39,102,665.41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31,938,906.26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财务费用" w:id="311"/>
      <w:bookmarkEnd w:id="311"/>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573,579.58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625,063.65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-1,367,926.22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-441,614.00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56,336.75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55,801.59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105,180.26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91,667.87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-632,829.63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330,919.11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资产减值损失" w:id="312"/>
      <w:bookmarkEnd w:id="312"/>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4,042,360.32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4,335,568.84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414,588.10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4,456,948.42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4,335,568.84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投资收益" w:id="313"/>
      <w:bookmarkEnd w:id="313"/>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4,746,518.94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4,746,518.94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1、营业外收入" w:id="314"/>
      <w:bookmarkEnd w:id="314"/>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64,709.75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313,134.29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64,709.75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64,709.75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313,134.29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64,709.75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8,959,215.38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3,302,291.39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3,734,543.51</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企业合并投资成本低于被合 并企业净资产公允价值的差 额（注）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7,449,573.49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7,449,573.49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448,832.38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5,979.92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16,479,478.54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4,212,927.91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11,254,806.67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26"/>
              <w:jc w:val="left"/>
              <w:rPr>
                <w:rFonts w:ascii="宋体" w:hAnsi="宋体" w:cs="宋体" w:eastAsia="宋体" w:hint="default"/>
                <w:sz w:val="18"/>
                <w:szCs w:val="18"/>
              </w:rPr>
            </w:pPr>
            <w:r>
              <w:rPr>
                <w:rFonts w:ascii="宋体" w:hAnsi="宋体" w:cs="宋体" w:eastAsia="宋体" w:hint="default"/>
                <w:sz w:val="18"/>
                <w:szCs w:val="18"/>
              </w:rPr>
              <w:t>对实际税负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 的增值税返 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厦门市思明 区国家税务 </w:t>
            </w:r>
            <w:r>
              <w:rPr>
                <w:rFonts w:ascii="宋体" w:hAnsi="宋体" w:cs="宋体" w:eastAsia="宋体" w:hint="default"/>
                <w:spacing w:val="-13"/>
                <w:sz w:val="18"/>
                <w:szCs w:val="18"/>
              </w:rPr>
              <w:t>局；海盐县国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家税务局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5,224,671.87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996,474.79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市外大型项 目招投标中 标奖励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正式挂牌上 市奖励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年省工 业与信息化 发展财政专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市重点技术 创新及产学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区就业管理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61,947.50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68,318.60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产学研项目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第八届科学 技术进步三 等奖奖励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科技进步奖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嘉兴市财政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专利申请费 用资助收入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 和信息服务 业发展补助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引才补助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业扶持金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1,805,348.00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重点技术创 新项目扶持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厦门市经济 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房产税奖励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厦门市思明 区地税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68,061.00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厦门市思明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73,696.01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64,089.00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8,959,215.38</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3,302,291.39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6"/>
        <w:ind w:left="1134" w:right="1167" w:firstLine="0"/>
        <w:jc w:val="left"/>
        <w:rPr>
          <w:rFonts w:ascii="宋体" w:hAnsi="宋体" w:cs="宋体" w:eastAsia="宋体" w:hint="default"/>
          <w:sz w:val="18"/>
          <w:szCs w:val="18"/>
        </w:rPr>
      </w:pPr>
      <w:r>
        <w:rPr>
          <w:rFonts w:ascii="宋体" w:hAnsi="宋体" w:cs="宋体" w:eastAsia="宋体" w:hint="default"/>
          <w:sz w:val="18"/>
          <w:szCs w:val="18"/>
        </w:rPr>
        <w:t>注：本期发生企业合并投资成本低于被合并企业净资产公允价值的差额</w:t>
      </w:r>
      <w:r>
        <w:rPr>
          <w:rFonts w:ascii="Times New Roman" w:hAnsi="Times New Roman" w:cs="Times New Roman" w:eastAsia="Times New Roman" w:hint="default"/>
          <w:sz w:val="18"/>
          <w:szCs w:val="18"/>
        </w:rPr>
        <w:t>7,449,573.49</w:t>
      </w:r>
      <w:r>
        <w:rPr>
          <w:rFonts w:ascii="宋体" w:hAnsi="宋体" w:cs="宋体" w:eastAsia="宋体" w:hint="default"/>
          <w:sz w:val="18"/>
          <w:szCs w:val="18"/>
        </w:rPr>
        <w:t>元，系本期通过非同一控制下企业合并 取得浙江涵普公司控股权所产生。具体详见本节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八、合并范围的变动之</w:t>
      </w:r>
      <w:r>
        <w:rPr>
          <w:rFonts w:ascii="Times New Roman" w:hAnsi="Times New Roman" w:cs="Times New Roman" w:eastAsia="Times New Roman" w:hint="default"/>
          <w:sz w:val="18"/>
          <w:szCs w:val="18"/>
        </w:rPr>
        <w:t>1</w:t>
      </w: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42、营业外支出" w:id="315"/>
      <w:bookmarkEnd w:id="315"/>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189,764.87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189,764.87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189,764.87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189,764.87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14,410.45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204,175.32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46,809.79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204,175.32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所得税费用" w:id="316"/>
      <w:bookmarkEnd w:id="316"/>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317"/>
      <w:bookmarkEnd w:id="31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12,734,843.16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11,063,963.69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-354,890.43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-1,318,732.48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12,379,952.73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9,745,231.21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318"/>
      <w:bookmarkEnd w:id="31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87,924,878.82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13,188,731.82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247,867.02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438,495.05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-2,196,116.99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1,082,518.55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-49,616.61</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568,966.01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-813,964.60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-86,927.52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12,379,952.73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133" w:right="8856" w:firstLine="0"/>
        <w:jc w:val="left"/>
        <w:rPr>
          <w:rFonts w:ascii="宋体" w:hAnsi="宋体" w:cs="宋体" w:eastAsia="宋体" w:hint="default"/>
          <w:sz w:val="21"/>
          <w:szCs w:val="21"/>
        </w:rPr>
      </w:pPr>
      <w:bookmarkStart w:name="44、其他综合收益" w:id="319"/>
      <w:bookmarkEnd w:id="319"/>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 </w:t>
      </w:r>
      <w:bookmarkStart w:name="45、现金流量表项目" w:id="320"/>
      <w:bookmarkEnd w:id="320"/>
      <w:r>
        <w:rPr>
          <w:rFonts w:ascii="宋体" w:hAnsi="宋体" w:cs="宋体" w:eastAsia="宋体" w:hint="default"/>
          <w:sz w:val="18"/>
          <w:szCs w:val="18"/>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21"/>
      <w:bookmarkEnd w:id="32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收到的投标保证金退款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31,385,664.59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25,456,773.90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3,848,325.72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2,237,755.60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收到的备用金还款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2,798,112.87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1,071,496.15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1,096,210.92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441,614.00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2,397,729.33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1,796,533.28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41,526,043.43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31,004,172.93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支付的其他与经营活动有关的现金" w:id="322"/>
      <w:bookmarkEnd w:id="32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支付各项付现费用等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36,802,977.39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26,866,431.59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13,765,714.00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12,205,446.47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32,605,632.39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29,225,263.46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104,910.63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1,626,050.00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83,279,234.41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69,923,191.52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收到的其他与投资活动有关的现金" w:id="323"/>
      <w:bookmarkEnd w:id="32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理财产品收回的现金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非同一控制下企业合并，购买日子公司 持有的现金及现金等价物扣除投资后净 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25,680,047.47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146,740,047.47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支付的其他与投资活动有关的现金" w:id="324"/>
      <w:bookmarkEnd w:id="32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收到的其他与筹资活动有关的现金" w:id="325"/>
      <w:bookmarkEnd w:id="32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支付的其他与筹资活动有关的现金" w:id="326"/>
      <w:bookmarkEnd w:id="32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支付给中介机构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13,027,357.54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13,027,357.54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6、现金流量表补充资料" w:id="327"/>
      <w:bookmarkEnd w:id="327"/>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28"/>
      <w:bookmarkEnd w:id="32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63.929993pt;width:151.25pt;height:40.9pt;mso-position-horizontal-relative:page;mso-position-vertical-relative:page;z-index:-924664" coordorigin="4467,5279" coordsize="3025,818">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75,544,926.09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56,305,338.14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4,456,948.42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4,335,568.84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5,029,809.28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3,933,282.57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112,007.28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68,132.04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155,400.00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125,055.12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-303,820.38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629,916.33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625,063.65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-4,746,518.94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-272,472.29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-1,318,732.48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-82,418.14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4,622,994.06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-5,579,004.41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-12,342,081.34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-65,028,417.20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-30,650,644.96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23,571,471.14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42,473,127.37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16,764,281.91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287,729,724.84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102,393,343.62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102,393,343.62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105,286,389.52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185,336,381.22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-2,893,045.90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支付的取得子公司的现金净额" w:id="329"/>
      <w:bookmarkEnd w:id="32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28,012,051.00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53,692,098.47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-25,680,047.47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本集团本期通过现金增资方式取得浙江涵普</w:t>
      </w:r>
      <w:r>
        <w:rPr>
          <w:rFonts w:ascii="Times New Roman" w:hAnsi="Times New Roman" w:cs="Times New Roman" w:eastAsia="Times New Roman" w:hint="default"/>
        </w:rPr>
        <w:t>51%</w:t>
      </w:r>
      <w:r>
        <w:rPr/>
        <w:t>股权，因此，取得子公司支付的现金净额为负数。</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30"/>
      <w:bookmarkEnd w:id="33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31"/>
      <w:bookmarkEnd w:id="33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287,729,724.84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102,393,343.62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67,308.57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37,173.87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287,662,416.27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102,356,169.75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287,729,724.84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102,393,343.62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7、所有者权益变动表项目注释" w:id="332"/>
      <w:bookmarkEnd w:id="332"/>
      <w:r>
        <w:rPr>
          <w:b w:val="0"/>
          <w:bCs w:val="0"/>
        </w:rPr>
      </w:r>
      <w:r>
        <w:rPr>
          <w:rFonts w:ascii="Times New Roman" w:hAnsi="Times New Roman" w:cs="Times New Roman" w:eastAsia="Times New Roman" w:hint="default"/>
        </w:rPr>
        <w:t>47</w:t>
      </w:r>
      <w:r>
        <w:rPr/>
        <w:t>、所有者权益变动表项目注释</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pStyle w:val="BodyText"/>
        <w:spacing w:line="256" w:lineRule="auto" w:before="77"/>
        <w:ind w:right="1119"/>
        <w:jc w:val="left"/>
      </w:pPr>
      <w:r>
        <w:rPr>
          <w:spacing w:val="-1"/>
        </w:rPr>
        <w:t>（</w:t>
      </w:r>
      <w:r>
        <w:rPr>
          <w:rFonts w:ascii="Times New Roman" w:hAnsi="Times New Roman" w:cs="Times New Roman" w:eastAsia="Times New Roman" w:hint="default"/>
          <w:spacing w:val="-1"/>
        </w:rPr>
        <w:t>1</w:t>
      </w:r>
      <w:r>
        <w:rPr>
          <w:spacing w:val="-1"/>
        </w:rPr>
        <w:t>）股东权益变动表</w:t>
      </w:r>
      <w:r>
        <w:rPr>
          <w:rFonts w:ascii="Times New Roman" w:hAnsi="Times New Roman" w:cs="Times New Roman" w:eastAsia="Times New Roman" w:hint="default"/>
          <w:spacing w:val="-1"/>
        </w:rPr>
        <w:t>“</w:t>
      </w:r>
      <w:r>
        <w:rPr>
          <w:spacing w:val="-1"/>
        </w:rPr>
        <w:t>（六）其他</w:t>
      </w:r>
      <w:r>
        <w:rPr>
          <w:rFonts w:ascii="Times New Roman" w:hAnsi="Times New Roman" w:cs="Times New Roman" w:eastAsia="Times New Roman" w:hint="default"/>
          <w:spacing w:val="-1"/>
        </w:rPr>
        <w:t>”</w:t>
      </w:r>
      <w:r>
        <w:rPr>
          <w:spacing w:val="-1"/>
        </w:rPr>
        <w:t>少数股东权益，本期增加</w:t>
      </w:r>
      <w:r>
        <w:rPr>
          <w:rFonts w:ascii="Times New Roman" w:hAnsi="Times New Roman" w:cs="Times New Roman" w:eastAsia="Times New Roman" w:hint="default"/>
          <w:spacing w:val="-1"/>
        </w:rPr>
        <w:t>61,904,328.28</w:t>
      </w:r>
      <w:r>
        <w:rPr>
          <w:spacing w:val="-1"/>
        </w:rPr>
        <w:t>元系非同一控制下企业合并浙江</w:t>
      </w:r>
      <w:r>
        <w:rPr/>
        <w:t> 涵普所形成少数股东权益增加，详见本节</w:t>
      </w:r>
      <w:r>
        <w:rPr>
          <w:rFonts w:ascii="Times New Roman" w:hAnsi="Times New Roman" w:cs="Times New Roman" w:eastAsia="Times New Roman" w:hint="default"/>
        </w:rPr>
        <w:t>“</w:t>
      </w:r>
      <w:r>
        <w:rPr/>
        <w:t>八、合并范围的变动之</w:t>
      </w:r>
      <w:r>
        <w:rPr>
          <w:rFonts w:ascii="Times New Roman" w:hAnsi="Times New Roman" w:cs="Times New Roman" w:eastAsia="Times New Roman" w:hint="default"/>
        </w:rPr>
        <w:t>1</w:t>
      </w:r>
      <w:r>
        <w:rPr/>
        <w:t>、非同一控制下企业合并</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48、所有权或使用权受到限制的资产" w:id="333"/>
      <w:bookmarkEnd w:id="333"/>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264,153.63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银行履约保函保证金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35,240,315.50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1,400,729.04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36,905,198.17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注</w:t>
      </w:r>
      <w:r>
        <w:rPr>
          <w:rFonts w:ascii="Times New Roman" w:hAnsi="Times New Roman" w:cs="Times New Roman" w:eastAsia="Times New Roman" w:hint="default"/>
        </w:rPr>
        <w:t>1</w:t>
      </w:r>
      <w:r>
        <w:rPr/>
        <w:t>：</w:t>
      </w:r>
    </w:p>
    <w:p>
      <w:pPr>
        <w:spacing w:after="0" w:line="240" w:lineRule="auto"/>
        <w:jc w:val="left"/>
        <w:sectPr>
          <w:footerReference w:type="default" r:id="rId17"/>
          <w:pgSz w:w="11910" w:h="16840"/>
          <w:pgMar w:footer="979" w:header="747" w:top="1060" w:bottom="1160" w:left="0" w:right="0"/>
          <w:pgNumType w:start="150"/>
        </w:sectPr>
      </w:pPr>
    </w:p>
    <w:p>
      <w:pPr>
        <w:spacing w:line="240" w:lineRule="auto" w:before="9"/>
        <w:rPr>
          <w:rFonts w:ascii="宋体" w:hAnsi="宋体" w:cs="宋体" w:eastAsia="宋体" w:hint="default"/>
          <w:sz w:val="24"/>
          <w:szCs w:val="24"/>
        </w:rPr>
      </w:pPr>
    </w:p>
    <w:p>
      <w:pPr>
        <w:pStyle w:val="BodyText"/>
        <w:spacing w:line="256" w:lineRule="auto" w:before="35"/>
        <w:ind w:right="1131"/>
        <w:jc w:val="both"/>
      </w:pPr>
      <w:r>
        <w:rPr>
          <w:spacing w:val="-1"/>
        </w:rPr>
        <w:t>①本公司于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日与中国农业银行股份有限公司厦门莲前支行签订《厂房按揭借款合同》，以环东</w:t>
      </w:r>
      <w:r>
        <w:rPr>
          <w:spacing w:val="-84"/>
        </w:rPr>
        <w:t> </w:t>
      </w:r>
      <w:r>
        <w:rPr>
          <w:spacing w:val="-84"/>
        </w:rPr>
      </w:r>
      <w:r>
        <w:rPr>
          <w:spacing w:val="2"/>
        </w:rPr>
        <w:t>海域思明工业园</w:t>
      </w:r>
      <w:r>
        <w:rPr>
          <w:rFonts w:ascii="Times New Roman" w:hAnsi="Times New Roman" w:cs="Times New Roman" w:eastAsia="Times New Roman" w:hint="default"/>
          <w:spacing w:val="2"/>
        </w:rPr>
        <w:t>37#</w:t>
      </w:r>
      <w:r>
        <w:rPr>
          <w:spacing w:val="2"/>
        </w:rPr>
        <w:t>、</w:t>
      </w:r>
      <w:r>
        <w:rPr>
          <w:rFonts w:ascii="Times New Roman" w:hAnsi="Times New Roman" w:cs="Times New Roman" w:eastAsia="Times New Roman" w:hint="default"/>
          <w:spacing w:val="2"/>
        </w:rPr>
        <w:t>38#</w:t>
      </w:r>
      <w:r>
        <w:rPr>
          <w:spacing w:val="2"/>
        </w:rPr>
        <w:t>厂房作为抵押，向银行按揭借款计人民币</w:t>
      </w:r>
      <w:r>
        <w:rPr>
          <w:rFonts w:ascii="Times New Roman" w:hAnsi="Times New Roman" w:cs="Times New Roman" w:eastAsia="Times New Roman" w:hint="default"/>
          <w:spacing w:val="2"/>
        </w:rPr>
        <w:t>23,000,000.00</w:t>
      </w:r>
      <w:r>
        <w:rPr>
          <w:spacing w:val="2"/>
        </w:rPr>
        <w:t>元，借款期限为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48"/>
        </w:rPr>
        <w:t> </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日，上述银行借款本金余额</w:t>
      </w:r>
      <w:r>
        <w:rPr>
          <w:rFonts w:ascii="Times New Roman" w:hAnsi="Times New Roman" w:cs="Times New Roman" w:eastAsia="Times New Roman" w:hint="default"/>
        </w:rPr>
        <w:t>6,229,166.78</w:t>
      </w:r>
      <w:r>
        <w:rPr/>
        <w:t>元，其中一年内到期</w:t>
      </w:r>
      <w:r>
        <w:rPr>
          <w:spacing w:val="-84"/>
        </w:rPr>
        <w:t> </w:t>
      </w:r>
      <w:r>
        <w:rPr>
          <w:spacing w:val="-84"/>
        </w:rPr>
      </w:r>
      <w:r>
        <w:rPr/>
        <w:t>长期借款金额为</w:t>
      </w:r>
      <w:r>
        <w:rPr>
          <w:rFonts w:ascii="Times New Roman" w:hAnsi="Times New Roman" w:cs="Times New Roman" w:eastAsia="Times New Roman" w:hint="default"/>
        </w:rPr>
        <w:t>2,874,999.96</w:t>
      </w:r>
      <w:r>
        <w:rPr/>
        <w:t>元。</w:t>
      </w:r>
    </w:p>
    <w:p>
      <w:pPr>
        <w:pStyle w:val="BodyText"/>
        <w:spacing w:line="256" w:lineRule="auto" w:before="5"/>
        <w:ind w:right="1127"/>
        <w:jc w:val="both"/>
      </w:pPr>
      <w:r>
        <w:rPr/>
        <w:t>②本公司于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日与厦门银行股份有限公司签订《借款合同》，以思明工业园厂房</w:t>
      </w:r>
      <w:r>
        <w:rPr>
          <w:rFonts w:ascii="Times New Roman" w:hAnsi="Times New Roman" w:cs="Times New Roman" w:eastAsia="Times New Roman" w:hint="default"/>
        </w:rPr>
        <w:t>37#</w:t>
      </w:r>
      <w:r>
        <w:rPr/>
        <w:t>楼作为抵</w:t>
      </w:r>
      <w:r>
        <w:rPr>
          <w:spacing w:val="-28"/>
        </w:rPr>
        <w:t> </w:t>
      </w:r>
      <w:r>
        <w:rPr>
          <w:spacing w:val="2"/>
        </w:rPr>
        <w:t>押，同时由本公司股东杨成提供担保，取得银行循环授信额度人民币</w:t>
      </w:r>
      <w:r>
        <w:rPr>
          <w:rFonts w:ascii="Times New Roman" w:hAnsi="Times New Roman" w:cs="Times New Roman" w:eastAsia="Times New Roman" w:hint="default"/>
          <w:spacing w:val="2"/>
        </w:rPr>
        <w:t>1,500</w:t>
      </w:r>
      <w:r>
        <w:rPr>
          <w:spacing w:val="2"/>
        </w:rPr>
        <w:t>万元整，授信期间为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30"/>
        </w:rPr>
        <w:t> </w:t>
      </w:r>
      <w:r>
        <w:rPr>
          <w:spacing w:val="-1"/>
        </w:rPr>
        <w:t>月</w:t>
      </w:r>
      <w:r>
        <w:rPr>
          <w:rFonts w:ascii="Times New Roman" w:hAnsi="Times New Roman" w:cs="Times New Roman" w:eastAsia="Times New Roman" w:hint="default"/>
          <w:spacing w:val="-1"/>
        </w:rPr>
        <w:t>22</w:t>
      </w:r>
      <w:r>
        <w:rPr>
          <w:spacing w:val="-1"/>
        </w:rPr>
        <w:t>日至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22</w:t>
      </w:r>
      <w:r>
        <w:rPr>
          <w:spacing w:val="-1"/>
        </w:rPr>
        <w:t>日。截止本报告出具日，本公司尚未在厦门市国土资源与房产管理局办理抵押资产</w:t>
      </w:r>
      <w:r>
        <w:rPr>
          <w:spacing w:val="-81"/>
        </w:rPr>
        <w:t> </w:t>
      </w:r>
      <w:r>
        <w:rPr>
          <w:spacing w:val="-81"/>
        </w:rPr>
      </w:r>
      <w:r>
        <w:rPr/>
        <w:t>的注销手续。</w:t>
      </w:r>
    </w:p>
    <w:p>
      <w:pPr>
        <w:pStyle w:val="BodyText"/>
        <w:spacing w:line="256" w:lineRule="auto" w:before="22"/>
        <w:ind w:left="1134" w:right="1022"/>
        <w:jc w:val="left"/>
      </w:pPr>
      <w:r>
        <w:rPr/>
        <w:t>③本公司于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日与招商银行股份有限公司厦门分行签订《授信协议》，以厦门市思明区水仙路 </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21A</w:t>
      </w:r>
      <w:r>
        <w:rPr>
          <w:spacing w:val="-1"/>
        </w:rPr>
        <w:t>、</w:t>
      </w:r>
      <w:r>
        <w:rPr>
          <w:rFonts w:ascii="Times New Roman" w:hAnsi="Times New Roman" w:cs="Times New Roman" w:eastAsia="Times New Roman" w:hint="default"/>
          <w:spacing w:val="-1"/>
        </w:rPr>
        <w:t>21E</w:t>
      </w:r>
      <w:r>
        <w:rPr>
          <w:spacing w:val="-1"/>
        </w:rPr>
        <w:t>室作为抵押，同时由本公司股东杨成提供担保，取得银行循环授信额度人民币</w:t>
      </w:r>
      <w:r>
        <w:rPr>
          <w:rFonts w:ascii="Times New Roman" w:hAnsi="Times New Roman" w:cs="Times New Roman" w:eastAsia="Times New Roman" w:hint="default"/>
          <w:spacing w:val="-1"/>
        </w:rPr>
        <w:t>1,000</w:t>
      </w:r>
      <w:r>
        <w:rPr>
          <w:spacing w:val="-1"/>
        </w:rPr>
        <w:t>万元整，</w:t>
      </w:r>
      <w:r>
        <w:rPr>
          <w:spacing w:val="-101"/>
        </w:rPr>
        <w:t> </w:t>
      </w:r>
      <w:r>
        <w:rPr/>
        <w:t>授信期间为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日。截止本报告出具日，本公司尚未在厦门市国土资源与房产 管理局办理抵押资产的注销手续。</w:t>
      </w:r>
    </w:p>
    <w:p>
      <w:pPr>
        <w:pStyle w:val="BodyText"/>
        <w:spacing w:line="264" w:lineRule="auto" w:before="22"/>
        <w:ind w:right="1019"/>
        <w:jc w:val="left"/>
      </w:pPr>
      <w:r>
        <w:rPr/>
        <w:t>④期末子公司浙江涵普以位于杭州伟星大厦第十八层整层的写字楼及土地使用权（房屋产权证：杭房权证 </w:t>
      </w:r>
      <w:r>
        <w:rPr>
          <w:spacing w:val="-3"/>
        </w:rPr>
        <w:t>西移字第</w:t>
      </w:r>
      <w:r>
        <w:rPr>
          <w:rFonts w:ascii="Times New Roman" w:hAnsi="Times New Roman" w:cs="Times New Roman" w:eastAsia="Times New Roman" w:hint="default"/>
          <w:spacing w:val="-3"/>
        </w:rPr>
        <w:t>13598170</w:t>
      </w:r>
      <w:r>
        <w:rPr>
          <w:spacing w:val="-3"/>
        </w:rPr>
        <w:t>号；土地使用权证：杭西国用（</w:t>
      </w:r>
      <w:r>
        <w:rPr>
          <w:rFonts w:ascii="Times New Roman" w:hAnsi="Times New Roman" w:cs="Times New Roman" w:eastAsia="Times New Roman" w:hint="default"/>
          <w:spacing w:val="-3"/>
        </w:rPr>
        <w:t>2013</w:t>
      </w:r>
      <w:r>
        <w:rPr>
          <w:spacing w:val="-3"/>
        </w:rPr>
        <w:t>）第</w:t>
      </w:r>
      <w:r>
        <w:rPr>
          <w:rFonts w:ascii="Times New Roman" w:hAnsi="Times New Roman" w:cs="Times New Roman" w:eastAsia="Times New Roman" w:hint="default"/>
          <w:spacing w:val="-3"/>
        </w:rPr>
        <w:t>018135</w:t>
      </w:r>
      <w:r>
        <w:rPr>
          <w:spacing w:val="-3"/>
        </w:rPr>
        <w:t>号，账面价值</w:t>
      </w:r>
      <w:r>
        <w:rPr>
          <w:rFonts w:ascii="Times New Roman" w:hAnsi="Times New Roman" w:cs="Times New Roman" w:eastAsia="Times New Roman" w:hint="default"/>
          <w:spacing w:val="-3"/>
        </w:rPr>
        <w:t>2,696,295.98</w:t>
      </w:r>
      <w:r>
        <w:rPr>
          <w:spacing w:val="-3"/>
        </w:rPr>
        <w:t>元）作为抵押，</w:t>
      </w:r>
      <w:r>
        <w:rPr>
          <w:spacing w:val="-103"/>
        </w:rPr>
        <w:t> </w:t>
      </w:r>
      <w:r>
        <w:rPr>
          <w:spacing w:val="-103"/>
        </w:rPr>
      </w:r>
      <w:r>
        <w:rPr/>
        <w:t>向中国银行海盐支行借款。</w:t>
      </w:r>
    </w:p>
    <w:p>
      <w:pPr>
        <w:pStyle w:val="BodyText"/>
        <w:spacing w:line="256" w:lineRule="auto" w:before="16"/>
        <w:ind w:right="1116"/>
        <w:jc w:val="left"/>
      </w:pPr>
      <w:r>
        <w:rPr/>
        <w:t>⑤期末子公司浙江涵普以位于武原镇新桥北路</w:t>
      </w:r>
      <w:r>
        <w:rPr>
          <w:rFonts w:ascii="Times New Roman" w:hAnsi="Times New Roman" w:cs="Times New Roman" w:eastAsia="Times New Roman" w:hint="default"/>
        </w:rPr>
        <w:t>176</w:t>
      </w:r>
      <w:r>
        <w:rPr/>
        <w:t>号的厂房（房屋产权证：房权证盐字第</w:t>
      </w:r>
      <w:r>
        <w:rPr>
          <w:rFonts w:ascii="Times New Roman" w:hAnsi="Times New Roman" w:cs="Times New Roman" w:eastAsia="Times New Roman" w:hint="default"/>
        </w:rPr>
        <w:t>J057069</w:t>
      </w:r>
      <w:r>
        <w:rPr/>
        <w:t>号，账面 价值</w:t>
      </w:r>
      <w:r>
        <w:rPr>
          <w:rFonts w:ascii="Times New Roman" w:hAnsi="Times New Roman" w:cs="Times New Roman" w:eastAsia="Times New Roman" w:hint="default"/>
        </w:rPr>
        <w:t>2,346,021.34</w:t>
      </w:r>
      <w:r>
        <w:rPr/>
        <w:t>元）作为抵押，向中国银行海盐支行借款。</w:t>
      </w:r>
    </w:p>
    <w:p>
      <w:pPr>
        <w:pStyle w:val="BodyText"/>
        <w:spacing w:line="240" w:lineRule="auto" w:before="5"/>
        <w:ind w:left="1134" w:right="0"/>
        <w:jc w:val="left"/>
      </w:pPr>
      <w:r>
        <w:rPr/>
        <w:t>注</w:t>
      </w:r>
      <w:r>
        <w:rPr>
          <w:rFonts w:ascii="Times New Roman" w:hAnsi="Times New Roman" w:cs="Times New Roman" w:eastAsia="Times New Roman" w:hint="default"/>
        </w:rPr>
        <w:t>2</w:t>
      </w:r>
      <w:r>
        <w:rPr/>
        <w:t>：</w:t>
      </w:r>
    </w:p>
    <w:p>
      <w:pPr>
        <w:pStyle w:val="BodyText"/>
        <w:spacing w:line="256" w:lineRule="auto" w:before="21"/>
        <w:ind w:right="0"/>
        <w:jc w:val="left"/>
      </w:pPr>
      <w:r>
        <w:rPr>
          <w:spacing w:val="2"/>
        </w:rPr>
        <w:t>①期末子公司浙江涵普以位于武原镇新桥北路</w:t>
      </w:r>
      <w:r>
        <w:rPr>
          <w:rFonts w:ascii="Times New Roman" w:hAnsi="Times New Roman" w:cs="Times New Roman" w:eastAsia="Times New Roman" w:hint="default"/>
          <w:spacing w:val="2"/>
        </w:rPr>
        <w:t>176</w:t>
      </w:r>
      <w:r>
        <w:rPr>
          <w:spacing w:val="2"/>
        </w:rPr>
        <w:t>号的土地（土地使用权证：海盐国用（</w:t>
      </w:r>
      <w:r>
        <w:rPr>
          <w:rFonts w:ascii="Times New Roman" w:hAnsi="Times New Roman" w:cs="Times New Roman" w:eastAsia="Times New Roman" w:hint="default"/>
          <w:spacing w:val="2"/>
        </w:rPr>
        <w:t>2007</w:t>
      </w:r>
      <w:r>
        <w:rPr>
          <w:spacing w:val="2"/>
        </w:rPr>
        <w:t>）第</w:t>
      </w:r>
      <w:r>
        <w:rPr>
          <w:rFonts w:ascii="Times New Roman" w:hAnsi="Times New Roman" w:cs="Times New Roman" w:eastAsia="Times New Roman" w:hint="default"/>
          <w:spacing w:val="2"/>
        </w:rPr>
        <w:t>1-2927</w:t>
      </w:r>
      <w:r>
        <w:rPr>
          <w:rFonts w:ascii="Times New Roman" w:hAnsi="Times New Roman" w:cs="Times New Roman" w:eastAsia="Times New Roman" w:hint="default"/>
        </w:rPr>
        <w:t> </w:t>
      </w:r>
      <w:r>
        <w:rPr/>
        <w:t>号，账面价值</w:t>
      </w:r>
      <w:r>
        <w:rPr>
          <w:rFonts w:ascii="Times New Roman" w:hAnsi="Times New Roman" w:cs="Times New Roman" w:eastAsia="Times New Roman" w:hint="default"/>
        </w:rPr>
        <w:t>1,400,729.04</w:t>
      </w:r>
      <w:r>
        <w:rPr/>
        <w:t>元）作为抵押，向中国银行海盐支行借款。</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left="1134" w:right="0"/>
        <w:jc w:val="left"/>
        <w:rPr>
          <w:b w:val="0"/>
          <w:bCs w:val="0"/>
        </w:rPr>
      </w:pPr>
      <w:bookmarkStart w:name="49、外币货币性项目" w:id="334"/>
      <w:bookmarkEnd w:id="334"/>
      <w:r>
        <w:rPr>
          <w:b w:val="0"/>
          <w:bCs w:val="0"/>
        </w:rPr>
      </w:r>
      <w:r>
        <w:rPr>
          <w:rFonts w:ascii="Times New Roman" w:hAnsi="Times New Roman" w:cs="Times New Roman" w:eastAsia="Times New Roman" w:hint="default"/>
        </w:rPr>
        <w:t>49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35"/>
      <w:bookmarkEnd w:id="33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2,234,976.02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39,376.09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255,692.58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418,665.59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1,979,283.44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89,532.04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1,532.49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18,614.00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87,999.55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20,659.61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20,659.61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1,805,349.07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233,724.75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1,517,715.03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61,966.78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225,667.26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361,576.30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361,576.30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36"/>
      <w:bookmarkEnd w:id="33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0"/>
        <w:jc w:val="left"/>
      </w:pPr>
      <w:r>
        <w:rPr/>
        <w:t>子公司</w:t>
      </w:r>
      <w:r>
        <w:rPr>
          <w:rFonts w:ascii="Times New Roman" w:hAnsi="Times New Roman" w:cs="Times New Roman" w:eastAsia="Times New Roman" w:hint="default"/>
        </w:rPr>
        <w:t>RED PHASE INSTRUMENTS AUSTRALIA PTY.</w:t>
      </w:r>
      <w:r>
        <w:rPr>
          <w:rFonts w:ascii="Times New Roman" w:hAnsi="Times New Roman" w:cs="Times New Roman" w:eastAsia="Times New Roman" w:hint="default"/>
          <w:spacing w:val="42"/>
        </w:rPr>
        <w:t> </w:t>
      </w:r>
      <w:r>
        <w:rPr>
          <w:rFonts w:ascii="Times New Roman" w:hAnsi="Times New Roman" w:cs="Times New Roman" w:eastAsia="Times New Roman" w:hint="default"/>
        </w:rPr>
        <w:t>LTD.</w:t>
      </w:r>
      <w:r>
        <w:rPr/>
        <w:t>系注册于澳大利亚的有限公司，其主要经营 地在澳大利亚，主要结算货币为澳元，以澳元作为其记账本位币。</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八、合并范围的变更" w:id="337"/>
      <w:bookmarkEnd w:id="33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38"/>
      <w:bookmarkEnd w:id="33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39"/>
      <w:bookmarkEnd w:id="33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浙江涵普电 力科技有限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54,925,589.5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现金增资购 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36,966,672.0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10,076,503.4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40"/>
      <w:bookmarkEnd w:id="34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54,925,589.52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54,925,589.52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62,375,163.01</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7,449,573.49</w:t>
            </w:r>
          </w:p>
        </w:tc>
      </w:tr>
    </w:tbl>
    <w:p>
      <w:pPr>
        <w:spacing w:line="360" w:lineRule="auto" w:before="51"/>
        <w:ind w:left="113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被购买方于购买日可辨认资产、负债" w:id="341"/>
      <w:bookmarkEnd w:id="34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202,824,323.36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184,113,180.37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53,692,098.47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53,692,098.47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32,923,859.41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32,923,859.41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42,022,296.17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42,022,296.17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21,318,579.88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7,123,109.75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2,868,419.40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1,722,270.80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26,923,478.00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26,923,478.00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4,969,524.26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7,420,648.55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7,420,648.55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5,733,632.06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5,733,632.06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2,702,781.51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2,702,781.51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629,674.92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629,674.92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1,619,330.73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1,619,330.73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78,544,832.07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75,738,160.62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8,256,281.16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8,256,281.16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2,806,671.45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2,806,671.45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8,102,165.39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8,102,165.39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8,807,531.65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8,807,531.65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31,090,190.95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31,090,190.95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608,233.47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608,233.47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27,261.67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27,261.67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2,846,496.33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2,846,496.33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124,279,491.29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108,375,019.75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1,975,250.09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1,975,250.09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122,304,241.20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106,399,769.66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pStyle w:val="BodyText"/>
        <w:spacing w:line="256" w:lineRule="auto" w:before="90"/>
        <w:ind w:left="1134" w:right="1117"/>
        <w:jc w:val="left"/>
      </w:pPr>
      <w:r>
        <w:rPr>
          <w:spacing w:val="2"/>
        </w:rPr>
        <w:t>购买日被购买方可辨认资产、负债公允价值根据厦门市大学资产评估土地房地产估价有限责任公司</w:t>
      </w:r>
      <w:r>
        <w:rPr>
          <w:rFonts w:ascii="Times New Roman" w:hAnsi="Times New Roman" w:cs="Times New Roman" w:eastAsia="Times New Roman" w:hint="default"/>
          <w:spacing w:val="2"/>
        </w:rPr>
        <w:t>“</w:t>
      </w:r>
      <w:r>
        <w:rPr>
          <w:spacing w:val="2"/>
        </w:rPr>
        <w:t>大学</w:t>
      </w:r>
      <w:r>
        <w:rPr>
          <w:spacing w:val="-102"/>
        </w:rPr>
        <w:t> </w:t>
      </w:r>
      <w:r>
        <w:rPr/>
        <w:t>评估</w:t>
      </w:r>
      <w:r>
        <w:rPr>
          <w:rFonts w:ascii="Times New Roman" w:hAnsi="Times New Roman" w:cs="Times New Roman" w:eastAsia="Times New Roman" w:hint="default"/>
        </w:rPr>
        <w:t>[2016]FZ0021</w:t>
      </w:r>
      <w:r>
        <w:rPr/>
        <w:t>号</w:t>
      </w:r>
      <w:r>
        <w:rPr>
          <w:rFonts w:ascii="Times New Roman" w:hAnsi="Times New Roman" w:cs="Times New Roman" w:eastAsia="Times New Roman" w:hint="default"/>
        </w:rPr>
        <w:t>”</w:t>
      </w:r>
      <w:r>
        <w:rPr/>
        <w:t>评估报告确定。</w:t>
      </w:r>
    </w:p>
    <w:p>
      <w:pPr>
        <w:spacing w:line="240" w:lineRule="auto" w:before="4"/>
        <w:rPr>
          <w:rFonts w:ascii="宋体" w:hAnsi="宋体" w:cs="宋体" w:eastAsia="宋体" w:hint="default"/>
          <w:sz w:val="29"/>
          <w:szCs w:val="29"/>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企业合并中无承担的被购买方或有负债。</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购买日之前持有的股权按照公允价值重新计量产生的利得或损失" w:id="342"/>
      <w:bookmarkEnd w:id="34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购买日或合并当期期末无法合理确定合并对价或被购买方可辨认资产、负债公允价值" w:id="343"/>
      <w:bookmarkEnd w:id="34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6）其他说明" w:id="344"/>
      <w:bookmarkEnd w:id="34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2、同一控制下企业合并" w:id="345"/>
      <w:bookmarkEnd w:id="34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本期发生的同一控制下企业合并" w:id="346"/>
      <w:bookmarkEnd w:id="34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 w:id="347"/>
      <w:bookmarkEnd w:id="34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13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合并日被合并方资产、负债的账面价值" w:id="348"/>
      <w:bookmarkEnd w:id="34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9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9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9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7"/>
        <w:ind w:left="113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反向购买" w:id="349"/>
      <w:bookmarkEnd w:id="34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133"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处置子公司" w:id="350"/>
      <w:bookmarkEnd w:id="35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351"/>
      <w:bookmarkEnd w:id="35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90"/>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月，公司投资设立了全资子公司厦门红相信息科技有限公司，企业概况如下：</w:t>
      </w:r>
    </w:p>
    <w:p>
      <w:pPr>
        <w:spacing w:line="240" w:lineRule="auto" w:before="8"/>
        <w:rPr>
          <w:rFonts w:ascii="宋体" w:hAnsi="宋体" w:cs="宋体" w:eastAsia="宋体" w:hint="default"/>
          <w:sz w:val="26"/>
          <w:szCs w:val="26"/>
        </w:rPr>
      </w:pPr>
    </w:p>
    <w:tbl>
      <w:tblPr>
        <w:tblW w:w="0" w:type="auto"/>
        <w:jc w:val="left"/>
        <w:tblInd w:w="1668" w:type="dxa"/>
        <w:tblLayout w:type="fixed"/>
        <w:tblCellMar>
          <w:top w:w="0" w:type="dxa"/>
          <w:left w:w="0" w:type="dxa"/>
          <w:bottom w:w="0" w:type="dxa"/>
          <w:right w:w="0" w:type="dxa"/>
        </w:tblCellMar>
        <w:tblLook w:val="01E0"/>
      </w:tblPr>
      <w:tblGrid>
        <w:gridCol w:w="2518"/>
        <w:gridCol w:w="6117"/>
      </w:tblGrid>
      <w:tr>
        <w:trPr>
          <w:trHeight w:val="346" w:hRule="exact"/>
        </w:trPr>
        <w:tc>
          <w:tcPr>
            <w:tcW w:w="251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611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厦门红相信息科技有限公司</w:t>
            </w:r>
            <w:r>
              <w:rPr>
                <w:rFonts w:ascii="宋体" w:hAnsi="宋体" w:cs="宋体" w:eastAsia="宋体" w:hint="default"/>
                <w:sz w:val="21"/>
                <w:szCs w:val="21"/>
              </w:rPr>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11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1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贰佰万元整</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6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3502032005352550</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611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厦门市思明区镇海路 </w:t>
            </w:r>
            <w:r>
              <w:rPr>
                <w:rFonts w:ascii="Times New Roman" w:hAnsi="Times New Roman" w:cs="Times New Roman" w:eastAsia="Times New Roman" w:hint="default"/>
                <w:sz w:val="21"/>
                <w:szCs w:val="21"/>
              </w:rPr>
              <w:t>26 </w:t>
            </w:r>
            <w:r>
              <w:rPr>
                <w:rFonts w:ascii="宋体" w:hAnsi="宋体" w:cs="宋体" w:eastAsia="宋体" w:hint="default"/>
                <w:sz w:val="21"/>
                <w:szCs w:val="21"/>
              </w:rPr>
              <w:t>号六楼 </w:t>
            </w:r>
            <w:r>
              <w:rPr>
                <w:rFonts w:ascii="Times New Roman" w:hAnsi="Times New Roman" w:cs="Times New Roman" w:eastAsia="Times New Roman" w:hint="default"/>
                <w:sz w:val="21"/>
                <w:szCs w:val="21"/>
              </w:rPr>
              <w:t>A </w:t>
            </w:r>
            <w:r>
              <w:rPr>
                <w:rFonts w:ascii="宋体" w:hAnsi="宋体" w:cs="宋体" w:eastAsia="宋体" w:hint="default"/>
                <w:sz w:val="21"/>
                <w:szCs w:val="21"/>
              </w:rPr>
              <w:t>区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单元</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p>
        </w:tc>
        <w:tc>
          <w:tcPr>
            <w:tcW w:w="611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红相电力持有其</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r>
      <w:tr>
        <w:trPr>
          <w:trHeight w:val="1283"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61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软件开发；信息系统集成服务；信息技术咨询服务；数据处理和存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储服务；数字内容服务；呼叫中心（不含需经许可审批的项目）；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其他未列明信息技术服务业（不含需经许可审批的项目）；其他互</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联网服务（不含需经许可审批的项目）</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487" w:lineRule="auto" w:before="35"/>
        <w:ind w:left="1133" w:right="7693" w:firstLine="0"/>
        <w:jc w:val="left"/>
        <w:rPr>
          <w:rFonts w:ascii="宋体" w:hAnsi="宋体" w:cs="宋体" w:eastAsia="宋体" w:hint="default"/>
          <w:sz w:val="21"/>
          <w:szCs w:val="21"/>
        </w:rPr>
      </w:pPr>
      <w:bookmarkStart w:name="6、其他" w:id="352"/>
      <w:bookmarkEnd w:id="35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53"/>
      <w:bookmarkEnd w:id="35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54"/>
      <w:bookmarkEnd w:id="35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355"/>
      <w:bookmarkEnd w:id="35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澳大利亚墨尔本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澳大利亚墨尔本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电力设备生产及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计算机软件开 发、销售及技术 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软件开发；信息 系统集成服务； 数据处理和存储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343" w:lineRule="auto" w:before="90"/>
        <w:ind w:left="1133" w:right="2833" w:firstLine="0"/>
        <w:jc w:val="left"/>
        <w:rPr>
          <w:rFonts w:ascii="宋体" w:hAnsi="宋体" w:cs="宋体" w:eastAsia="宋体" w:hint="default"/>
          <w:sz w:val="18"/>
          <w:szCs w:val="18"/>
        </w:rPr>
      </w:pPr>
      <w:r>
        <w:rPr>
          <w:rFonts w:ascii="宋体" w:hAnsi="宋体" w:cs="宋体" w:eastAsia="宋体" w:hint="default"/>
          <w:sz w:val="21"/>
          <w:szCs w:val="21"/>
        </w:rPr>
        <w:t>上述子公司的表决权比例与持股比例一致。 </w:t>
      </w:r>
      <w:r>
        <w:rPr>
          <w:rFonts w:ascii="宋体" w:hAnsi="宋体" w:cs="宋体" w:eastAsia="宋体" w:hint="default"/>
          <w:sz w:val="18"/>
          <w:szCs w:val="18"/>
        </w:rPr>
        <w:t>持有半数或以下表决权但仍控制被投资单位、以及持有半数以上表决权但不控制被投资单位的依据：</w:t>
      </w:r>
      <w:r>
        <w:rPr>
          <w:rFonts w:ascii="宋体" w:hAnsi="宋体" w:cs="宋体" w:eastAsia="宋体" w:hint="default"/>
          <w:sz w:val="18"/>
          <w:szCs w:val="18"/>
        </w:rPr>
        <w:t> 不适用</w:t>
      </w:r>
    </w:p>
    <w:p>
      <w:pPr>
        <w:spacing w:line="357" w:lineRule="auto" w:before="40"/>
        <w:ind w:left="113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不适用</w:t>
      </w:r>
    </w:p>
    <w:p>
      <w:pPr>
        <w:spacing w:line="357" w:lineRule="auto" w:before="29"/>
        <w:ind w:left="113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不适用</w:t>
      </w:r>
    </w:p>
    <w:p>
      <w:pPr>
        <w:spacing w:line="357" w:lineRule="auto" w:before="29"/>
        <w:ind w:left="113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left="1134" w:right="0"/>
        <w:jc w:val="left"/>
        <w:rPr>
          <w:b w:val="0"/>
          <w:bCs w:val="0"/>
        </w:rPr>
      </w:pPr>
      <w:bookmarkStart w:name="（2）重要的非全资子公司" w:id="356"/>
      <w:bookmarkEnd w:id="35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4,607,051.76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66,511,380.04</w:t>
            </w:r>
          </w:p>
        </w:tc>
      </w:tr>
    </w:tbl>
    <w:p>
      <w:pPr>
        <w:spacing w:line="357"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不适用</w:t>
      </w:r>
    </w:p>
    <w:p>
      <w:pPr>
        <w:spacing w:line="357" w:lineRule="auto" w:before="29"/>
        <w:ind w:left="1134" w:right="6882" w:firstLine="0"/>
        <w:jc w:val="left"/>
        <w:rPr>
          <w:rFonts w:ascii="宋体" w:hAnsi="宋体" w:cs="宋体" w:eastAsia="宋体" w:hint="default"/>
          <w:sz w:val="18"/>
          <w:szCs w:val="18"/>
        </w:rPr>
      </w:pPr>
      <w:r>
        <w:rPr>
          <w:rFonts w:ascii="宋体" w:hAnsi="宋体" w:cs="宋体" w:eastAsia="宋体" w:hint="default"/>
          <w:sz w:val="18"/>
          <w:szCs w:val="18"/>
        </w:rPr>
        <w:t>其他说明： 本期是指从购买日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日至报告期期末。</w:t>
      </w:r>
    </w:p>
    <w:p>
      <w:pPr>
        <w:spacing w:line="240" w:lineRule="auto" w:before="5"/>
        <w:rPr>
          <w:rFonts w:ascii="宋体" w:hAnsi="宋体" w:cs="宋体" w:eastAsia="宋体" w:hint="default"/>
          <w:sz w:val="18"/>
          <w:szCs w:val="18"/>
        </w:rPr>
      </w:pPr>
    </w:p>
    <w:p>
      <w:pPr>
        <w:pStyle w:val="Heading4"/>
        <w:spacing w:line="240" w:lineRule="auto"/>
        <w:ind w:left="1134" w:right="0"/>
        <w:jc w:val="left"/>
        <w:rPr>
          <w:b w:val="0"/>
          <w:bCs w:val="0"/>
        </w:rPr>
      </w:pPr>
      <w:bookmarkStart w:name="（3）重要非全资子公司的主要财务信息" w:id="357"/>
      <w:bookmarkEnd w:id="35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714"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浙江涵 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159,850,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265.65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30,756,8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75.12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190,607,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140.77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53,993,9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28.88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2,724,25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56,718,1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82.19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36,966,672.0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4,991,286.24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4,991,286.24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16,186,405.6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31"/>
        <w:jc w:val="both"/>
      </w:pPr>
      <w:r>
        <w:rPr/>
        <w:t>上述系浙江涵普合并涵普三维的合并财务数据，其中本期指从购买日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日至报告期期末，净利</w:t>
      </w:r>
      <w:r>
        <w:rPr>
          <w:spacing w:val="-28"/>
        </w:rPr>
        <w:t> </w:t>
      </w:r>
      <w:r>
        <w:rPr>
          <w:spacing w:val="-28"/>
        </w:rPr>
      </w:r>
      <w:r>
        <w:rPr/>
        <w:t>润和综合收益总额是指本期发生归属于母公司的净利润和综合收益总额。</w:t>
      </w:r>
    </w:p>
    <w:p>
      <w:pPr>
        <w:spacing w:line="240" w:lineRule="auto" w:before="10"/>
        <w:rPr>
          <w:rFonts w:ascii="宋体" w:hAnsi="宋体" w:cs="宋体" w:eastAsia="宋体" w:hint="default"/>
          <w:sz w:val="24"/>
          <w:szCs w:val="24"/>
        </w:rPr>
      </w:pPr>
    </w:p>
    <w:p>
      <w:pPr>
        <w:pStyle w:val="Heading4"/>
        <w:spacing w:line="240" w:lineRule="auto"/>
        <w:ind w:right="0"/>
        <w:jc w:val="both"/>
        <w:rPr>
          <w:b w:val="0"/>
          <w:bCs w:val="0"/>
        </w:rPr>
      </w:pPr>
      <w:bookmarkStart w:name="（4）使用企业集团资产和清偿企业集团债务的重大限制" w:id="358"/>
      <w:bookmarkEnd w:id="35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5）向纳入合并财务报表范围的结构化主体提供的财务支持或其他支持" w:id="359"/>
      <w:bookmarkEnd w:id="35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9853" w:firstLine="0"/>
        <w:jc w:val="left"/>
        <w:rPr>
          <w:rFonts w:ascii="宋体" w:hAnsi="宋体" w:cs="宋体" w:eastAsia="宋体" w:hint="default"/>
          <w:sz w:val="18"/>
          <w:szCs w:val="18"/>
        </w:rPr>
      </w:pPr>
      <w:r>
        <w:rPr>
          <w:rFonts w:ascii="宋体" w:hAnsi="宋体" w:cs="宋体" w:eastAsia="宋体" w:hint="default"/>
          <w:sz w:val="18"/>
          <w:szCs w:val="18"/>
        </w:rPr>
        <w:t>不适用 其他说明： 不适用</w:t>
      </w:r>
    </w:p>
    <w:p>
      <w:pPr>
        <w:spacing w:line="240" w:lineRule="auto" w:before="4"/>
        <w:rPr>
          <w:rFonts w:ascii="宋体" w:hAnsi="宋体" w:cs="宋体" w:eastAsia="宋体" w:hint="default"/>
          <w:sz w:val="18"/>
          <w:szCs w:val="18"/>
        </w:rPr>
      </w:pPr>
    </w:p>
    <w:p>
      <w:pPr>
        <w:pStyle w:val="Heading2"/>
        <w:spacing w:line="240" w:lineRule="auto"/>
        <w:ind w:left="1134" w:right="0"/>
        <w:jc w:val="both"/>
        <w:rPr>
          <w:b w:val="0"/>
          <w:bCs w:val="0"/>
        </w:rPr>
      </w:pPr>
      <w:bookmarkStart w:name="十、与金融工具相关的风险" w:id="360"/>
      <w:bookmarkEnd w:id="360"/>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jc w:val="both"/>
      </w:pPr>
      <w:r>
        <w:rPr>
          <w:spacing w:val="-1"/>
        </w:rPr>
        <w:t>本集团的主要金融工具包括货币资金、应收账款、应收票据、应收利息、其他应收款、其他流动资产、可</w:t>
      </w:r>
      <w:r>
        <w:rPr>
          <w:spacing w:val="-83"/>
        </w:rPr>
        <w:t> </w:t>
      </w:r>
      <w:r>
        <w:rPr>
          <w:spacing w:val="-83"/>
        </w:rPr>
      </w:r>
      <w:r>
        <w:rPr>
          <w:spacing w:val="-1"/>
        </w:rPr>
        <w:t>供出售金融资产、应付票据、应付账款、应付利息、其他应付款、短期借款、一年内到期的非流动负债及</w:t>
      </w:r>
      <w:r>
        <w:rPr>
          <w:spacing w:val="-83"/>
        </w:rPr>
        <w:t> </w:t>
      </w:r>
      <w:r>
        <w:rPr>
          <w:spacing w:val="-83"/>
        </w:rPr>
      </w:r>
      <w:r>
        <w:rPr>
          <w:spacing w:val="-1"/>
        </w:rPr>
        <w:t>长期借款。各项金融工具的详细情况已于相关附注内披露。与这些金融工具有关的风险，以及本集团为降</w:t>
      </w:r>
      <w:r>
        <w:rPr>
          <w:spacing w:val="-83"/>
        </w:rPr>
        <w:t> </w:t>
      </w:r>
      <w:r>
        <w:rPr>
          <w:spacing w:val="-83"/>
        </w:rPr>
      </w:r>
      <w:r>
        <w:rPr>
          <w:spacing w:val="-1"/>
        </w:rPr>
        <w:t>低这些风险所采取的风险管理政策如下所述。本集团管理层对这些风险敞口进行管理和监控以确保将上述</w:t>
      </w:r>
      <w:r>
        <w:rPr>
          <w:spacing w:val="-81"/>
        </w:rPr>
        <w:t> </w:t>
      </w:r>
      <w:r>
        <w:rPr>
          <w:spacing w:val="-81"/>
        </w:rPr>
      </w:r>
      <w:r>
        <w:rPr/>
        <w:t>风险控制在限定的范围之内。</w:t>
      </w:r>
    </w:p>
    <w:p>
      <w:pPr>
        <w:spacing w:line="240" w:lineRule="auto" w:before="1"/>
        <w:rPr>
          <w:rFonts w:ascii="宋体" w:hAnsi="宋体" w:cs="宋体" w:eastAsia="宋体" w:hint="default"/>
          <w:sz w:val="17"/>
          <w:szCs w:val="17"/>
        </w:rPr>
      </w:pPr>
    </w:p>
    <w:p>
      <w:pPr>
        <w:pStyle w:val="BodyText"/>
        <w:spacing w:line="240" w:lineRule="auto"/>
        <w:ind w:left="1189" w:right="0"/>
        <w:jc w:val="both"/>
      </w:pPr>
      <w:r>
        <w:rPr>
          <w:rFonts w:ascii="Times New Roman" w:hAnsi="Times New Roman" w:cs="Times New Roman" w:eastAsia="Times New Roman" w:hint="default"/>
        </w:rPr>
        <w:t>1</w:t>
      </w:r>
      <w:r>
        <w:rPr/>
        <w:t>、风险管理目标和政策</w:t>
      </w:r>
    </w:p>
    <w:p>
      <w:pPr>
        <w:spacing w:line="240" w:lineRule="auto" w:before="2"/>
        <w:rPr>
          <w:rFonts w:ascii="宋体" w:hAnsi="宋体" w:cs="宋体" w:eastAsia="宋体" w:hint="default"/>
          <w:sz w:val="18"/>
          <w:szCs w:val="18"/>
        </w:rPr>
      </w:pPr>
    </w:p>
    <w:p>
      <w:pPr>
        <w:pStyle w:val="BodyText"/>
        <w:spacing w:line="273" w:lineRule="auto"/>
        <w:ind w:right="1131"/>
        <w:jc w:val="both"/>
      </w:pPr>
      <w:r>
        <w:rPr>
          <w:spacing w:val="-1"/>
        </w:rPr>
        <w:t>本集团从事风险管理的目标是在风险和收益之间取得适当的平衡，力求降低金融风险对本集团财务业绩的</w:t>
      </w:r>
      <w:r>
        <w:rPr>
          <w:spacing w:val="-81"/>
        </w:rPr>
        <w:t> </w:t>
      </w:r>
      <w:r>
        <w:rPr>
          <w:spacing w:val="-81"/>
        </w:rPr>
      </w:r>
      <w:r>
        <w:rPr>
          <w:spacing w:val="-1"/>
        </w:rPr>
        <w:t>不利影响。基于该风险管理目标，本集团已制定风险管理政策以辨别和分析本集团所面临的风险，设定适</w:t>
      </w:r>
      <w:r>
        <w:rPr>
          <w:spacing w:val="-83"/>
        </w:rPr>
        <w:t> </w:t>
      </w:r>
      <w:r>
        <w:rPr>
          <w:spacing w:val="-83"/>
        </w:rPr>
      </w:r>
      <w:r>
        <w:rPr>
          <w:spacing w:val="-1"/>
        </w:rPr>
        <w:t>当的风险可接受水平并设计相应的内部控制程序，以监控本集团的风险水平。本集团会定期审阅这些风险</w:t>
      </w:r>
      <w:r>
        <w:rPr>
          <w:spacing w:val="-81"/>
        </w:rPr>
        <w:t> </w:t>
      </w:r>
      <w:r>
        <w:rPr>
          <w:spacing w:val="-81"/>
        </w:rPr>
      </w:r>
      <w:r>
        <w:rPr>
          <w:spacing w:val="-1"/>
        </w:rPr>
        <w:t>管理政策及有关内部控制系统，以适应市场情况或本集团经营活动的改变。本集团的内部审计部门也定期</w:t>
      </w:r>
      <w:r>
        <w:rPr>
          <w:spacing w:val="-81"/>
        </w:rPr>
        <w:t> </w:t>
      </w:r>
      <w:r>
        <w:rPr>
          <w:spacing w:val="-81"/>
        </w:rPr>
      </w:r>
      <w:r>
        <w:rPr/>
        <w:t>或随机检查内部控制系统的执行是否符合风险管理政策。</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本集团的金融工具导致的主要风险是信用风险、流动性风险、市场风险（包括利率风险、汇率风险、商品</w:t>
      </w:r>
      <w:r>
        <w:rPr>
          <w:spacing w:val="-83"/>
        </w:rPr>
        <w:t> </w:t>
      </w:r>
      <w:r>
        <w:rPr>
          <w:spacing w:val="-83"/>
        </w:rPr>
      </w:r>
      <w:r>
        <w:rPr/>
        <w:t>价格风险）。</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董事会负责规划并建立本集团的风险管理架构，指定本集团的风险管理政策和相关指引并监督风险管理措</w:t>
      </w:r>
      <w:r>
        <w:rPr>
          <w:spacing w:val="-81"/>
        </w:rPr>
        <w:t> </w:t>
      </w:r>
      <w:r>
        <w:rPr>
          <w:spacing w:val="-81"/>
        </w:rPr>
      </w:r>
      <w:r>
        <w:rPr>
          <w:spacing w:val="-1"/>
        </w:rPr>
        <w:t>施的执行情况。本集团已制定风险管理政策以识别和分析本集团所面临的风险，这些风险管理政策对特定</w:t>
      </w:r>
      <w:r>
        <w:rPr>
          <w:spacing w:val="-81"/>
        </w:rPr>
        <w:t> </w:t>
      </w:r>
      <w:r>
        <w:rPr>
          <w:spacing w:val="-81"/>
        </w:rPr>
      </w:r>
      <w:r>
        <w:rPr>
          <w:spacing w:val="-1"/>
        </w:rPr>
        <w:t>风险进行了明确规定，涵盖了信用风险、流动性风险和市场风险管理等诸多方面。本集团定期评估市场环</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3"/>
        </w:rPr>
        <w:t>境及本集团经营活动的变化以决定是否对风险管理政策及系统进行更新。本集团的风险管理由董事会负</w:t>
      </w:r>
      <w:r>
        <w:rPr>
          <w:spacing w:val="-82"/>
        </w:rPr>
        <w:t> </w:t>
      </w:r>
      <w:r>
        <w:rPr>
          <w:spacing w:val="-82"/>
        </w:rPr>
      </w:r>
      <w:r>
        <w:rPr>
          <w:spacing w:val="-1"/>
        </w:rPr>
        <w:t>责。董事会通过与本集团其他业务部门的紧密合作来识别、评价和规避相关风险。本集团内部审计部门就</w:t>
      </w:r>
      <w:r>
        <w:rPr>
          <w:spacing w:val="-83"/>
        </w:rPr>
        <w:t> </w:t>
      </w:r>
      <w:r>
        <w:rPr>
          <w:spacing w:val="-83"/>
        </w:rPr>
      </w:r>
      <w:r>
        <w:rPr/>
        <w:t>风险管理控制及程序进行定期的审核，并将审核结果上报本集团的审计委员会。</w:t>
      </w:r>
    </w:p>
    <w:p>
      <w:pPr>
        <w:spacing w:line="240" w:lineRule="auto" w:before="2"/>
        <w:rPr>
          <w:rFonts w:ascii="宋体" w:hAnsi="宋体" w:cs="宋体" w:eastAsia="宋体" w:hint="default"/>
          <w:sz w:val="17"/>
          <w:szCs w:val="17"/>
        </w:rPr>
      </w:pPr>
    </w:p>
    <w:p>
      <w:pPr>
        <w:pStyle w:val="BodyText"/>
        <w:spacing w:line="273" w:lineRule="auto"/>
        <w:ind w:right="1132"/>
        <w:jc w:val="both"/>
      </w:pPr>
      <w:r>
        <w:rPr>
          <w:spacing w:val="-1"/>
        </w:rPr>
        <w:t>本集团通过适当的多样化投资及业务组合来分散金融工具风险，并通过制定相应的风险管理政策减少集中</w:t>
      </w:r>
      <w:r>
        <w:rPr>
          <w:spacing w:val="-81"/>
        </w:rPr>
        <w:t> </w:t>
      </w:r>
      <w:r>
        <w:rPr>
          <w:spacing w:val="-81"/>
        </w:rPr>
      </w:r>
      <w:r>
        <w:rPr/>
        <w:t>于任何单一行业、特定地区或特定交易对手方的风险。</w:t>
      </w:r>
    </w:p>
    <w:p>
      <w:pPr>
        <w:spacing w:line="240" w:lineRule="auto" w:before="1"/>
        <w:rPr>
          <w:rFonts w:ascii="宋体" w:hAnsi="宋体" w:cs="宋体" w:eastAsia="宋体" w:hint="default"/>
          <w:sz w:val="17"/>
          <w:szCs w:val="17"/>
        </w:rPr>
      </w:pPr>
    </w:p>
    <w:p>
      <w:pPr>
        <w:pStyle w:val="BodyText"/>
        <w:spacing w:line="436" w:lineRule="auto"/>
        <w:ind w:left="1134" w:right="3192"/>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w:t>
      </w:r>
    </w:p>
    <w:p>
      <w:pPr>
        <w:pStyle w:val="BodyText"/>
        <w:spacing w:line="256" w:lineRule="auto" w:before="81"/>
        <w:ind w:right="1130"/>
        <w:jc w:val="both"/>
      </w:pPr>
      <w:r>
        <w:rPr>
          <w:spacing w:val="-2"/>
        </w:rPr>
        <w:t>本集团对信用风险按组合分类进行管理。信用风险主要产生于银行存款、其他流动资产</w:t>
      </w:r>
      <w:r>
        <w:rPr>
          <w:rFonts w:ascii="Times New Roman" w:hAnsi="Times New Roman" w:cs="Times New Roman" w:eastAsia="Times New Roman" w:hint="default"/>
          <w:spacing w:val="-2"/>
        </w:rPr>
        <w:t>-</w:t>
      </w:r>
      <w:r>
        <w:rPr>
          <w:spacing w:val="-2"/>
        </w:rPr>
        <w:t>理财产品和应收款</w:t>
      </w:r>
      <w:r>
        <w:rPr>
          <w:spacing w:val="-103"/>
        </w:rPr>
        <w:t> </w:t>
      </w:r>
      <w:r>
        <w:rPr/>
        <w:t>项等。</w:t>
      </w:r>
    </w:p>
    <w:p>
      <w:pPr>
        <w:spacing w:line="240" w:lineRule="auto" w:before="3"/>
        <w:rPr>
          <w:rFonts w:ascii="宋体" w:hAnsi="宋体" w:cs="宋体" w:eastAsia="宋体" w:hint="default"/>
          <w:sz w:val="18"/>
          <w:szCs w:val="18"/>
        </w:rPr>
      </w:pPr>
    </w:p>
    <w:p>
      <w:pPr>
        <w:pStyle w:val="BodyText"/>
        <w:spacing w:line="256" w:lineRule="auto"/>
        <w:ind w:right="1131"/>
        <w:jc w:val="both"/>
      </w:pPr>
      <w:r>
        <w:rPr>
          <w:spacing w:val="-2"/>
        </w:rPr>
        <w:t>本集团银行存款和其他流动资产</w:t>
      </w:r>
      <w:r>
        <w:rPr>
          <w:rFonts w:ascii="Times New Roman" w:hAnsi="Times New Roman" w:cs="Times New Roman" w:eastAsia="Times New Roman" w:hint="default"/>
          <w:spacing w:val="-2"/>
        </w:rPr>
        <w:t>-</w:t>
      </w:r>
      <w:r>
        <w:rPr>
          <w:spacing w:val="-2"/>
        </w:rPr>
        <w:t>理财产品的交易对手方是声誉良好并拥有较高信用评级的金融机构，本集</w:t>
      </w:r>
      <w:r>
        <w:rPr/>
        <w:t> 团预期银行存款和其他流动资产</w:t>
      </w:r>
      <w:r>
        <w:rPr>
          <w:rFonts w:ascii="Times New Roman" w:hAnsi="Times New Roman" w:cs="Times New Roman" w:eastAsia="Times New Roman" w:hint="default"/>
        </w:rPr>
        <w:t>-</w:t>
      </w:r>
      <w:r>
        <w:rPr/>
        <w:t>理财产品不存在重大的信用风险。</w:t>
      </w:r>
    </w:p>
    <w:p>
      <w:pPr>
        <w:spacing w:line="240" w:lineRule="auto" w:before="12"/>
        <w:rPr>
          <w:rFonts w:ascii="宋体" w:hAnsi="宋体" w:cs="宋体" w:eastAsia="宋体" w:hint="default"/>
          <w:sz w:val="16"/>
          <w:szCs w:val="16"/>
        </w:rPr>
      </w:pPr>
    </w:p>
    <w:p>
      <w:pPr>
        <w:pStyle w:val="BodyText"/>
        <w:spacing w:line="273" w:lineRule="auto"/>
        <w:ind w:right="1131"/>
        <w:jc w:val="both"/>
      </w:pPr>
      <w:r>
        <w:rPr>
          <w:spacing w:val="-1"/>
        </w:rPr>
        <w:t>对于应收款项，本集团设定相关政策以控制信用风险敞口。本集团基于对债务人的财务状况、信用记录及</w:t>
      </w:r>
      <w:r>
        <w:rPr>
          <w:spacing w:val="-83"/>
        </w:rPr>
        <w:t> </w:t>
      </w:r>
      <w:r>
        <w:rPr>
          <w:spacing w:val="-83"/>
        </w:rPr>
      </w:r>
      <w:r>
        <w:rPr>
          <w:spacing w:val="-1"/>
        </w:rPr>
        <w:t>其它因素诸如目前市场状况等评估债务人的信用资质并设置相应欠款额度与信用期限。本集团已采取政策</w:t>
      </w:r>
      <w:r>
        <w:rPr>
          <w:spacing w:val="-81"/>
        </w:rPr>
        <w:t> </w:t>
      </w:r>
      <w:r>
        <w:rPr>
          <w:spacing w:val="-81"/>
        </w:rPr>
      </w:r>
      <w:r>
        <w:rPr>
          <w:spacing w:val="-1"/>
        </w:rPr>
        <w:t>只与信用良好的交易对手方合作并在有必要时获取足够的抵押品，以此缓解因交易对手方未能履行合同义</w:t>
      </w:r>
      <w:r>
        <w:rPr>
          <w:spacing w:val="-81"/>
        </w:rPr>
        <w:t> </w:t>
      </w:r>
      <w:r>
        <w:rPr>
          <w:spacing w:val="-81"/>
        </w:rPr>
      </w:r>
      <w:r>
        <w:rPr>
          <w:spacing w:val="-1"/>
        </w:rPr>
        <w:t>务而产生财务损失的风险。本集团会定期对债务人信用记录进行监控，对于信用记录不良的债务人，本集</w:t>
      </w:r>
      <w:r>
        <w:rPr>
          <w:spacing w:val="-83"/>
        </w:rPr>
        <w:t> </w:t>
      </w:r>
      <w:r>
        <w:rPr>
          <w:spacing w:val="-83"/>
        </w:rPr>
      </w:r>
      <w:r>
        <w:rPr/>
        <w:t>团会采用书面催款、缩短信用期或取消信用期等方式，以确保本集团的整体信用风险在可控的范围内。</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本集团应收账款的债务人为分布于不同地区的客户，主要为国有电力系统单位。本集团持续对应收账款的</w:t>
      </w:r>
      <w:r>
        <w:rPr>
          <w:spacing w:val="-81"/>
        </w:rPr>
        <w:t> </w:t>
      </w:r>
      <w:r>
        <w:rPr>
          <w:spacing w:val="-81"/>
        </w:rPr>
      </w:r>
      <w:r>
        <w:rPr/>
        <w:t>财务状况实施信用评估，并在适当时购买信用担保保险。</w:t>
      </w:r>
    </w:p>
    <w:p>
      <w:pPr>
        <w:spacing w:line="240" w:lineRule="auto" w:before="1"/>
        <w:rPr>
          <w:rFonts w:ascii="宋体" w:hAnsi="宋体" w:cs="宋体" w:eastAsia="宋体" w:hint="default"/>
          <w:sz w:val="17"/>
          <w:szCs w:val="17"/>
        </w:rPr>
      </w:pPr>
    </w:p>
    <w:p>
      <w:pPr>
        <w:pStyle w:val="BodyText"/>
        <w:spacing w:line="273" w:lineRule="auto"/>
        <w:ind w:right="1068"/>
        <w:jc w:val="both"/>
      </w:pPr>
      <w:r>
        <w:rPr/>
        <w:t>本集团所承受的最大信用风险敞口为资产负债表中每项金融资产的账面金额。本集团没有提供任何其他可 能令本集团承受信用风险的担保。</w:t>
      </w:r>
    </w:p>
    <w:p>
      <w:pPr>
        <w:spacing w:line="240" w:lineRule="auto" w:before="1"/>
        <w:rPr>
          <w:rFonts w:ascii="宋体" w:hAnsi="宋体" w:cs="宋体" w:eastAsia="宋体" w:hint="default"/>
          <w:sz w:val="17"/>
          <w:szCs w:val="17"/>
        </w:rPr>
      </w:pPr>
    </w:p>
    <w:p>
      <w:pPr>
        <w:pStyle w:val="BodyText"/>
        <w:spacing w:line="256" w:lineRule="auto"/>
        <w:ind w:right="1068"/>
        <w:jc w:val="both"/>
      </w:pPr>
      <w:r>
        <w:rPr>
          <w:spacing w:val="-4"/>
        </w:rPr>
        <w:t>本集团应收账款中，欠款金额前五大客户的应收账款占本集团应收账款总额的</w:t>
      </w:r>
      <w:r>
        <w:rPr>
          <w:rFonts w:ascii="Times New Roman" w:hAnsi="Times New Roman" w:cs="Times New Roman" w:eastAsia="Times New Roman" w:hint="default"/>
          <w:spacing w:val="-4"/>
        </w:rPr>
        <w:t>23.57%</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28.89%</w:t>
      </w:r>
      <w:r>
        <w:rPr>
          <w:spacing w:val="-4"/>
        </w:rPr>
        <w:t>）；</w:t>
      </w:r>
      <w:r>
        <w:rPr>
          <w:spacing w:val="-90"/>
        </w:rPr>
        <w:t> </w:t>
      </w:r>
      <w:r>
        <w:rPr>
          <w:spacing w:val="3"/>
        </w:rPr>
        <w:t>本集团其他应收款中，欠款金额前五大公司的其他应收款占本集团其他应收款总额的</w:t>
      </w:r>
      <w:r>
        <w:rPr>
          <w:rFonts w:ascii="Times New Roman" w:hAnsi="Times New Roman" w:cs="Times New Roman" w:eastAsia="Times New Roman" w:hint="default"/>
          <w:spacing w:val="3"/>
        </w:rPr>
        <w:t>32.30%</w:t>
      </w:r>
      <w:r>
        <w:rPr>
          <w:spacing w:val="3"/>
        </w:rPr>
        <w:t>（</w:t>
      </w:r>
      <w:r>
        <w:rPr>
          <w:rFonts w:ascii="Times New Roman" w:hAnsi="Times New Roman" w:cs="Times New Roman" w:eastAsia="Times New Roman" w:hint="default"/>
          <w:spacing w:val="3"/>
        </w:rPr>
        <w:t>2014</w:t>
      </w:r>
      <w:r>
        <w:rPr>
          <w:spacing w:val="3"/>
        </w:rPr>
        <w:t>年：</w:t>
      </w:r>
      <w:r>
        <w:rPr>
          <w:spacing w:val="-102"/>
        </w:rPr>
        <w:t> </w:t>
      </w:r>
      <w:r>
        <w:rPr>
          <w:rFonts w:ascii="Times New Roman" w:hAnsi="Times New Roman" w:cs="Times New Roman" w:eastAsia="Times New Roman" w:hint="default"/>
        </w:rPr>
        <w:t>45.00%</w:t>
      </w:r>
      <w:r>
        <w:rPr/>
        <w:t>）。</w:t>
      </w:r>
    </w:p>
    <w:p>
      <w:pPr>
        <w:spacing w:line="240" w:lineRule="auto" w:before="12"/>
        <w:rPr>
          <w:rFonts w:ascii="宋体" w:hAnsi="宋体" w:cs="宋体" w:eastAsia="宋体" w:hint="default"/>
          <w:sz w:val="16"/>
          <w:szCs w:val="16"/>
        </w:rPr>
      </w:pPr>
    </w:p>
    <w:p>
      <w:pPr>
        <w:pStyle w:val="BodyText"/>
        <w:spacing w:line="436" w:lineRule="auto"/>
        <w:ind w:right="1131"/>
        <w:jc w:val="both"/>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273" w:lineRule="auto" w:before="81"/>
        <w:ind w:right="1131"/>
        <w:jc w:val="both"/>
      </w:pPr>
      <w:r>
        <w:rPr>
          <w:spacing w:val="-1"/>
        </w:rPr>
        <w:t>管理流动风险时，本集团保持管理层认为充分的现金及现金等价物并对其进行监控，以满足本集团经营需</w:t>
      </w:r>
      <w:r>
        <w:rPr>
          <w:spacing w:val="-81"/>
        </w:rPr>
        <w:t> </w:t>
      </w:r>
      <w:r>
        <w:rPr>
          <w:spacing w:val="-81"/>
        </w:rPr>
      </w:r>
      <w:r>
        <w:rPr>
          <w:spacing w:val="-1"/>
        </w:rPr>
        <w:t>要，并降低现金流量波动的影响。本集团管理层对银行借款的使用情况进行监控并确保遵守借款协议。同</w:t>
      </w:r>
      <w:r>
        <w:rPr>
          <w:spacing w:val="-83"/>
        </w:rPr>
        <w:t> </w:t>
      </w:r>
      <w:r>
        <w:rPr>
          <w:spacing w:val="-83"/>
        </w:rPr>
      </w:r>
      <w:r>
        <w:rPr/>
        <w:t>时从主要金融机构获得提供足够备用资金的承诺，以满足短期和长期的资金需求。</w:t>
      </w:r>
    </w:p>
    <w:p>
      <w:pPr>
        <w:spacing w:line="240" w:lineRule="auto" w:before="1"/>
        <w:rPr>
          <w:rFonts w:ascii="宋体" w:hAnsi="宋体" w:cs="宋体" w:eastAsia="宋体" w:hint="default"/>
          <w:sz w:val="17"/>
          <w:szCs w:val="17"/>
        </w:rPr>
      </w:pPr>
    </w:p>
    <w:p>
      <w:pPr>
        <w:pStyle w:val="BodyText"/>
        <w:spacing w:line="256" w:lineRule="auto"/>
        <w:ind w:left="1134" w:right="1131"/>
        <w:jc w:val="both"/>
      </w:pPr>
      <w:r>
        <w:rPr>
          <w:spacing w:val="-1"/>
        </w:rPr>
        <w:t>本集团通过经营业务产生的资金及银行及股权融资等来筹措营运资金。于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日，本集团不存在</w:t>
      </w:r>
      <w:r>
        <w:rPr>
          <w:spacing w:val="-82"/>
        </w:rPr>
        <w:t> </w:t>
      </w:r>
      <w:r>
        <w:rPr>
          <w:spacing w:val="-82"/>
        </w:rPr>
      </w:r>
      <w:r>
        <w:rPr/>
        <w:t>尚未使用的银行借款额度。</w:t>
      </w:r>
    </w:p>
    <w:p>
      <w:pPr>
        <w:spacing w:line="240" w:lineRule="auto" w:before="3"/>
        <w:rPr>
          <w:rFonts w:ascii="宋体" w:hAnsi="宋体" w:cs="宋体" w:eastAsia="宋体" w:hint="default"/>
          <w:sz w:val="18"/>
          <w:szCs w:val="18"/>
        </w:rPr>
      </w:pPr>
    </w:p>
    <w:p>
      <w:pPr>
        <w:pStyle w:val="BodyText"/>
        <w:spacing w:line="240" w:lineRule="auto"/>
        <w:ind w:left="1134" w:right="0"/>
        <w:jc w:val="both"/>
      </w:pPr>
      <w:r>
        <w:rPr/>
        <w:t>期末本集团持有的金融负债按未折现剩余合同现金流量的到期期限分析如下（单位：人民币万元）：</w:t>
      </w:r>
    </w:p>
    <w:p>
      <w:pPr>
        <w:spacing w:line="240" w:lineRule="auto" w:before="6"/>
        <w:rPr>
          <w:rFonts w:ascii="宋体" w:hAnsi="宋体" w:cs="宋体" w:eastAsia="宋体" w:hint="default"/>
          <w:sz w:val="20"/>
          <w:szCs w:val="20"/>
        </w:rPr>
      </w:pPr>
    </w:p>
    <w:tbl>
      <w:tblPr>
        <w:tblW w:w="0" w:type="auto"/>
        <w:jc w:val="left"/>
        <w:tblInd w:w="1119" w:type="dxa"/>
        <w:tblLayout w:type="fixed"/>
        <w:tblCellMar>
          <w:top w:w="0" w:type="dxa"/>
          <w:left w:w="0" w:type="dxa"/>
          <w:bottom w:w="0" w:type="dxa"/>
          <w:right w:w="0" w:type="dxa"/>
        </w:tblCellMar>
        <w:tblLook w:val="01E0"/>
      </w:tblPr>
      <w:tblGrid>
        <w:gridCol w:w="2507"/>
        <w:gridCol w:w="3243"/>
        <w:gridCol w:w="1600"/>
        <w:gridCol w:w="1188"/>
      </w:tblGrid>
      <w:tr>
        <w:trPr>
          <w:trHeight w:val="349" w:hRule="exact"/>
        </w:trPr>
        <w:tc>
          <w:tcPr>
            <w:tcW w:w="8538" w:type="dxa"/>
            <w:gridSpan w:val="4"/>
            <w:tcBorders>
              <w:top w:val="single" w:sz="6" w:space="0" w:color="000000"/>
              <w:left w:val="nil" w:sz="6" w:space="0" w:color="auto"/>
              <w:bottom w:val="single" w:sz="8" w:space="0" w:color="000000"/>
              <w:right w:val="nil" w:sz="6" w:space="0" w:color="auto"/>
            </w:tcBorders>
          </w:tcPr>
          <w:p>
            <w:pPr>
              <w:pStyle w:val="TableParagraph"/>
              <w:spacing w:line="271" w:lineRule="exact"/>
              <w:ind w:left="5460"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48" w:hRule="exact"/>
        </w:trPr>
        <w:tc>
          <w:tcPr>
            <w:tcW w:w="25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3243"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197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年以内</w:t>
            </w:r>
            <w:r>
              <w:rPr>
                <w:rFonts w:ascii="宋体" w:hAnsi="宋体" w:cs="宋体" w:eastAsia="宋体" w:hint="default"/>
                <w:sz w:val="21"/>
                <w:szCs w:val="21"/>
              </w:rPr>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53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年</w:t>
            </w:r>
            <w:r>
              <w:rPr>
                <w:rFonts w:ascii="宋体" w:hAnsi="宋体" w:cs="宋体" w:eastAsia="宋体" w:hint="default"/>
                <w:sz w:val="21"/>
                <w:szCs w:val="21"/>
              </w:rPr>
            </w:r>
          </w:p>
        </w:tc>
        <w:tc>
          <w:tcPr>
            <w:tcW w:w="118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576"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bl>
    <w:p>
      <w:pPr>
        <w:spacing w:after="0" w:line="266"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9245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9" w:type="dxa"/>
        <w:tblLayout w:type="fixed"/>
        <w:tblCellMar>
          <w:top w:w="0" w:type="dxa"/>
          <w:left w:w="0" w:type="dxa"/>
          <w:bottom w:w="0" w:type="dxa"/>
          <w:right w:w="0" w:type="dxa"/>
        </w:tblCellMar>
        <w:tblLook w:val="01E0"/>
      </w:tblPr>
      <w:tblGrid>
        <w:gridCol w:w="3407"/>
        <w:gridCol w:w="2351"/>
        <w:gridCol w:w="1525"/>
        <w:gridCol w:w="1255"/>
      </w:tblGrid>
      <w:tr>
        <w:trPr>
          <w:trHeight w:val="684" w:hRule="exact"/>
        </w:trPr>
        <w:tc>
          <w:tcPr>
            <w:tcW w:w="3407"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2351" w:type="dxa"/>
            <w:tcBorders>
              <w:top w:val="single" w:sz="6" w:space="0" w:color="000000"/>
              <w:left w:val="nil" w:sz="6" w:space="0" w:color="auto"/>
              <w:bottom w:val="single" w:sz="8" w:space="0" w:color="000000"/>
              <w:right w:val="nil" w:sz="6" w:space="0" w:color="auto"/>
            </w:tcBorders>
          </w:tcPr>
          <w:p>
            <w:pPr/>
          </w:p>
        </w:tc>
        <w:tc>
          <w:tcPr>
            <w:tcW w:w="1525" w:type="dxa"/>
            <w:tcBorders>
              <w:top w:val="single" w:sz="6" w:space="0" w:color="000000"/>
              <w:left w:val="nil" w:sz="6" w:space="0" w:color="auto"/>
              <w:bottom w:val="single" w:sz="8" w:space="0" w:color="000000"/>
              <w:right w:val="nil" w:sz="6" w:space="0" w:color="auto"/>
            </w:tcBorders>
          </w:tcPr>
          <w:p>
            <w:pPr/>
          </w:p>
        </w:tc>
        <w:tc>
          <w:tcPr>
            <w:tcW w:w="1255"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41"/>
              <w:jc w:val="right"/>
              <w:rPr>
                <w:rFonts w:ascii="Times New Roman" w:hAnsi="Times New Roman" w:cs="Times New Roman" w:eastAsia="Times New Roman" w:hint="default"/>
                <w:sz w:val="21"/>
                <w:szCs w:val="21"/>
              </w:rPr>
            </w:pPr>
            <w:r>
              <w:rPr>
                <w:rFonts w:ascii="Times New Roman"/>
                <w:spacing w:val="-1"/>
                <w:sz w:val="21"/>
              </w:rPr>
              <w:t>1,600.00</w:t>
            </w:r>
          </w:p>
        </w:tc>
        <w:tc>
          <w:tcPr>
            <w:tcW w:w="1525" w:type="dxa"/>
            <w:tcBorders>
              <w:top w:val="single" w:sz="8" w:space="0" w:color="000000"/>
              <w:left w:val="nil" w:sz="6" w:space="0" w:color="auto"/>
              <w:bottom w:val="single" w:sz="8" w:space="0" w:color="000000"/>
              <w:right w:val="nil" w:sz="6" w:space="0" w:color="auto"/>
            </w:tcBorders>
          </w:tcPr>
          <w:p>
            <w:pP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pacing w:val="-1"/>
                <w:sz w:val="21"/>
              </w:rPr>
              <w:t>1,600.00</w:t>
            </w:r>
          </w:p>
        </w:tc>
      </w:tr>
      <w:tr>
        <w:trPr>
          <w:trHeight w:val="347"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40"/>
              <w:jc w:val="right"/>
              <w:rPr>
                <w:rFonts w:ascii="Times New Roman" w:hAnsi="Times New Roman" w:cs="Times New Roman" w:eastAsia="Times New Roman" w:hint="default"/>
                <w:sz w:val="21"/>
                <w:szCs w:val="21"/>
              </w:rPr>
            </w:pPr>
            <w:r>
              <w:rPr>
                <w:rFonts w:ascii="Times New Roman"/>
                <w:sz w:val="21"/>
              </w:rPr>
              <w:t>9.90</w:t>
            </w:r>
          </w:p>
        </w:tc>
        <w:tc>
          <w:tcPr>
            <w:tcW w:w="1525" w:type="dxa"/>
            <w:tcBorders>
              <w:top w:val="single" w:sz="8" w:space="0" w:color="000000"/>
              <w:left w:val="nil" w:sz="6" w:space="0" w:color="auto"/>
              <w:bottom w:val="single" w:sz="8" w:space="0" w:color="000000"/>
              <w:right w:val="nil" w:sz="6" w:space="0" w:color="auto"/>
            </w:tcBorders>
          </w:tcPr>
          <w:p>
            <w:pP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9.90</w:t>
            </w:r>
          </w:p>
        </w:tc>
      </w:tr>
      <w:tr>
        <w:trPr>
          <w:trHeight w:val="348"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39"/>
              <w:jc w:val="right"/>
              <w:rPr>
                <w:rFonts w:ascii="Times New Roman" w:hAnsi="Times New Roman" w:cs="Times New Roman" w:eastAsia="Times New Roman" w:hint="default"/>
                <w:sz w:val="21"/>
                <w:szCs w:val="21"/>
              </w:rPr>
            </w:pPr>
            <w:r>
              <w:rPr>
                <w:rFonts w:ascii="Times New Roman"/>
                <w:spacing w:val="-1"/>
                <w:sz w:val="21"/>
              </w:rPr>
              <w:t>5,108.82</w:t>
            </w:r>
          </w:p>
        </w:tc>
        <w:tc>
          <w:tcPr>
            <w:tcW w:w="1525" w:type="dxa"/>
            <w:tcBorders>
              <w:top w:val="single" w:sz="8" w:space="0" w:color="000000"/>
              <w:left w:val="nil" w:sz="6" w:space="0" w:color="auto"/>
              <w:bottom w:val="single" w:sz="8" w:space="0" w:color="000000"/>
              <w:right w:val="nil" w:sz="6" w:space="0" w:color="auto"/>
            </w:tcBorders>
          </w:tcPr>
          <w:p>
            <w:pP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1"/>
                <w:szCs w:val="21"/>
              </w:rPr>
            </w:pPr>
            <w:r>
              <w:rPr>
                <w:rFonts w:ascii="Times New Roman"/>
                <w:spacing w:val="-1"/>
                <w:sz w:val="21"/>
              </w:rPr>
              <w:t>5,108.82</w:t>
            </w:r>
          </w:p>
        </w:tc>
      </w:tr>
      <w:tr>
        <w:trPr>
          <w:trHeight w:val="347"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40"/>
              <w:jc w:val="right"/>
              <w:rPr>
                <w:rFonts w:ascii="Times New Roman" w:hAnsi="Times New Roman" w:cs="Times New Roman" w:eastAsia="Times New Roman" w:hint="default"/>
                <w:sz w:val="21"/>
                <w:szCs w:val="21"/>
              </w:rPr>
            </w:pPr>
            <w:r>
              <w:rPr>
                <w:rFonts w:ascii="Times New Roman"/>
                <w:sz w:val="21"/>
              </w:rPr>
              <w:t>3.29</w:t>
            </w:r>
          </w:p>
        </w:tc>
        <w:tc>
          <w:tcPr>
            <w:tcW w:w="1525" w:type="dxa"/>
            <w:tcBorders>
              <w:top w:val="single" w:sz="8" w:space="0" w:color="000000"/>
              <w:left w:val="nil" w:sz="6" w:space="0" w:color="auto"/>
              <w:bottom w:val="single" w:sz="8" w:space="0" w:color="000000"/>
              <w:right w:val="nil" w:sz="6" w:space="0" w:color="auto"/>
            </w:tcBorders>
          </w:tcPr>
          <w:p>
            <w:pP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1"/>
                <w:szCs w:val="21"/>
              </w:rPr>
            </w:pPr>
            <w:r>
              <w:rPr>
                <w:rFonts w:ascii="Times New Roman"/>
                <w:sz w:val="21"/>
              </w:rPr>
              <w:t>3.29</w:t>
            </w:r>
          </w:p>
        </w:tc>
      </w:tr>
      <w:tr>
        <w:trPr>
          <w:trHeight w:val="347"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39"/>
              <w:jc w:val="right"/>
              <w:rPr>
                <w:rFonts w:ascii="Times New Roman" w:hAnsi="Times New Roman" w:cs="Times New Roman" w:eastAsia="Times New Roman" w:hint="default"/>
                <w:sz w:val="21"/>
                <w:szCs w:val="21"/>
              </w:rPr>
            </w:pPr>
            <w:r>
              <w:rPr>
                <w:rFonts w:ascii="Times New Roman"/>
                <w:sz w:val="21"/>
              </w:rPr>
              <w:t>251.14</w:t>
            </w:r>
          </w:p>
        </w:tc>
        <w:tc>
          <w:tcPr>
            <w:tcW w:w="1525" w:type="dxa"/>
            <w:tcBorders>
              <w:top w:val="single" w:sz="8" w:space="0" w:color="000000"/>
              <w:left w:val="nil" w:sz="6" w:space="0" w:color="auto"/>
              <w:bottom w:val="single" w:sz="8" w:space="0" w:color="000000"/>
              <w:right w:val="nil" w:sz="6" w:space="0" w:color="auto"/>
            </w:tcBorders>
          </w:tcPr>
          <w:p>
            <w:pP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1"/>
                <w:szCs w:val="21"/>
              </w:rPr>
            </w:pPr>
            <w:r>
              <w:rPr>
                <w:rFonts w:ascii="Times New Roman"/>
                <w:sz w:val="21"/>
              </w:rPr>
              <w:t>251.14</w:t>
            </w:r>
          </w:p>
        </w:tc>
      </w:tr>
      <w:tr>
        <w:trPr>
          <w:trHeight w:val="347"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40"/>
              <w:jc w:val="right"/>
              <w:rPr>
                <w:rFonts w:ascii="Times New Roman" w:hAnsi="Times New Roman" w:cs="Times New Roman" w:eastAsia="Times New Roman" w:hint="default"/>
                <w:sz w:val="21"/>
                <w:szCs w:val="21"/>
              </w:rPr>
            </w:pPr>
            <w:r>
              <w:rPr>
                <w:rFonts w:ascii="Times New Roman"/>
                <w:sz w:val="21"/>
              </w:rPr>
              <w:t>287.50</w:t>
            </w:r>
          </w:p>
        </w:tc>
        <w:tc>
          <w:tcPr>
            <w:tcW w:w="1525" w:type="dxa"/>
            <w:tcBorders>
              <w:top w:val="single" w:sz="8" w:space="0" w:color="000000"/>
              <w:left w:val="nil" w:sz="6" w:space="0" w:color="auto"/>
              <w:bottom w:val="single" w:sz="8" w:space="0" w:color="000000"/>
              <w:right w:val="nil" w:sz="6" w:space="0" w:color="auto"/>
            </w:tcBorders>
          </w:tcPr>
          <w:p>
            <w:pP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287.50</w:t>
            </w:r>
          </w:p>
        </w:tc>
      </w:tr>
      <w:tr>
        <w:trPr>
          <w:trHeight w:val="347"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40"/>
              <w:jc w:val="right"/>
              <w:rPr>
                <w:rFonts w:ascii="Times New Roman" w:hAnsi="Times New Roman" w:cs="Times New Roman" w:eastAsia="Times New Roman" w:hint="default"/>
                <w:sz w:val="21"/>
                <w:szCs w:val="21"/>
              </w:rPr>
            </w:pPr>
            <w:r>
              <w:rPr>
                <w:rFonts w:ascii="Times New Roman"/>
                <w:sz w:val="21"/>
              </w:rPr>
              <w:t>287.50</w:t>
            </w:r>
          </w:p>
        </w:tc>
        <w:tc>
          <w:tcPr>
            <w:tcW w:w="152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08"/>
              <w:jc w:val="right"/>
              <w:rPr>
                <w:rFonts w:ascii="Times New Roman" w:hAnsi="Times New Roman" w:cs="Times New Roman" w:eastAsia="Times New Roman" w:hint="default"/>
                <w:sz w:val="21"/>
                <w:szCs w:val="21"/>
              </w:rPr>
            </w:pPr>
            <w:r>
              <w:rPr>
                <w:rFonts w:ascii="Times New Roman"/>
                <w:sz w:val="21"/>
              </w:rPr>
              <w:t>47.92</w:t>
            </w: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335.42</w:t>
            </w:r>
          </w:p>
        </w:tc>
      </w:tr>
      <w:tr>
        <w:trPr>
          <w:trHeight w:val="348" w:hRule="exact"/>
        </w:trPr>
        <w:tc>
          <w:tcPr>
            <w:tcW w:w="340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金融负债合计</w:t>
            </w:r>
            <w:r>
              <w:rPr>
                <w:rFonts w:ascii="宋体" w:hAnsi="宋体" w:cs="宋体" w:eastAsia="宋体" w:hint="default"/>
                <w:sz w:val="21"/>
                <w:szCs w:val="21"/>
              </w:rPr>
            </w:r>
          </w:p>
        </w:tc>
        <w:tc>
          <w:tcPr>
            <w:tcW w:w="2351"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539"/>
              <w:jc w:val="right"/>
              <w:rPr>
                <w:rFonts w:ascii="Times New Roman" w:hAnsi="Times New Roman" w:cs="Times New Roman" w:eastAsia="Times New Roman" w:hint="default"/>
                <w:sz w:val="21"/>
                <w:szCs w:val="21"/>
              </w:rPr>
            </w:pPr>
            <w:r>
              <w:rPr>
                <w:rFonts w:ascii="Times New Roman"/>
                <w:b/>
                <w:spacing w:val="-1"/>
                <w:sz w:val="21"/>
              </w:rPr>
              <w:t>7,548.15</w:t>
            </w:r>
            <w:r>
              <w:rPr>
                <w:rFonts w:ascii="Times New Roman"/>
                <w:spacing w:val="-1"/>
                <w:sz w:val="21"/>
              </w:rPr>
            </w:r>
          </w:p>
        </w:tc>
        <w:tc>
          <w:tcPr>
            <w:tcW w:w="1525"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507"/>
              <w:jc w:val="right"/>
              <w:rPr>
                <w:rFonts w:ascii="Times New Roman" w:hAnsi="Times New Roman" w:cs="Times New Roman" w:eastAsia="Times New Roman" w:hint="default"/>
                <w:sz w:val="21"/>
                <w:szCs w:val="21"/>
              </w:rPr>
            </w:pPr>
            <w:r>
              <w:rPr>
                <w:rFonts w:ascii="Times New Roman"/>
                <w:b/>
                <w:sz w:val="21"/>
              </w:rPr>
              <w:t>47.92</w:t>
            </w:r>
            <w:r>
              <w:rPr>
                <w:rFonts w:ascii="Times New Roman"/>
                <w:sz w:val="21"/>
              </w:rPr>
            </w:r>
          </w:p>
        </w:tc>
        <w:tc>
          <w:tcPr>
            <w:tcW w:w="1255"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8"/>
              <w:jc w:val="right"/>
              <w:rPr>
                <w:rFonts w:ascii="Times New Roman" w:hAnsi="Times New Roman" w:cs="Times New Roman" w:eastAsia="Times New Roman" w:hint="default"/>
                <w:sz w:val="21"/>
                <w:szCs w:val="21"/>
              </w:rPr>
            </w:pPr>
            <w:r>
              <w:rPr>
                <w:rFonts w:ascii="Times New Roman"/>
                <w:b/>
                <w:spacing w:val="-1"/>
                <w:sz w:val="21"/>
              </w:rPr>
              <w:t>7,596.07</w:t>
            </w:r>
            <w:r>
              <w:rPr>
                <w:rFonts w:ascii="Times New Roman"/>
                <w:spacing w:val="-1"/>
                <w:sz w:val="21"/>
              </w:rPr>
            </w:r>
          </w:p>
        </w:tc>
      </w:tr>
    </w:tbl>
    <w:p>
      <w:pPr>
        <w:spacing w:line="240" w:lineRule="auto" w:before="5"/>
        <w:rPr>
          <w:rFonts w:ascii="宋体" w:hAnsi="宋体" w:cs="宋体" w:eastAsia="宋体" w:hint="default"/>
          <w:sz w:val="5"/>
          <w:szCs w:val="5"/>
        </w:rPr>
      </w:pPr>
    </w:p>
    <w:p>
      <w:pPr>
        <w:pStyle w:val="BodyText"/>
        <w:spacing w:line="240" w:lineRule="auto" w:before="35"/>
        <w:ind w:left="1134" w:right="0"/>
        <w:jc w:val="left"/>
      </w:pPr>
      <w:r>
        <w:rPr/>
        <w:t>期初本集团持有的金融负债项目按未折现剩余合同现金流量的到期期限分析如下（单位：人民币万元）：</w:t>
      </w:r>
    </w:p>
    <w:p>
      <w:pPr>
        <w:spacing w:line="240" w:lineRule="auto" w:before="6"/>
        <w:rPr>
          <w:rFonts w:ascii="宋体" w:hAnsi="宋体" w:cs="宋体" w:eastAsia="宋体" w:hint="default"/>
          <w:sz w:val="20"/>
          <w:szCs w:val="20"/>
        </w:rPr>
      </w:pPr>
    </w:p>
    <w:tbl>
      <w:tblPr>
        <w:tblW w:w="0" w:type="auto"/>
        <w:jc w:val="left"/>
        <w:tblInd w:w="1119" w:type="dxa"/>
        <w:tblLayout w:type="fixed"/>
        <w:tblCellMar>
          <w:top w:w="0" w:type="dxa"/>
          <w:left w:w="0" w:type="dxa"/>
          <w:bottom w:w="0" w:type="dxa"/>
          <w:right w:w="0" w:type="dxa"/>
        </w:tblCellMar>
        <w:tblLook w:val="01E0"/>
      </w:tblPr>
      <w:tblGrid>
        <w:gridCol w:w="3462"/>
        <w:gridCol w:w="2370"/>
        <w:gridCol w:w="1521"/>
        <w:gridCol w:w="1185"/>
      </w:tblGrid>
      <w:tr>
        <w:trPr>
          <w:trHeight w:val="349" w:hRule="exact"/>
        </w:trPr>
        <w:tc>
          <w:tcPr>
            <w:tcW w:w="8538" w:type="dxa"/>
            <w:gridSpan w:val="4"/>
            <w:tcBorders>
              <w:top w:val="single" w:sz="6" w:space="0" w:color="000000"/>
              <w:left w:val="nil" w:sz="6" w:space="0" w:color="auto"/>
              <w:bottom w:val="single" w:sz="8" w:space="0" w:color="000000"/>
              <w:right w:val="nil" w:sz="6" w:space="0" w:color="auto"/>
            </w:tcBorders>
          </w:tcPr>
          <w:p>
            <w:pPr>
              <w:pStyle w:val="TableParagraph"/>
              <w:spacing w:line="271" w:lineRule="exact"/>
              <w:ind w:left="5507"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7"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82" w:lineRule="exact"/>
              <w:ind w:right="500"/>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年以内</w:t>
            </w:r>
            <w:r>
              <w:rPr>
                <w:rFonts w:ascii="宋体" w:hAnsi="宋体" w:cs="宋体" w:eastAsia="宋体" w:hint="default"/>
                <w:sz w:val="21"/>
                <w:szCs w:val="21"/>
              </w:rPr>
            </w:r>
          </w:p>
        </w:tc>
        <w:tc>
          <w:tcPr>
            <w:tcW w:w="1521"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149"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年</w:t>
            </w:r>
            <w:r>
              <w:rPr>
                <w:rFonts w:ascii="宋体" w:hAnsi="宋体" w:cs="宋体" w:eastAsia="宋体" w:hint="default"/>
                <w:sz w:val="21"/>
                <w:szCs w:val="21"/>
              </w:rPr>
            </w: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348"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2370" w:type="dxa"/>
            <w:tcBorders>
              <w:top w:val="single" w:sz="8" w:space="0" w:color="000000"/>
              <w:left w:val="nil" w:sz="6" w:space="0" w:color="auto"/>
              <w:bottom w:val="single" w:sz="8" w:space="0" w:color="000000"/>
              <w:right w:val="nil" w:sz="6" w:space="0" w:color="auto"/>
            </w:tcBorders>
          </w:tcPr>
          <w:p>
            <w:pPr/>
          </w:p>
        </w:tc>
        <w:tc>
          <w:tcPr>
            <w:tcW w:w="1521" w:type="dxa"/>
            <w:tcBorders>
              <w:top w:val="single" w:sz="8" w:space="0" w:color="000000"/>
              <w:left w:val="nil" w:sz="6" w:space="0" w:color="auto"/>
              <w:bottom w:val="single" w:sz="8" w:space="0" w:color="000000"/>
              <w:right w:val="nil" w:sz="6" w:space="0" w:color="auto"/>
            </w:tcBorders>
          </w:tcPr>
          <w:p>
            <w:pP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7"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02"/>
              <w:jc w:val="right"/>
              <w:rPr>
                <w:rFonts w:ascii="Times New Roman" w:hAnsi="Times New Roman" w:cs="Times New Roman" w:eastAsia="Times New Roman" w:hint="default"/>
                <w:sz w:val="21"/>
                <w:szCs w:val="21"/>
              </w:rPr>
            </w:pPr>
            <w:r>
              <w:rPr>
                <w:rFonts w:ascii="Times New Roman"/>
                <w:sz w:val="21"/>
              </w:rPr>
              <w:t>5,116.44</w:t>
            </w:r>
          </w:p>
        </w:tc>
        <w:tc>
          <w:tcPr>
            <w:tcW w:w="1521" w:type="dxa"/>
            <w:tcBorders>
              <w:top w:val="single" w:sz="8" w:space="0" w:color="000000"/>
              <w:left w:val="nil" w:sz="6" w:space="0" w:color="auto"/>
              <w:bottom w:val="single" w:sz="8" w:space="0" w:color="000000"/>
              <w:right w:val="nil" w:sz="6" w:space="0" w:color="auto"/>
            </w:tcBorders>
          </w:tcPr>
          <w:p>
            <w:pP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1"/>
                <w:szCs w:val="21"/>
              </w:rPr>
            </w:pPr>
            <w:r>
              <w:rPr>
                <w:rFonts w:ascii="Times New Roman"/>
                <w:sz w:val="21"/>
              </w:rPr>
              <w:t>5,116.44</w:t>
            </w:r>
          </w:p>
        </w:tc>
      </w:tr>
      <w:tr>
        <w:trPr>
          <w:trHeight w:val="347"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01"/>
              <w:jc w:val="right"/>
              <w:rPr>
                <w:rFonts w:ascii="Times New Roman" w:hAnsi="Times New Roman" w:cs="Times New Roman" w:eastAsia="Times New Roman" w:hint="default"/>
                <w:sz w:val="21"/>
                <w:szCs w:val="21"/>
              </w:rPr>
            </w:pPr>
            <w:r>
              <w:rPr>
                <w:rFonts w:ascii="Times New Roman"/>
                <w:sz w:val="21"/>
              </w:rPr>
              <w:t>1.04</w:t>
            </w:r>
          </w:p>
        </w:tc>
        <w:tc>
          <w:tcPr>
            <w:tcW w:w="1521" w:type="dxa"/>
            <w:tcBorders>
              <w:top w:val="single" w:sz="8" w:space="0" w:color="000000"/>
              <w:left w:val="nil" w:sz="6" w:space="0" w:color="auto"/>
              <w:bottom w:val="single" w:sz="8" w:space="0" w:color="000000"/>
              <w:right w:val="nil" w:sz="6" w:space="0" w:color="auto"/>
            </w:tcBorders>
          </w:tcPr>
          <w:p>
            <w:pP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1.04</w:t>
            </w:r>
          </w:p>
        </w:tc>
      </w:tr>
      <w:tr>
        <w:trPr>
          <w:trHeight w:val="347"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02"/>
              <w:jc w:val="right"/>
              <w:rPr>
                <w:rFonts w:ascii="Times New Roman" w:hAnsi="Times New Roman" w:cs="Times New Roman" w:eastAsia="Times New Roman" w:hint="default"/>
                <w:sz w:val="21"/>
                <w:szCs w:val="21"/>
              </w:rPr>
            </w:pPr>
            <w:r>
              <w:rPr>
                <w:rFonts w:ascii="Times New Roman"/>
                <w:sz w:val="21"/>
              </w:rPr>
              <w:t>189.77</w:t>
            </w:r>
          </w:p>
        </w:tc>
        <w:tc>
          <w:tcPr>
            <w:tcW w:w="1521" w:type="dxa"/>
            <w:tcBorders>
              <w:top w:val="single" w:sz="8" w:space="0" w:color="000000"/>
              <w:left w:val="nil" w:sz="6" w:space="0" w:color="auto"/>
              <w:bottom w:val="single" w:sz="8" w:space="0" w:color="000000"/>
              <w:right w:val="nil" w:sz="6" w:space="0" w:color="auto"/>
            </w:tcBorders>
          </w:tcPr>
          <w:p>
            <w:pP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189.77</w:t>
            </w:r>
          </w:p>
        </w:tc>
      </w:tr>
      <w:tr>
        <w:trPr>
          <w:trHeight w:val="347"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02"/>
              <w:jc w:val="right"/>
              <w:rPr>
                <w:rFonts w:ascii="Times New Roman" w:hAnsi="Times New Roman" w:cs="Times New Roman" w:eastAsia="Times New Roman" w:hint="default"/>
                <w:sz w:val="21"/>
                <w:szCs w:val="21"/>
              </w:rPr>
            </w:pPr>
            <w:r>
              <w:rPr>
                <w:rFonts w:ascii="Times New Roman"/>
                <w:sz w:val="21"/>
              </w:rPr>
              <w:t>287.50</w:t>
            </w:r>
          </w:p>
        </w:tc>
        <w:tc>
          <w:tcPr>
            <w:tcW w:w="1521" w:type="dxa"/>
            <w:tcBorders>
              <w:top w:val="single" w:sz="8" w:space="0" w:color="000000"/>
              <w:left w:val="nil" w:sz="6" w:space="0" w:color="auto"/>
              <w:bottom w:val="single" w:sz="8" w:space="0" w:color="000000"/>
              <w:right w:val="nil" w:sz="6" w:space="0" w:color="auto"/>
            </w:tcBorders>
          </w:tcPr>
          <w:p>
            <w:pP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287.50</w:t>
            </w:r>
          </w:p>
        </w:tc>
      </w:tr>
      <w:tr>
        <w:trPr>
          <w:trHeight w:val="347"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502"/>
              <w:jc w:val="right"/>
              <w:rPr>
                <w:rFonts w:ascii="Times New Roman" w:hAnsi="Times New Roman" w:cs="Times New Roman" w:eastAsia="Times New Roman" w:hint="default"/>
                <w:sz w:val="21"/>
                <w:szCs w:val="21"/>
              </w:rPr>
            </w:pPr>
            <w:r>
              <w:rPr>
                <w:rFonts w:ascii="Times New Roman"/>
                <w:sz w:val="21"/>
              </w:rPr>
              <w:t>287.50</w:t>
            </w:r>
          </w:p>
        </w:tc>
        <w:tc>
          <w:tcPr>
            <w:tcW w:w="152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61" w:right="0"/>
              <w:jc w:val="center"/>
              <w:rPr>
                <w:rFonts w:ascii="Times New Roman" w:hAnsi="Times New Roman" w:cs="Times New Roman" w:eastAsia="Times New Roman" w:hint="default"/>
                <w:sz w:val="21"/>
                <w:szCs w:val="21"/>
              </w:rPr>
            </w:pPr>
            <w:r>
              <w:rPr>
                <w:rFonts w:ascii="Times New Roman"/>
                <w:sz w:val="21"/>
              </w:rPr>
              <w:t>335.42</w:t>
            </w: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622.92</w:t>
            </w:r>
          </w:p>
        </w:tc>
      </w:tr>
      <w:tr>
        <w:trPr>
          <w:trHeight w:val="348" w:hRule="exact"/>
        </w:trPr>
        <w:tc>
          <w:tcPr>
            <w:tcW w:w="346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金融负债合计</w:t>
            </w:r>
            <w:r>
              <w:rPr>
                <w:rFonts w:ascii="宋体" w:hAnsi="宋体" w:cs="宋体" w:eastAsia="宋体" w:hint="default"/>
                <w:sz w:val="21"/>
                <w:szCs w:val="21"/>
              </w:rPr>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501"/>
              <w:jc w:val="right"/>
              <w:rPr>
                <w:rFonts w:ascii="Times New Roman" w:hAnsi="Times New Roman" w:cs="Times New Roman" w:eastAsia="Times New Roman" w:hint="default"/>
                <w:sz w:val="21"/>
                <w:szCs w:val="21"/>
              </w:rPr>
            </w:pPr>
            <w:r>
              <w:rPr>
                <w:rFonts w:ascii="Times New Roman"/>
                <w:b/>
                <w:spacing w:val="-1"/>
                <w:sz w:val="21"/>
              </w:rPr>
              <w:t>5,882.25</w:t>
            </w:r>
            <w:r>
              <w:rPr>
                <w:rFonts w:ascii="Times New Roman"/>
                <w:spacing w:val="-1"/>
                <w:sz w:val="21"/>
              </w:rPr>
            </w:r>
          </w:p>
        </w:tc>
        <w:tc>
          <w:tcPr>
            <w:tcW w:w="1521"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left="63" w:right="0"/>
              <w:jc w:val="center"/>
              <w:rPr>
                <w:rFonts w:ascii="Times New Roman" w:hAnsi="Times New Roman" w:cs="Times New Roman" w:eastAsia="Times New Roman" w:hint="default"/>
                <w:sz w:val="21"/>
                <w:szCs w:val="21"/>
              </w:rPr>
            </w:pPr>
            <w:r>
              <w:rPr>
                <w:rFonts w:ascii="Times New Roman"/>
                <w:b/>
                <w:sz w:val="21"/>
              </w:rPr>
              <w:t>335.42</w:t>
            </w:r>
            <w:r>
              <w:rPr>
                <w:rFonts w:ascii="Times New Roman"/>
                <w:sz w:val="21"/>
              </w:rPr>
            </w: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8"/>
              <w:jc w:val="right"/>
              <w:rPr>
                <w:rFonts w:ascii="Times New Roman" w:hAnsi="Times New Roman" w:cs="Times New Roman" w:eastAsia="Times New Roman" w:hint="default"/>
                <w:sz w:val="21"/>
                <w:szCs w:val="21"/>
              </w:rPr>
            </w:pPr>
            <w:r>
              <w:rPr>
                <w:rFonts w:ascii="Times New Roman"/>
                <w:b/>
                <w:spacing w:val="-1"/>
                <w:sz w:val="21"/>
              </w:rPr>
              <w:t>6,217.67</w:t>
            </w:r>
            <w:r>
              <w:rPr>
                <w:rFonts w:ascii="Times New Roman"/>
                <w:spacing w:val="-1"/>
                <w:sz w:val="21"/>
              </w:rPr>
            </w:r>
          </w:p>
        </w:tc>
      </w:tr>
    </w:tbl>
    <w:p>
      <w:pPr>
        <w:spacing w:line="240" w:lineRule="auto" w:before="5"/>
        <w:rPr>
          <w:rFonts w:ascii="宋体" w:hAnsi="宋体" w:cs="宋体" w:eastAsia="宋体" w:hint="default"/>
          <w:sz w:val="5"/>
          <w:szCs w:val="5"/>
        </w:rPr>
      </w:pPr>
    </w:p>
    <w:p>
      <w:pPr>
        <w:pStyle w:val="BodyText"/>
        <w:spacing w:line="240" w:lineRule="auto" w:before="35"/>
        <w:ind w:left="1134" w:right="0"/>
        <w:jc w:val="both"/>
      </w:pPr>
      <w:r>
        <w:rPr/>
        <w:t>上表中披露的金融负债金额为未经折现的合同现金流量，因而可能与资产负债表中的账面金额有所不同。</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w:t>
      </w:r>
      <w:r>
        <w:rPr>
          <w:rFonts w:ascii="Times New Roman" w:hAnsi="Times New Roman" w:cs="Times New Roman" w:eastAsia="Times New Roman" w:hint="default"/>
        </w:rPr>
        <w:t>3</w:t>
      </w:r>
      <w:r>
        <w:rPr/>
        <w:t>）市场风险</w:t>
      </w:r>
    </w:p>
    <w:p>
      <w:pPr>
        <w:spacing w:line="240" w:lineRule="auto" w:before="2"/>
        <w:rPr>
          <w:rFonts w:ascii="宋体" w:hAnsi="宋体" w:cs="宋体" w:eastAsia="宋体" w:hint="default"/>
          <w:sz w:val="18"/>
          <w:szCs w:val="18"/>
        </w:rPr>
      </w:pPr>
    </w:p>
    <w:p>
      <w:pPr>
        <w:pStyle w:val="BodyText"/>
        <w:spacing w:line="273" w:lineRule="auto"/>
        <w:ind w:left="1134" w:right="1130"/>
        <w:jc w:val="both"/>
      </w:pPr>
      <w:r>
        <w:rPr>
          <w:spacing w:val="-1"/>
        </w:rPr>
        <w:t>金融工具的市场风险，是指金融工具的公允价值或未来现金流量因市场价格变动而发生波动的风险，包括</w:t>
      </w:r>
      <w:r>
        <w:rPr>
          <w:spacing w:val="-80"/>
        </w:rPr>
        <w:t> </w:t>
      </w:r>
      <w:r>
        <w:rPr>
          <w:spacing w:val="-80"/>
        </w:rPr>
      </w:r>
      <w:r>
        <w:rPr/>
        <w:t>利率风险、汇率风险和其他价格风险。</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利率风险</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利率风险，是指金融工具的公允价值或未来现金流量因市场利率变动而发生波动的风险。利率风险可源于</w:t>
      </w:r>
      <w:r>
        <w:rPr>
          <w:spacing w:val="-81"/>
        </w:rPr>
        <w:t> </w:t>
      </w:r>
      <w:r>
        <w:rPr>
          <w:spacing w:val="-81"/>
        </w:rPr>
      </w:r>
      <w:r>
        <w:rPr/>
        <w:t>已确认的计息金融工具和未确认的金融工具（如某些贷款承诺）。</w:t>
      </w:r>
    </w:p>
    <w:p>
      <w:pPr>
        <w:spacing w:line="240" w:lineRule="auto" w:before="1"/>
        <w:rPr>
          <w:rFonts w:ascii="宋体" w:hAnsi="宋体" w:cs="宋体" w:eastAsia="宋体" w:hint="default"/>
          <w:sz w:val="17"/>
          <w:szCs w:val="17"/>
        </w:rPr>
      </w:pPr>
    </w:p>
    <w:p>
      <w:pPr>
        <w:pStyle w:val="BodyText"/>
        <w:spacing w:line="273" w:lineRule="auto"/>
        <w:ind w:left="1134" w:right="1130"/>
        <w:jc w:val="both"/>
      </w:pPr>
      <w:r>
        <w:rPr>
          <w:spacing w:val="-1"/>
        </w:rPr>
        <w:t>本集团的利率风险主要产生于长期银行借款等长期带息债务。浮动利率的金融负债使本集团面临现金流量</w:t>
      </w:r>
      <w:r>
        <w:rPr>
          <w:spacing w:val="-81"/>
        </w:rPr>
        <w:t> </w:t>
      </w:r>
      <w:r>
        <w:rPr>
          <w:spacing w:val="-81"/>
        </w:rPr>
      </w:r>
      <w:r>
        <w:rPr>
          <w:spacing w:val="-1"/>
        </w:rPr>
        <w:t>利率风险，固定利率的金融负债使本集团面临公允价值利率风险。本集团根据当时的市场环境来决定固定</w:t>
      </w:r>
      <w:r>
        <w:rPr>
          <w:spacing w:val="-81"/>
        </w:rPr>
        <w:t> </w:t>
      </w:r>
      <w:r>
        <w:rPr>
          <w:spacing w:val="-81"/>
        </w:rPr>
      </w:r>
      <w:r>
        <w:rPr/>
        <w:t>利率及浮动利率合同的相对比例，并通过定期审阅与监察维持适当的固定和浮动利率工具组合。</w:t>
      </w:r>
    </w:p>
    <w:p>
      <w:pPr>
        <w:spacing w:line="240" w:lineRule="auto" w:before="1"/>
        <w:rPr>
          <w:rFonts w:ascii="宋体" w:hAnsi="宋体" w:cs="宋体" w:eastAsia="宋体" w:hint="default"/>
          <w:sz w:val="17"/>
          <w:szCs w:val="17"/>
        </w:rPr>
      </w:pPr>
    </w:p>
    <w:p>
      <w:pPr>
        <w:pStyle w:val="BodyText"/>
        <w:spacing w:line="273" w:lineRule="auto"/>
        <w:ind w:left="1134" w:right="1130"/>
        <w:jc w:val="both"/>
      </w:pPr>
      <w:r>
        <w:rPr>
          <w:spacing w:val="-1"/>
        </w:rPr>
        <w:t>本集团密切关注利率变动对本集团利率风险的影响。本集团目前并未采取利率对冲政策。但管理层负责监</w:t>
      </w:r>
      <w:r>
        <w:rPr>
          <w:spacing w:val="-81"/>
        </w:rPr>
        <w:t> </w:t>
      </w:r>
      <w:r>
        <w:rPr>
          <w:spacing w:val="-81"/>
        </w:rPr>
      </w:r>
      <w:r>
        <w:rPr>
          <w:spacing w:val="-1"/>
        </w:rPr>
        <w:t>控利率风险，并将于需要时考虑对冲重大利率风险。由于理财产品为短期保本型固定收益理财，故理财产</w:t>
      </w:r>
      <w:r>
        <w:rPr>
          <w:spacing w:val="-83"/>
        </w:rPr>
        <w:t> </w:t>
      </w:r>
      <w:r>
        <w:rPr>
          <w:spacing w:val="-83"/>
        </w:rPr>
      </w:r>
      <w:r>
        <w:rPr/>
        <w:t>品的公允价值利率风险并不重大。</w:t>
      </w:r>
    </w:p>
    <w:p>
      <w:pPr>
        <w:spacing w:line="240" w:lineRule="auto" w:before="2"/>
        <w:rPr>
          <w:rFonts w:ascii="宋体" w:hAnsi="宋体" w:cs="宋体" w:eastAsia="宋体" w:hint="default"/>
          <w:sz w:val="17"/>
          <w:szCs w:val="17"/>
        </w:rPr>
      </w:pPr>
    </w:p>
    <w:p>
      <w:pPr>
        <w:pStyle w:val="BodyText"/>
        <w:spacing w:line="240" w:lineRule="auto"/>
        <w:ind w:left="1134" w:right="0"/>
        <w:jc w:val="both"/>
      </w:pPr>
      <w:r>
        <w:rPr/>
        <w:t>本集团持有的计息金融工具如下（单位：人民币万元）：</w:t>
      </w:r>
    </w:p>
    <w:p>
      <w:pPr>
        <w:spacing w:line="240" w:lineRule="auto" w:before="6"/>
        <w:rPr>
          <w:rFonts w:ascii="宋体" w:hAnsi="宋体" w:cs="宋体" w:eastAsia="宋体" w:hint="default"/>
          <w:sz w:val="20"/>
          <w:szCs w:val="20"/>
        </w:rPr>
      </w:pPr>
    </w:p>
    <w:tbl>
      <w:tblPr>
        <w:tblW w:w="0" w:type="auto"/>
        <w:jc w:val="left"/>
        <w:tblInd w:w="1119" w:type="dxa"/>
        <w:tblLayout w:type="fixed"/>
        <w:tblCellMar>
          <w:top w:w="0" w:type="dxa"/>
          <w:left w:w="0" w:type="dxa"/>
          <w:bottom w:w="0" w:type="dxa"/>
          <w:right w:w="0" w:type="dxa"/>
        </w:tblCellMar>
        <w:tblLook w:val="01E0"/>
      </w:tblPr>
      <w:tblGrid>
        <w:gridCol w:w="3002"/>
        <w:gridCol w:w="4303"/>
        <w:gridCol w:w="1846"/>
      </w:tblGrid>
      <w:tr>
        <w:trPr>
          <w:trHeight w:val="350" w:hRule="exact"/>
        </w:trPr>
        <w:tc>
          <w:tcPr>
            <w:tcW w:w="3002" w:type="dxa"/>
            <w:tcBorders>
              <w:top w:val="single" w:sz="8"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4303" w:type="dxa"/>
            <w:tcBorders>
              <w:top w:val="single" w:sz="8" w:space="0" w:color="000000"/>
              <w:left w:val="nil" w:sz="6" w:space="0" w:color="auto"/>
              <w:bottom w:val="single" w:sz="6" w:space="0" w:color="000000"/>
              <w:right w:val="nil" w:sz="6" w:space="0" w:color="auto"/>
            </w:tcBorders>
          </w:tcPr>
          <w:p>
            <w:pPr>
              <w:pStyle w:val="TableParagraph"/>
              <w:spacing w:line="271" w:lineRule="exact"/>
              <w:ind w:left="2466" w:right="0"/>
              <w:jc w:val="left"/>
              <w:rPr>
                <w:rFonts w:ascii="宋体" w:hAnsi="宋体" w:cs="宋体" w:eastAsia="宋体" w:hint="default"/>
                <w:sz w:val="21"/>
                <w:szCs w:val="21"/>
              </w:rPr>
            </w:pPr>
            <w:r>
              <w:rPr>
                <w:rFonts w:ascii="宋体" w:hAnsi="宋体" w:cs="宋体" w:eastAsia="宋体" w:hint="default"/>
                <w:b/>
                <w:bCs/>
                <w:sz w:val="21"/>
                <w:szCs w:val="21"/>
              </w:rPr>
              <w:t>本年数</w:t>
            </w:r>
            <w:r>
              <w:rPr>
                <w:rFonts w:ascii="宋体" w:hAnsi="宋体" w:cs="宋体" w:eastAsia="宋体" w:hint="default"/>
                <w:sz w:val="21"/>
                <w:szCs w:val="21"/>
              </w:rPr>
            </w:r>
          </w:p>
        </w:tc>
        <w:tc>
          <w:tcPr>
            <w:tcW w:w="1846" w:type="dxa"/>
            <w:tcBorders>
              <w:top w:val="single" w:sz="8" w:space="0" w:color="000000"/>
              <w:left w:val="nil" w:sz="6" w:space="0" w:color="auto"/>
              <w:bottom w:val="single" w:sz="6" w:space="0" w:color="000000"/>
              <w:right w:val="nil" w:sz="6" w:space="0" w:color="auto"/>
            </w:tcBorders>
          </w:tcPr>
          <w:p>
            <w:pPr>
              <w:pStyle w:val="TableParagraph"/>
              <w:spacing w:line="271" w:lineRule="exact"/>
              <w:ind w:left="1202" w:right="0"/>
              <w:jc w:val="left"/>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r>
      <w:tr>
        <w:trPr>
          <w:trHeight w:val="349" w:hRule="exact"/>
        </w:trPr>
        <w:tc>
          <w:tcPr>
            <w:tcW w:w="3002" w:type="dxa"/>
            <w:tcBorders>
              <w:top w:val="single" w:sz="6" w:space="0" w:color="000000"/>
              <w:left w:val="nil" w:sz="6" w:space="0" w:color="auto"/>
              <w:bottom w:val="single" w:sz="8" w:space="0" w:color="000000"/>
              <w:right w:val="nil" w:sz="6" w:space="0" w:color="auto"/>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固定利率金融工具</w:t>
            </w:r>
          </w:p>
        </w:tc>
        <w:tc>
          <w:tcPr>
            <w:tcW w:w="4303" w:type="dxa"/>
            <w:tcBorders>
              <w:top w:val="single" w:sz="6" w:space="0" w:color="000000"/>
              <w:left w:val="nil" w:sz="6" w:space="0" w:color="auto"/>
              <w:bottom w:val="single" w:sz="8" w:space="0" w:color="000000"/>
              <w:right w:val="nil" w:sz="6" w:space="0" w:color="auto"/>
            </w:tcBorders>
          </w:tcPr>
          <w:p>
            <w:pPr/>
          </w:p>
        </w:tc>
        <w:tc>
          <w:tcPr>
            <w:tcW w:w="1846" w:type="dxa"/>
            <w:tcBorders>
              <w:top w:val="single" w:sz="6" w:space="0" w:color="000000"/>
              <w:left w:val="nil" w:sz="6" w:space="0" w:color="auto"/>
              <w:bottom w:val="single" w:sz="8"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92449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9" w:type="dxa"/>
        <w:tblLayout w:type="fixed"/>
        <w:tblCellMar>
          <w:top w:w="0" w:type="dxa"/>
          <w:left w:w="0" w:type="dxa"/>
          <w:bottom w:w="0" w:type="dxa"/>
          <w:right w:w="0" w:type="dxa"/>
        </w:tblCellMar>
        <w:tblLook w:val="01E0"/>
      </w:tblPr>
      <w:tblGrid>
        <w:gridCol w:w="4042"/>
        <w:gridCol w:w="3158"/>
        <w:gridCol w:w="1951"/>
      </w:tblGrid>
      <w:tr>
        <w:trPr>
          <w:trHeight w:val="684" w:hRule="exact"/>
        </w:trPr>
        <w:tc>
          <w:tcPr>
            <w:tcW w:w="4042"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3158" w:type="dxa"/>
            <w:tcBorders>
              <w:top w:val="single" w:sz="6" w:space="0" w:color="000000"/>
              <w:left w:val="nil" w:sz="6" w:space="0" w:color="auto"/>
              <w:bottom w:val="single" w:sz="8" w:space="0" w:color="000000"/>
              <w:right w:val="nil" w:sz="6" w:space="0" w:color="auto"/>
            </w:tcBorders>
          </w:tcPr>
          <w:p>
            <w:pPr/>
          </w:p>
        </w:tc>
        <w:tc>
          <w:tcPr>
            <w:tcW w:w="1951"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其中：其他流动资产</w:t>
            </w:r>
            <w:r>
              <w:rPr>
                <w:rFonts w:ascii="Times New Roman" w:hAnsi="Times New Roman" w:cs="Times New Roman" w:eastAsia="Times New Roman" w:hint="default"/>
                <w:sz w:val="21"/>
                <w:szCs w:val="21"/>
              </w:rPr>
              <w:t>-</w:t>
            </w:r>
            <w:r>
              <w:rPr>
                <w:rFonts w:ascii="宋体" w:hAnsi="宋体" w:cs="宋体" w:eastAsia="宋体" w:hint="default"/>
                <w:sz w:val="21"/>
                <w:szCs w:val="21"/>
              </w:rPr>
              <w:t>理财产品</w:t>
            </w:r>
          </w:p>
        </w:tc>
        <w:tc>
          <w:tcPr>
            <w:tcW w:w="3158"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97"/>
              <w:jc w:val="right"/>
              <w:rPr>
                <w:rFonts w:ascii="Times New Roman" w:hAnsi="Times New Roman" w:cs="Times New Roman" w:eastAsia="Times New Roman" w:hint="default"/>
                <w:sz w:val="21"/>
                <w:szCs w:val="21"/>
              </w:rPr>
            </w:pPr>
            <w:r>
              <w:rPr>
                <w:rFonts w:ascii="Times New Roman"/>
                <w:spacing w:val="-1"/>
                <w:sz w:val="21"/>
              </w:rPr>
              <w:t>1,894.00</w:t>
            </w:r>
          </w:p>
        </w:tc>
        <w:tc>
          <w:tcPr>
            <w:tcW w:w="19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3158" w:type="dxa"/>
            <w:tcBorders>
              <w:top w:val="single" w:sz="8" w:space="0" w:color="000000"/>
              <w:left w:val="nil" w:sz="6" w:space="0" w:color="auto"/>
              <w:bottom w:val="single" w:sz="8" w:space="0" w:color="000000"/>
              <w:right w:val="nil" w:sz="6" w:space="0" w:color="auto"/>
            </w:tcBorders>
          </w:tcPr>
          <w:p>
            <w:pPr/>
          </w:p>
        </w:tc>
        <w:tc>
          <w:tcPr>
            <w:tcW w:w="1951"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其中：短期借款</w:t>
            </w:r>
          </w:p>
        </w:tc>
        <w:tc>
          <w:tcPr>
            <w:tcW w:w="3158"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97"/>
              <w:jc w:val="right"/>
              <w:rPr>
                <w:rFonts w:ascii="Times New Roman" w:hAnsi="Times New Roman" w:cs="Times New Roman" w:eastAsia="Times New Roman" w:hint="default"/>
                <w:sz w:val="21"/>
                <w:szCs w:val="21"/>
              </w:rPr>
            </w:pPr>
            <w:r>
              <w:rPr>
                <w:rFonts w:ascii="Times New Roman"/>
                <w:spacing w:val="-1"/>
                <w:sz w:val="21"/>
              </w:rPr>
              <w:t>1,600.00</w:t>
            </w:r>
          </w:p>
        </w:tc>
        <w:tc>
          <w:tcPr>
            <w:tcW w:w="19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7"/>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15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97"/>
              <w:jc w:val="right"/>
              <w:rPr>
                <w:rFonts w:ascii="Times New Roman" w:hAnsi="Times New Roman" w:cs="Times New Roman" w:eastAsia="Times New Roman" w:hint="default"/>
                <w:sz w:val="21"/>
                <w:szCs w:val="21"/>
              </w:rPr>
            </w:pPr>
            <w:r>
              <w:rPr>
                <w:rFonts w:ascii="Times New Roman"/>
                <w:b/>
                <w:spacing w:val="-1"/>
                <w:sz w:val="21"/>
              </w:rPr>
              <w:t>3,494.00</w:t>
            </w:r>
            <w:r>
              <w:rPr>
                <w:rFonts w:ascii="Times New Roman"/>
                <w:spacing w:val="-1"/>
                <w:sz w:val="21"/>
              </w:rPr>
            </w:r>
          </w:p>
        </w:tc>
        <w:tc>
          <w:tcPr>
            <w:tcW w:w="195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1"/>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浮动利率金融工具</w:t>
            </w:r>
          </w:p>
        </w:tc>
        <w:tc>
          <w:tcPr>
            <w:tcW w:w="3158" w:type="dxa"/>
            <w:tcBorders>
              <w:top w:val="single" w:sz="8" w:space="0" w:color="000000"/>
              <w:left w:val="nil" w:sz="6" w:space="0" w:color="auto"/>
              <w:bottom w:val="single" w:sz="8" w:space="0" w:color="000000"/>
              <w:right w:val="nil" w:sz="6" w:space="0" w:color="auto"/>
            </w:tcBorders>
          </w:tcPr>
          <w:p>
            <w:pPr/>
          </w:p>
        </w:tc>
        <w:tc>
          <w:tcPr>
            <w:tcW w:w="1951"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3158" w:type="dxa"/>
            <w:tcBorders>
              <w:top w:val="single" w:sz="8" w:space="0" w:color="000000"/>
              <w:left w:val="nil" w:sz="6" w:space="0" w:color="auto"/>
              <w:bottom w:val="single" w:sz="8" w:space="0" w:color="000000"/>
              <w:right w:val="nil" w:sz="6" w:space="0" w:color="auto"/>
            </w:tcBorders>
          </w:tcPr>
          <w:p>
            <w:pPr/>
          </w:p>
        </w:tc>
        <w:tc>
          <w:tcPr>
            <w:tcW w:w="1951"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3158"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97"/>
              <w:jc w:val="right"/>
              <w:rPr>
                <w:rFonts w:ascii="Times New Roman" w:hAnsi="Times New Roman" w:cs="Times New Roman" w:eastAsia="Times New Roman" w:hint="default"/>
                <w:sz w:val="21"/>
                <w:szCs w:val="21"/>
              </w:rPr>
            </w:pPr>
            <w:r>
              <w:rPr>
                <w:rFonts w:ascii="Times New Roman"/>
                <w:sz w:val="21"/>
              </w:rPr>
              <w:t>28,766.24</w:t>
            </w:r>
          </w:p>
        </w:tc>
        <w:tc>
          <w:tcPr>
            <w:tcW w:w="19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1"/>
                <w:szCs w:val="21"/>
              </w:rPr>
            </w:pPr>
            <w:r>
              <w:rPr>
                <w:rFonts w:ascii="Times New Roman"/>
                <w:sz w:val="21"/>
              </w:rPr>
              <w:t>10,235.62</w:t>
            </w: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3158" w:type="dxa"/>
            <w:tcBorders>
              <w:top w:val="single" w:sz="8" w:space="0" w:color="000000"/>
              <w:left w:val="nil" w:sz="6" w:space="0" w:color="auto"/>
              <w:bottom w:val="single" w:sz="8" w:space="0" w:color="000000"/>
              <w:right w:val="nil" w:sz="6" w:space="0" w:color="auto"/>
            </w:tcBorders>
          </w:tcPr>
          <w:p>
            <w:pPr/>
          </w:p>
        </w:tc>
        <w:tc>
          <w:tcPr>
            <w:tcW w:w="1951"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其中：长期借款</w:t>
            </w:r>
          </w:p>
        </w:tc>
        <w:tc>
          <w:tcPr>
            <w:tcW w:w="3158"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96"/>
              <w:jc w:val="right"/>
              <w:rPr>
                <w:rFonts w:ascii="Times New Roman" w:hAnsi="Times New Roman" w:cs="Times New Roman" w:eastAsia="Times New Roman" w:hint="default"/>
                <w:sz w:val="21"/>
                <w:szCs w:val="21"/>
              </w:rPr>
            </w:pPr>
            <w:r>
              <w:rPr>
                <w:rFonts w:ascii="Times New Roman"/>
                <w:sz w:val="21"/>
              </w:rPr>
              <w:t>622.92</w:t>
            </w:r>
          </w:p>
        </w:tc>
        <w:tc>
          <w:tcPr>
            <w:tcW w:w="19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1"/>
                <w:szCs w:val="21"/>
              </w:rPr>
            </w:pPr>
            <w:r>
              <w:rPr>
                <w:rFonts w:ascii="Times New Roman"/>
                <w:sz w:val="21"/>
              </w:rPr>
              <w:t>910.42</w:t>
            </w:r>
          </w:p>
        </w:tc>
      </w:tr>
      <w:tr>
        <w:trPr>
          <w:trHeight w:val="347" w:hRule="exact"/>
        </w:trPr>
        <w:tc>
          <w:tcPr>
            <w:tcW w:w="4042"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7"/>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15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97"/>
              <w:jc w:val="right"/>
              <w:rPr>
                <w:rFonts w:ascii="Times New Roman" w:hAnsi="Times New Roman" w:cs="Times New Roman" w:eastAsia="Times New Roman" w:hint="default"/>
                <w:sz w:val="21"/>
                <w:szCs w:val="21"/>
              </w:rPr>
            </w:pPr>
            <w:r>
              <w:rPr>
                <w:rFonts w:ascii="Times New Roman"/>
                <w:b/>
                <w:sz w:val="21"/>
              </w:rPr>
              <w:t>29,389.16</w:t>
            </w:r>
            <w:r>
              <w:rPr>
                <w:rFonts w:ascii="Times New Roman"/>
                <w:sz w:val="21"/>
              </w:rPr>
            </w:r>
          </w:p>
        </w:tc>
        <w:tc>
          <w:tcPr>
            <w:tcW w:w="195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9"/>
              <w:jc w:val="right"/>
              <w:rPr>
                <w:rFonts w:ascii="Times New Roman" w:hAnsi="Times New Roman" w:cs="Times New Roman" w:eastAsia="Times New Roman" w:hint="default"/>
                <w:sz w:val="21"/>
                <w:szCs w:val="21"/>
              </w:rPr>
            </w:pPr>
            <w:r>
              <w:rPr>
                <w:rFonts w:ascii="Times New Roman"/>
                <w:b/>
                <w:sz w:val="21"/>
              </w:rPr>
              <w:t>11,146.04</w:t>
            </w:r>
            <w:r>
              <w:rPr>
                <w:rFonts w:ascii="Times New Roman"/>
                <w:sz w:val="21"/>
              </w:rPr>
            </w:r>
          </w:p>
        </w:tc>
      </w:tr>
    </w:tbl>
    <w:p>
      <w:pPr>
        <w:spacing w:line="240" w:lineRule="auto" w:before="9"/>
        <w:rPr>
          <w:rFonts w:ascii="宋体" w:hAnsi="宋体" w:cs="宋体" w:eastAsia="宋体" w:hint="default"/>
          <w:sz w:val="12"/>
          <w:szCs w:val="12"/>
        </w:rPr>
      </w:pPr>
    </w:p>
    <w:p>
      <w:pPr>
        <w:pStyle w:val="BodyText"/>
        <w:spacing w:line="256" w:lineRule="auto" w:before="35"/>
        <w:ind w:right="1131"/>
        <w:jc w:val="both"/>
      </w:pPr>
      <w:r>
        <w:rPr/>
        <w:t>于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日，如果以浮动利率计算的借款利率上升或下降</w:t>
      </w:r>
      <w:r>
        <w:rPr>
          <w:rFonts w:ascii="Times New Roman" w:hAnsi="Times New Roman" w:cs="Times New Roman" w:eastAsia="Times New Roman" w:hint="default"/>
        </w:rPr>
        <w:t>50</w:t>
      </w:r>
      <w:r>
        <w:rPr>
          <w:rFonts w:ascii="Times New Roman" w:hAnsi="Times New Roman" w:cs="Times New Roman" w:eastAsia="Times New Roman" w:hint="default"/>
          <w:spacing w:val="24"/>
        </w:rPr>
        <w:t> </w:t>
      </w:r>
      <w:r>
        <w:rPr/>
        <w:t>个基点，而其它因素保持不变，本 集团的净利润及股东权益将减少或增加约</w:t>
      </w:r>
      <w:r>
        <w:rPr>
          <w:rFonts w:ascii="Times New Roman" w:hAnsi="Times New Roman" w:cs="Times New Roman" w:eastAsia="Times New Roman" w:hint="default"/>
        </w:rPr>
        <w:t>3.11</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4.55</w:t>
      </w:r>
      <w:r>
        <w:rPr/>
        <w:t>万元）。</w:t>
      </w:r>
    </w:p>
    <w:p>
      <w:pPr>
        <w:spacing w:line="240" w:lineRule="auto" w:before="12"/>
        <w:rPr>
          <w:rFonts w:ascii="宋体" w:hAnsi="宋体" w:cs="宋体" w:eastAsia="宋体" w:hint="default"/>
          <w:sz w:val="16"/>
          <w:szCs w:val="16"/>
        </w:rPr>
      </w:pPr>
    </w:p>
    <w:p>
      <w:pPr>
        <w:pStyle w:val="BodyText"/>
        <w:spacing w:line="273" w:lineRule="auto"/>
        <w:ind w:right="1109"/>
        <w:jc w:val="both"/>
      </w:pPr>
      <w:r>
        <w:rPr>
          <w:spacing w:val="-1"/>
        </w:rPr>
        <w:t>对于资产负债表日持有的、使本集团面临公允价值利率风险的金融工具，上述敏感性分析中的净利润及股</w:t>
      </w:r>
      <w:r>
        <w:rPr>
          <w:spacing w:val="-81"/>
        </w:rPr>
        <w:t> </w:t>
      </w:r>
      <w:r>
        <w:rPr>
          <w:spacing w:val="-81"/>
        </w:rPr>
      </w:r>
      <w:r>
        <w:rPr/>
        <w:t>东权益的影响是假设在资产负债表日利率发生变动，按照新利率对上述金融工具进行重新计量后的影响。 </w:t>
      </w:r>
      <w:r>
        <w:rPr>
          <w:spacing w:val="-1"/>
        </w:rPr>
        <w:t>对于资产负债表日持有的、使本集团面临现金流量利率风险的浮动利率非衍生工具，上述敏感性分析中的</w:t>
      </w:r>
      <w:r>
        <w:rPr>
          <w:spacing w:val="-81"/>
        </w:rPr>
        <w:t> </w:t>
      </w:r>
      <w:r>
        <w:rPr>
          <w:spacing w:val="-81"/>
        </w:rPr>
      </w:r>
      <w:r>
        <w:rPr>
          <w:spacing w:val="-1"/>
        </w:rPr>
        <w:t>净利润及股东权益的影响是上述利率变动对按年度估算的利息费用或收入的影响。上一年度的分析基于同</w:t>
      </w:r>
      <w:r>
        <w:rPr>
          <w:spacing w:val="-81"/>
        </w:rPr>
        <w:t> </w:t>
      </w:r>
      <w:r>
        <w:rPr>
          <w:spacing w:val="-81"/>
        </w:rPr>
      </w:r>
      <w:r>
        <w:rPr/>
        <w:t>样的假设和方法。</w:t>
      </w:r>
    </w:p>
    <w:p>
      <w:pPr>
        <w:spacing w:line="240" w:lineRule="auto" w:before="1"/>
        <w:rPr>
          <w:rFonts w:ascii="宋体" w:hAnsi="宋体" w:cs="宋体" w:eastAsia="宋体" w:hint="default"/>
          <w:sz w:val="17"/>
          <w:szCs w:val="17"/>
        </w:rPr>
      </w:pPr>
    </w:p>
    <w:p>
      <w:pPr>
        <w:pStyle w:val="BodyText"/>
        <w:spacing w:line="240" w:lineRule="auto"/>
        <w:ind w:right="0"/>
        <w:jc w:val="both"/>
      </w:pPr>
      <w:r>
        <w:rPr/>
        <w:t>汇率风险</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汇率风险，是指金融工具的公允价值或未来现金流量因外汇汇率变动而发生波动的风险。汇率风险可源于</w:t>
      </w:r>
      <w:r>
        <w:rPr>
          <w:spacing w:val="-81"/>
        </w:rPr>
        <w:t> </w:t>
      </w:r>
      <w:r>
        <w:rPr>
          <w:spacing w:val="-81"/>
        </w:rPr>
      </w:r>
      <w:r>
        <w:rPr/>
        <w:t>以记账本位币之外的外币进行计价的金融工具。</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汇率风险主要为本集团的财务状况和现金流量受外汇汇率波动的影响。除了在澳大利亚设立的子公司持有</w:t>
      </w:r>
      <w:r>
        <w:rPr>
          <w:spacing w:val="-81"/>
        </w:rPr>
        <w:t> </w:t>
      </w:r>
      <w:r>
        <w:rPr>
          <w:spacing w:val="-81"/>
        </w:rPr>
      </w:r>
      <w:r>
        <w:rPr>
          <w:spacing w:val="-1"/>
        </w:rPr>
        <w:t>以澳元为结算货币的资产外，本集团持有的外币资产及负债占整体的资产及负债比例并不重大。因此本集</w:t>
      </w:r>
      <w:r>
        <w:rPr>
          <w:spacing w:val="-81"/>
        </w:rPr>
        <w:t> </w:t>
      </w:r>
      <w:r>
        <w:rPr>
          <w:spacing w:val="-81"/>
        </w:rPr>
      </w:r>
      <w:r>
        <w:rPr/>
        <w:t>团认为面临的汇率风险并不重大。</w:t>
      </w:r>
    </w:p>
    <w:p>
      <w:pPr>
        <w:spacing w:line="240" w:lineRule="auto" w:before="1"/>
        <w:rPr>
          <w:rFonts w:ascii="宋体" w:hAnsi="宋体" w:cs="宋体" w:eastAsia="宋体" w:hint="default"/>
          <w:sz w:val="17"/>
          <w:szCs w:val="17"/>
        </w:rPr>
      </w:pPr>
    </w:p>
    <w:p>
      <w:pPr>
        <w:pStyle w:val="BodyText"/>
        <w:spacing w:line="256" w:lineRule="auto"/>
        <w:ind w:right="1068"/>
        <w:jc w:val="both"/>
      </w:pPr>
      <w:r>
        <w:rPr/>
        <w:t>于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日，本集团持有的外币金融资产和外币金融负债折算成人民币的金额列示如下（单位： 人民币元）：</w:t>
      </w:r>
    </w:p>
    <w:p>
      <w:pPr>
        <w:spacing w:line="240" w:lineRule="auto" w:before="5"/>
        <w:rPr>
          <w:rFonts w:ascii="宋体" w:hAnsi="宋体" w:cs="宋体" w:eastAsia="宋体" w:hint="default"/>
          <w:sz w:val="19"/>
          <w:szCs w:val="19"/>
        </w:rPr>
      </w:pPr>
    </w:p>
    <w:tbl>
      <w:tblPr>
        <w:tblW w:w="0" w:type="auto"/>
        <w:jc w:val="left"/>
        <w:tblInd w:w="1134" w:type="dxa"/>
        <w:tblLayout w:type="fixed"/>
        <w:tblCellMar>
          <w:top w:w="0" w:type="dxa"/>
          <w:left w:w="0" w:type="dxa"/>
          <w:bottom w:w="0" w:type="dxa"/>
          <w:right w:w="0" w:type="dxa"/>
        </w:tblCellMar>
        <w:tblLook w:val="01E0"/>
      </w:tblPr>
      <w:tblGrid>
        <w:gridCol w:w="1828"/>
        <w:gridCol w:w="2474"/>
        <w:gridCol w:w="1533"/>
        <w:gridCol w:w="1905"/>
        <w:gridCol w:w="1397"/>
      </w:tblGrid>
      <w:tr>
        <w:trPr>
          <w:trHeight w:val="350" w:hRule="exact"/>
        </w:trPr>
        <w:tc>
          <w:tcPr>
            <w:tcW w:w="1828" w:type="dxa"/>
            <w:tcBorders>
              <w:top w:val="single" w:sz="6" w:space="0" w:color="000000"/>
              <w:left w:val="nil" w:sz="6" w:space="0" w:color="auto"/>
              <w:bottom w:val="nil" w:sz="6" w:space="0" w:color="auto"/>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73"/>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474"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1404" w:right="0"/>
              <w:jc w:val="left"/>
              <w:rPr>
                <w:rFonts w:ascii="宋体" w:hAnsi="宋体" w:cs="宋体" w:eastAsia="宋体" w:hint="default"/>
                <w:sz w:val="21"/>
                <w:szCs w:val="21"/>
              </w:rPr>
            </w:pPr>
            <w:r>
              <w:rPr>
                <w:rFonts w:ascii="宋体" w:hAnsi="宋体" w:cs="宋体" w:eastAsia="宋体" w:hint="default"/>
                <w:b/>
                <w:bCs/>
                <w:sz w:val="21"/>
                <w:szCs w:val="21"/>
              </w:rPr>
              <w:t>外币负债</w:t>
            </w:r>
            <w:r>
              <w:rPr>
                <w:rFonts w:ascii="宋体" w:hAnsi="宋体" w:cs="宋体" w:eastAsia="宋体" w:hint="default"/>
                <w:sz w:val="21"/>
                <w:szCs w:val="21"/>
              </w:rPr>
            </w:r>
          </w:p>
        </w:tc>
        <w:tc>
          <w:tcPr>
            <w:tcW w:w="1533" w:type="dxa"/>
            <w:tcBorders>
              <w:top w:val="single" w:sz="6" w:space="0" w:color="000000"/>
              <w:left w:val="nil" w:sz="6" w:space="0" w:color="auto"/>
              <w:bottom w:val="single" w:sz="8" w:space="0" w:color="000000"/>
              <w:right w:val="nil" w:sz="6" w:space="0" w:color="auto"/>
            </w:tcBorders>
          </w:tcPr>
          <w:p>
            <w:pPr/>
          </w:p>
        </w:tc>
        <w:tc>
          <w:tcPr>
            <w:tcW w:w="1905"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1051" w:right="0"/>
              <w:jc w:val="left"/>
              <w:rPr>
                <w:rFonts w:ascii="宋体" w:hAnsi="宋体" w:cs="宋体" w:eastAsia="宋体" w:hint="default"/>
                <w:sz w:val="21"/>
                <w:szCs w:val="21"/>
              </w:rPr>
            </w:pPr>
            <w:r>
              <w:rPr>
                <w:rFonts w:ascii="宋体" w:hAnsi="宋体" w:cs="宋体" w:eastAsia="宋体" w:hint="default"/>
                <w:b/>
                <w:bCs/>
                <w:sz w:val="21"/>
                <w:szCs w:val="21"/>
              </w:rPr>
              <w:t>外币资产</w:t>
            </w:r>
            <w:r>
              <w:rPr>
                <w:rFonts w:ascii="宋体" w:hAnsi="宋体" w:cs="宋体" w:eastAsia="宋体" w:hint="default"/>
                <w:sz w:val="21"/>
                <w:szCs w:val="21"/>
              </w:rPr>
            </w:r>
          </w:p>
        </w:tc>
        <w:tc>
          <w:tcPr>
            <w:tcW w:w="1397"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1828" w:type="dxa"/>
            <w:tcBorders>
              <w:top w:val="nil" w:sz="6" w:space="0" w:color="auto"/>
              <w:left w:val="nil" w:sz="6" w:space="0" w:color="auto"/>
              <w:bottom w:val="single" w:sz="8" w:space="0" w:color="000000"/>
              <w:right w:val="nil" w:sz="6" w:space="0" w:color="auto"/>
            </w:tcBorders>
          </w:tcPr>
          <w:p>
            <w:pPr/>
          </w:p>
        </w:tc>
        <w:tc>
          <w:tcPr>
            <w:tcW w:w="2474"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18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3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359"/>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90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832"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397"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74"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714" w:right="0"/>
              <w:jc w:val="left"/>
              <w:rPr>
                <w:rFonts w:ascii="Times New Roman" w:hAnsi="Times New Roman" w:cs="Times New Roman" w:eastAsia="Times New Roman" w:hint="default"/>
                <w:sz w:val="21"/>
                <w:szCs w:val="21"/>
              </w:rPr>
            </w:pPr>
            <w:r>
              <w:rPr>
                <w:rFonts w:ascii="Times New Roman"/>
                <w:sz w:val="21"/>
              </w:rPr>
              <w:t>1,517,715.03</w:t>
            </w:r>
          </w:p>
        </w:tc>
        <w:tc>
          <w:tcPr>
            <w:tcW w:w="1533"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6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0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520" w:right="0"/>
              <w:jc w:val="left"/>
              <w:rPr>
                <w:rFonts w:ascii="Times New Roman" w:hAnsi="Times New Roman" w:cs="Times New Roman" w:eastAsia="Times New Roman" w:hint="default"/>
                <w:sz w:val="21"/>
                <w:szCs w:val="21"/>
              </w:rPr>
            </w:pPr>
            <w:r>
              <w:rPr>
                <w:rFonts w:ascii="Times New Roman"/>
                <w:sz w:val="21"/>
              </w:rPr>
              <w:t>257,225.07</w:t>
            </w:r>
          </w:p>
        </w:tc>
        <w:tc>
          <w:tcPr>
            <w:tcW w:w="1397"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1"/>
                <w:szCs w:val="21"/>
              </w:rPr>
            </w:pPr>
            <w:r>
              <w:rPr>
                <w:rFonts w:ascii="Times New Roman"/>
                <w:sz w:val="21"/>
              </w:rPr>
              <w:t>397.92</w:t>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474"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976" w:right="0"/>
              <w:jc w:val="left"/>
              <w:rPr>
                <w:rFonts w:ascii="Times New Roman" w:hAnsi="Times New Roman" w:cs="Times New Roman" w:eastAsia="Times New Roman" w:hint="default"/>
                <w:sz w:val="21"/>
                <w:szCs w:val="21"/>
              </w:rPr>
            </w:pPr>
            <w:r>
              <w:rPr>
                <w:rFonts w:ascii="Times New Roman"/>
                <w:sz w:val="21"/>
              </w:rPr>
              <w:t>61,966.78</w:t>
            </w:r>
          </w:p>
        </w:tc>
        <w:tc>
          <w:tcPr>
            <w:tcW w:w="1533"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60"/>
              <w:jc w:val="right"/>
              <w:rPr>
                <w:rFonts w:ascii="Times New Roman" w:hAnsi="Times New Roman" w:cs="Times New Roman" w:eastAsia="Times New Roman" w:hint="default"/>
                <w:sz w:val="21"/>
                <w:szCs w:val="21"/>
              </w:rPr>
            </w:pPr>
            <w:r>
              <w:rPr>
                <w:rFonts w:ascii="Times New Roman"/>
                <w:sz w:val="21"/>
              </w:rPr>
              <w:t>50,049.07</w:t>
            </w:r>
          </w:p>
        </w:tc>
        <w:tc>
          <w:tcPr>
            <w:tcW w:w="190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43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397"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474"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872" w:right="0"/>
              <w:jc w:val="left"/>
              <w:rPr>
                <w:rFonts w:ascii="Times New Roman" w:hAnsi="Times New Roman" w:cs="Times New Roman" w:eastAsia="Times New Roman" w:hint="default"/>
                <w:sz w:val="21"/>
                <w:szCs w:val="21"/>
              </w:rPr>
            </w:pPr>
            <w:r>
              <w:rPr>
                <w:rFonts w:ascii="Times New Roman"/>
                <w:sz w:val="21"/>
              </w:rPr>
              <w:t>672,992.77</w:t>
            </w:r>
          </w:p>
        </w:tc>
        <w:tc>
          <w:tcPr>
            <w:tcW w:w="1533"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60"/>
              <w:jc w:val="right"/>
              <w:rPr>
                <w:rFonts w:ascii="Times New Roman" w:hAnsi="Times New Roman" w:cs="Times New Roman" w:eastAsia="Times New Roman" w:hint="default"/>
                <w:sz w:val="21"/>
                <w:szCs w:val="21"/>
              </w:rPr>
            </w:pPr>
            <w:r>
              <w:rPr>
                <w:rFonts w:ascii="Times New Roman"/>
                <w:spacing w:val="-1"/>
                <w:sz w:val="21"/>
              </w:rPr>
              <w:t>643,416.32</w:t>
            </w:r>
          </w:p>
        </w:tc>
        <w:tc>
          <w:tcPr>
            <w:tcW w:w="190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361" w:right="0"/>
              <w:jc w:val="left"/>
              <w:rPr>
                <w:rFonts w:ascii="Times New Roman" w:hAnsi="Times New Roman" w:cs="Times New Roman" w:eastAsia="Times New Roman" w:hint="default"/>
                <w:sz w:val="21"/>
                <w:szCs w:val="21"/>
              </w:rPr>
            </w:pPr>
            <w:r>
              <w:rPr>
                <w:rFonts w:ascii="Times New Roman"/>
                <w:sz w:val="21"/>
              </w:rPr>
              <w:t>2,087,942.60</w:t>
            </w:r>
          </w:p>
        </w:tc>
        <w:tc>
          <w:tcPr>
            <w:tcW w:w="1397"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
              <w:jc w:val="right"/>
              <w:rPr>
                <w:rFonts w:ascii="Times New Roman" w:hAnsi="Times New Roman" w:cs="Times New Roman" w:eastAsia="Times New Roman" w:hint="default"/>
                <w:sz w:val="21"/>
                <w:szCs w:val="21"/>
              </w:rPr>
            </w:pPr>
            <w:r>
              <w:rPr>
                <w:rFonts w:ascii="Times New Roman"/>
                <w:sz w:val="21"/>
              </w:rPr>
              <w:t>760,074.98</w:t>
            </w:r>
          </w:p>
        </w:tc>
      </w:tr>
      <w:tr>
        <w:trPr>
          <w:trHeight w:val="348"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474"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left="714" w:right="0"/>
              <w:jc w:val="left"/>
              <w:rPr>
                <w:rFonts w:ascii="Times New Roman" w:hAnsi="Times New Roman" w:cs="Times New Roman" w:eastAsia="Times New Roman" w:hint="default"/>
                <w:sz w:val="21"/>
                <w:szCs w:val="21"/>
              </w:rPr>
            </w:pPr>
            <w:r>
              <w:rPr>
                <w:rFonts w:ascii="Times New Roman"/>
                <w:b/>
                <w:sz w:val="21"/>
              </w:rPr>
              <w:t>2,252,674.58</w:t>
            </w:r>
            <w:r>
              <w:rPr>
                <w:rFonts w:ascii="Times New Roman"/>
                <w:sz w:val="21"/>
              </w:rPr>
            </w:r>
          </w:p>
        </w:tc>
        <w:tc>
          <w:tcPr>
            <w:tcW w:w="1533"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360"/>
              <w:jc w:val="right"/>
              <w:rPr>
                <w:rFonts w:ascii="Times New Roman" w:hAnsi="Times New Roman" w:cs="Times New Roman" w:eastAsia="Times New Roman" w:hint="default"/>
                <w:sz w:val="21"/>
                <w:szCs w:val="21"/>
              </w:rPr>
            </w:pPr>
            <w:r>
              <w:rPr>
                <w:rFonts w:ascii="Times New Roman"/>
                <w:b/>
                <w:spacing w:val="-1"/>
                <w:sz w:val="21"/>
              </w:rPr>
              <w:t>693,465.39</w:t>
            </w:r>
            <w:r>
              <w:rPr>
                <w:rFonts w:ascii="Times New Roman"/>
                <w:spacing w:val="-1"/>
                <w:sz w:val="21"/>
              </w:rPr>
            </w:r>
          </w:p>
        </w:tc>
        <w:tc>
          <w:tcPr>
            <w:tcW w:w="1905"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left="361" w:right="0"/>
              <w:jc w:val="left"/>
              <w:rPr>
                <w:rFonts w:ascii="Times New Roman" w:hAnsi="Times New Roman" w:cs="Times New Roman" w:eastAsia="Times New Roman" w:hint="default"/>
                <w:sz w:val="21"/>
                <w:szCs w:val="21"/>
              </w:rPr>
            </w:pPr>
            <w:r>
              <w:rPr>
                <w:rFonts w:ascii="Times New Roman"/>
                <w:b/>
                <w:sz w:val="21"/>
              </w:rPr>
              <w:t>2,345,167.67</w:t>
            </w:r>
            <w:r>
              <w:rPr>
                <w:rFonts w:ascii="Times New Roman"/>
                <w:sz w:val="21"/>
              </w:rPr>
            </w:r>
          </w:p>
        </w:tc>
        <w:tc>
          <w:tcPr>
            <w:tcW w:w="1397"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8"/>
              <w:jc w:val="right"/>
              <w:rPr>
                <w:rFonts w:ascii="Times New Roman" w:hAnsi="Times New Roman" w:cs="Times New Roman" w:eastAsia="Times New Roman" w:hint="default"/>
                <w:sz w:val="21"/>
                <w:szCs w:val="21"/>
              </w:rPr>
            </w:pPr>
            <w:r>
              <w:rPr>
                <w:rFonts w:ascii="Times New Roman"/>
                <w:b/>
                <w:spacing w:val="-1"/>
                <w:sz w:val="21"/>
              </w:rPr>
              <w:t>760,472.90</w:t>
            </w:r>
            <w:r>
              <w:rPr>
                <w:rFonts w:ascii="Times New Roman"/>
                <w:spacing w:val="-1"/>
                <w:sz w:val="21"/>
              </w:rPr>
            </w:r>
          </w:p>
        </w:tc>
      </w:tr>
    </w:tbl>
    <w:p>
      <w:pPr>
        <w:spacing w:line="240" w:lineRule="auto" w:before="5"/>
        <w:rPr>
          <w:rFonts w:ascii="宋体" w:hAnsi="宋体" w:cs="宋体" w:eastAsia="宋体" w:hint="default"/>
          <w:sz w:val="5"/>
          <w:szCs w:val="5"/>
        </w:rPr>
      </w:pPr>
    </w:p>
    <w:p>
      <w:pPr>
        <w:pStyle w:val="BodyText"/>
        <w:spacing w:line="273" w:lineRule="auto" w:before="35"/>
        <w:ind w:right="0"/>
        <w:jc w:val="left"/>
      </w:pPr>
      <w:r>
        <w:rPr>
          <w:spacing w:val="-1"/>
        </w:rPr>
        <w:t>本集团密切关注汇率变动对本集团汇率风险的影响。本集团目前并未采取任何措施规避汇率风险。但管理</w:t>
      </w:r>
      <w:r>
        <w:rPr>
          <w:spacing w:val="-81"/>
        </w:rPr>
        <w:t> </w:t>
      </w:r>
      <w:r>
        <w:rPr>
          <w:spacing w:val="-81"/>
        </w:rPr>
      </w:r>
      <w:r>
        <w:rPr/>
        <w:t>层负责监控汇率风险，并将于需要时考虑对冲重大汇率风险。</w:t>
      </w:r>
    </w:p>
    <w:p>
      <w:pPr>
        <w:spacing w:line="240" w:lineRule="auto" w:before="1"/>
        <w:rPr>
          <w:rFonts w:ascii="宋体" w:hAnsi="宋体" w:cs="宋体" w:eastAsia="宋体" w:hint="default"/>
          <w:sz w:val="17"/>
          <w:szCs w:val="17"/>
        </w:rPr>
      </w:pPr>
    </w:p>
    <w:p>
      <w:pPr>
        <w:pStyle w:val="BodyText"/>
        <w:spacing w:line="256" w:lineRule="auto"/>
        <w:ind w:left="1134" w:right="1127"/>
        <w:jc w:val="left"/>
      </w:pP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日，对于本集团以外币计价的货币资金、应收账款、其他应收款、应付账款、其他应付款</w:t>
      </w:r>
      <w:r>
        <w:rPr>
          <w:spacing w:val="-83"/>
        </w:rPr>
        <w:t> </w:t>
      </w:r>
      <w:r>
        <w:rPr>
          <w:spacing w:val="-83"/>
        </w:rPr>
      </w:r>
      <w:r>
        <w:rPr/>
        <w:t>等外币资产、负债，假设人民币对外币（主要为对美元、英镑和澳元）升值或贬值</w:t>
      </w:r>
      <w:r>
        <w:rPr>
          <w:rFonts w:ascii="Times New Roman" w:hAnsi="Times New Roman" w:cs="Times New Roman" w:eastAsia="Times New Roman" w:hint="default"/>
        </w:rPr>
        <w:t>10%</w:t>
      </w:r>
      <w:r>
        <w:rPr/>
        <w:t>，而其他因素保持</w:t>
      </w:r>
    </w:p>
    <w:p>
      <w:pPr>
        <w:spacing w:after="0" w:line="256"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BodyText"/>
        <w:spacing w:line="256" w:lineRule="auto" w:before="35"/>
        <w:ind w:left="1134" w:right="1116"/>
        <w:jc w:val="left"/>
      </w:pPr>
      <w:r>
        <w:rPr>
          <w:spacing w:val="-3"/>
        </w:rPr>
        <w:t>不变，则会导致本集团股东权益及净利润均增加或减少约人民币</w:t>
      </w:r>
      <w:r>
        <w:rPr>
          <w:rFonts w:ascii="Times New Roman" w:hAnsi="Times New Roman" w:cs="Times New Roman" w:eastAsia="Times New Roman" w:hint="default"/>
          <w:spacing w:val="-3"/>
        </w:rPr>
        <w:t>0.92</w:t>
      </w:r>
      <w:r>
        <w:rPr>
          <w:spacing w:val="-3"/>
        </w:rPr>
        <w:t>万元（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日：约人民币</w:t>
      </w:r>
      <w:r>
        <w:rPr>
          <w:rFonts w:ascii="Times New Roman" w:hAnsi="Times New Roman" w:cs="Times New Roman" w:eastAsia="Times New Roman" w:hint="default"/>
          <w:spacing w:val="-3"/>
        </w:rPr>
        <w:t>0.67</w:t>
      </w:r>
      <w:r>
        <w:rPr>
          <w:rFonts w:ascii="Times New Roman" w:hAnsi="Times New Roman" w:cs="Times New Roman" w:eastAsia="Times New Roman" w:hint="default"/>
          <w:spacing w:val="-21"/>
        </w:rPr>
        <w:t> </w:t>
      </w:r>
      <w:r>
        <w:rPr/>
        <w:t>万元）。</w:t>
      </w:r>
    </w:p>
    <w:p>
      <w:pPr>
        <w:spacing w:line="240" w:lineRule="auto" w:before="3"/>
        <w:rPr>
          <w:rFonts w:ascii="宋体" w:hAnsi="宋体" w:cs="宋体" w:eastAsia="宋体" w:hint="default"/>
          <w:sz w:val="18"/>
          <w:szCs w:val="18"/>
        </w:rPr>
      </w:pPr>
    </w:p>
    <w:p>
      <w:pPr>
        <w:pStyle w:val="BodyText"/>
        <w:spacing w:line="240" w:lineRule="auto"/>
        <w:ind w:left="1189" w:right="0"/>
        <w:jc w:val="left"/>
      </w:pPr>
      <w:r>
        <w:rPr>
          <w:rFonts w:ascii="Times New Roman" w:hAnsi="Times New Roman" w:cs="Times New Roman" w:eastAsia="Times New Roman" w:hint="default"/>
        </w:rPr>
        <w:t>2</w:t>
      </w:r>
      <w:r>
        <w:rPr/>
        <w:t>、资本管理</w:t>
      </w:r>
    </w:p>
    <w:p>
      <w:pPr>
        <w:spacing w:line="240" w:lineRule="auto" w:before="2"/>
        <w:rPr>
          <w:rFonts w:ascii="宋体" w:hAnsi="宋体" w:cs="宋体" w:eastAsia="宋体" w:hint="default"/>
          <w:sz w:val="18"/>
          <w:szCs w:val="18"/>
        </w:rPr>
      </w:pPr>
    </w:p>
    <w:p>
      <w:pPr>
        <w:pStyle w:val="BodyText"/>
        <w:spacing w:line="273" w:lineRule="auto"/>
        <w:ind w:left="1134" w:right="0"/>
        <w:jc w:val="left"/>
      </w:pPr>
      <w:r>
        <w:rPr>
          <w:spacing w:val="-1"/>
        </w:rPr>
        <w:t>本集团资本管理政策的目标是为了保障本集团能够持续经营，从而为股东提供回报，并使其他利益相关者</w:t>
      </w:r>
      <w:r>
        <w:rPr>
          <w:spacing w:val="-81"/>
        </w:rPr>
        <w:t> </w:t>
      </w:r>
      <w:r>
        <w:rPr>
          <w:spacing w:val="-81"/>
        </w:rPr>
      </w:r>
      <w:r>
        <w:rPr/>
        <w:t>获益，同时维持最佳的资本结构以降低资本成本。</w:t>
      </w:r>
    </w:p>
    <w:p>
      <w:pPr>
        <w:spacing w:line="240" w:lineRule="auto" w:before="1"/>
        <w:rPr>
          <w:rFonts w:ascii="宋体" w:hAnsi="宋体" w:cs="宋体" w:eastAsia="宋体" w:hint="default"/>
          <w:sz w:val="17"/>
          <w:szCs w:val="17"/>
        </w:rPr>
      </w:pPr>
    </w:p>
    <w:p>
      <w:pPr>
        <w:pStyle w:val="BodyText"/>
        <w:spacing w:line="273" w:lineRule="auto"/>
        <w:ind w:left="1134" w:right="0"/>
        <w:jc w:val="left"/>
      </w:pPr>
      <w:r>
        <w:rPr>
          <w:spacing w:val="-1"/>
        </w:rPr>
        <w:t>为了维持或调整资本结构，本集团可能会调整支付给股东的股利金额、向股东返还资本、发行新股或出售</w:t>
      </w:r>
      <w:r>
        <w:rPr>
          <w:spacing w:val="-83"/>
        </w:rPr>
        <w:t> </w:t>
      </w:r>
      <w:r>
        <w:rPr>
          <w:spacing w:val="-83"/>
        </w:rPr>
      </w:r>
      <w:r>
        <w:rPr/>
        <w:t>资产以减低债务。</w:t>
      </w:r>
    </w:p>
    <w:p>
      <w:pPr>
        <w:spacing w:line="240" w:lineRule="auto" w:before="1"/>
        <w:rPr>
          <w:rFonts w:ascii="宋体" w:hAnsi="宋体" w:cs="宋体" w:eastAsia="宋体" w:hint="default"/>
          <w:sz w:val="17"/>
          <w:szCs w:val="17"/>
        </w:rPr>
      </w:pPr>
    </w:p>
    <w:p>
      <w:pPr>
        <w:pStyle w:val="BodyText"/>
        <w:spacing w:line="256" w:lineRule="auto"/>
        <w:ind w:right="0"/>
        <w:jc w:val="left"/>
      </w:pPr>
      <w:r>
        <w:rPr>
          <w:spacing w:val="-1"/>
        </w:rPr>
        <w:t>本集团以资产负债率（即总负债除以总资产）为基础对资本结构进行监控。于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日，本集团的</w:t>
      </w:r>
      <w:r>
        <w:rPr>
          <w:spacing w:val="-84"/>
        </w:rPr>
        <w:t> </w:t>
      </w:r>
      <w:r>
        <w:rPr>
          <w:spacing w:val="-84"/>
        </w:rPr>
      </w:r>
      <w:r>
        <w:rPr/>
        <w:t>资产负债率为</w:t>
      </w:r>
      <w:r>
        <w:rPr>
          <w:rFonts w:ascii="Times New Roman" w:hAnsi="Times New Roman" w:cs="Times New Roman" w:eastAsia="Times New Roman" w:hint="default"/>
        </w:rPr>
        <w:t>17.01%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23.99%</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ind w:left="1134" w:right="0"/>
        <w:jc w:val="left"/>
        <w:rPr>
          <w:b w:val="0"/>
          <w:bCs w:val="0"/>
        </w:rPr>
      </w:pPr>
      <w:bookmarkStart w:name="十一、公允价值的披露" w:id="361"/>
      <w:bookmarkEnd w:id="36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以公允价值计量的资产和负债的期末公允价值" w:id="362"/>
      <w:bookmarkEnd w:id="36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159,850,265.65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159,850,265.65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其中：货币资金</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65,453,821.77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65,453,821.77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其中：应收账款</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44,972,886.95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44,972,886.95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其中：存货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39,058,602.03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39,058,602.03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30,756,875.12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30,756,875.12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其中：无形资产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2,826,644.16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2,826,644.16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其中：固定资产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20,619,256.56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20,619,256.56</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firstLine="630"/>
              <w:jc w:val="left"/>
              <w:rPr>
                <w:rFonts w:ascii="宋体" w:hAnsi="宋体" w:cs="宋体" w:eastAsia="宋体" w:hint="default"/>
                <w:sz w:val="18"/>
                <w:szCs w:val="18"/>
              </w:rPr>
            </w:pPr>
            <w:r>
              <w:rPr>
                <w:rFonts w:ascii="宋体" w:hAnsi="宋体" w:cs="宋体" w:eastAsia="宋体" w:hint="default"/>
                <w:sz w:val="18"/>
                <w:szCs w:val="18"/>
              </w:rPr>
              <w:t>其中：可供出售 金融资产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4,969,524.26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4,969,524.26</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190,607,140.77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190,607,140.77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53,993,928.88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53,993,928.88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2,724,253.31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2,724,253.31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1"/>
              <w:jc w:val="right"/>
              <w:rPr>
                <w:rFonts w:ascii="宋体" w:hAnsi="宋体" w:cs="宋体" w:eastAsia="宋体" w:hint="default"/>
                <w:sz w:val="18"/>
                <w:szCs w:val="18"/>
              </w:rPr>
            </w:pPr>
            <w:r>
              <w:rPr>
                <w:rFonts w:ascii="宋体" w:hAnsi="宋体" w:cs="宋体" w:eastAsia="宋体" w:hint="default"/>
                <w:sz w:val="18"/>
                <w:szCs w:val="18"/>
              </w:rPr>
              <w:t>其中：递延所得</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2,724,253.31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2,724,253.31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36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税负债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56,718,182.19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56,718,182.19</w:t>
            </w:r>
          </w:p>
        </w:tc>
      </w:tr>
    </w:tbl>
    <w:p>
      <w:pPr>
        <w:spacing w:line="240" w:lineRule="auto" w:before="3"/>
        <w:rPr>
          <w:rFonts w:ascii="宋体" w:hAnsi="宋体" w:cs="宋体" w:eastAsia="宋体" w:hint="default"/>
          <w:sz w:val="19"/>
          <w:szCs w:val="19"/>
        </w:rPr>
      </w:pPr>
    </w:p>
    <w:p>
      <w:pPr>
        <w:spacing w:line="506" w:lineRule="auto" w:before="35"/>
        <w:ind w:left="1134" w:right="0" w:firstLine="0"/>
        <w:jc w:val="left"/>
        <w:rPr>
          <w:rFonts w:ascii="宋体" w:hAnsi="宋体" w:cs="宋体" w:eastAsia="宋体" w:hint="default"/>
          <w:sz w:val="21"/>
          <w:szCs w:val="21"/>
        </w:rPr>
      </w:pPr>
      <w:bookmarkStart w:name="2、持续和非持续第一层次公允价值计量项目市价的确定依据" w:id="363"/>
      <w:bookmarkEnd w:id="3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第一层次：相同资产或负债在活跃市场中的报价（未经调整的）。</w:t>
      </w:r>
    </w:p>
    <w:p>
      <w:pPr>
        <w:spacing w:line="240" w:lineRule="auto" w:before="0"/>
        <w:rPr>
          <w:rFonts w:ascii="宋体" w:hAnsi="宋体" w:cs="宋体" w:eastAsia="宋体" w:hint="default"/>
          <w:sz w:val="20"/>
          <w:szCs w:val="20"/>
        </w:rPr>
      </w:pPr>
    </w:p>
    <w:p>
      <w:pPr>
        <w:pStyle w:val="Heading4"/>
        <w:spacing w:line="240" w:lineRule="auto" w:before="155"/>
        <w:ind w:left="1134" w:right="0"/>
        <w:jc w:val="both"/>
        <w:rPr>
          <w:b w:val="0"/>
          <w:bCs w:val="0"/>
        </w:rPr>
      </w:pPr>
      <w:bookmarkStart w:name="3、持续和非持续第二层次公允价值计量项目，采用的估值技术和重要参数的定性及定量信" w:id="364"/>
      <w:bookmarkEnd w:id="36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31"/>
        <w:jc w:val="both"/>
      </w:pPr>
      <w:r>
        <w:rPr>
          <w:spacing w:val="-1"/>
        </w:rPr>
        <w:t>第二层次：直接（即价格）或间接（即从价格推导出）地使用除第一层次中的资产或负债的市场报价之外</w:t>
      </w:r>
      <w:r>
        <w:rPr>
          <w:spacing w:val="-83"/>
        </w:rPr>
        <w:t> </w:t>
      </w:r>
      <w:r>
        <w:rPr>
          <w:spacing w:val="-83"/>
        </w:rPr>
      </w:r>
      <w:r>
        <w:rPr>
          <w:spacing w:val="-1"/>
        </w:rPr>
        <w:t>的可观察输入值。上述项目均为本年度非同一控制下企业合并中取得的被购买方可辨认资产、负债于购买</w:t>
      </w:r>
      <w:r>
        <w:rPr>
          <w:spacing w:val="-81"/>
        </w:rPr>
        <w:t> </w:t>
      </w:r>
      <w:r>
        <w:rPr>
          <w:spacing w:val="-81"/>
        </w:rPr>
      </w:r>
      <w:r>
        <w:rPr>
          <w:spacing w:val="-1"/>
        </w:rPr>
        <w:t>日的公允价值。公允价值系基于市场价值的价值类型，采用成本法评估，从重置成本的角度确认可辨认资</w:t>
      </w:r>
      <w:r>
        <w:rPr>
          <w:spacing w:val="-83"/>
        </w:rPr>
        <w:t> </w:t>
      </w:r>
      <w:r>
        <w:rPr>
          <w:spacing w:val="-83"/>
        </w:rPr>
      </w:r>
      <w:r>
        <w:rPr/>
        <w:t>产、负债公允价值。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506" w:lineRule="auto" w:before="0"/>
        <w:ind w:left="1134"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365"/>
      <w:bookmarkEnd w:id="3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sz w:val="21"/>
          <w:szCs w:val="21"/>
        </w:rPr>
        <w:t>第三层次：资产或负债使用了任何非基于可观察市场数据的输入值（不可观察输入值）。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left="1134" w:right="0"/>
        <w:jc w:val="both"/>
        <w:rPr>
          <w:b w:val="0"/>
          <w:bCs w:val="0"/>
        </w:rPr>
      </w:pPr>
      <w:bookmarkStart w:name="5、持续的第三层次公允价值计量项目，期初与期末账面价值间的调节信息及不可观察参数" w:id="366"/>
      <w:bookmarkEnd w:id="36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left="1134" w:right="0"/>
        <w:jc w:val="both"/>
        <w:rPr>
          <w:b w:val="0"/>
          <w:bCs w:val="0"/>
        </w:rPr>
      </w:pPr>
      <w:bookmarkStart w:name="6、持续的公允价值计量项目，本期内发生各层级之间转换的，转换的原因及确定转换时点" w:id="367"/>
      <w:bookmarkEnd w:id="36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left="1134" w:right="0"/>
        <w:jc w:val="both"/>
        <w:rPr>
          <w:b w:val="0"/>
          <w:bCs w:val="0"/>
        </w:rPr>
      </w:pPr>
      <w:bookmarkStart w:name="7、本期内发生的估值技术变更及变更原因" w:id="368"/>
      <w:bookmarkEnd w:id="36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left="1134" w:right="0"/>
        <w:jc w:val="both"/>
        <w:rPr>
          <w:b w:val="0"/>
          <w:bCs w:val="0"/>
        </w:rPr>
      </w:pPr>
      <w:bookmarkStart w:name="8、不以公允价值计量的金融资产和金融负债的公允价值情况" w:id="369"/>
      <w:bookmarkEnd w:id="36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134" w:right="1110"/>
        <w:jc w:val="both"/>
      </w:pPr>
      <w:r>
        <w:rPr/>
        <w:t>本集团以摊余成本计量的金融资产和金融负债主要包括：货币资金、应收票据、应收账款、其他应收款、 </w:t>
      </w:r>
      <w:r>
        <w:rPr>
          <w:spacing w:val="-1"/>
        </w:rPr>
        <w:t>短期借款、应付票据、应付账款、其他应付款、一年内到期的长期借和长期借款等。不以公允价值计量的</w:t>
      </w:r>
      <w:r>
        <w:rPr>
          <w:spacing w:val="-82"/>
        </w:rPr>
        <w:t> </w:t>
      </w:r>
      <w:r>
        <w:rPr>
          <w:spacing w:val="-82"/>
        </w:rPr>
      </w:r>
      <w:r>
        <w:rPr/>
        <w:t>金融资产和金融负债的账面价值与公允价值相差很小。</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7693" w:firstLine="0"/>
        <w:jc w:val="left"/>
        <w:rPr>
          <w:rFonts w:ascii="宋体" w:hAnsi="宋体" w:cs="宋体" w:eastAsia="宋体" w:hint="default"/>
          <w:sz w:val="21"/>
          <w:szCs w:val="21"/>
        </w:rPr>
      </w:pPr>
      <w:bookmarkStart w:name="9、其他" w:id="370"/>
      <w:bookmarkEnd w:id="37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371"/>
      <w:bookmarkEnd w:id="37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372"/>
      <w:bookmarkEnd w:id="37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56" w:lineRule="auto" w:before="89"/>
        <w:ind w:left="1134" w:right="0"/>
        <w:jc w:val="left"/>
      </w:pPr>
      <w:r>
        <w:rPr>
          <w:spacing w:val="-2"/>
        </w:rPr>
        <w:t>本公司没有母公司。杨保田持股比例为</w:t>
      </w:r>
      <w:r>
        <w:rPr>
          <w:rFonts w:ascii="Times New Roman" w:hAnsi="Times New Roman" w:cs="Times New Roman" w:eastAsia="Times New Roman" w:hint="default"/>
          <w:spacing w:val="-2"/>
        </w:rPr>
        <w:t>44.02%</w:t>
      </w:r>
      <w:r>
        <w:rPr>
          <w:spacing w:val="-2"/>
        </w:rPr>
        <w:t>，杨成持股比例为</w:t>
      </w:r>
      <w:r>
        <w:rPr>
          <w:rFonts w:ascii="Times New Roman" w:hAnsi="Times New Roman" w:cs="Times New Roman" w:eastAsia="Times New Roman" w:hint="default"/>
          <w:spacing w:val="-2"/>
        </w:rPr>
        <w:t>13.69%</w:t>
      </w:r>
      <w:r>
        <w:rPr>
          <w:spacing w:val="-2"/>
        </w:rPr>
        <w:t>，杨保田和杨成是父子关系，两人</w:t>
      </w:r>
      <w:r>
        <w:rPr>
          <w:spacing w:val="-62"/>
        </w:rPr>
        <w:t> </w:t>
      </w:r>
      <w:r>
        <w:rPr>
          <w:spacing w:val="-62"/>
        </w:rPr>
      </w:r>
      <w:r>
        <w:rPr/>
        <w:t>合计持有公司</w:t>
      </w:r>
      <w:r>
        <w:rPr>
          <w:rFonts w:ascii="Times New Roman" w:hAnsi="Times New Roman" w:cs="Times New Roman" w:eastAsia="Times New Roman" w:hint="default"/>
        </w:rPr>
        <w:t>51,172,236</w:t>
      </w:r>
      <w:r>
        <w:rPr/>
        <w:t>股股份，占公司本次发行后股本总额的</w:t>
      </w:r>
      <w:r>
        <w:rPr>
          <w:rFonts w:ascii="Times New Roman" w:hAnsi="Times New Roman" w:cs="Times New Roman" w:eastAsia="Times New Roman" w:hint="default"/>
        </w:rPr>
        <w:t>57.71%</w:t>
      </w:r>
      <w:r>
        <w:rPr/>
        <w:t>，是本公司的实际控制人。</w:t>
      </w:r>
    </w:p>
    <w:p>
      <w:pPr>
        <w:spacing w:line="360" w:lineRule="auto" w:before="71"/>
        <w:ind w:left="1134" w:right="7872" w:firstLine="0"/>
        <w:jc w:val="left"/>
        <w:rPr>
          <w:rFonts w:ascii="宋体" w:hAnsi="宋体" w:cs="宋体" w:eastAsia="宋体" w:hint="default"/>
          <w:sz w:val="18"/>
          <w:szCs w:val="18"/>
        </w:rPr>
      </w:pPr>
      <w:r>
        <w:rPr>
          <w:rFonts w:ascii="宋体" w:hAnsi="宋体" w:cs="宋体" w:eastAsia="宋体" w:hint="default"/>
          <w:sz w:val="18"/>
          <w:szCs w:val="18"/>
        </w:rPr>
        <w:t>本企业最终控制方是杨保田和杨成。 其他说明：</w:t>
      </w:r>
    </w:p>
    <w:p>
      <w:pPr>
        <w:spacing w:before="25"/>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2、本企业的子公司情况" w:id="373"/>
      <w:bookmarkEnd w:id="37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其他关联方情况" w:id="374"/>
      <w:bookmarkEnd w:id="374"/>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本公司股东长江成长资本投资有限公司的母公司</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关联交易情况" w:id="375"/>
      <w:bookmarkEnd w:id="37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关联担保情况" w:id="376"/>
      <w:bookmarkEnd w:id="376"/>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股东杨成和澳洲红相董 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Richard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Michael</w:t>
            </w:r>
            <w:r>
              <w:rPr>
                <w:rFonts w:ascii="Times New Roman" w:hAnsi="Times New Roman" w:cs="Times New Roman" w:eastAsia="Times New Roman" w:hint="default"/>
                <w:sz w:val="18"/>
                <w:szCs w:val="18"/>
              </w:rPr>
              <w:t> Dowling</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89"/>
        <w:ind w:left="1134" w:right="0"/>
        <w:jc w:val="left"/>
        <w:rPr>
          <w:rFonts w:ascii="Times New Roman" w:hAnsi="Times New Roman" w:cs="Times New Roman" w:eastAsia="Times New Roman" w:hint="default"/>
        </w:rPr>
      </w:pPr>
      <w:r>
        <w:rPr/>
        <w:t>股东杨成和澳洲红相董事</w:t>
      </w:r>
      <w:r>
        <w:rPr>
          <w:rFonts w:ascii="Times New Roman" w:hAnsi="Times New Roman" w:cs="Times New Roman" w:eastAsia="Times New Roman" w:hint="default"/>
        </w:rPr>
        <w:t>Ri</w:t>
      </w:r>
      <w:r>
        <w:rPr>
          <w:rFonts w:ascii="Times New Roman" w:hAnsi="Times New Roman" w:cs="Times New Roman" w:eastAsia="Times New Roman" w:hint="default"/>
          <w:spacing w:val="-1"/>
        </w:rPr>
        <w:t>c</w:t>
      </w:r>
      <w:r>
        <w:rPr>
          <w:rFonts w:ascii="Times New Roman" w:hAnsi="Times New Roman" w:cs="Times New Roman" w:eastAsia="Times New Roman" w:hint="default"/>
        </w:rPr>
        <w:t>hard</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spacing w:val="-1"/>
        </w:rPr>
        <w:t>i</w:t>
      </w:r>
      <w:r>
        <w:rPr>
          <w:rFonts w:ascii="Times New Roman" w:hAnsi="Times New Roman" w:cs="Times New Roman" w:eastAsia="Times New Roman" w:hint="default"/>
        </w:rPr>
        <w:t>chael</w:t>
      </w:r>
      <w:r>
        <w:rPr>
          <w:rFonts w:ascii="Times New Roman" w:hAnsi="Times New Roman" w:cs="Times New Roman" w:eastAsia="Times New Roman" w:hint="default"/>
          <w:spacing w:val="-11"/>
        </w:rPr>
        <w:t> </w:t>
      </w:r>
      <w:r>
        <w:rPr>
          <w:rFonts w:ascii="Times New Roman" w:hAnsi="Times New Roman" w:cs="Times New Roman" w:eastAsia="Times New Roman" w:hint="default"/>
        </w:rPr>
        <w:t>Dowling</w:t>
      </w:r>
      <w:r>
        <w:rPr/>
        <w:t>对子公司澳洲红相的房租提供了担保</w:t>
      </w:r>
      <w:r>
        <w:rPr>
          <w:spacing w:val="-94"/>
        </w:rPr>
        <w:t>，</w:t>
      </w:r>
      <w:r>
        <w:rPr/>
        <w:t>担保起始日为</w:t>
      </w:r>
      <w:r>
        <w:rPr>
          <w:rFonts w:ascii="Times New Roman" w:hAnsi="Times New Roman" w:cs="Times New Roman" w:eastAsia="Times New Roman" w:hint="default"/>
        </w:rPr>
        <w:t>2009</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1"/>
        <w:rPr>
          <w:rFonts w:ascii="Times New Roman" w:hAnsi="Times New Roman" w:cs="Times New Roman" w:eastAsia="Times New Roman" w:hint="default"/>
          <w:sz w:val="28"/>
          <w:szCs w:val="28"/>
        </w:rPr>
      </w:pPr>
    </w:p>
    <w:p>
      <w:pPr>
        <w:pStyle w:val="BodyText"/>
        <w:spacing w:line="240" w:lineRule="auto" w:before="35"/>
        <w:ind w:right="0"/>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日，担保到期日为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p>
    <w:p>
      <w:pPr>
        <w:spacing w:line="240" w:lineRule="auto" w:before="8"/>
        <w:rPr>
          <w:rFonts w:ascii="宋体" w:hAnsi="宋体" w:cs="宋体" w:eastAsia="宋体" w:hint="default"/>
          <w:sz w:val="24"/>
          <w:szCs w:val="24"/>
        </w:rPr>
      </w:pPr>
    </w:p>
    <w:p>
      <w:pPr>
        <w:pStyle w:val="Heading4"/>
        <w:spacing w:line="240" w:lineRule="auto"/>
        <w:ind w:left="1134" w:right="0"/>
        <w:jc w:val="left"/>
        <w:rPr>
          <w:b w:val="0"/>
          <w:bCs w:val="0"/>
        </w:rPr>
      </w:pPr>
      <w:bookmarkStart w:name="（2）关键管理人员报酬" w:id="377"/>
      <w:bookmarkEnd w:id="377"/>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4,036,259.65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4,340,831.76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其他关联交易" w:id="378"/>
      <w:bookmarkEnd w:id="378"/>
      <w:r>
        <w:rPr>
          <w:b w:val="0"/>
          <w:bCs w:val="0"/>
        </w:rPr>
      </w:r>
      <w:r>
        <w:rPr/>
        <w:t>（</w:t>
      </w:r>
      <w:r>
        <w:rPr>
          <w:rFonts w:ascii="Times New Roman" w:hAnsi="Times New Roman" w:cs="Times New Roman" w:eastAsia="Times New Roman" w:hint="default"/>
        </w:rPr>
        <w:t>3</w:t>
      </w:r>
      <w:r>
        <w:rPr/>
        <w:t>）其他关联交易</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134" w:right="0"/>
        <w:jc w:val="left"/>
      </w:pPr>
      <w:r>
        <w:rPr/>
        <w:t>①购买理财产品</w:t>
      </w:r>
    </w:p>
    <w:p>
      <w:pPr>
        <w:spacing w:line="240" w:lineRule="auto" w:before="5"/>
        <w:rPr>
          <w:rFonts w:ascii="宋体" w:hAnsi="宋体" w:cs="宋体" w:eastAsia="宋体" w:hint="default"/>
          <w:sz w:val="19"/>
          <w:szCs w:val="19"/>
        </w:rPr>
      </w:pPr>
    </w:p>
    <w:p>
      <w:pPr>
        <w:pStyle w:val="BodyText"/>
        <w:spacing w:line="256" w:lineRule="auto"/>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日，公司向长江证券股份有限公司购买两项保本理财型产品，合计</w:t>
      </w:r>
      <w:r>
        <w:rPr>
          <w:rFonts w:ascii="Times New Roman" w:hAnsi="Times New Roman" w:cs="Times New Roman" w:eastAsia="Times New Roman" w:hint="default"/>
        </w:rPr>
        <w:t>1.4</w:t>
      </w:r>
      <w:r>
        <w:rPr/>
        <w:t>亿元。</w:t>
      </w:r>
      <w:r>
        <w:rPr>
          <w:rFonts w:ascii="Times New Roman" w:hAnsi="Times New Roman" w:cs="Times New Roman" w:eastAsia="Times New Roman" w:hint="default"/>
        </w:rPr>
        <w:t>2015</w:t>
      </w:r>
      <w:r>
        <w:rPr/>
        <w:t>年度共取得</w:t>
      </w:r>
      <w:r>
        <w:rPr>
          <w:spacing w:val="-80"/>
        </w:rPr>
        <w:t> </w:t>
      </w:r>
      <w:r>
        <w:rPr>
          <w:spacing w:val="-80"/>
        </w:rPr>
      </w:r>
      <w:r>
        <w:rPr/>
        <w:t>理财产品投资收益</w:t>
      </w:r>
      <w:r>
        <w:rPr>
          <w:rFonts w:ascii="Times New Roman" w:hAnsi="Times New Roman" w:cs="Times New Roman" w:eastAsia="Times New Roman" w:hint="default"/>
        </w:rPr>
        <w:t>4,746,518.94</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5、关联方应收应付款项" w:id="379"/>
      <w:bookmarkEnd w:id="379"/>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80"/>
      <w:bookmarkEnd w:id="38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长江证券股份有限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长江证券股份有限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746,391.67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项目" w:id="381"/>
      <w:bookmarkEnd w:id="38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关联方承诺" w:id="382"/>
      <w:bookmarkEnd w:id="382"/>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7、其他" w:id="383"/>
      <w:bookmarkEnd w:id="383"/>
      <w:r>
        <w:rPr>
          <w:b w:val="0"/>
          <w:bCs w:val="0"/>
        </w:rPr>
      </w:r>
      <w:r>
        <w:rPr>
          <w:rFonts w:ascii="Times New Roman" w:hAnsi="Times New Roman" w:cs="Times New Roman" w:eastAsia="Times New Roman" w:hint="default"/>
        </w:rPr>
        <w:t>7</w:t>
      </w:r>
      <w:r>
        <w:rPr/>
        <w:t>、其他</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承诺及或有事项" w:id="384"/>
      <w:bookmarkEnd w:id="384"/>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85"/>
      <w:bookmarkEnd w:id="38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89"/>
        <w:ind w:right="0"/>
        <w:jc w:val="left"/>
      </w:pPr>
      <w:r>
        <w:rPr/>
        <w:t>（</w:t>
      </w:r>
      <w:r>
        <w:rPr>
          <w:rFonts w:ascii="Times New Roman" w:hAnsi="Times New Roman" w:cs="Times New Roman" w:eastAsia="Times New Roman" w:hint="default"/>
        </w:rPr>
        <w:t>1</w:t>
      </w:r>
      <w:r>
        <w:rPr/>
        <w:t>）资本承诺</w:t>
      </w:r>
    </w:p>
    <w:p>
      <w:pPr>
        <w:spacing w:line="240" w:lineRule="auto" w:before="12"/>
        <w:rPr>
          <w:rFonts w:ascii="宋体" w:hAnsi="宋体" w:cs="宋体" w:eastAsia="宋体" w:hint="default"/>
          <w:sz w:val="23"/>
          <w:szCs w:val="23"/>
        </w:rPr>
      </w:pPr>
    </w:p>
    <w:tbl>
      <w:tblPr>
        <w:tblW w:w="0" w:type="auto"/>
        <w:jc w:val="left"/>
        <w:tblInd w:w="1134" w:type="dxa"/>
        <w:tblLayout w:type="fixed"/>
        <w:tblCellMar>
          <w:top w:w="0" w:type="dxa"/>
          <w:left w:w="0" w:type="dxa"/>
          <w:bottom w:w="0" w:type="dxa"/>
          <w:right w:w="0" w:type="dxa"/>
        </w:tblCellMar>
        <w:tblLook w:val="01E0"/>
      </w:tblPr>
      <w:tblGrid>
        <w:gridCol w:w="4833"/>
        <w:gridCol w:w="2403"/>
        <w:gridCol w:w="1287"/>
      </w:tblGrid>
      <w:tr>
        <w:trPr>
          <w:trHeight w:val="281" w:hRule="exact"/>
        </w:trPr>
        <w:tc>
          <w:tcPr>
            <w:tcW w:w="4833" w:type="dxa"/>
            <w:tcBorders>
              <w:top w:val="nil" w:sz="6" w:space="0" w:color="auto"/>
              <w:left w:val="nil" w:sz="6" w:space="0" w:color="auto"/>
              <w:bottom w:val="single" w:sz="8" w:space="0" w:color="000000"/>
              <w:right w:val="nil" w:sz="6" w:space="0" w:color="auto"/>
            </w:tcBorders>
          </w:tcPr>
          <w:p>
            <w:pPr>
              <w:pStyle w:val="TableParagraph"/>
              <w:spacing w:line="210" w:lineRule="exact"/>
              <w:ind w:left="279" w:right="0"/>
              <w:jc w:val="left"/>
              <w:rPr>
                <w:rFonts w:ascii="宋体" w:hAnsi="宋体" w:cs="宋体" w:eastAsia="宋体" w:hint="default"/>
                <w:sz w:val="21"/>
                <w:szCs w:val="21"/>
              </w:rPr>
            </w:pPr>
            <w:r>
              <w:rPr>
                <w:rFonts w:ascii="宋体" w:hAnsi="宋体" w:cs="宋体" w:eastAsia="宋体" w:hint="default"/>
                <w:b/>
                <w:bCs/>
                <w:sz w:val="21"/>
                <w:szCs w:val="21"/>
              </w:rPr>
              <w:t>已签约但尚未于财务报表中确认的资本承诺</w:t>
            </w:r>
            <w:r>
              <w:rPr>
                <w:rFonts w:ascii="宋体" w:hAnsi="宋体" w:cs="宋体" w:eastAsia="宋体" w:hint="default"/>
                <w:sz w:val="21"/>
                <w:szCs w:val="21"/>
              </w:rPr>
            </w:r>
          </w:p>
        </w:tc>
        <w:tc>
          <w:tcPr>
            <w:tcW w:w="2403" w:type="dxa"/>
            <w:tcBorders>
              <w:top w:val="nil" w:sz="6" w:space="0" w:color="auto"/>
              <w:left w:val="nil" w:sz="6" w:space="0" w:color="auto"/>
              <w:bottom w:val="single" w:sz="8" w:space="0" w:color="000000"/>
              <w:right w:val="nil" w:sz="6" w:space="0" w:color="auto"/>
            </w:tcBorders>
          </w:tcPr>
          <w:p>
            <w:pPr>
              <w:pStyle w:val="TableParagraph"/>
              <w:spacing w:line="210" w:lineRule="exact"/>
              <w:ind w:right="64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287" w:type="dxa"/>
            <w:tcBorders>
              <w:top w:val="nil" w:sz="6" w:space="0" w:color="auto"/>
              <w:left w:val="nil" w:sz="6" w:space="0" w:color="auto"/>
              <w:bottom w:val="single" w:sz="8" w:space="0" w:color="000000"/>
              <w:right w:val="nil" w:sz="6" w:space="0" w:color="auto"/>
            </w:tcBorders>
          </w:tcPr>
          <w:p>
            <w:pPr>
              <w:pStyle w:val="TableParagraph"/>
              <w:spacing w:line="210" w:lineRule="exact"/>
              <w:ind w:right="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2" w:hRule="exact"/>
        </w:trPr>
        <w:tc>
          <w:tcPr>
            <w:tcW w:w="483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购建长期资产承诺</w:t>
            </w:r>
          </w:p>
        </w:tc>
        <w:tc>
          <w:tcPr>
            <w:tcW w:w="240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643"/>
              <w:jc w:val="right"/>
              <w:rPr>
                <w:rFonts w:ascii="Times New Roman" w:hAnsi="Times New Roman" w:cs="Times New Roman" w:eastAsia="Times New Roman" w:hint="default"/>
                <w:sz w:val="21"/>
                <w:szCs w:val="21"/>
              </w:rPr>
            </w:pPr>
            <w:r>
              <w:rPr>
                <w:rFonts w:ascii="Times New Roman"/>
                <w:spacing w:val="-1"/>
                <w:sz w:val="21"/>
              </w:rPr>
              <w:t>3,046,940.00</w:t>
            </w: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2" w:hRule="exact"/>
        </w:trPr>
        <w:tc>
          <w:tcPr>
            <w:tcW w:w="4833"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对外投资承诺：浙江涵普剩余股权收购</w:t>
            </w:r>
          </w:p>
        </w:tc>
        <w:tc>
          <w:tcPr>
            <w:tcW w:w="2403" w:type="dxa"/>
            <w:tcBorders>
              <w:top w:val="single" w:sz="8" w:space="0" w:color="000000"/>
              <w:left w:val="nil" w:sz="6" w:space="0" w:color="auto"/>
              <w:bottom w:val="single" w:sz="8" w:space="0" w:color="000000"/>
              <w:right w:val="nil" w:sz="6" w:space="0" w:color="auto"/>
            </w:tcBorders>
          </w:tcPr>
          <w:p>
            <w:pPr>
              <w:pStyle w:val="TableParagraph"/>
              <w:spacing w:line="277" w:lineRule="exact"/>
              <w:ind w:right="642"/>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3" w:hRule="exact"/>
        </w:trPr>
        <w:tc>
          <w:tcPr>
            <w:tcW w:w="4833" w:type="dxa"/>
            <w:tcBorders>
              <w:top w:val="single" w:sz="8" w:space="0" w:color="000000"/>
              <w:left w:val="nil" w:sz="6" w:space="0" w:color="auto"/>
              <w:bottom w:val="single" w:sz="8" w:space="0" w:color="000000"/>
              <w:right w:val="nil" w:sz="6" w:space="0" w:color="auto"/>
            </w:tcBorders>
          </w:tcPr>
          <w:p>
            <w:pPr>
              <w:pStyle w:val="TableParagraph"/>
              <w:spacing w:line="277" w:lineRule="exact"/>
              <w:ind w:left="115" w:right="0"/>
              <w:jc w:val="left"/>
              <w:rPr>
                <w:rFonts w:ascii="宋体" w:hAnsi="宋体" w:cs="宋体" w:eastAsia="宋体" w:hint="default"/>
                <w:sz w:val="21"/>
                <w:szCs w:val="21"/>
              </w:rPr>
            </w:pPr>
            <w:r>
              <w:rPr>
                <w:rFonts w:ascii="宋体" w:hAnsi="宋体" w:cs="宋体" w:eastAsia="宋体" w:hint="default"/>
                <w:sz w:val="21"/>
                <w:szCs w:val="21"/>
              </w:rPr>
              <w:t>对外投资承诺：投资合资售电公司（注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40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642"/>
              <w:jc w:val="right"/>
              <w:rPr>
                <w:rFonts w:ascii="Times New Roman" w:hAnsi="Times New Roman" w:cs="Times New Roman" w:eastAsia="Times New Roman" w:hint="default"/>
                <w:sz w:val="21"/>
                <w:szCs w:val="21"/>
              </w:rPr>
            </w:pPr>
            <w:r>
              <w:rPr>
                <w:rFonts w:ascii="Times New Roman"/>
                <w:sz w:val="21"/>
              </w:rPr>
              <w:t>33,000,000.00</w:t>
            </w: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spacing w:line="240" w:lineRule="auto" w:before="11"/>
        <w:rPr>
          <w:rFonts w:ascii="宋体" w:hAnsi="宋体" w:cs="宋体" w:eastAsia="宋体" w:hint="default"/>
          <w:sz w:val="10"/>
          <w:szCs w:val="10"/>
        </w:rPr>
      </w:pPr>
    </w:p>
    <w:p>
      <w:pPr>
        <w:pStyle w:val="BodyText"/>
        <w:spacing w:line="256" w:lineRule="auto" w:before="35"/>
        <w:ind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日，本公司与浙江涵普、特盟国际经贸有限公司、海盐众普电力科技有限公司和海盐城 </w:t>
      </w:r>
      <w:r>
        <w:rPr>
          <w:spacing w:val="-2"/>
        </w:rPr>
        <w:t>普电子科技有限公司签订投资协议，约定本公司以人民币现金</w:t>
      </w:r>
      <w:r>
        <w:rPr>
          <w:rFonts w:ascii="Times New Roman" w:hAnsi="Times New Roman" w:cs="Times New Roman" w:eastAsia="Times New Roman" w:hint="default"/>
          <w:spacing w:val="-2"/>
        </w:rPr>
        <w:t>54,925,589.52</w:t>
      </w:r>
      <w:r>
        <w:rPr>
          <w:spacing w:val="-2"/>
        </w:rPr>
        <w:t>元向浙江涵普单方向进行增资，</w:t>
      </w:r>
      <w:r>
        <w:rPr>
          <w:spacing w:val="-74"/>
        </w:rPr>
        <w:t> </w:t>
      </w:r>
      <w:r>
        <w:rPr>
          <w:spacing w:val="-74"/>
        </w:rPr>
      </w:r>
      <w:r>
        <w:rPr/>
        <w:t>增资后本公司将持有浙江涵普</w:t>
      </w:r>
      <w:r>
        <w:rPr>
          <w:rFonts w:ascii="Times New Roman" w:hAnsi="Times New Roman" w:cs="Times New Roman" w:eastAsia="Times New Roman" w:hint="default"/>
        </w:rPr>
        <w:t>51%</w:t>
      </w:r>
      <w:r>
        <w:rPr/>
        <w:t>股权，详见</w:t>
      </w:r>
      <w:r>
        <w:rPr>
          <w:rFonts w:ascii="Times New Roman" w:hAnsi="Times New Roman" w:cs="Times New Roman" w:eastAsia="Times New Roman" w:hint="default"/>
        </w:rPr>
        <w:t>“</w:t>
      </w:r>
      <w:r>
        <w:rPr/>
        <w:t>本节八、合并范围的变动之</w:t>
      </w:r>
      <w:r>
        <w:rPr>
          <w:rFonts w:ascii="Times New Roman" w:hAnsi="Times New Roman" w:cs="Times New Roman" w:eastAsia="Times New Roman" w:hint="default"/>
        </w:rPr>
        <w:t>1</w:t>
      </w:r>
      <w:r>
        <w:rPr/>
        <w:t>、非同一控制下企业合并</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6"/>
          <w:szCs w:val="16"/>
        </w:rPr>
      </w:pPr>
    </w:p>
    <w:p>
      <w:pPr>
        <w:pStyle w:val="BodyText"/>
        <w:spacing w:line="259" w:lineRule="auto"/>
        <w:ind w:right="1026"/>
        <w:jc w:val="left"/>
      </w:pPr>
      <w:r>
        <w:rPr>
          <w:spacing w:val="-3"/>
        </w:rPr>
        <w:t>在本公司对浙江涵普的增资完成后，协议各方同意，在浙江涵普</w:t>
      </w:r>
      <w:r>
        <w:rPr>
          <w:rFonts w:ascii="Times New Roman" w:hAnsi="Times New Roman" w:cs="Times New Roman" w:eastAsia="Times New Roman" w:hint="default"/>
          <w:spacing w:val="-3"/>
        </w:rPr>
        <w:t>2015</w:t>
      </w:r>
      <w:r>
        <w:rPr>
          <w:spacing w:val="-3"/>
        </w:rPr>
        <w:t>和</w:t>
      </w:r>
      <w:r>
        <w:rPr>
          <w:rFonts w:ascii="Times New Roman" w:hAnsi="Times New Roman" w:cs="Times New Roman" w:eastAsia="Times New Roman" w:hint="default"/>
          <w:spacing w:val="-3"/>
        </w:rPr>
        <w:t>2016</w:t>
      </w:r>
      <w:r>
        <w:rPr>
          <w:spacing w:val="-3"/>
        </w:rPr>
        <w:t>年的实际税后净利润（扣非后）</w:t>
      </w:r>
      <w:r>
        <w:rPr>
          <w:spacing w:val="-81"/>
        </w:rPr>
        <w:t> </w:t>
      </w:r>
      <w:r>
        <w:rPr>
          <w:spacing w:val="-81"/>
        </w:rPr>
      </w:r>
      <w:r>
        <w:rPr/>
        <w:t>分别不低于人民币</w:t>
      </w:r>
      <w:r>
        <w:rPr>
          <w:rFonts w:ascii="Times New Roman" w:hAnsi="Times New Roman" w:cs="Times New Roman" w:eastAsia="Times New Roman" w:hint="default"/>
        </w:rPr>
        <w:t>1800</w:t>
      </w:r>
      <w:r>
        <w:rPr/>
        <w:t>万元和</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年三年累计净利润（扣非后）不低于</w:t>
      </w:r>
      <w:r>
        <w:rPr>
          <w:rFonts w:ascii="Times New Roman" w:hAnsi="Times New Roman" w:cs="Times New Roman" w:eastAsia="Times New Roman" w:hint="default"/>
        </w:rPr>
        <w:t>5500</w:t>
      </w:r>
      <w:r>
        <w:rPr/>
        <w:t>万元的情 形下，本公司承诺在浙江涵普</w:t>
      </w:r>
      <w:r>
        <w:rPr>
          <w:rFonts w:ascii="Times New Roman" w:hAnsi="Times New Roman" w:cs="Times New Roman" w:eastAsia="Times New Roman" w:hint="default"/>
        </w:rPr>
        <w:t>2017</w:t>
      </w:r>
      <w:r>
        <w:rPr/>
        <w:t>年审计完成后的</w:t>
      </w:r>
      <w:r>
        <w:rPr>
          <w:rFonts w:ascii="Times New Roman" w:hAnsi="Times New Roman" w:cs="Times New Roman" w:eastAsia="Times New Roman" w:hint="default"/>
        </w:rPr>
        <w:t>6</w:t>
      </w:r>
      <w:r>
        <w:rPr/>
        <w:t>个月内，以各方确认的</w:t>
      </w:r>
      <w:r>
        <w:rPr>
          <w:rFonts w:ascii="Times New Roman" w:hAnsi="Times New Roman" w:cs="Times New Roman" w:eastAsia="Times New Roman" w:hint="default"/>
        </w:rPr>
        <w:t>2017</w:t>
      </w:r>
      <w:r>
        <w:rPr/>
        <w:t>年经审计的扣除非经常性</w:t>
      </w:r>
      <w:r>
        <w:rPr>
          <w:spacing w:val="-29"/>
        </w:rPr>
        <w:t> </w:t>
      </w:r>
      <w:r>
        <w:rPr>
          <w:spacing w:val="-29"/>
        </w:rPr>
      </w:r>
      <w:r>
        <w:rPr/>
        <w:t>损益后的税后净利润为依据，以不高于</w:t>
      </w:r>
      <w:r>
        <w:rPr>
          <w:rFonts w:ascii="Times New Roman" w:hAnsi="Times New Roman" w:cs="Times New Roman" w:eastAsia="Times New Roman" w:hint="default"/>
        </w:rPr>
        <w:t>15</w:t>
      </w:r>
      <w:r>
        <w:rPr/>
        <w:t>倍市盈率且不超过人民币</w:t>
      </w:r>
      <w:r>
        <w:rPr>
          <w:rFonts w:ascii="Times New Roman" w:hAnsi="Times New Roman" w:cs="Times New Roman" w:eastAsia="Times New Roman" w:hint="default"/>
        </w:rPr>
        <w:t>45000</w:t>
      </w:r>
      <w:r>
        <w:rPr/>
        <w:t>万元对浙江涵普进行股权收购前</w:t>
      </w:r>
      <w:r>
        <w:rPr>
          <w:spacing w:val="-31"/>
        </w:rPr>
        <w:t> </w:t>
      </w:r>
      <w:r>
        <w:rPr>
          <w:spacing w:val="-31"/>
        </w:rPr>
      </w:r>
      <w:r>
        <w:rPr/>
        <w:t>的整体估值，由本公司以现金及股份支付相结合的方式收购特盟国际经贸有限公司、海盐众普电力科技有</w:t>
      </w:r>
      <w:r>
        <w:rPr/>
        <w:t> 限公司和海盐城普电子科技有限公司所持有的剩余</w:t>
      </w:r>
      <w:r>
        <w:rPr>
          <w:rFonts w:ascii="Times New Roman" w:hAnsi="Times New Roman" w:cs="Times New Roman" w:eastAsia="Times New Roman" w:hint="default"/>
        </w:rPr>
        <w:t>29%-39%</w:t>
      </w:r>
      <w:r>
        <w:rPr/>
        <w:t>的股权（具体股权比例届时由各方另行商议确 定）。</w:t>
      </w:r>
    </w:p>
    <w:p>
      <w:pPr>
        <w:spacing w:line="240" w:lineRule="auto" w:before="1"/>
        <w:rPr>
          <w:rFonts w:ascii="宋体" w:hAnsi="宋体" w:cs="宋体" w:eastAsia="宋体" w:hint="default"/>
          <w:sz w:val="18"/>
          <w:szCs w:val="18"/>
        </w:rPr>
      </w:pPr>
    </w:p>
    <w:p>
      <w:pPr>
        <w:pStyle w:val="BodyText"/>
        <w:spacing w:line="261" w:lineRule="auto"/>
        <w:ind w:right="1018"/>
        <w:jc w:val="left"/>
      </w:pP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日，本公司与厦门火炬集团有限公司、厦门信息集团有限公司签订《合作框架协议》，</w:t>
      </w:r>
      <w:r>
        <w:rPr>
          <w:spacing w:val="-84"/>
        </w:rPr>
        <w:t> </w:t>
      </w:r>
      <w:r>
        <w:rPr>
          <w:spacing w:val="-84"/>
        </w:rPr>
      </w:r>
      <w:r>
        <w:rPr>
          <w:spacing w:val="-1"/>
        </w:rPr>
        <w:t>约定各方共同出资设立合资售电公司，注册资本人民币</w:t>
      </w:r>
      <w:r>
        <w:rPr>
          <w:rFonts w:ascii="Times New Roman" w:hAnsi="Times New Roman" w:cs="Times New Roman" w:eastAsia="Times New Roman" w:hint="default"/>
          <w:spacing w:val="-1"/>
        </w:rPr>
        <w:t>1</w:t>
      </w:r>
      <w:r>
        <w:rPr>
          <w:spacing w:val="-1"/>
        </w:rPr>
        <w:t>亿元。合资售电公司经营范围暂定为：售电业务、</w:t>
      </w:r>
      <w:r>
        <w:rPr>
          <w:spacing w:val="-84"/>
        </w:rPr>
        <w:t> </w:t>
      </w:r>
      <w:r>
        <w:rPr>
          <w:spacing w:val="-84"/>
        </w:rPr>
      </w:r>
      <w:r>
        <w:rPr/>
        <w:t>电力工程设备及维修、电力技术开发与转让、技术咨询、电力项目投资、新能源的技术开发与技术服务。 </w:t>
      </w:r>
      <w:r>
        <w:rPr>
          <w:spacing w:val="-2"/>
        </w:rPr>
        <w:t>本公司拟出资人民币</w:t>
      </w:r>
      <w:r>
        <w:rPr>
          <w:rFonts w:ascii="Times New Roman" w:hAnsi="Times New Roman" w:cs="Times New Roman" w:eastAsia="Times New Roman" w:hint="default"/>
          <w:spacing w:val="-2"/>
        </w:rPr>
        <w:t>3300</w:t>
      </w:r>
      <w:r>
        <w:rPr>
          <w:spacing w:val="-2"/>
        </w:rPr>
        <w:t>万元，持有合资公司股权</w:t>
      </w:r>
      <w:r>
        <w:rPr>
          <w:rFonts w:ascii="Times New Roman" w:hAnsi="Times New Roman" w:cs="Times New Roman" w:eastAsia="Times New Roman" w:hint="default"/>
          <w:spacing w:val="-2"/>
        </w:rPr>
        <w:t>33%</w:t>
      </w:r>
      <w:r>
        <w:rPr>
          <w:spacing w:val="-2"/>
        </w:rPr>
        <w:t>。截至本财务报告日，本公司尚未支付前述投资款。</w:t>
      </w:r>
    </w:p>
    <w:p>
      <w:pPr>
        <w:spacing w:line="240" w:lineRule="auto" w:before="7"/>
        <w:rPr>
          <w:rFonts w:ascii="宋体" w:hAnsi="宋体" w:cs="宋体" w:eastAsia="宋体" w:hint="default"/>
          <w:sz w:val="16"/>
          <w:szCs w:val="16"/>
        </w:rPr>
      </w:pPr>
    </w:p>
    <w:p>
      <w:pPr>
        <w:pStyle w:val="BodyText"/>
        <w:spacing w:line="436" w:lineRule="auto"/>
        <w:ind w:left="1134" w:right="3822"/>
        <w:jc w:val="left"/>
      </w:pPr>
      <w:r>
        <w:rPr/>
        <w:t>（</w:t>
      </w:r>
      <w:r>
        <w:rPr>
          <w:rFonts w:ascii="Times New Roman" w:hAnsi="Times New Roman" w:cs="Times New Roman" w:eastAsia="Times New Roman" w:hint="default"/>
        </w:rPr>
        <w:t>2</w:t>
      </w:r>
      <w:r>
        <w:rPr/>
        <w:t>）经营租赁承诺 至资产负债表日止，本集团对外签订的不可撤销的经营租赁合约情况如下：</w:t>
      </w:r>
    </w:p>
    <w:p>
      <w:pPr>
        <w:spacing w:line="240" w:lineRule="auto" w:before="11"/>
        <w:rPr>
          <w:rFonts w:ascii="宋体" w:hAnsi="宋体" w:cs="宋体" w:eastAsia="宋体" w:hint="default"/>
          <w:sz w:val="11"/>
          <w:szCs w:val="11"/>
        </w:rPr>
      </w:pPr>
    </w:p>
    <w:tbl>
      <w:tblPr>
        <w:tblW w:w="0" w:type="auto"/>
        <w:jc w:val="left"/>
        <w:tblInd w:w="1134" w:type="dxa"/>
        <w:tblLayout w:type="fixed"/>
        <w:tblCellMar>
          <w:top w:w="0" w:type="dxa"/>
          <w:left w:w="0" w:type="dxa"/>
          <w:bottom w:w="0" w:type="dxa"/>
          <w:right w:w="0" w:type="dxa"/>
        </w:tblCellMar>
        <w:tblLook w:val="01E0"/>
      </w:tblPr>
      <w:tblGrid>
        <w:gridCol w:w="5394"/>
        <w:gridCol w:w="3130"/>
      </w:tblGrid>
      <w:tr>
        <w:trPr>
          <w:trHeight w:val="281" w:hRule="exact"/>
        </w:trPr>
        <w:tc>
          <w:tcPr>
            <w:tcW w:w="5394" w:type="dxa"/>
            <w:tcBorders>
              <w:top w:val="nil" w:sz="6" w:space="0" w:color="auto"/>
              <w:left w:val="nil" w:sz="6" w:space="0" w:color="auto"/>
              <w:bottom w:val="single" w:sz="8" w:space="0" w:color="000000"/>
              <w:right w:val="nil" w:sz="6" w:space="0" w:color="auto"/>
            </w:tcBorders>
          </w:tcPr>
          <w:p>
            <w:pPr>
              <w:pStyle w:val="TableParagraph"/>
              <w:spacing w:line="21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3130" w:type="dxa"/>
            <w:tcBorders>
              <w:top w:val="nil" w:sz="6" w:space="0" w:color="auto"/>
              <w:left w:val="nil" w:sz="6" w:space="0" w:color="auto"/>
              <w:bottom w:val="single" w:sz="8" w:space="0" w:color="000000"/>
              <w:right w:val="nil" w:sz="6" w:space="0" w:color="auto"/>
            </w:tcBorders>
          </w:tcPr>
          <w:p>
            <w:pPr>
              <w:pStyle w:val="TableParagraph"/>
              <w:spacing w:line="210" w:lineRule="exact"/>
              <w:ind w:right="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42"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77"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
              <w:jc w:val="right"/>
              <w:rPr>
                <w:rFonts w:ascii="Times New Roman" w:hAnsi="Times New Roman" w:cs="Times New Roman" w:eastAsia="Times New Roman" w:hint="default"/>
                <w:sz w:val="21"/>
                <w:szCs w:val="21"/>
              </w:rPr>
            </w:pPr>
            <w:r>
              <w:rPr>
                <w:rFonts w:ascii="Times New Roman"/>
                <w:spacing w:val="-1"/>
                <w:sz w:val="21"/>
              </w:rPr>
              <w:t>2,450,282.44</w:t>
            </w:r>
          </w:p>
        </w:tc>
      </w:tr>
      <w:tr>
        <w:trPr>
          <w:trHeight w:val="342"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77"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
              <w:jc w:val="right"/>
              <w:rPr>
                <w:rFonts w:ascii="Times New Roman" w:hAnsi="Times New Roman" w:cs="Times New Roman" w:eastAsia="Times New Roman" w:hint="default"/>
                <w:sz w:val="21"/>
                <w:szCs w:val="21"/>
              </w:rPr>
            </w:pPr>
            <w:r>
              <w:rPr>
                <w:rFonts w:ascii="Times New Roman"/>
                <w:spacing w:val="-1"/>
                <w:sz w:val="21"/>
              </w:rPr>
              <w:t>1,901,552.31</w:t>
            </w:r>
          </w:p>
        </w:tc>
      </w:tr>
      <w:tr>
        <w:trPr>
          <w:trHeight w:val="342"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77"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
              <w:jc w:val="right"/>
              <w:rPr>
                <w:rFonts w:ascii="Times New Roman" w:hAnsi="Times New Roman" w:cs="Times New Roman" w:eastAsia="Times New Roman" w:hint="default"/>
                <w:sz w:val="21"/>
                <w:szCs w:val="21"/>
              </w:rPr>
            </w:pPr>
            <w:r>
              <w:rPr>
                <w:rFonts w:ascii="Times New Roman"/>
                <w:spacing w:val="-1"/>
                <w:sz w:val="21"/>
              </w:rPr>
              <w:t>1,593,128.04</w:t>
            </w:r>
          </w:p>
        </w:tc>
      </w:tr>
      <w:tr>
        <w:trPr>
          <w:trHeight w:val="342"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
              <w:jc w:val="right"/>
              <w:rPr>
                <w:rFonts w:ascii="Times New Roman" w:hAnsi="Times New Roman" w:cs="Times New Roman" w:eastAsia="Times New Roman" w:hint="default"/>
                <w:sz w:val="21"/>
                <w:szCs w:val="21"/>
              </w:rPr>
            </w:pPr>
            <w:r>
              <w:rPr>
                <w:rFonts w:ascii="Times New Roman"/>
                <w:spacing w:val="-1"/>
                <w:sz w:val="21"/>
              </w:rPr>
              <w:t>2,154,142.06</w:t>
            </w:r>
          </w:p>
        </w:tc>
      </w:tr>
      <w:tr>
        <w:trPr>
          <w:trHeight w:val="343"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130" w:type="dxa"/>
            <w:tcBorders>
              <w:top w:val="single" w:sz="8" w:space="0" w:color="000000"/>
              <w:left w:val="nil" w:sz="6" w:space="0" w:color="auto"/>
              <w:bottom w:val="single" w:sz="8" w:space="0" w:color="000000"/>
              <w:right w:val="nil" w:sz="6" w:space="0" w:color="auto"/>
            </w:tcBorders>
          </w:tcPr>
          <w:p>
            <w:pPr>
              <w:pStyle w:val="TableParagraph"/>
              <w:spacing w:line="240" w:lineRule="auto" w:before="38"/>
              <w:ind w:right="9"/>
              <w:jc w:val="right"/>
              <w:rPr>
                <w:rFonts w:ascii="Times New Roman" w:hAnsi="Times New Roman" w:cs="Times New Roman" w:eastAsia="Times New Roman" w:hint="default"/>
                <w:sz w:val="21"/>
                <w:szCs w:val="21"/>
              </w:rPr>
            </w:pPr>
            <w:r>
              <w:rPr>
                <w:rFonts w:ascii="Times New Roman"/>
                <w:b/>
                <w:spacing w:val="-1"/>
                <w:sz w:val="21"/>
              </w:rPr>
              <w:t>8,099,104.85</w:t>
            </w:r>
            <w:r>
              <w:rPr>
                <w:rFonts w:ascii="Times New Roman"/>
                <w:spacing w:val="-1"/>
                <w:sz w:val="21"/>
              </w:rPr>
            </w:r>
          </w:p>
        </w:tc>
      </w:tr>
    </w:tbl>
    <w:p>
      <w:pPr>
        <w:spacing w:line="240" w:lineRule="auto" w:before="5"/>
        <w:rPr>
          <w:rFonts w:ascii="宋体" w:hAnsi="宋体" w:cs="宋体" w:eastAsia="宋体" w:hint="default"/>
          <w:sz w:val="5"/>
          <w:szCs w:val="5"/>
        </w:rPr>
      </w:pPr>
    </w:p>
    <w:p>
      <w:pPr>
        <w:pStyle w:val="BodyText"/>
        <w:spacing w:line="436" w:lineRule="auto" w:before="35"/>
        <w:ind w:left="1134" w:right="8967"/>
        <w:jc w:val="left"/>
      </w:pPr>
      <w:r>
        <w:rPr/>
        <w:t>（</w:t>
      </w:r>
      <w:r>
        <w:rPr>
          <w:rFonts w:ascii="Times New Roman" w:hAnsi="Times New Roman" w:cs="Times New Roman" w:eastAsia="Times New Roman" w:hint="default"/>
        </w:rPr>
        <w:t>3</w:t>
      </w:r>
      <w:r>
        <w:rPr/>
        <w:t>）其他承诺事项 利润分配承诺</w:t>
      </w:r>
    </w:p>
    <w:p>
      <w:pPr>
        <w:pStyle w:val="BodyText"/>
        <w:spacing w:line="273" w:lineRule="auto" w:before="81"/>
        <w:ind w:right="1024"/>
        <w:jc w:val="left"/>
      </w:pPr>
      <w:r>
        <w:rPr>
          <w:spacing w:val="-3"/>
        </w:rPr>
        <w:t>根据本公司章程，在满足公司正常生产经营资金需求的情况下，如无重大投资计划或重大现金支出等事项，</w:t>
      </w:r>
      <w:r>
        <w:rPr>
          <w:spacing w:val="-92"/>
        </w:rPr>
        <w:t> </w:t>
      </w:r>
      <w:r>
        <w:rPr>
          <w:spacing w:val="-92"/>
        </w:rPr>
      </w:r>
      <w:r>
        <w:rPr/>
        <w:t>公司应该采取现金方式分配股利，并且以现金方式分配的利润不少于当年实现的可分配利润的</w:t>
      </w:r>
      <w:r>
        <w:rPr>
          <w:rFonts w:ascii="Times New Roman" w:hAnsi="Times New Roman" w:cs="Times New Roman" w:eastAsia="Times New Roman" w:hint="default"/>
        </w:rPr>
        <w:t>20%</w:t>
      </w:r>
      <w:r>
        <w:rPr/>
        <w:t>。</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或有事项" w:id="386"/>
      <w:bookmarkEnd w:id="38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506" w:lineRule="auto"/>
        <w:ind w:right="7064"/>
        <w:jc w:val="left"/>
        <w:rPr>
          <w:rFonts w:ascii="宋体" w:hAnsi="宋体" w:cs="宋体" w:eastAsia="宋体" w:hint="default"/>
          <w:b w:val="0"/>
          <w:bCs w:val="0"/>
        </w:rPr>
      </w:pPr>
      <w:bookmarkStart w:name="（1）资产负债表日存在的重要或有事项" w:id="387"/>
      <w:bookmarkEnd w:id="387"/>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rFonts w:ascii="宋体" w:hAnsi="宋体" w:cs="宋体" w:eastAsia="宋体" w:hint="default"/>
          <w:b w:val="0"/>
          <w:bCs w:val="0"/>
        </w:rPr>
        <w:t>无</w:t>
      </w:r>
    </w:p>
    <w:p>
      <w:pPr>
        <w:pStyle w:val="Heading4"/>
        <w:spacing w:line="240" w:lineRule="auto" w:before="103"/>
        <w:ind w:left="1134" w:right="0"/>
        <w:jc w:val="left"/>
        <w:rPr>
          <w:b w:val="0"/>
          <w:bCs w:val="0"/>
        </w:rPr>
      </w:pPr>
      <w:bookmarkStart w:name="（2）公司没有需要披露的重要或有事项，也应予以说明" w:id="388"/>
      <w:bookmarkEnd w:id="38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 w:id="389"/>
      <w:bookmarkEnd w:id="38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四、资产负债表日后事项" w:id="390"/>
      <w:bookmarkEnd w:id="390"/>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非调整事项" w:id="391"/>
      <w:bookmarkEnd w:id="39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利润分配情况" w:id="392"/>
      <w:bookmarkEnd w:id="39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16,847,300.00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16,847,300.00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销售退回" w:id="393"/>
      <w:bookmarkEnd w:id="39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134" w:right="0"/>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rFonts w:ascii="Times New Roman" w:hAnsi="Times New Roman" w:cs="Times New Roman" w:eastAsia="Times New Roman" w:hint="default"/>
          <w:spacing w:val="27"/>
        </w:rPr>
        <w:t> </w:t>
      </w:r>
      <w:r>
        <w:rPr/>
        <w:t>日，本集团不存在重要销售退回。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4、其他资产负债表日后事项说明" w:id="394"/>
      <w:bookmarkEnd w:id="39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0"/>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rFonts w:ascii="Times New Roman" w:hAnsi="Times New Roman" w:cs="Times New Roman" w:eastAsia="Times New Roman" w:hint="default"/>
          <w:spacing w:val="36"/>
        </w:rPr>
        <w:t> </w:t>
      </w:r>
      <w:r>
        <w:rPr/>
        <w:t>日，本集团不存在其他应披露的资产负债表日后事项。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其他重要事项" w:id="395"/>
      <w:bookmarkEnd w:id="395"/>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分部信息" w:id="396"/>
      <w:bookmarkEnd w:id="396"/>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97"/>
      <w:bookmarkEnd w:id="39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报告分部的财务信息" w:id="398"/>
      <w:bookmarkEnd w:id="39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公司无报告分部的，或者不能披露各报告分部的资产总额和负债总额的，应说明原因" w:id="399"/>
      <w:bookmarkEnd w:id="39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1134" w:right="0"/>
        <w:jc w:val="left"/>
      </w:pPr>
      <w:r>
        <w:rPr/>
        <w:t>本集团主要从事电力设备生产与销售，基于公司现有情况，公司无需进行分部信息披露。</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4）其他说明" w:id="400"/>
      <w:bookmarkEnd w:id="40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3"/>
          <w:szCs w:val="23"/>
        </w:rPr>
      </w:pPr>
    </w:p>
    <w:p>
      <w:pPr>
        <w:pStyle w:val="Heading4"/>
        <w:spacing w:line="240" w:lineRule="auto"/>
        <w:ind w:right="0"/>
        <w:jc w:val="left"/>
        <w:rPr>
          <w:b w:val="0"/>
          <w:bCs w:val="0"/>
        </w:rPr>
      </w:pPr>
      <w:bookmarkStart w:name="2、其他对投资者决策有影响的重要交易和事项" w:id="401"/>
      <w:bookmarkEnd w:id="401"/>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9"/>
        <w:rPr>
          <w:rFonts w:ascii="宋体" w:hAnsi="宋体" w:cs="宋体" w:eastAsia="宋体" w:hint="default"/>
          <w:b/>
          <w:bCs/>
          <w:sz w:val="24"/>
          <w:szCs w:val="24"/>
        </w:rPr>
      </w:pPr>
    </w:p>
    <w:p>
      <w:pPr>
        <w:spacing w:line="465" w:lineRule="auto" w:before="0"/>
        <w:ind w:left="1133" w:right="3793" w:firstLine="0"/>
        <w:jc w:val="left"/>
        <w:rPr>
          <w:rFonts w:ascii="宋体" w:hAnsi="宋体" w:cs="宋体" w:eastAsia="宋体" w:hint="default"/>
          <w:sz w:val="24"/>
          <w:szCs w:val="24"/>
        </w:rPr>
      </w:pPr>
      <w:bookmarkStart w:name="3、其他" w:id="402"/>
      <w:bookmarkEnd w:id="40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日，本集团不存在其他应披露的其他重要事项。 </w:t>
      </w:r>
      <w:bookmarkStart w:name="十六、母公司财务报表主要项目注释" w:id="403"/>
      <w:bookmarkEnd w:id="403"/>
      <w:r>
        <w:rPr>
          <w:rFonts w:ascii="宋体" w:hAnsi="宋体" w:cs="宋体" w:eastAsia="宋体" w:hint="default"/>
          <w:sz w:val="24"/>
          <w:szCs w:val="24"/>
        </w:rPr>
      </w:r>
      <w:r>
        <w:rPr>
          <w:rFonts w:ascii="宋体" w:hAnsi="宋体" w:cs="宋体" w:eastAsia="宋体" w:hint="default"/>
          <w:b/>
          <w:bCs/>
          <w:sz w:val="24"/>
          <w:szCs w:val="24"/>
        </w:rPr>
        <w:t>十六、母公司财务报表主要项目注释</w:t>
      </w:r>
      <w:r>
        <w:rPr>
          <w:rFonts w:ascii="宋体" w:hAnsi="宋体" w:cs="宋体" w:eastAsia="宋体" w:hint="default"/>
          <w:sz w:val="24"/>
          <w:szCs w:val="24"/>
        </w:rPr>
      </w:r>
    </w:p>
    <w:p>
      <w:pPr>
        <w:pStyle w:val="Heading4"/>
        <w:spacing w:line="240" w:lineRule="auto" w:before="96"/>
        <w:ind w:right="0"/>
        <w:jc w:val="left"/>
        <w:rPr>
          <w:b w:val="0"/>
          <w:bCs w:val="0"/>
        </w:rPr>
      </w:pPr>
      <w:bookmarkStart w:name="1、应收账款" w:id="404"/>
      <w:bookmarkEnd w:id="40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405"/>
      <w:bookmarkEnd w:id="40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247,395,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717.38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21,629,2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225,766,5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16.26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244,271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,404.65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19,137,41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225,133,98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4.67</w:t>
            </w:r>
          </w:p>
        </w:tc>
      </w:tr>
      <w:tr>
        <w:trPr>
          <w:trHeight w:val="71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631,040.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471,040.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248,026,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757.38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22,100,2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225,926,5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244,271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,404.65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19,137,41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225,133,98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165,555,972.25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8,277,798.62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46,341,732.66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4,634,173.27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22,844,738.62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4,568,947.72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7,168,946.98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2,150,684.09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2,906,274.90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1,453,137.45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544,459.97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544,459.97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245,362,125.38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21,629,201.12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w:t>
            </w:r>
          </w:p>
        </w:tc>
      </w:tr>
    </w:tbl>
    <w:p>
      <w:pPr>
        <w:spacing w:line="331" w:lineRule="auto" w:before="51"/>
        <w:ind w:left="1134" w:right="571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z w:val="21"/>
          <w:szCs w:val="21"/>
        </w:rPr>
        <w:t>确定该等应收账款组合的依据是各个明细项目的账龄。</w:t>
      </w:r>
      <w:r>
        <w:rPr>
          <w:rFonts w:ascii="宋体" w:hAnsi="宋体" w:cs="宋体" w:eastAsia="宋体" w:hint="default"/>
          <w:sz w:val="21"/>
          <w:szCs w:val="21"/>
        </w:rPr>
        <w:t> </w:t>
      </w:r>
      <w:r>
        <w:rPr>
          <w:rFonts w:ascii="宋体" w:hAnsi="宋体" w:cs="宋体" w:eastAsia="宋体" w:hint="default"/>
          <w:sz w:val="18"/>
          <w:szCs w:val="18"/>
        </w:rPr>
        <w:t>组合中，采用余额百分比法计提坏账准备的应收账款：</w:t>
      </w:r>
    </w:p>
    <w:p>
      <w:pPr>
        <w:spacing w:line="338" w:lineRule="auto" w:before="49"/>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pStyle w:val="BodyText"/>
        <w:spacing w:line="240" w:lineRule="auto" w:before="15"/>
        <w:ind w:right="0"/>
        <w:jc w:val="left"/>
      </w:pPr>
      <w:r>
        <w:rPr/>
        <w:t>公司对于应收账款之组合</w:t>
      </w:r>
      <w:r>
        <w:rPr>
          <w:rFonts w:ascii="Times New Roman" w:hAnsi="Times New Roman" w:cs="Times New Roman" w:eastAsia="Times New Roman" w:hint="default"/>
        </w:rPr>
        <w:t>2</w:t>
      </w:r>
      <w:r>
        <w:rPr/>
        <w:t>：合并范围内的关联方应收款不计提坏账。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本期计提、收回或转回的坏账准备情况" w:id="406"/>
      <w:bookmarkEnd w:id="4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40"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2,962,821.14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407"/>
      <w:bookmarkEnd w:id="40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0"/>
        <w:ind w:left="1134" w:right="0"/>
        <w:jc w:val="left"/>
      </w:pPr>
      <w:r>
        <w:rPr/>
        <w:t>本报告期无实际核销的应收账款。</w:t>
      </w:r>
    </w:p>
    <w:p>
      <w:pPr>
        <w:spacing w:line="240" w:lineRule="auto" w:before="11"/>
        <w:rPr>
          <w:rFonts w:ascii="宋体" w:hAnsi="宋体" w:cs="宋体" w:eastAsia="宋体" w:hint="default"/>
          <w:sz w:val="25"/>
          <w:szCs w:val="25"/>
        </w:rPr>
      </w:pPr>
    </w:p>
    <w:p>
      <w:pPr>
        <w:pStyle w:val="Heading4"/>
        <w:spacing w:line="240" w:lineRule="auto"/>
        <w:ind w:left="1134" w:right="0"/>
        <w:jc w:val="left"/>
        <w:rPr>
          <w:b w:val="0"/>
          <w:bCs w:val="0"/>
        </w:rPr>
      </w:pPr>
      <w:bookmarkStart w:name="（4）按欠款方归集的期末余额前五名的应收账款情况" w:id="408"/>
      <w:bookmarkEnd w:id="40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t>本期按欠款方归集的期末余额前五名应收账款汇总金额</w:t>
      </w:r>
      <w:r>
        <w:rPr>
          <w:rFonts w:ascii="Times New Roman" w:hAnsi="Times New Roman" w:cs="Times New Roman" w:eastAsia="Times New Roman" w:hint="default"/>
        </w:rPr>
        <w:t>70,512,555.90</w:t>
      </w:r>
      <w:r>
        <w:rPr/>
        <w:t>元，占应收账款期末余额合计数的比</w:t>
      </w:r>
      <w:r>
        <w:rPr>
          <w:spacing w:val="-78"/>
        </w:rPr>
        <w:t> </w:t>
      </w:r>
      <w:r>
        <w:rPr>
          <w:spacing w:val="-78"/>
        </w:rPr>
      </w:r>
      <w:r>
        <w:rPr/>
        <w:t>例</w:t>
      </w:r>
      <w:r>
        <w:rPr>
          <w:rFonts w:ascii="Times New Roman" w:hAnsi="Times New Roman" w:cs="Times New Roman" w:eastAsia="Times New Roman" w:hint="default"/>
        </w:rPr>
        <w:t>28.43%</w:t>
      </w:r>
      <w:r>
        <w:rPr/>
        <w:t>，相应计提的坏账准备期末余额汇总金额</w:t>
      </w:r>
      <w:r>
        <w:rPr>
          <w:rFonts w:ascii="Times New Roman" w:hAnsi="Times New Roman" w:cs="Times New Roman" w:eastAsia="Times New Roman" w:hint="default"/>
        </w:rPr>
        <w:t>4,953,249.05</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9"/>
          <w:szCs w:val="19"/>
        </w:rPr>
      </w:pPr>
    </w:p>
    <w:p>
      <w:pPr>
        <w:pStyle w:val="Heading4"/>
        <w:spacing w:line="240" w:lineRule="auto"/>
        <w:ind w:left="1134" w:right="0"/>
        <w:jc w:val="left"/>
        <w:rPr>
          <w:b w:val="0"/>
          <w:bCs w:val="0"/>
        </w:rPr>
      </w:pPr>
      <w:bookmarkStart w:name="（5）因金融资产转移而终止确认的应收账款" w:id="409"/>
      <w:bookmarkEnd w:id="40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6）转移应收账款且继续涉入形成的资产、负债金额" w:id="410"/>
      <w:bookmarkEnd w:id="41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985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其他应收款" w:id="411"/>
      <w:bookmarkEnd w:id="41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412"/>
      <w:bookmarkEnd w:id="41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5,847,02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8.50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5,772,823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12,048,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018.80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42,755.66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12,005,263.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1,110,78</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555,390.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555,390.0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6,957,80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629,594.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9.05%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6,328,213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12,048,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018.80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42,755.66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12,005,263.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after="0" w:line="3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164,094.40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8,204.72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484,094.40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74,204.72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left="1134" w:right="0"/>
        <w:jc w:val="left"/>
      </w:pPr>
      <w:r>
        <w:rPr/>
        <w:t>确定该等其他应收账款组合的依据是各个明细项目的账龄。</w:t>
      </w:r>
    </w:p>
    <w:p>
      <w:pPr>
        <w:spacing w:line="240" w:lineRule="auto" w:before="0"/>
        <w:rPr>
          <w:rFonts w:ascii="宋体" w:hAnsi="宋体" w:cs="宋体" w:eastAsia="宋体" w:hint="default"/>
          <w:sz w:val="20"/>
          <w:szCs w:val="20"/>
        </w:rPr>
      </w:pPr>
    </w:p>
    <w:p>
      <w:pPr>
        <w:spacing w:before="153"/>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0"/>
        <w:jc w:val="left"/>
      </w:pPr>
      <w:r>
        <w:rPr>
          <w:spacing w:val="-1"/>
        </w:rPr>
        <w:t>采用其他方法计提坏账准备的其他应收款包括组合</w:t>
      </w:r>
      <w:r>
        <w:rPr>
          <w:rFonts w:ascii="Times New Roman" w:hAnsi="Times New Roman" w:cs="Times New Roman" w:eastAsia="Times New Roman" w:hint="default"/>
          <w:spacing w:val="-1"/>
        </w:rPr>
        <w:t>3</w:t>
      </w:r>
      <w:r>
        <w:rPr>
          <w:spacing w:val="-1"/>
        </w:rPr>
        <w:t>其他应收款之应收备用金、组合</w:t>
      </w:r>
      <w:r>
        <w:rPr>
          <w:rFonts w:ascii="Times New Roman" w:hAnsi="Times New Roman" w:cs="Times New Roman" w:eastAsia="Times New Roman" w:hint="default"/>
          <w:spacing w:val="-1"/>
        </w:rPr>
        <w:t>4</w:t>
      </w:r>
      <w:r>
        <w:rPr>
          <w:spacing w:val="-1"/>
        </w:rPr>
        <w:t>其他应收款之应收保</w:t>
      </w:r>
      <w:r>
        <w:rPr>
          <w:spacing w:val="-84"/>
        </w:rPr>
        <w:t> </w:t>
      </w:r>
      <w:r>
        <w:rPr>
          <w:spacing w:val="-84"/>
        </w:rPr>
      </w:r>
      <w:r>
        <w:rPr/>
        <w:t>证金，按个别认定法根据具体情况确定坏账计提比例，具体的明细如下：</w:t>
      </w:r>
    </w:p>
    <w:p>
      <w:pPr>
        <w:spacing w:line="240" w:lineRule="auto" w:before="11"/>
        <w:rPr>
          <w:rFonts w:ascii="宋体" w:hAnsi="宋体" w:cs="宋体" w:eastAsia="宋体" w:hint="default"/>
          <w:sz w:val="2"/>
          <w:szCs w:val="2"/>
        </w:rPr>
      </w:pPr>
    </w:p>
    <w:tbl>
      <w:tblPr>
        <w:tblW w:w="0" w:type="auto"/>
        <w:jc w:val="left"/>
        <w:tblInd w:w="1134" w:type="dxa"/>
        <w:tblLayout w:type="fixed"/>
        <w:tblCellMar>
          <w:top w:w="0" w:type="dxa"/>
          <w:left w:w="0" w:type="dxa"/>
          <w:bottom w:w="0" w:type="dxa"/>
          <w:right w:w="0" w:type="dxa"/>
        </w:tblCellMar>
        <w:tblLook w:val="01E0"/>
      </w:tblPr>
      <w:tblGrid>
        <w:gridCol w:w="2553"/>
        <w:gridCol w:w="1470"/>
        <w:gridCol w:w="1098"/>
        <w:gridCol w:w="1272"/>
        <w:gridCol w:w="1263"/>
      </w:tblGrid>
      <w:tr>
        <w:trPr>
          <w:trHeight w:val="349" w:hRule="exact"/>
        </w:trPr>
        <w:tc>
          <w:tcPr>
            <w:tcW w:w="2553" w:type="dxa"/>
            <w:tcBorders>
              <w:top w:val="single" w:sz="6" w:space="0" w:color="000000"/>
              <w:left w:val="nil" w:sz="6" w:space="0" w:color="auto"/>
              <w:bottom w:val="nil" w:sz="6" w:space="0" w:color="auto"/>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种</w:t>
            </w:r>
            <w:r>
              <w:rPr>
                <w:rFonts w:ascii="宋体" w:hAnsi="宋体" w:cs="宋体" w:eastAsia="宋体" w:hint="default"/>
                <w:b/>
                <w:bCs/>
                <w:spacing w:val="73"/>
                <w:sz w:val="21"/>
                <w:szCs w:val="21"/>
              </w:rPr>
              <w:t> </w:t>
            </w:r>
            <w:r>
              <w:rPr>
                <w:rFonts w:ascii="宋体" w:hAnsi="宋体" w:cs="宋体" w:eastAsia="宋体" w:hint="default"/>
                <w:b/>
                <w:bCs/>
                <w:sz w:val="21"/>
                <w:szCs w:val="21"/>
              </w:rPr>
              <w:t>类</w:t>
            </w:r>
            <w:r>
              <w:rPr>
                <w:rFonts w:ascii="宋体" w:hAnsi="宋体" w:cs="宋体" w:eastAsia="宋体" w:hint="default"/>
                <w:sz w:val="21"/>
                <w:szCs w:val="21"/>
              </w:rPr>
            </w:r>
          </w:p>
        </w:tc>
        <w:tc>
          <w:tcPr>
            <w:tcW w:w="1470" w:type="dxa"/>
            <w:tcBorders>
              <w:top w:val="single" w:sz="6" w:space="0" w:color="000000"/>
              <w:left w:val="nil" w:sz="6" w:space="0" w:color="auto"/>
              <w:bottom w:val="single" w:sz="8" w:space="0" w:color="000000"/>
              <w:right w:val="nil" w:sz="6" w:space="0" w:color="auto"/>
            </w:tcBorders>
          </w:tcPr>
          <w:p>
            <w:pPr/>
          </w:p>
        </w:tc>
        <w:tc>
          <w:tcPr>
            <w:tcW w:w="2370" w:type="dxa"/>
            <w:gridSpan w:val="2"/>
            <w:tcBorders>
              <w:top w:val="single" w:sz="6" w:space="0" w:color="000000"/>
              <w:left w:val="nil" w:sz="6" w:space="0" w:color="auto"/>
              <w:bottom w:val="single" w:sz="8" w:space="0" w:color="000000"/>
              <w:right w:val="nil" w:sz="6" w:space="0" w:color="auto"/>
            </w:tcBorders>
          </w:tcPr>
          <w:p>
            <w:pPr>
              <w:pStyle w:val="TableParagraph"/>
              <w:spacing w:line="271" w:lineRule="exact"/>
              <w:ind w:left="765"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263" w:type="dxa"/>
            <w:tcBorders>
              <w:top w:val="single" w:sz="6" w:space="0" w:color="000000"/>
              <w:left w:val="nil" w:sz="6" w:space="0" w:color="auto"/>
              <w:bottom w:val="single" w:sz="8" w:space="0" w:color="000000"/>
              <w:right w:val="nil" w:sz="6" w:space="0" w:color="auto"/>
            </w:tcBorders>
          </w:tcPr>
          <w:p>
            <w:pPr/>
          </w:p>
        </w:tc>
      </w:tr>
      <w:tr>
        <w:trPr>
          <w:trHeight w:val="348" w:hRule="exact"/>
        </w:trPr>
        <w:tc>
          <w:tcPr>
            <w:tcW w:w="2553" w:type="dxa"/>
            <w:tcBorders>
              <w:top w:val="nil" w:sz="6" w:space="0" w:color="auto"/>
              <w:left w:val="nil" w:sz="6" w:space="0" w:color="auto"/>
              <w:bottom w:val="single" w:sz="8" w:space="0" w:color="000000"/>
              <w:right w:val="nil" w:sz="6" w:space="0" w:color="auto"/>
            </w:tcBorders>
          </w:tcPr>
          <w:p>
            <w:pP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84"/>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7"/>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09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72" w:type="dxa"/>
            <w:tcBorders>
              <w:top w:val="single" w:sz="8" w:space="0" w:color="000000"/>
              <w:left w:val="nil" w:sz="6" w:space="0" w:color="auto"/>
              <w:bottom w:val="single" w:sz="8" w:space="0" w:color="000000"/>
              <w:right w:val="nil" w:sz="6" w:space="0" w:color="auto"/>
            </w:tcBorders>
          </w:tcPr>
          <w:p>
            <w:pPr>
              <w:pStyle w:val="TableParagraph"/>
              <w:spacing w:line="282" w:lineRule="exact"/>
              <w:ind w:right="148"/>
              <w:jc w:val="right"/>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6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
              <w:jc w:val="right"/>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r>
        <w:trPr>
          <w:trHeight w:val="347" w:hRule="exact"/>
        </w:trPr>
        <w:tc>
          <w:tcPr>
            <w:tcW w:w="255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：应收员工备用金等</w:t>
            </w: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09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27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5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263"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7" w:hRule="exact"/>
        </w:trPr>
        <w:tc>
          <w:tcPr>
            <w:tcW w:w="2553"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9"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：应收保证金</w:t>
            </w: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85"/>
              <w:jc w:val="right"/>
              <w:rPr>
                <w:rFonts w:ascii="Times New Roman" w:hAnsi="Times New Roman" w:cs="Times New Roman" w:eastAsia="Times New Roman" w:hint="default"/>
                <w:sz w:val="21"/>
                <w:szCs w:val="21"/>
              </w:rPr>
            </w:pPr>
            <w:r>
              <w:rPr>
                <w:rFonts w:ascii="Times New Roman"/>
                <w:spacing w:val="-1"/>
                <w:sz w:val="21"/>
              </w:rPr>
              <w:t>5,362,934.10</w:t>
            </w:r>
          </w:p>
        </w:tc>
        <w:tc>
          <w:tcPr>
            <w:tcW w:w="1098"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6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272"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5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263"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1"/>
                <w:szCs w:val="21"/>
              </w:rPr>
            </w:pPr>
            <w:r>
              <w:rPr>
                <w:rFonts w:ascii="Times New Roman"/>
                <w:spacing w:val="-1"/>
                <w:sz w:val="21"/>
              </w:rPr>
              <w:t>5,362,934.10</w:t>
            </w:r>
          </w:p>
        </w:tc>
      </w:tr>
      <w:tr>
        <w:trPr>
          <w:trHeight w:val="348" w:hRule="exact"/>
        </w:trPr>
        <w:tc>
          <w:tcPr>
            <w:tcW w:w="255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470"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85"/>
              <w:jc w:val="right"/>
              <w:rPr>
                <w:rFonts w:ascii="Times New Roman" w:hAnsi="Times New Roman" w:cs="Times New Roman" w:eastAsia="Times New Roman" w:hint="default"/>
                <w:sz w:val="21"/>
                <w:szCs w:val="21"/>
              </w:rPr>
            </w:pPr>
            <w:r>
              <w:rPr>
                <w:rFonts w:ascii="Times New Roman"/>
                <w:spacing w:val="-1"/>
                <w:sz w:val="21"/>
              </w:rPr>
              <w:t>5,362,934.10</w:t>
            </w:r>
          </w:p>
        </w:tc>
        <w:tc>
          <w:tcPr>
            <w:tcW w:w="1098" w:type="dxa"/>
            <w:tcBorders>
              <w:top w:val="single" w:sz="8" w:space="0" w:color="000000"/>
              <w:left w:val="nil" w:sz="6" w:space="0" w:color="auto"/>
              <w:bottom w:val="single" w:sz="8" w:space="0" w:color="000000"/>
              <w:right w:val="nil" w:sz="6" w:space="0" w:color="auto"/>
            </w:tcBorders>
          </w:tcPr>
          <w:p>
            <w:pPr/>
          </w:p>
        </w:tc>
        <w:tc>
          <w:tcPr>
            <w:tcW w:w="1272" w:type="dxa"/>
            <w:tcBorders>
              <w:top w:val="single" w:sz="8" w:space="0" w:color="000000"/>
              <w:left w:val="nil" w:sz="6" w:space="0" w:color="auto"/>
              <w:bottom w:val="single" w:sz="8" w:space="0" w:color="000000"/>
              <w:right w:val="nil" w:sz="6" w:space="0" w:color="auto"/>
            </w:tcBorders>
          </w:tcPr>
          <w:p>
            <w:pPr/>
          </w:p>
        </w:tc>
        <w:tc>
          <w:tcPr>
            <w:tcW w:w="1263"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1"/>
                <w:szCs w:val="21"/>
              </w:rPr>
            </w:pPr>
            <w:r>
              <w:rPr>
                <w:rFonts w:ascii="Times New Roman"/>
                <w:spacing w:val="-1"/>
                <w:sz w:val="21"/>
              </w:rPr>
              <w:t>5,362,934.10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35"/>
        <w:ind w:left="1134" w:right="0"/>
        <w:jc w:val="left"/>
        <w:rPr>
          <w:b w:val="0"/>
          <w:bCs w:val="0"/>
        </w:rPr>
      </w:pPr>
      <w:bookmarkStart w:name="（2）本期计提、收回或转回的坏账准备情况" w:id="413"/>
      <w:bookmarkEnd w:id="41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586,839.06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414"/>
      <w:bookmarkEnd w:id="41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0"/>
        <w:ind w:left="1134" w:right="0"/>
        <w:jc w:val="left"/>
      </w:pPr>
      <w:r>
        <w:rPr/>
        <w:t>本报告期无实际核销的其他应收款</w:t>
      </w:r>
    </w:p>
    <w:p>
      <w:pPr>
        <w:spacing w:line="240" w:lineRule="auto" w:before="12"/>
        <w:rPr>
          <w:rFonts w:ascii="宋体" w:hAnsi="宋体" w:cs="宋体" w:eastAsia="宋体" w:hint="default"/>
          <w:sz w:val="25"/>
          <w:szCs w:val="25"/>
        </w:rPr>
      </w:pPr>
    </w:p>
    <w:p>
      <w:pPr>
        <w:pStyle w:val="Heading4"/>
        <w:spacing w:line="240" w:lineRule="auto"/>
        <w:ind w:left="1134" w:right="0"/>
        <w:jc w:val="left"/>
        <w:rPr>
          <w:b w:val="0"/>
          <w:bCs w:val="0"/>
        </w:rPr>
      </w:pPr>
      <w:bookmarkStart w:name="（4）其他应收款按款项性质分类情况" w:id="415"/>
      <w:bookmarkEnd w:id="41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5,362,934.10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11,552,905.60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1,594,874.40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495,113.20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6,957,808.50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12,048,018.80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416"/>
      <w:bookmarkEnd w:id="41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四川启明星蜀达电气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297,400.00 </w:t>
            </w:r>
            <w:r>
              <w:rPr>
                <w:rFonts w:ascii="宋体" w:hAnsi="宋体" w:cs="宋体" w:eastAsia="宋体" w:hint="default"/>
                <w:sz w:val="18"/>
                <w:szCs w:val="18"/>
              </w:rPr>
              <w:t>元为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558,000.00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442,700.00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上海通翌招标代理有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宁波三维电测设备有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298,800.00  </w:t>
            </w:r>
            <w:r>
              <w:rPr>
                <w:rFonts w:ascii="宋体" w:hAnsi="宋体" w:cs="宋体" w:eastAsia="宋体" w:hint="default"/>
                <w:sz w:val="18"/>
                <w:szCs w:val="18"/>
              </w:rPr>
              <w:t>元为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年以内；</w:t>
            </w:r>
            <w:r>
              <w:rPr>
                <w:rFonts w:ascii="Times New Roman" w:hAnsi="Times New Roman" w:cs="Times New Roman" w:eastAsia="Times New Roman" w:hint="default"/>
                <w:spacing w:val="-3"/>
                <w:sz w:val="18"/>
                <w:szCs w:val="18"/>
              </w:rPr>
              <w:t>300,000.00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甘肃科源工程技术咨 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370,000.00 </w:t>
            </w:r>
            <w:r>
              <w:rPr>
                <w:rFonts w:ascii="宋体" w:hAnsi="宋体" w:cs="宋体" w:eastAsia="宋体" w:hint="default"/>
                <w:sz w:val="18"/>
                <w:szCs w:val="18"/>
              </w:rPr>
              <w:t>元为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p>
            <w:pPr>
              <w:pStyle w:val="TableParagraph"/>
              <w:spacing w:line="302" w:lineRule="auto" w:before="63"/>
              <w:ind w:left="22" w:right="168"/>
              <w:jc w:val="left"/>
              <w:rPr>
                <w:rFonts w:ascii="宋体" w:hAnsi="宋体" w:cs="宋体" w:eastAsia="宋体" w:hint="default"/>
                <w:sz w:val="18"/>
                <w:szCs w:val="18"/>
              </w:rPr>
            </w:pPr>
            <w:r>
              <w:rPr>
                <w:rFonts w:ascii="宋体" w:hAnsi="宋体" w:cs="宋体" w:eastAsia="宋体" w:hint="default"/>
                <w:sz w:val="18"/>
                <w:szCs w:val="18"/>
              </w:rPr>
              <w:t>年以内；</w:t>
            </w:r>
            <w:r>
              <w:rPr>
                <w:rFonts w:ascii="Times New Roman" w:hAnsi="Times New Roman" w:cs="Times New Roman" w:eastAsia="Times New Roman" w:hint="default"/>
                <w:sz w:val="18"/>
                <w:szCs w:val="18"/>
              </w:rPr>
              <w:t>8,000.00 </w:t>
            </w:r>
            <w:r>
              <w:rPr>
                <w:rFonts w:ascii="宋体" w:hAnsi="宋体" w:cs="宋体" w:eastAsia="宋体" w:hint="default"/>
                <w:sz w:val="18"/>
                <w:szCs w:val="18"/>
              </w:rPr>
              <w:t>元为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贵州电网有限责任公 司物流服务中心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2,782,200.00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502,700.00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417"/>
      <w:bookmarkEnd w:id="41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因金融资产转移而终止确认的其他应收款" w:id="418"/>
      <w:bookmarkEnd w:id="41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8）转移其他应收款且继续涉入形成的资产、负债金额" w:id="419"/>
      <w:bookmarkEnd w:id="41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134" w:right="985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长期股权投资" w:id="420"/>
      <w:bookmarkEnd w:id="42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73,628,064.26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73,628,064.26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16,702,474.74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16,702,474.74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73,628,064.26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73,628,064.26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16,702,474.74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16,702,474.74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421"/>
      <w:bookmarkEnd w:id="42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2"/>
              <w:jc w:val="left"/>
              <w:rPr>
                <w:rFonts w:ascii="Times New Roman" w:hAnsi="Times New Roman" w:cs="Times New Roman" w:eastAsia="Times New Roman" w:hint="default"/>
                <w:sz w:val="18"/>
                <w:szCs w:val="18"/>
              </w:rPr>
            </w:pPr>
            <w:r>
              <w:rPr>
                <w:rFonts w:ascii="Times New Roman"/>
                <w:sz w:val="18"/>
              </w:rPr>
              <w:t>RED</w:t>
            </w:r>
            <w:r>
              <w:rPr>
                <w:rFonts w:ascii="Times New Roman"/>
                <w:spacing w:val="-1"/>
                <w:sz w:val="18"/>
              </w:rPr>
              <w:t> </w:t>
            </w:r>
            <w:r>
              <w:rPr>
                <w:rFonts w:ascii="Times New Roman"/>
                <w:sz w:val="18"/>
              </w:rPr>
              <w:t>PHASE</w:t>
            </w:r>
            <w:r>
              <w:rPr>
                <w:rFonts w:ascii="Times New Roman"/>
                <w:sz w:val="18"/>
              </w:rPr>
              <w:t> INSTRUMENTS</w:t>
            </w:r>
            <w:r>
              <w:rPr>
                <w:rFonts w:ascii="Times New Roman"/>
                <w:w w:val="99"/>
                <w:sz w:val="18"/>
              </w:rPr>
              <w:t> </w:t>
            </w:r>
            <w:r>
              <w:rPr>
                <w:rFonts w:ascii="Times New Roman"/>
                <w:sz w:val="18"/>
              </w:rPr>
              <w:t>AUSTRALIA</w:t>
            </w:r>
            <w:r>
              <w:rPr>
                <w:rFonts w:ascii="Times New Roman"/>
                <w:w w:val="99"/>
                <w:sz w:val="18"/>
              </w:rPr>
              <w:t> </w:t>
            </w:r>
            <w:r>
              <w:rPr>
                <w:rFonts w:ascii="Times New Roman"/>
                <w:spacing w:val="-6"/>
                <w:sz w:val="18"/>
              </w:rPr>
              <w:t>PTY.</w:t>
            </w:r>
            <w:r>
              <w:rPr>
                <w:rFonts w:ascii="Times New Roman"/>
                <w:sz w:val="18"/>
              </w:rPr>
              <w:t> </w:t>
            </w:r>
            <w:r>
              <w:rPr>
                <w:rFonts w:ascii="Times New Roman"/>
                <w:spacing w:val="-5"/>
                <w:sz w:val="18"/>
              </w:rPr>
              <w:t>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5,019,865.00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5,019,865.00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红相电力（上海）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10,682,609.74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10,682,609.74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厦门红相软件有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浙江涵普电力科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54,925,589.52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54,925,589.52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厦门红相信息科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16,702,474.74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56,925,589.52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73,628,064.26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其他说明" w:id="422"/>
      <w:bookmarkEnd w:id="422"/>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营业收入和营业成本" w:id="423"/>
      <w:bookmarkEnd w:id="42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264,029,378.41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143,249,534.42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261,920,884.34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158,909,958.36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159,883.20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19,185.98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159,883.20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16,371.89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264,189,261.61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143,268,720.40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262,080,767.54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158,926,330.25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424"/>
      <w:bookmarkEnd w:id="42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4,746,518.94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4,746,518.94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其他" w:id="425"/>
      <w:bookmarkEnd w:id="425"/>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七、补充资料" w:id="426"/>
      <w:bookmarkEnd w:id="426"/>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27"/>
      <w:bookmarkEnd w:id="42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-125,055.12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3,734,543.51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7,449,573.49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-8,430.53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4,746,518.94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1,252,136.52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289,736.89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327"/>
        <w:gridCol w:w="3059"/>
        <w:gridCol w:w="317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1" w:right="0"/>
              <w:jc w:val="left"/>
              <w:rPr>
                <w:rFonts w:ascii="Times New Roman" w:hAnsi="Times New Roman" w:cs="Times New Roman" w:eastAsia="Times New Roman" w:hint="default"/>
                <w:sz w:val="18"/>
                <w:szCs w:val="18"/>
              </w:rPr>
            </w:pPr>
            <w:r>
              <w:rPr>
                <w:rFonts w:ascii="Times New Roman"/>
                <w:sz w:val="18"/>
              </w:rPr>
              <w:t>14,255,276.88</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28"/>
      <w:bookmarkEnd w:id="42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3、境内外会计准则下会计数据差异" w:id="429"/>
      <w:bookmarkEnd w:id="42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同时按照国际会计准则与按中国会计准则披露的财务报告中净利润和净资产差异情况" w:id="430"/>
      <w:bookmarkEnd w:id="43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31"/>
      <w:bookmarkEnd w:id="43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432"/>
      <w:bookmarkEnd w:id="43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4、其他" w:id="433"/>
      <w:bookmarkEnd w:id="433"/>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402" w:right="3403"/>
        <w:jc w:val="center"/>
        <w:rPr>
          <w:b w:val="0"/>
          <w:bCs w:val="0"/>
        </w:rPr>
      </w:pPr>
      <w:bookmarkStart w:name="第十一节 备查文件目录" w:id="434"/>
      <w:bookmarkEnd w:id="434"/>
      <w:r>
        <w:rPr>
          <w:b w:val="0"/>
          <w:bCs w:val="0"/>
        </w:rPr>
      </w:r>
      <w:bookmarkStart w:name="_bookmark9" w:id="435"/>
      <w:bookmarkEnd w:id="435"/>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spacing w:line="312" w:lineRule="auto" w:before="0"/>
        <w:ind w:left="1133" w:right="3373" w:firstLine="0"/>
        <w:jc w:val="left"/>
        <w:rPr>
          <w:rFonts w:ascii="宋体" w:hAnsi="宋体" w:cs="宋体" w:eastAsia="宋体" w:hint="default"/>
          <w:sz w:val="18"/>
          <w:szCs w:val="18"/>
        </w:rPr>
      </w:pPr>
      <w:r>
        <w:rPr>
          <w:rFonts w:ascii="宋体" w:hAnsi="宋体" w:cs="宋体" w:eastAsia="宋体" w:hint="default"/>
          <w:sz w:val="18"/>
          <w:szCs w:val="18"/>
        </w:rPr>
        <w:t>一、载有法定代表人、主管会计工作负责人、会计机构负责人签名并盖章的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年财务报表。 二、载有会计师事务所盖章、注册会计师签名并盖章的审计报告原件。 三、报告期内在中国证监会指定网站上公告披露过的所有公司文件的正本及公告原稿。 四、载有董事长签名的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年度报告文本原件。</w:t>
      </w:r>
    </w:p>
    <w:p>
      <w:pPr>
        <w:spacing w:line="636" w:lineRule="auto" w:before="3"/>
        <w:ind w:left="1134" w:right="7512" w:firstLine="0"/>
        <w:jc w:val="left"/>
        <w:rPr>
          <w:rFonts w:ascii="宋体" w:hAnsi="宋体" w:cs="宋体" w:eastAsia="宋体" w:hint="default"/>
          <w:sz w:val="18"/>
          <w:szCs w:val="18"/>
        </w:rPr>
      </w:pPr>
      <w:r>
        <w:rPr>
          <w:rFonts w:ascii="宋体" w:hAnsi="宋体" w:cs="宋体" w:eastAsia="宋体" w:hint="default"/>
          <w:sz w:val="18"/>
          <w:szCs w:val="18"/>
        </w:rPr>
        <w:t>五、其他备查文件。 以上备查文件的备置地点：公司证券部。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Heading2"/>
        <w:spacing w:line="240" w:lineRule="auto"/>
        <w:ind w:left="0" w:right="1133"/>
        <w:jc w:val="right"/>
        <w:rPr>
          <w:b w:val="0"/>
          <w:bCs w:val="0"/>
        </w:rPr>
      </w:pPr>
      <w:r>
        <w:rPr>
          <w:w w:val="95"/>
        </w:rPr>
        <w:t>厦门红相电力设备股份有限公司</w:t>
      </w:r>
      <w:r>
        <w:rPr>
          <w:b w:val="0"/>
          <w:bCs w:val="0"/>
        </w:rPr>
      </w:r>
    </w:p>
    <w:p>
      <w:pPr>
        <w:spacing w:line="240" w:lineRule="auto" w:before="11"/>
        <w:rPr>
          <w:rFonts w:ascii="宋体" w:hAnsi="宋体" w:cs="宋体" w:eastAsia="宋体" w:hint="default"/>
          <w:b/>
          <w:bCs/>
          <w:sz w:val="26"/>
          <w:szCs w:val="26"/>
        </w:rPr>
      </w:pPr>
    </w:p>
    <w:p>
      <w:pPr>
        <w:pStyle w:val="Heading2"/>
        <w:spacing w:line="506" w:lineRule="auto"/>
        <w:ind w:left="8903" w:right="1130" w:hanging="58"/>
        <w:jc w:val="right"/>
        <w:rPr>
          <w:b w:val="0"/>
          <w:bCs w:val="0"/>
        </w:rPr>
      </w:pPr>
      <w:r>
        <w:rPr>
          <w:w w:val="95"/>
        </w:rPr>
        <w:t>法定代表人：杨成</w:t>
      </w:r>
      <w:r>
        <w:rPr>
          <w:spacing w:val="-38"/>
          <w:w w:val="95"/>
        </w:rPr>
        <w:t> </w:t>
      </w:r>
      <w:r>
        <w:rPr>
          <w:spacing w:val="-38"/>
          <w:w w:val="95"/>
        </w:rPr>
      </w:r>
      <w:r>
        <w:rPr>
          <w:rFonts w:ascii="宋体" w:hAnsi="宋体" w:cs="宋体" w:eastAsia="宋体" w:hint="default"/>
        </w:rPr>
        <w:t>2016</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3"/>
        </w:rPr>
        <w:t> </w:t>
      </w:r>
      <w:r>
        <w:rPr/>
        <w:t>月</w:t>
      </w:r>
      <w:r>
        <w:rPr>
          <w:spacing w:val="-62"/>
        </w:rPr>
        <w:t> </w:t>
      </w:r>
      <w:r>
        <w:rPr>
          <w:rFonts w:ascii="宋体" w:hAnsi="宋体" w:cs="宋体" w:eastAsia="宋体" w:hint="default"/>
        </w:rPr>
        <w:t>14</w:t>
      </w:r>
      <w:r>
        <w:rPr>
          <w:rFonts w:ascii="宋体" w:hAnsi="宋体" w:cs="宋体" w:eastAsia="宋体" w:hint="default"/>
          <w:spacing w:val="-62"/>
        </w:rPr>
        <w:t> </w:t>
      </w:r>
      <w:r>
        <w:rPr/>
        <w:t>日</w:t>
      </w:r>
      <w:r>
        <w:rPr>
          <w:b w:val="0"/>
          <w:bCs w:val="0"/>
        </w:rPr>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5288" type="#_x0000_t75" stroked="false">
          <v:imagedata r:id="rId1" o:title=""/>
        </v:shape>
      </w:pict>
    </w:r>
    <w:r>
      <w:rPr/>
      <w:pict>
        <v:shape style="position:absolute;margin-left:533.179993pt;margin-top:795.517944pt;width:6.5pt;height:11pt;mso-position-horizontal-relative:page;mso-position-vertical-relative:page;z-index:-925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5240" type="#_x0000_t75" stroked="false">
          <v:imagedata r:id="rId1" o:title=""/>
        </v:shape>
      </w:pict>
    </w:r>
    <w:r>
      <w:rPr/>
      <w:pict>
        <v:shape style="position:absolute;margin-left:527.679993pt;margin-top:781.957947pt;width:13pt;height:11pt;mso-position-horizontal-relative:page;mso-position-vertical-relative:page;z-index:-925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5192" type="#_x0000_t75" stroked="false">
          <v:imagedata r:id="rId1" o:title=""/>
        </v:shape>
      </w:pict>
    </w:r>
    <w:r>
      <w:rPr/>
      <w:pict>
        <v:shape style="position:absolute;margin-left:527.679993pt;margin-top:781.957947pt;width:13pt;height:11pt;mso-position-horizontal-relative:page;mso-position-vertical-relative:page;z-index:-925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5144" type="#_x0000_t75" stroked="false">
          <v:imagedata r:id="rId1" o:title=""/>
        </v:shape>
      </w:pict>
    </w:r>
    <w:r>
      <w:rPr/>
      <w:pict>
        <v:shape style="position:absolute;margin-left:524.179993pt;margin-top:781.957947pt;width:15.5pt;height:11pt;mso-position-horizontal-relative:page;mso-position-vertical-relative:page;z-index:-925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5096" type="#_x0000_t75" stroked="false">
          <v:imagedata r:id="rId1" o:title=""/>
        </v:shape>
      </w:pict>
    </w:r>
    <w:r>
      <w:rPr/>
      <w:pict>
        <v:shape style="position:absolute;margin-left:523.179993pt;margin-top:781.957947pt;width:17.5pt;height:11pt;mso-position-horizontal-relative:page;mso-position-vertical-relative:page;z-index:-925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5048" type="#_x0000_t75" stroked="false">
          <v:imagedata r:id="rId1" o:title=""/>
        </v:shape>
      </w:pict>
    </w:r>
    <w:r>
      <w:rPr/>
      <w:pict>
        <v:shape style="position:absolute;margin-left:523.179993pt;margin-top:781.957947pt;width:17.5pt;height:11pt;mso-position-horizontal-relative:page;mso-position-vertical-relative:page;z-index:-925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25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厦门红相电力设备股份有限公司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redphase.com.cn/" TargetMode="External"/><Relationship Id="rId10" Type="http://schemas.openxmlformats.org/officeDocument/2006/relationships/hyperlink" Target="mailto:securities@redphase.com.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厦门红相电力设备股份有限公司</dc:creator>
  <dc:title>厦门红相电力设备股份有限公司2015年年度报告全文</dc:title>
  <dcterms:created xsi:type="dcterms:W3CDTF">2020-05-04T17:00:07Z</dcterms:created>
  <dcterms:modified xsi:type="dcterms:W3CDTF">2020-05-04T17:00:07Z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Microsoft® Office Word 2007</vt:lpwstr>
  </property>
  <property fmtid="{D5CDD505-2E9C-101B-9397-08002B2CF9AE}" pid="4" name="LastSaved">
    <vt:filetime>2020-05-04T00:00:00Z</vt:filetime>
  </property>
</Properties>
</file>