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0" w:right="0" w:firstLine="0"/>
        <w:jc w:val="center"/>
        <w:rPr>
          <w:sz w:val="52"/>
          <w:szCs w:val="52"/>
        </w:rPr>
      </w:pPr>
      <w:r>
        <w:rPr>
          <w:rFonts w:ascii="SimHei" w:eastAsia="SimHei" w:hAnsi="SimHei" w:cs="SimHei"/>
          <w:color w:val="E20C19"/>
          <w:spacing w:val="0"/>
          <w:w w:val="100"/>
          <w:position w:val="0"/>
          <w:sz w:val="52"/>
          <w:szCs w:val="52"/>
        </w:rPr>
        <w:t>红相电力</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厦门红相电力设备股份有限公司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2017-022</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620" w:right="1109" w:bottom="3620"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4"/>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after="80" w:line="619" w:lineRule="exact"/>
        <w:ind w:left="0" w:right="0"/>
        <w:jc w:val="both"/>
      </w:pPr>
      <w:r>
        <w:rPr>
          <w:color w:val="000000"/>
          <w:spacing w:val="0"/>
          <w:w w:val="100"/>
          <w:position w:val="0"/>
        </w:rPr>
        <w:t>公司负责人杨成、主管会计工作负责人马露萍及会计机构负责人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黄雅琼声明：保证年度报告中财务报告的真实、准确、完整。</w:t>
      </w:r>
    </w:p>
    <w:p>
      <w:pPr>
        <w:pStyle w:val="Style16"/>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1006" w:val="left"/>
        </w:tabs>
        <w:bidi w:val="0"/>
        <w:spacing w:before="0" w:after="80"/>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电力设备状态检测、监测行业发展速度存在不确定性的风险</w:t>
      </w:r>
    </w:p>
    <w:p>
      <w:pPr>
        <w:pStyle w:val="Style16"/>
        <w:keepNext w:val="0"/>
        <w:keepLines w:val="0"/>
        <w:widowControl w:val="0"/>
        <w:shd w:val="clear" w:color="auto" w:fill="auto"/>
        <w:bidi w:val="0"/>
        <w:spacing w:before="0" w:after="80"/>
        <w:ind w:left="0" w:right="0"/>
        <w:jc w:val="both"/>
      </w:pPr>
      <w:r>
        <w:rPr>
          <w:color w:val="000000"/>
          <w:spacing w:val="0"/>
          <w:w w:val="100"/>
          <w:position w:val="0"/>
        </w:rPr>
        <w:t>电力设备状态检测、监测行业目前正处于成长阶段，电力建设产业政策和 投资规模的变动以及电力系统企业推广状态检修策略的进程，都会对本行业的 发展产生影响。因此，行业具体发展速度存在着一定的不确定性的风险。</w:t>
      </w:r>
    </w:p>
    <w:p>
      <w:pPr>
        <w:pStyle w:val="Style16"/>
        <w:keepNext w:val="0"/>
        <w:keepLines w:val="0"/>
        <w:widowControl w:val="0"/>
        <w:shd w:val="clear" w:color="auto" w:fill="auto"/>
        <w:tabs>
          <w:tab w:pos="1020" w:val="left"/>
        </w:tabs>
        <w:bidi w:val="0"/>
        <w:spacing w:before="0" w:after="80"/>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电网公司整体发展战略、投资规划、采购模式发生重大变化的风险</w:t>
      </w:r>
    </w:p>
    <w:p>
      <w:pPr>
        <w:pStyle w:val="Style16"/>
        <w:keepNext w:val="0"/>
        <w:keepLines w:val="0"/>
        <w:widowControl w:val="0"/>
        <w:shd w:val="clear" w:color="auto" w:fill="auto"/>
        <w:bidi w:val="0"/>
        <w:spacing w:before="0" w:after="80"/>
        <w:ind w:left="0" w:right="0"/>
        <w:jc w:val="both"/>
      </w:pPr>
      <w:r>
        <w:rPr>
          <w:color w:val="000000"/>
          <w:spacing w:val="0"/>
          <w:w w:val="100"/>
          <w:position w:val="0"/>
        </w:rPr>
        <w:t>公司主要客户相对集中于两大电网公司及其下属企业。但在两大电网公司 的具体采购方式上，包括由网公司总部直接组织实施、由省公司负责组织实施 或由地市级电力企业组织实施等不同的采购模式，决策并非完全集中在网公司 总部。以省级电网公司口径或单体客户口径分析，公司对主要客户并不存在重 大依赖。但是如果两大电网公司整体发展战略和投资规划、采购模式发生重大 变化，将会对公司未来的盈利能力和成长性产生重大影响。</w:t>
      </w:r>
    </w:p>
    <w:p>
      <w:pPr>
        <w:pStyle w:val="Style16"/>
        <w:keepNext w:val="0"/>
        <w:keepLines w:val="0"/>
        <w:widowControl w:val="0"/>
        <w:shd w:val="clear" w:color="auto" w:fill="auto"/>
        <w:tabs>
          <w:tab w:pos="1020" w:val="left"/>
        </w:tabs>
        <w:bidi w:val="0"/>
        <w:spacing w:before="0" w:after="80"/>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经营业绩存在季节性波动的风险</w:t>
      </w:r>
    </w:p>
    <w:p>
      <w:pPr>
        <w:pStyle w:val="Style16"/>
        <w:keepNext w:val="0"/>
        <w:keepLines w:val="0"/>
        <w:widowControl w:val="0"/>
        <w:shd w:val="clear" w:color="auto" w:fill="auto"/>
        <w:bidi w:val="0"/>
        <w:spacing w:before="0" w:after="80"/>
        <w:ind w:left="0" w:right="0"/>
        <w:jc w:val="both"/>
      </w:pPr>
      <w:r>
        <w:rPr>
          <w:color w:val="000000"/>
          <w:spacing w:val="0"/>
          <w:w w:val="100"/>
          <w:position w:val="0"/>
        </w:rPr>
        <w:t>公司产品主要应用于电力行业。由于电力系统企业一般在每年下半年进行</w:t>
      </w:r>
    </w:p>
    <w:p>
      <w:pPr>
        <w:pStyle w:val="Style16"/>
        <w:keepNext w:val="0"/>
        <w:keepLines w:val="0"/>
        <w:widowControl w:val="0"/>
        <w:shd w:val="clear" w:color="auto" w:fill="auto"/>
        <w:bidi w:val="0"/>
        <w:spacing w:before="0" w:line="628" w:lineRule="exact"/>
        <w:ind w:left="0" w:right="0" w:firstLine="0"/>
        <w:jc w:val="both"/>
      </w:pPr>
      <w:r>
        <w:rPr>
          <w:color w:val="000000"/>
          <w:spacing w:val="0"/>
          <w:w w:val="100"/>
          <w:position w:val="0"/>
        </w:rPr>
        <w:t>投资计划立项，次年的一季度对该些项目进行审批，其采购和资金支付往往主 要集中在第三季度末和第四季度，第一季度和第二季度也会有少量的采购，因 此，报告期公司经营业绩呈现较明显的季节性特征，公司营业收入主要在下半 年实现，特别是第四季度营业收入占全年的比例超过一半以上。受公司上半年 营业收入占比较低及固定运营成本的影响，公司上半年净利润较少，甚至存在 季度亏损的风险。</w:t>
      </w:r>
    </w:p>
    <w:p>
      <w:pPr>
        <w:pStyle w:val="Style16"/>
        <w:keepNext w:val="0"/>
        <w:keepLines w:val="0"/>
        <w:widowControl w:val="0"/>
        <w:shd w:val="clear" w:color="auto" w:fill="auto"/>
        <w:tabs>
          <w:tab w:pos="1000" w:val="left"/>
        </w:tabs>
        <w:bidi w:val="0"/>
        <w:spacing w:before="0" w:after="0" w:line="466" w:lineRule="auto"/>
        <w:ind w:left="0" w:right="0"/>
        <w:jc w:val="both"/>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w:t>
        <w:tab/>
        <w:t>备货生产增加导致期末库存无法及时结转销售收入的风险</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公司主要通过招投标方式取得销售合同，并主要采取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w:t>
      </w:r>
      <w:r>
        <w:rPr>
          <w:color w:val="000000"/>
          <w:spacing w:val="0"/>
          <w:w w:val="100"/>
          <w:position w:val="0"/>
        </w:rPr>
        <w:t>的模式组 织生产。但随着市场需求的增加，公司为确保如期交货，根据市场潜在需求以 及预期中标成功率情况，提前安排销售把握较大产品的生产。公司库存商品与 发出商品期末余额的高低主要取决于生产交货、客户验收确认速度的快慢以及 预先备货生产项目的增减变动。公司报告期期末存货的总体金额不大，但随着 备货生产的增加，公司存在因客户项目取消、变更以及未能成功中标等情况而 无法及时结转销售收入的风险。</w:t>
      </w:r>
    </w:p>
    <w:p>
      <w:pPr>
        <w:pStyle w:val="Style16"/>
        <w:keepNext w:val="0"/>
        <w:keepLines w:val="0"/>
        <w:widowControl w:val="0"/>
        <w:shd w:val="clear" w:color="auto" w:fill="auto"/>
        <w:tabs>
          <w:tab w:pos="1000" w:val="left"/>
        </w:tabs>
        <w:bidi w:val="0"/>
        <w:spacing w:before="0" w:after="0" w:line="466" w:lineRule="auto"/>
        <w:ind w:left="0" w:right="0"/>
        <w:jc w:val="both"/>
      </w:pPr>
      <w:bookmarkStart w:id="7" w:name="bookmark7"/>
      <w:r>
        <w:rPr>
          <w:rFonts w:ascii="Times New Roman" w:eastAsia="Times New Roman" w:hAnsi="Times New Roman" w:cs="Times New Roman"/>
          <w:color w:val="000000"/>
          <w:spacing w:val="0"/>
          <w:w w:val="100"/>
          <w:position w:val="0"/>
        </w:rPr>
        <w:t>5</w:t>
      </w:r>
      <w:bookmarkEnd w:id="7"/>
      <w:r>
        <w:rPr>
          <w:color w:val="000000"/>
          <w:spacing w:val="0"/>
          <w:w w:val="100"/>
          <w:position w:val="0"/>
        </w:rPr>
        <w:t>、</w:t>
        <w:tab/>
        <w:t>应收账款无法及时收回的风险</w:t>
      </w:r>
    </w:p>
    <w:p>
      <w:pPr>
        <w:pStyle w:val="Style16"/>
        <w:keepNext w:val="0"/>
        <w:keepLines w:val="0"/>
        <w:widowControl w:val="0"/>
        <w:shd w:val="clear" w:color="auto" w:fill="auto"/>
        <w:bidi w:val="0"/>
        <w:spacing w:before="0" w:line="613" w:lineRule="exact"/>
        <w:ind w:left="0" w:right="0"/>
        <w:jc w:val="both"/>
      </w:pPr>
      <w:r>
        <w:rPr>
          <w:color w:val="000000"/>
          <w:spacing w:val="0"/>
          <w:w w:val="100"/>
          <w:position w:val="0"/>
        </w:rPr>
        <w:t>公司主要客户来自电力系统企业，受到其结算惯例的影响，公司应收账款 收款周期相对较长，导致期末应收账款相对较高。随着公司经营规模的不断扩 大，应收账款的规模可能会持续增长，如果国内经济环境、客户信用状况等发 生变化，公司存在应收账款不能够及时回收，从而影响公司资金流动性和利用 效率的风险。</w:t>
      </w:r>
    </w:p>
    <w:p>
      <w:pPr>
        <w:pStyle w:val="Style16"/>
        <w:keepNext w:val="0"/>
        <w:keepLines w:val="0"/>
        <w:widowControl w:val="0"/>
        <w:shd w:val="clear" w:color="auto" w:fill="auto"/>
        <w:bidi w:val="0"/>
        <w:spacing w:before="0" w:line="240" w:lineRule="auto"/>
        <w:ind w:left="0" w:right="0"/>
        <w:jc w:val="both"/>
      </w:pPr>
      <w:bookmarkStart w:id="8" w:name="bookmark8"/>
      <w:r>
        <w:rPr>
          <w:rFonts w:ascii="Times New Roman" w:eastAsia="Times New Roman" w:hAnsi="Times New Roman" w:cs="Times New Roman"/>
          <w:color w:val="000000"/>
          <w:spacing w:val="0"/>
          <w:w w:val="100"/>
          <w:position w:val="0"/>
        </w:rPr>
        <w:t>6</w:t>
      </w:r>
      <w:bookmarkEnd w:id="8"/>
      <w:r>
        <w:rPr>
          <w:color w:val="000000"/>
          <w:spacing w:val="0"/>
          <w:w w:val="100"/>
          <w:position w:val="0"/>
        </w:rPr>
        <w:t>、技术跟不上行业发展的风险</w:t>
      </w:r>
    </w:p>
    <w:p>
      <w:pPr>
        <w:pStyle w:val="Style16"/>
        <w:keepNext w:val="0"/>
        <w:keepLines w:val="0"/>
        <w:widowControl w:val="0"/>
        <w:shd w:val="clear" w:color="auto" w:fill="auto"/>
        <w:bidi w:val="0"/>
        <w:spacing w:before="0"/>
        <w:ind w:left="0" w:right="0"/>
        <w:jc w:val="both"/>
      </w:pPr>
      <w:r>
        <w:rPr>
          <w:color w:val="000000"/>
          <w:spacing w:val="0"/>
          <w:w w:val="100"/>
          <w:position w:val="0"/>
        </w:rPr>
        <w:t>电力设备状态检测、监测产品研发具有多学科交叉的特征，具体涉及微电 子技术、测控技术、通信技术、嵌入式软件技术、计算机应用软件技术、故障 诊断技术、信息融合技术、人工智能技术以及环境适应技术等多个领域。如果 公司未来研发人员数量、研发人员的知识结构更新无法跟上上述相关领域技术 发展的趋势或者公司研发项目储备、研发投入不足，则可能导致公司的技术研 发能力无法跟上整个行业发展步伐，从而给公司的可持续发展带来不利影响。</w:t>
      </w:r>
    </w:p>
    <w:p>
      <w:pPr>
        <w:pStyle w:val="Style16"/>
        <w:keepNext w:val="0"/>
        <w:keepLines w:val="0"/>
        <w:widowControl w:val="0"/>
        <w:shd w:val="clear" w:color="auto" w:fill="auto"/>
        <w:tabs>
          <w:tab w:pos="1000" w:val="left"/>
        </w:tabs>
        <w:bidi w:val="0"/>
        <w:spacing w:before="0" w:after="0" w:line="466" w:lineRule="auto"/>
        <w:ind w:left="0" w:right="0"/>
        <w:jc w:val="both"/>
      </w:pPr>
      <w:bookmarkStart w:id="9" w:name="bookmark9"/>
      <w:r>
        <w:rPr>
          <w:rFonts w:ascii="Times New Roman" w:eastAsia="Times New Roman" w:hAnsi="Times New Roman" w:cs="Times New Roman"/>
          <w:color w:val="000000"/>
          <w:spacing w:val="0"/>
          <w:w w:val="100"/>
          <w:position w:val="0"/>
        </w:rPr>
        <w:t>7</w:t>
      </w:r>
      <w:bookmarkEnd w:id="9"/>
      <w:r>
        <w:rPr>
          <w:color w:val="000000"/>
          <w:spacing w:val="0"/>
          <w:w w:val="100"/>
          <w:position w:val="0"/>
        </w:rPr>
        <w:t>、</w:t>
        <w:tab/>
        <w:t>规模快速扩张引致的风险</w:t>
      </w:r>
    </w:p>
    <w:p>
      <w:pPr>
        <w:pStyle w:val="Style16"/>
        <w:keepNext w:val="0"/>
        <w:keepLines w:val="0"/>
        <w:widowControl w:val="0"/>
        <w:shd w:val="clear" w:color="auto" w:fill="auto"/>
        <w:bidi w:val="0"/>
        <w:spacing w:before="0" w:line="623" w:lineRule="exact"/>
        <w:ind w:left="0" w:right="0"/>
        <w:jc w:val="both"/>
      </w:pPr>
      <w:r>
        <w:rPr>
          <w:color w:val="000000"/>
          <w:spacing w:val="0"/>
          <w:w w:val="100"/>
          <w:position w:val="0"/>
        </w:rPr>
        <w:t>为扩大产能，公司将通过并购等多种资本运作方式，扩大生产经营规模， 这将对公司现有的战略规划、制度建设、组织设置、营运管理、财务管理、内 部控制等方面带来较大挑战。如果公司管理层不能及时调整公司管理体制，未 能良好把握调整时机或者选任相关职位的管理人员决策不当，都可能阻碍公司 业务的正常开展或者错失发展良机。</w:t>
      </w:r>
    </w:p>
    <w:p>
      <w:pPr>
        <w:pStyle w:val="Style16"/>
        <w:keepNext w:val="0"/>
        <w:keepLines w:val="0"/>
        <w:widowControl w:val="0"/>
        <w:shd w:val="clear" w:color="auto" w:fill="auto"/>
        <w:tabs>
          <w:tab w:pos="1000" w:val="left"/>
        </w:tabs>
        <w:bidi w:val="0"/>
        <w:spacing w:before="0" w:after="0" w:line="466" w:lineRule="auto"/>
        <w:ind w:left="0" w:right="0"/>
        <w:jc w:val="both"/>
      </w:pPr>
      <w:bookmarkStart w:id="10" w:name="bookmark10"/>
      <w:r>
        <w:rPr>
          <w:rFonts w:ascii="Times New Roman" w:eastAsia="Times New Roman" w:hAnsi="Times New Roman" w:cs="Times New Roman"/>
          <w:color w:val="000000"/>
          <w:spacing w:val="0"/>
          <w:w w:val="100"/>
          <w:position w:val="0"/>
        </w:rPr>
        <w:t>8</w:t>
      </w:r>
      <w:bookmarkEnd w:id="10"/>
      <w:r>
        <w:rPr>
          <w:color w:val="000000"/>
          <w:spacing w:val="0"/>
          <w:w w:val="100"/>
          <w:position w:val="0"/>
        </w:rPr>
        <w:t>、</w:t>
        <w:tab/>
        <w:t>人才流失的风险</w:t>
      </w:r>
    </w:p>
    <w:p>
      <w:pPr>
        <w:pStyle w:val="Style16"/>
        <w:keepNext w:val="0"/>
        <w:keepLines w:val="0"/>
        <w:widowControl w:val="0"/>
        <w:shd w:val="clear" w:color="auto" w:fill="auto"/>
        <w:bidi w:val="0"/>
        <w:spacing w:before="0" w:after="120" w:line="620" w:lineRule="exact"/>
        <w:ind w:left="0" w:right="0"/>
        <w:jc w:val="both"/>
      </w:pPr>
      <w:r>
        <w:rPr>
          <w:color w:val="000000"/>
          <w:spacing w:val="0"/>
          <w:w w:val="100"/>
          <w:position w:val="0"/>
        </w:rPr>
        <w:t>人才是企业发展的基石。公司之前的发展与公司建立起的高管团队、营销 团队及研发团队有着密切的关系。未来，随着公司发展战略的逐步实施，公司 对生产、管理、技术、研发、销售等方面的人才的需求将会逐步增加。如果公 司无法制定行之有效的人力资源管理制度来留住人才、吸引人才，那么，公司 将会面临人才流失的风险和无法引进优秀人才的风险，从而影响公司的长远发 展。</w:t>
      </w:r>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283,744,000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w:t>
      </w:r>
    </w:p>
    <w:p>
      <w:pPr>
        <w:pStyle w:val="Style16"/>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footnotePr>
            <w:pos w:val="pageBottom"/>
            <w:numFmt w:val="decimal"/>
            <w:numRestart w:val="continuous"/>
          </w:footnotePr>
          <w:pgSz w:w="11900" w:h="16840"/>
          <w:pgMar w:top="1287" w:right="1110" w:bottom="1455" w:left="1103" w:header="0" w:footer="3" w:gutter="0"/>
          <w:cols w:space="720"/>
          <w:noEndnote/>
          <w:rtlGutter w:val="0"/>
          <w:docGrid w:linePitch="360"/>
        </w:sectPr>
      </w:pPr>
      <w:r>
        <w:rPr>
          <w:color w:val="000000"/>
          <w:spacing w:val="0"/>
          <w:w w:val="100"/>
          <w:position w:val="0"/>
        </w:rPr>
        <w:t>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0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9"/>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92"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5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0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1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6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64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643"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68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厦门红相电力设备股份有限公司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厦门红相软件有限公司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厦门红相电力设备进出口有限公司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厦门红相信息科技有限公司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Red Phase Instruments Australia Pty Ltd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红相电力（上海）有限公司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涵普电力、浙江涵普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浙江涵普电力科技有限公司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浙江涵普三维电力科技有限公司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状态检修（</w:t>
            </w:r>
            <w:r>
              <w:rPr>
                <w:rFonts w:ascii="Times New Roman" w:eastAsia="Times New Roman" w:hAnsi="Times New Roman" w:cs="Times New Roman"/>
                <w:color w:val="000000"/>
                <w:spacing w:val="0"/>
                <w:w w:val="100"/>
                <w:position w:val="0"/>
                <w:sz w:val="18"/>
                <w:szCs w:val="18"/>
              </w:rPr>
              <w:t>CBM</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Condition Based Maintenance</w:t>
            </w:r>
            <w:r>
              <w:rPr>
                <w:color w:val="000000"/>
                <w:spacing w:val="0"/>
                <w:w w:val="100"/>
                <w:position w:val="0"/>
              </w:rPr>
              <w:t>， 一种以设备状态为基础的预防性检修， 它是企业以安全、可靠、环境、成本为基础，通过设备的状态评价、 风险评估、检修决策等手段开展设备检修工作，达到设备运行安全可 靠，检修成本合理的一种检修策略。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利用电磁感应原理能够将电力系统中一个电压等级下的电压和电流 转换为另一个电压等级下的电压和电流的电力设备。</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Instrument Transformer</w:t>
            </w:r>
            <w:r>
              <w:rPr>
                <w:color w:val="000000"/>
                <w:spacing w:val="0"/>
                <w:w w:val="100"/>
                <w:position w:val="0"/>
              </w:rPr>
              <w:t>，是指按比例变换电压或电流的设备。其功能 主要是将高电压或大电流按比例变换成标准低电压或标准小电流，以 便实现测量仪表、保护设备及自动控制设备的标准化、小型化，同时 互感器还可用来隔开高电压系统，以保证人身和设备的安全。互感器 可分电流互感器（简称</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w:t>
            </w:r>
            <w:r>
              <w:rPr>
                <w:color w:val="000000"/>
                <w:spacing w:val="0"/>
                <w:w w:val="100"/>
                <w:position w:val="0"/>
              </w:rPr>
              <w:t>和电压互感器（简称</w:t>
            </w:r>
            <w:r>
              <w:rPr>
                <w:rFonts w:ascii="Times New Roman" w:eastAsia="Times New Roman" w:hAnsi="Times New Roman" w:cs="Times New Roman"/>
                <w:color w:val="000000"/>
                <w:spacing w:val="0"/>
                <w:w w:val="100"/>
                <w:position w:val="0"/>
                <w:sz w:val="18"/>
                <w:szCs w:val="18"/>
              </w:rPr>
              <w:t>PT</w:t>
            </w:r>
            <w:r>
              <w:rPr>
                <w:color w:val="000000"/>
                <w:spacing w:val="0"/>
                <w:w w:val="100"/>
                <w:position w:val="0"/>
              </w:rPr>
              <w:t>）</w:t>
            </w:r>
            <w:r>
              <w:rPr>
                <w:color w:val="000000"/>
                <w:spacing w:val="0"/>
                <w:w w:val="100"/>
                <w:position w:val="0"/>
              </w:rPr>
              <w:t>两类。</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用电管理系统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对电力用户的用电信息进行采集、处理和实时监控的系统产品，实现 用电信息的自动采集、计量异常监测、电能质量监测、用电分析和管 理、相关信息发布、分布式能源监控、智能用电设备的信息交互等功 能的终端产品，主要包含用电信息采集终端、专变采集终端、集中抄 表终端（集中器、采集器等）、分布式能源监控终端、电力负荷配变 监测终端等。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在电网中直接承担电力输送及电压转换的输配电设备，如发电机、变 压器、断路器、隔离开关、电压及电流互感器等。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以物理电网为基础，将现代先进的传感测量技术、通讯技术、信息技 术、计算机技术和控制技术与物理电网高度集成而形成的具备智能判</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断与自适应调节能力的多种能源兼容、分布式管理的安全、可靠、经 济、节能、环保、高效的互动式智能化网络。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厦门红相电力设备股份有限公司及其子公司</w:t>
            </w:r>
          </w:p>
        </w:tc>
      </w:tr>
    </w:tbl>
    <w:p>
      <w:pPr>
        <w:sectPr>
          <w:footnotePr>
            <w:pos w:val="pageBottom"/>
            <w:numFmt w:val="decimal"/>
            <w:numRestart w:val="continuous"/>
          </w:footnotePr>
          <w:pgSz w:w="11900" w:h="16840"/>
          <w:pgMar w:top="1441" w:right="1142" w:bottom="1667" w:left="1090"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XIAMEN RED PHASE INSTRUMENTS INC.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单元之一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单元之一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redphase.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李喜娇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单元之一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单元之一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0592-8126108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0592-8126108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0592-2107581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0592-2107581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securities@redphase .com. cn</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bl>
    <w:p>
      <w:pPr>
        <w:spacing w:lineRule="exact" w:line="1"/>
        <w:rPr>
          <w:sz w:val="2"/>
          <w:szCs w:val="2"/>
        </w:rPr>
      </w:pP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刘维、吴乐霖</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中国（上海）自由贸易试验区 世纪大道</w:t>
            </w:r>
            <w:r>
              <w:rPr>
                <w:rFonts w:ascii="Times New Roman" w:eastAsia="Times New Roman" w:hAnsi="Times New Roman" w:cs="Times New Roman"/>
                <w:color w:val="000000"/>
                <w:spacing w:val="0"/>
                <w:w w:val="100"/>
                <w:position w:val="0"/>
                <w:sz w:val="18"/>
                <w:szCs w:val="18"/>
              </w:rPr>
              <w:t>1589</w:t>
            </w:r>
            <w:r>
              <w:rPr>
                <w:color w:val="000000"/>
                <w:spacing w:val="0"/>
                <w:w w:val="100"/>
                <w:position w:val="0"/>
              </w:rPr>
              <w:t>号长泰国际金 融大厦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蒋庆华、赖洁楠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305,254,632.75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267,597,005.07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73,815,900.71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70,937,874.33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56,305,338.14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68,586,922.11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56,682,597.45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50,571,207.28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130,539,761.27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42,473,127.37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16,764,281.91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894,116,361.80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759,728,039.91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424,047,626.49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620,940,854.04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564,009,974.16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322,313,909.04</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28,472,781.77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125,260,509.61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46,377,003.31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210,447,186.14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-5,761,508.40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18,661,254.54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1,366,742.77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59,549,411.80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-6,238,683.40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15,599,029.49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1,402,984.05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57,823,591.97</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-26,345,897.66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-3,604,494.29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35,189,825.86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125,300,327.36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17" w:val="left"/>
        </w:tabs>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2"/>
        <w:keepNext/>
        <w:keepLines/>
        <w:widowControl w:val="0"/>
        <w:shd w:val="clear" w:color="auto" w:fill="auto"/>
        <w:tabs>
          <w:tab w:pos="40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104,406.86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277,560.20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3,819,307.16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4,741,601.67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3,734,543.51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2,237,755.60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7,449,573.49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903,740.00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130,862.42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586,266.53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517,952.98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4,746,518.94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可供出售金融资产取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得现金股利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971,806.43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1,252,136.52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1,186,758.63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567,416.98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289,736.89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5,228,978.60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14,255,276.88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5,734,130.86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9" w:bottom="1518"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3"/>
        <w:keepNext/>
        <w:keepLines/>
        <w:widowControl w:val="0"/>
        <w:shd w:val="clear" w:color="auto" w:fill="auto"/>
        <w:bidi w:val="0"/>
        <w:spacing w:before="0" w:after="38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line="317" w:lineRule="exact"/>
        <w:ind w:left="0" w:right="0" w:firstLine="440"/>
        <w:jc w:val="both"/>
      </w:pPr>
      <w:bookmarkStart w:id="61" w:name="bookmark61"/>
      <w:r>
        <w:rPr>
          <w:rFonts w:ascii="Times New Roman" w:eastAsia="Times New Roman" w:hAnsi="Times New Roman" w:cs="Times New Roman"/>
          <w:b/>
          <w:bCs/>
          <w:color w:val="000000"/>
          <w:spacing w:val="0"/>
          <w:w w:val="100"/>
          <w:position w:val="0"/>
        </w:rPr>
        <w:t>（</w:t>
      </w:r>
      <w:bookmarkEnd w:id="61"/>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公司主营业务、主要产品、服务及其用途</w:t>
      </w:r>
    </w:p>
    <w:p>
      <w:pPr>
        <w:pStyle w:val="Style35"/>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本公司主要从事电力设备状态检测、监测产品、电测产品，以及配网自动化产品的研发、生产和销售， 并提供相关电力技术服务。报告期内，公司及控股子公司主要从事以下产品的研发、生产、销售及服务：</w:t>
      </w:r>
    </w:p>
    <w:p>
      <w:pPr>
        <w:pStyle w:val="Style35"/>
        <w:keepNext w:val="0"/>
        <w:keepLines w:val="0"/>
        <w:widowControl w:val="0"/>
        <w:numPr>
          <w:ilvl w:val="0"/>
          <w:numId w:val="1"/>
        </w:numPr>
        <w:shd w:val="clear" w:color="auto" w:fill="auto"/>
        <w:tabs>
          <w:tab w:pos="755" w:val="left"/>
        </w:tabs>
        <w:bidi w:val="0"/>
        <w:spacing w:before="0" w:line="317" w:lineRule="exact"/>
        <w:ind w:left="0" w:right="0" w:firstLine="440"/>
        <w:jc w:val="both"/>
      </w:pPr>
      <w:bookmarkStart w:id="62" w:name="bookmark62"/>
      <w:bookmarkEnd w:id="62"/>
      <w:r>
        <w:rPr>
          <w:color w:val="000000"/>
          <w:spacing w:val="0"/>
          <w:w w:val="100"/>
          <w:position w:val="0"/>
        </w:rPr>
        <w:t>电力设备状态检测、监测产品</w:t>
      </w:r>
    </w:p>
    <w:p>
      <w:pPr>
        <w:pStyle w:val="Style35"/>
        <w:keepNext w:val="0"/>
        <w:keepLines w:val="0"/>
        <w:widowControl w:val="0"/>
        <w:shd w:val="clear" w:color="auto" w:fill="auto"/>
        <w:bidi w:val="0"/>
        <w:spacing w:before="0" w:line="317" w:lineRule="exact"/>
        <w:ind w:left="0" w:right="0" w:firstLine="60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一次设备状态检测、监测产品</w:t>
      </w:r>
    </w:p>
    <w:p>
      <w:pPr>
        <w:pStyle w:val="Style35"/>
        <w:keepNext w:val="0"/>
        <w:keepLines w:val="0"/>
        <w:widowControl w:val="0"/>
        <w:shd w:val="clear" w:color="auto" w:fill="auto"/>
        <w:bidi w:val="0"/>
        <w:spacing w:before="0" w:after="200" w:line="317" w:lineRule="exact"/>
        <w:ind w:left="0" w:right="0" w:firstLine="600"/>
        <w:jc w:val="both"/>
      </w:pPr>
      <w:r>
        <w:rPr>
          <w:rFonts w:ascii="Times New Roman" w:eastAsia="Times New Roman" w:hAnsi="Times New Roman" w:cs="Times New Roman"/>
          <w:color w:val="000000"/>
          <w:spacing w:val="0"/>
          <w:w w:val="100"/>
          <w:position w:val="0"/>
        </w:rPr>
        <w:t>1.2</w:t>
      </w:r>
      <w:r>
        <w:rPr>
          <w:color w:val="000000"/>
          <w:spacing w:val="0"/>
          <w:w w:val="100"/>
          <w:position w:val="0"/>
        </w:rPr>
        <w:t>计量装置状态检测、监测产品</w:t>
      </w:r>
    </w:p>
    <w:p>
      <w:pPr>
        <w:pStyle w:val="Style35"/>
        <w:keepNext w:val="0"/>
        <w:keepLines w:val="0"/>
        <w:widowControl w:val="0"/>
        <w:numPr>
          <w:ilvl w:val="0"/>
          <w:numId w:val="1"/>
        </w:numPr>
        <w:shd w:val="clear" w:color="auto" w:fill="auto"/>
        <w:tabs>
          <w:tab w:pos="774" w:val="left"/>
        </w:tabs>
        <w:bidi w:val="0"/>
        <w:spacing w:before="0" w:after="0" w:line="331" w:lineRule="auto"/>
        <w:ind w:left="0" w:right="0" w:firstLine="440"/>
        <w:jc w:val="both"/>
      </w:pPr>
      <w:bookmarkStart w:id="63" w:name="bookmark63"/>
      <w:bookmarkEnd w:id="63"/>
      <w:r>
        <w:rPr>
          <w:color w:val="000000"/>
          <w:spacing w:val="0"/>
          <w:w w:val="100"/>
          <w:position w:val="0"/>
        </w:rPr>
        <w:t>电测产品</w:t>
      </w:r>
    </w:p>
    <w:p>
      <w:pPr>
        <w:pStyle w:val="Style35"/>
        <w:keepNext w:val="0"/>
        <w:keepLines w:val="0"/>
        <w:widowControl w:val="0"/>
        <w:shd w:val="clear" w:color="auto" w:fill="auto"/>
        <w:bidi w:val="0"/>
        <w:spacing w:before="0" w:line="317" w:lineRule="exact"/>
        <w:ind w:left="0" w:right="0" w:firstLine="600"/>
        <w:jc w:val="both"/>
      </w:pPr>
      <w:r>
        <w:rPr>
          <w:rFonts w:ascii="Times New Roman" w:eastAsia="Times New Roman" w:hAnsi="Times New Roman" w:cs="Times New Roman"/>
          <w:color w:val="000000"/>
          <w:spacing w:val="0"/>
          <w:w w:val="100"/>
          <w:position w:val="0"/>
        </w:rPr>
        <w:t>2.1</w:t>
      </w:r>
      <w:r>
        <w:rPr>
          <w:color w:val="000000"/>
          <w:spacing w:val="0"/>
          <w:w w:val="100"/>
          <w:position w:val="0"/>
        </w:rPr>
        <w:t>电测标准装置产品</w:t>
      </w:r>
    </w:p>
    <w:p>
      <w:pPr>
        <w:pStyle w:val="Style35"/>
        <w:keepNext w:val="0"/>
        <w:keepLines w:val="0"/>
        <w:widowControl w:val="0"/>
        <w:shd w:val="clear" w:color="auto" w:fill="auto"/>
        <w:bidi w:val="0"/>
        <w:spacing w:before="0" w:line="317" w:lineRule="exact"/>
        <w:ind w:left="0" w:right="0" w:firstLine="600"/>
        <w:jc w:val="both"/>
      </w:pPr>
      <w:r>
        <w:rPr>
          <w:rFonts w:ascii="Times New Roman" w:eastAsia="Times New Roman" w:hAnsi="Times New Roman" w:cs="Times New Roman"/>
          <w:color w:val="000000"/>
          <w:spacing w:val="0"/>
          <w:w w:val="100"/>
          <w:position w:val="0"/>
        </w:rPr>
        <w:t>2.2</w:t>
      </w:r>
      <w:r>
        <w:rPr>
          <w:color w:val="000000"/>
          <w:spacing w:val="0"/>
          <w:w w:val="100"/>
          <w:position w:val="0"/>
        </w:rPr>
        <w:t>电能表及用电管理系统</w:t>
      </w:r>
    </w:p>
    <w:p>
      <w:pPr>
        <w:pStyle w:val="Style35"/>
        <w:keepNext w:val="0"/>
        <w:keepLines w:val="0"/>
        <w:widowControl w:val="0"/>
        <w:numPr>
          <w:ilvl w:val="0"/>
          <w:numId w:val="1"/>
        </w:numPr>
        <w:shd w:val="clear" w:color="auto" w:fill="auto"/>
        <w:tabs>
          <w:tab w:pos="774" w:val="left"/>
        </w:tabs>
        <w:bidi w:val="0"/>
        <w:spacing w:before="0" w:after="200" w:line="317" w:lineRule="exact"/>
        <w:ind w:left="0" w:right="0" w:firstLine="440"/>
        <w:jc w:val="both"/>
      </w:pPr>
      <w:bookmarkStart w:id="64" w:name="bookmark64"/>
      <w:bookmarkEnd w:id="64"/>
      <w:r>
        <w:rPr>
          <w:color w:val="000000"/>
          <w:spacing w:val="0"/>
          <w:w w:val="100"/>
          <w:position w:val="0"/>
        </w:rPr>
        <w:t>配网自动化产品</w:t>
      </w:r>
    </w:p>
    <w:p>
      <w:pPr>
        <w:pStyle w:val="Style35"/>
        <w:keepNext w:val="0"/>
        <w:keepLines w:val="0"/>
        <w:widowControl w:val="0"/>
        <w:numPr>
          <w:ilvl w:val="0"/>
          <w:numId w:val="1"/>
        </w:numPr>
        <w:shd w:val="clear" w:color="auto" w:fill="auto"/>
        <w:tabs>
          <w:tab w:pos="774" w:val="left"/>
        </w:tabs>
        <w:bidi w:val="0"/>
        <w:spacing w:before="0" w:after="0" w:line="331" w:lineRule="auto"/>
        <w:ind w:left="0" w:right="0" w:firstLine="440"/>
        <w:jc w:val="both"/>
      </w:pPr>
      <w:bookmarkStart w:id="65" w:name="bookmark65"/>
      <w:bookmarkEnd w:id="65"/>
      <w:r>
        <w:rPr>
          <w:color w:val="000000"/>
          <w:spacing w:val="0"/>
          <w:w w:val="100"/>
          <w:position w:val="0"/>
        </w:rPr>
        <w:t>电力技术服务</w:t>
      </w:r>
    </w:p>
    <w:p>
      <w:pPr>
        <w:pStyle w:val="Style35"/>
        <w:keepNext w:val="0"/>
        <w:keepLines w:val="0"/>
        <w:widowControl w:val="0"/>
        <w:shd w:val="clear" w:color="auto" w:fill="auto"/>
        <w:bidi w:val="0"/>
        <w:spacing w:before="0" w:line="317" w:lineRule="exact"/>
        <w:ind w:left="0" w:right="0" w:firstLine="44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、公司主要产品用途</w:t>
      </w:r>
    </w:p>
    <w:p>
      <w:pPr>
        <w:pStyle w:val="Style35"/>
        <w:keepNext w:val="0"/>
        <w:keepLines w:val="0"/>
        <w:widowControl w:val="0"/>
        <w:shd w:val="clear" w:color="auto" w:fill="auto"/>
        <w:bidi w:val="0"/>
        <w:spacing w:before="0" w:line="298" w:lineRule="exact"/>
        <w:ind w:left="0" w:right="0" w:firstLine="440"/>
        <w:jc w:val="both"/>
      </w:pPr>
      <w:r>
        <w:rPr>
          <w:color w:val="000000"/>
          <w:spacing w:val="0"/>
          <w:w w:val="100"/>
          <w:position w:val="0"/>
        </w:rPr>
        <w:t>公司产品是保障电网安全、稳定、可靠运行和电能计量准确性的重要设备，也是建设智能电网和实施 状态检修的重要设备。公司产品可广泛用于电力系统发电、输电、变电、配电、用电的各个环节，客户主 要以国家电网公司和南方电网公司及其下属成员企业为主，以及发电企业、铁路与轨道交通、军工、石油 石化等具有内部电网管理需求的企业。</w:t>
      </w:r>
    </w:p>
    <w:p>
      <w:pPr>
        <w:pStyle w:val="Style35"/>
        <w:keepNext w:val="0"/>
        <w:keepLines w:val="0"/>
        <w:widowControl w:val="0"/>
        <w:shd w:val="clear" w:color="auto" w:fill="auto"/>
        <w:bidi w:val="0"/>
        <w:spacing w:before="0" w:after="200" w:line="317" w:lineRule="exact"/>
        <w:ind w:left="0" w:right="0" w:firstLine="440"/>
        <w:jc w:val="both"/>
      </w:pPr>
      <w:bookmarkStart w:id="67" w:name="bookmark67"/>
      <w:r>
        <w:rPr>
          <w:b/>
          <w:bCs/>
          <w:color w:val="000000"/>
          <w:spacing w:val="0"/>
          <w:w w:val="100"/>
          <w:position w:val="0"/>
        </w:rPr>
        <w:t>（</w:t>
      </w:r>
      <w:bookmarkEnd w:id="67"/>
      <w:r>
        <w:rPr>
          <w:b/>
          <w:bCs/>
          <w:color w:val="000000"/>
          <w:spacing w:val="0"/>
          <w:w w:val="100"/>
          <w:position w:val="0"/>
        </w:rPr>
        <w:t>二）经营模式</w:t>
      </w:r>
    </w:p>
    <w:p>
      <w:pPr>
        <w:pStyle w:val="Style35"/>
        <w:keepNext w:val="0"/>
        <w:keepLines w:val="0"/>
        <w:widowControl w:val="0"/>
        <w:shd w:val="clear" w:color="auto" w:fill="auto"/>
        <w:tabs>
          <w:tab w:pos="794" w:val="left"/>
        </w:tabs>
        <w:bidi w:val="0"/>
        <w:spacing w:before="0" w:after="0" w:line="331" w:lineRule="auto"/>
        <w:ind w:left="0" w:right="0" w:firstLine="44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w:t>
        <w:tab/>
        <w:t>销售模式</w:t>
      </w:r>
    </w:p>
    <w:p>
      <w:pPr>
        <w:pStyle w:val="Style35"/>
        <w:keepNext w:val="0"/>
        <w:keepLines w:val="0"/>
        <w:widowControl w:val="0"/>
        <w:shd w:val="clear" w:color="auto" w:fill="auto"/>
        <w:bidi w:val="0"/>
        <w:spacing w:before="0" w:after="200" w:line="329" w:lineRule="exact"/>
        <w:ind w:left="0" w:right="0" w:firstLine="440"/>
        <w:jc w:val="both"/>
      </w:pPr>
      <w:r>
        <w:rPr>
          <w:color w:val="000000"/>
          <w:spacing w:val="0"/>
          <w:w w:val="100"/>
          <w:position w:val="0"/>
        </w:rPr>
        <w:t>公司客户以国家电网公司和南方电网公司及其下属成员企业、发电企业为主。根据国家电网公司、南 方电网公司颁布的招标采购管理办法，两大电网公司及其下属企业的设备采购主要采用招标模式进行，公 司的销售订单主要通过招投标方式获得，采用直销的方式销售。</w:t>
      </w:r>
    </w:p>
    <w:p>
      <w:pPr>
        <w:pStyle w:val="Style35"/>
        <w:keepNext w:val="0"/>
        <w:keepLines w:val="0"/>
        <w:widowControl w:val="0"/>
        <w:shd w:val="clear" w:color="auto" w:fill="auto"/>
        <w:tabs>
          <w:tab w:pos="813" w:val="left"/>
        </w:tabs>
        <w:bidi w:val="0"/>
        <w:spacing w:before="0" w:after="0" w:line="331" w:lineRule="auto"/>
        <w:ind w:left="0" w:right="0" w:firstLine="440"/>
        <w:jc w:val="both"/>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生产模式</w:t>
      </w:r>
    </w:p>
    <w:p>
      <w:pPr>
        <w:pStyle w:val="Style3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公司生产组织方式主要根据客户需求进行相应产品的生产，采取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w:t>
      </w:r>
      <w:r>
        <w:rPr>
          <w:color w:val="000000"/>
          <w:spacing w:val="0"/>
          <w:w w:val="100"/>
          <w:position w:val="0"/>
        </w:rPr>
        <w:t>为主的生产模式，包括在 获取客户中标通知书或签订合同后才进行的订单生产和根据对客户的需求以及预期中标成功率预测，提前 安排销售把握较大产品的备货生产。</w:t>
      </w:r>
    </w:p>
    <w:p>
      <w:pPr>
        <w:pStyle w:val="Style35"/>
        <w:keepNext w:val="0"/>
        <w:keepLines w:val="0"/>
        <w:widowControl w:val="0"/>
        <w:shd w:val="clear" w:color="auto" w:fill="auto"/>
        <w:tabs>
          <w:tab w:pos="813" w:val="left"/>
        </w:tabs>
        <w:bidi w:val="0"/>
        <w:spacing w:before="0" w:after="0" w:line="331" w:lineRule="auto"/>
        <w:ind w:left="0" w:right="0" w:firstLine="440"/>
        <w:jc w:val="both"/>
      </w:pPr>
      <w:bookmarkStart w:id="70" w:name="bookmark70"/>
      <w:r>
        <w:rPr>
          <w:rFonts w:ascii="Times New Roman" w:eastAsia="Times New Roman" w:hAnsi="Times New Roman" w:cs="Times New Roman"/>
          <w:color w:val="000000"/>
          <w:spacing w:val="0"/>
          <w:w w:val="100"/>
          <w:position w:val="0"/>
        </w:rPr>
        <w:t>3</w:t>
      </w:r>
      <w:bookmarkEnd w:id="70"/>
      <w:r>
        <w:rPr>
          <w:color w:val="000000"/>
          <w:spacing w:val="0"/>
          <w:w w:val="100"/>
          <w:position w:val="0"/>
        </w:rPr>
        <w:t>、</w:t>
        <w:tab/>
        <w:t>采购模式</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 xml:space="preserve">公司根据生产计划确定采购原材料的品名、规格、数量等，并进行供应商评估与选择，采取批量采购 和按需即时采购相结合的模式，进行定制化零部件采购和标准化零部件采购。为了有效控制产品质量和成 </w:t>
      </w:r>
      <w:r>
        <w:rPr>
          <w:color w:val="000000"/>
          <w:spacing w:val="0"/>
          <w:w w:val="100"/>
          <w:position w:val="0"/>
        </w:rPr>
        <w:t>本，公司建立了一套严格的采购管理制度，以规范原材料采购环节的质量控制和审批流程。</w:t>
      </w:r>
    </w:p>
    <w:p>
      <w:pPr>
        <w:pStyle w:val="Style35"/>
        <w:keepNext w:val="0"/>
        <w:keepLines w:val="0"/>
        <w:widowControl w:val="0"/>
        <w:shd w:val="clear" w:color="auto" w:fill="auto"/>
        <w:bidi w:val="0"/>
        <w:spacing w:before="0" w:after="0" w:line="326" w:lineRule="auto"/>
        <w:ind w:left="0" w:right="0" w:firstLine="520"/>
        <w:jc w:val="both"/>
      </w:pPr>
      <w:bookmarkStart w:id="71" w:name="bookmark71"/>
      <w:r>
        <w:rPr>
          <w:rFonts w:ascii="Times New Roman" w:eastAsia="Times New Roman" w:hAnsi="Times New Roman" w:cs="Times New Roman"/>
          <w:color w:val="000000"/>
          <w:spacing w:val="0"/>
          <w:w w:val="100"/>
          <w:position w:val="0"/>
        </w:rPr>
        <w:t>4</w:t>
      </w:r>
      <w:bookmarkEnd w:id="71"/>
      <w:r>
        <w:rPr>
          <w:color w:val="000000"/>
          <w:spacing w:val="0"/>
          <w:w w:val="100"/>
          <w:position w:val="0"/>
        </w:rPr>
        <w:t>、研发模式</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公司的研发模式主要围绕市场进行产品的开发或升级。根据公司的既定发展战略深入研究、开发、储 备未来应用技术，引领客户需求并适时推出相关技术产品。针对状态检测、监测技术应用特点有序进行状 态检测、监测数据积累、数据挖掘、算法更新等。为了更加系统地服务客户，着手建立面向客户的智能数 据中心，以提高状态检测、监测的定量、定性、定位等综合诊断需要。</w:t>
      </w:r>
    </w:p>
    <w:p>
      <w:pPr>
        <w:pStyle w:val="Style35"/>
        <w:keepNext w:val="0"/>
        <w:keepLines w:val="0"/>
        <w:widowControl w:val="0"/>
        <w:numPr>
          <w:ilvl w:val="0"/>
          <w:numId w:val="3"/>
        </w:numPr>
        <w:shd w:val="clear" w:color="auto" w:fill="auto"/>
        <w:tabs>
          <w:tab w:pos="1031" w:val="left"/>
        </w:tabs>
        <w:bidi w:val="0"/>
        <w:spacing w:before="0" w:line="312" w:lineRule="exact"/>
        <w:ind w:left="0" w:right="0" w:firstLine="440"/>
        <w:jc w:val="both"/>
      </w:pPr>
      <w:bookmarkStart w:id="72" w:name="bookmark72"/>
      <w:bookmarkEnd w:id="72"/>
      <w:r>
        <w:rPr>
          <w:b/>
          <w:bCs/>
          <w:color w:val="000000"/>
          <w:spacing w:val="0"/>
          <w:w w:val="100"/>
          <w:position w:val="0"/>
        </w:rPr>
        <w:t>公司所属行业的基本情况</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公司产品主要用于电力系统，属于电力设备制造业。</w:t>
      </w:r>
    </w:p>
    <w:p>
      <w:pPr>
        <w:pStyle w:val="Style35"/>
        <w:keepNext w:val="0"/>
        <w:keepLines w:val="0"/>
        <w:widowControl w:val="0"/>
        <w:shd w:val="clear" w:color="auto" w:fill="auto"/>
        <w:tabs>
          <w:tab w:pos="786" w:val="left"/>
        </w:tabs>
        <w:bidi w:val="0"/>
        <w:spacing w:before="0" w:line="326" w:lineRule="auto"/>
        <w:ind w:left="0" w:right="0" w:firstLine="440"/>
        <w:jc w:val="both"/>
      </w:pPr>
      <w:bookmarkStart w:id="73" w:name="bookmark73"/>
      <w:r>
        <w:rPr>
          <w:rFonts w:ascii="Times New Roman" w:eastAsia="Times New Roman" w:hAnsi="Times New Roman" w:cs="Times New Roman"/>
          <w:color w:val="000000"/>
          <w:spacing w:val="0"/>
          <w:w w:val="100"/>
          <w:position w:val="0"/>
        </w:rPr>
        <w:t>1</w:t>
      </w:r>
      <w:bookmarkEnd w:id="73"/>
      <w:r>
        <w:rPr>
          <w:color w:val="000000"/>
          <w:spacing w:val="0"/>
          <w:w w:val="100"/>
          <w:position w:val="0"/>
        </w:rPr>
        <w:t>、</w:t>
        <w:tab/>
        <w:t>行业基本特征</w:t>
      </w:r>
    </w:p>
    <w:p>
      <w:pPr>
        <w:pStyle w:val="Style35"/>
        <w:keepNext w:val="0"/>
        <w:keepLines w:val="0"/>
        <w:widowControl w:val="0"/>
        <w:numPr>
          <w:ilvl w:val="0"/>
          <w:numId w:val="5"/>
        </w:numPr>
        <w:shd w:val="clear" w:color="auto" w:fill="auto"/>
        <w:tabs>
          <w:tab w:pos="858" w:val="left"/>
        </w:tabs>
        <w:bidi w:val="0"/>
        <w:spacing w:before="0" w:after="0" w:line="326" w:lineRule="auto"/>
        <w:ind w:left="0" w:right="0" w:firstLine="440"/>
        <w:jc w:val="both"/>
      </w:pPr>
      <w:bookmarkStart w:id="74" w:name="bookmark74"/>
      <w:bookmarkEnd w:id="74"/>
      <w:r>
        <w:rPr>
          <w:color w:val="000000"/>
          <w:spacing w:val="0"/>
          <w:w w:val="100"/>
          <w:position w:val="0"/>
        </w:rPr>
        <w:t>周期性</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本行业的发展与电力行业的投资周期基本相符，而电力行业投资周期与国家宏观经济周期又有着正相 关关系。近年来，我国经济总体保持着持续、快速、稳定发展的势头，电力行业投资也同样保持了持续增 长的态势；预计未来较长时期内，宏观经济及电力行业投资的发展态势不会出现大的变化。从长期来看， 本行业的发展不会呈现明显的周期性特征。</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短期来看，公司产品随着智能配电网、特高压输电网络建设、新能源等电力投资的持续增长，还会带 来一部分新增需求。因此，总体来看，本行业短期内也不存在明显的周期性。</w:t>
      </w:r>
    </w:p>
    <w:p>
      <w:pPr>
        <w:pStyle w:val="Style35"/>
        <w:keepNext w:val="0"/>
        <w:keepLines w:val="0"/>
        <w:widowControl w:val="0"/>
        <w:numPr>
          <w:ilvl w:val="0"/>
          <w:numId w:val="5"/>
        </w:numPr>
        <w:shd w:val="clear" w:color="auto" w:fill="auto"/>
        <w:tabs>
          <w:tab w:pos="858" w:val="left"/>
        </w:tabs>
        <w:bidi w:val="0"/>
        <w:spacing w:before="0" w:after="0" w:line="326" w:lineRule="auto"/>
        <w:ind w:left="0" w:right="0" w:firstLine="440"/>
        <w:jc w:val="both"/>
      </w:pPr>
      <w:bookmarkStart w:id="75" w:name="bookmark75"/>
      <w:bookmarkEnd w:id="75"/>
      <w:r>
        <w:rPr>
          <w:color w:val="000000"/>
          <w:spacing w:val="0"/>
          <w:w w:val="100"/>
          <w:position w:val="0"/>
        </w:rPr>
        <w:t>区域性</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公司产品均可用于发电、输电、变电、配电和用电领域。一般情况下，在经济发展水平较高和发电、 输电和用电量大的区域，其需求量也会较大。</w:t>
      </w:r>
    </w:p>
    <w:p>
      <w:pPr>
        <w:pStyle w:val="Style35"/>
        <w:keepNext w:val="0"/>
        <w:keepLines w:val="0"/>
        <w:widowControl w:val="0"/>
        <w:numPr>
          <w:ilvl w:val="0"/>
          <w:numId w:val="5"/>
        </w:numPr>
        <w:shd w:val="clear" w:color="auto" w:fill="auto"/>
        <w:tabs>
          <w:tab w:pos="858" w:val="left"/>
        </w:tabs>
        <w:bidi w:val="0"/>
        <w:spacing w:before="0" w:after="0" w:line="326" w:lineRule="auto"/>
        <w:ind w:left="0" w:right="0" w:firstLine="440"/>
        <w:jc w:val="both"/>
      </w:pPr>
      <w:bookmarkStart w:id="76" w:name="bookmark76"/>
      <w:bookmarkEnd w:id="76"/>
      <w:r>
        <w:rPr>
          <w:color w:val="000000"/>
          <w:spacing w:val="0"/>
          <w:w w:val="100"/>
          <w:position w:val="0"/>
        </w:rPr>
        <w:t>季节性</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电力设备状态检测、监测产品和电能表产品的下游客户主要集中在国家电网公司和南方电网公司，两 大电网公司及其下属企业一般在每年下半年进行投资计划立项，次年的一季度对该些项目进行审批，项目 实施和验收主要在第三季度末和第四季度。行业内公司的销售及回款一般集中在第四季度，经营业绩具有 较明显的季节性波动特点。</w:t>
      </w:r>
    </w:p>
    <w:p>
      <w:pPr>
        <w:pStyle w:val="Style35"/>
        <w:keepNext w:val="0"/>
        <w:keepLines w:val="0"/>
        <w:widowControl w:val="0"/>
        <w:shd w:val="clear" w:color="auto" w:fill="auto"/>
        <w:tabs>
          <w:tab w:pos="805" w:val="left"/>
        </w:tabs>
        <w:bidi w:val="0"/>
        <w:spacing w:before="0" w:after="0" w:line="326" w:lineRule="auto"/>
        <w:ind w:left="0" w:right="0" w:firstLine="440"/>
        <w:jc w:val="both"/>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w:t>
        <w:tab/>
        <w:t>公司所处行业的发展阶段</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在我国，电力设备状态检测、监测业务起步较晚，随着智能电网建设的不断推进，电力设备状态检测、 监测行业逐步进入稳步发展阶段。</w:t>
      </w:r>
    </w:p>
    <w:p>
      <w:pPr>
        <w:pStyle w:val="Style35"/>
        <w:keepNext w:val="0"/>
        <w:keepLines w:val="0"/>
        <w:widowControl w:val="0"/>
        <w:numPr>
          <w:ilvl w:val="0"/>
          <w:numId w:val="3"/>
        </w:numPr>
        <w:shd w:val="clear" w:color="auto" w:fill="auto"/>
        <w:tabs>
          <w:tab w:pos="1031" w:val="left"/>
        </w:tabs>
        <w:bidi w:val="0"/>
        <w:spacing w:before="0" w:line="312" w:lineRule="exact"/>
        <w:ind w:left="0" w:right="0" w:firstLine="440"/>
        <w:jc w:val="both"/>
      </w:pPr>
      <w:bookmarkStart w:id="78" w:name="bookmark78"/>
      <w:bookmarkEnd w:id="78"/>
      <w:r>
        <w:rPr>
          <w:b/>
          <w:bCs/>
          <w:color w:val="000000"/>
          <w:spacing w:val="0"/>
          <w:w w:val="100"/>
          <w:position w:val="0"/>
        </w:rPr>
        <w:t>公司所处的行业地位</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公司是国内较早推广电力设备状态检测、监测产品的企业，在行业中具有先发优势，积极参与了一些 行业标准和电网公司企业标准的制定。同时，公司持续不断的进行技术创新，并且拓展了丰富的产品线、 积累了丰富的案例库。另外，公司建立了完善的营销网络、专业的电力运维服务队伍，具备为客户提供专 业、优质技术服务的能力，在客户中树立起了</w:t>
      </w:r>
      <w:r>
        <w:rPr>
          <w:rFonts w:ascii="Times New Roman" w:eastAsia="Times New Roman" w:hAnsi="Times New Roman" w:cs="Times New Roman"/>
          <w:color w:val="000000"/>
          <w:spacing w:val="0"/>
          <w:w w:val="100"/>
          <w:position w:val="0"/>
        </w:rPr>
        <w:t>“</w:t>
      </w:r>
      <w:r>
        <w:rPr>
          <w:color w:val="000000"/>
          <w:spacing w:val="0"/>
          <w:w w:val="100"/>
          <w:position w:val="0"/>
        </w:rPr>
        <w:t>红相</w:t>
      </w:r>
      <w:r>
        <w:rPr>
          <w:rFonts w:ascii="Times New Roman" w:eastAsia="Times New Roman" w:hAnsi="Times New Roman" w:cs="Times New Roman"/>
          <w:color w:val="000000"/>
          <w:spacing w:val="0"/>
          <w:w w:val="100"/>
          <w:position w:val="0"/>
        </w:rPr>
        <w:t>''</w:t>
      </w:r>
      <w:r>
        <w:rPr>
          <w:color w:val="000000"/>
          <w:spacing w:val="0"/>
          <w:w w:val="100"/>
          <w:position w:val="0"/>
        </w:rPr>
        <w:t>品牌的良好市场形象。</w:t>
      </w:r>
    </w:p>
    <w:p>
      <w:pPr>
        <w:pStyle w:val="Style35"/>
        <w:keepNext w:val="0"/>
        <w:keepLines w:val="0"/>
        <w:widowControl w:val="0"/>
        <w:numPr>
          <w:ilvl w:val="0"/>
          <w:numId w:val="3"/>
        </w:numPr>
        <w:shd w:val="clear" w:color="auto" w:fill="auto"/>
        <w:tabs>
          <w:tab w:pos="1031" w:val="left"/>
        </w:tabs>
        <w:bidi w:val="0"/>
        <w:spacing w:before="0" w:line="312" w:lineRule="exact"/>
        <w:ind w:left="0" w:right="0" w:firstLine="440"/>
        <w:jc w:val="both"/>
      </w:pPr>
      <w:bookmarkStart w:id="79" w:name="bookmark79"/>
      <w:bookmarkEnd w:id="79"/>
      <w:r>
        <w:rPr>
          <w:b/>
          <w:bCs/>
          <w:color w:val="000000"/>
          <w:spacing w:val="0"/>
          <w:w w:val="100"/>
          <w:position w:val="0"/>
        </w:rPr>
        <w:t>主要的业绩驱动因素</w:t>
      </w:r>
    </w:p>
    <w:p>
      <w:pPr>
        <w:pStyle w:val="Style3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报告期内，公司继续专注于主营业务、巩固经营成果、稳步发展，公司一方面围绕目前的核心产品</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电力设备状态检测、监测产品在发电企业、铁路与轨道交通、军工、石油石化等领域上进行拓展；另一方 面，充分利用公司在电网市场深厚的积淀，在上述领域内积极拓展契合</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规划以及电力体制改革发 展方向的产品和服务。综上，公司将充分利用自身技术优势，并适时借助资本市场的力量，并购具有技术</w:t>
        <w:br w:type="page"/>
      </w:r>
      <w:r>
        <w:rPr>
          <w:color w:val="000000"/>
          <w:spacing w:val="0"/>
          <w:w w:val="100"/>
          <w:position w:val="0"/>
        </w:rPr>
        <w:t>优势、良好目标市场渠道并且能够与公司产生协同效应、丰富公司产品线和提高产品覆盖领域的公司，把 握时机，积极开拓新的增值空间，努力为股东创造更大利益。</w:t>
      </w:r>
    </w:p>
    <w:p>
      <w:pPr>
        <w:pStyle w:val="Style23"/>
        <w:keepNext/>
        <w:keepLines/>
        <w:widowControl w:val="0"/>
        <w:shd w:val="clear" w:color="auto" w:fill="auto"/>
        <w:bidi w:val="0"/>
        <w:spacing w:before="0" w:after="34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二</w:t>
      </w:r>
      <w:bookmarkEnd w:id="82"/>
      <w:r>
        <w:rPr>
          <w:color w:val="000000"/>
          <w:spacing w:val="0"/>
          <w:w w:val="100"/>
          <w:position w:val="0"/>
          <w:sz w:val="24"/>
          <w:szCs w:val="24"/>
        </w:rPr>
        <w:t>、主要资产重大变化情况</w:t>
      </w:r>
      <w:bookmarkEnd w:id="80"/>
      <w:bookmarkEnd w:id="81"/>
      <w:bookmarkEnd w:id="83"/>
    </w:p>
    <w:p>
      <w:pPr>
        <w:pStyle w:val="Style32"/>
        <w:keepNext/>
        <w:keepLines/>
        <w:widowControl w:val="0"/>
        <w:shd w:val="clear" w:color="auto" w:fill="auto"/>
        <w:bidi w:val="0"/>
        <w:spacing w:before="0" w:after="34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、主要资产重大变化情况</w:t>
      </w:r>
      <w:bookmarkEnd w:id="84"/>
      <w:bookmarkEnd w:id="85"/>
      <w:bookmarkEnd w:id="8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股本较年初增加了 </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，主要系报告期公司以资本公积向全体股东每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股，共计转增股份</w:t>
            </w:r>
            <w:r>
              <w:rPr>
                <w:rFonts w:ascii="Times New Roman" w:eastAsia="Times New Roman" w:hAnsi="Times New Roman" w:cs="Times New Roman"/>
                <w:color w:val="000000"/>
                <w:spacing w:val="0"/>
                <w:w w:val="100"/>
                <w:position w:val="0"/>
                <w:sz w:val="18"/>
                <w:szCs w:val="18"/>
              </w:rPr>
              <w:t>19,507.40</w:t>
            </w:r>
            <w:r>
              <w:rPr>
                <w:color w:val="000000"/>
                <w:spacing w:val="0"/>
                <w:w w:val="100"/>
                <w:position w:val="0"/>
              </w:rPr>
              <w:t>万股。</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固定资产较年初下降了 </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color w:val="000000"/>
                <w:spacing w:val="0"/>
                <w:w w:val="100"/>
                <w:position w:val="0"/>
              </w:rPr>
              <w:t>主要报告期内公司将部分闲置的自用房产转为出租 用途，转入了投资性房地产；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年是公司募投项目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的主要建 设期，扣除出租房产的影响，固定资产较年初增加了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无形资产较年初增加了 </w:t>
            </w:r>
            <w:r>
              <w:rPr>
                <w:rFonts w:ascii="Times New Roman" w:eastAsia="Times New Roman" w:hAnsi="Times New Roman" w:cs="Times New Roman"/>
                <w:color w:val="000000"/>
                <w:spacing w:val="0"/>
                <w:w w:val="100"/>
                <w:position w:val="0"/>
                <w:sz w:val="18"/>
                <w:szCs w:val="18"/>
              </w:rPr>
              <w:t>6.21%</w:t>
            </w:r>
            <w:r>
              <w:rPr>
                <w:color w:val="000000"/>
                <w:spacing w:val="0"/>
                <w:w w:val="100"/>
                <w:position w:val="0"/>
              </w:rPr>
              <w:t>，主要系研发中心扩建项目的无形资产的投入。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在建工程较年初下降了 </w:t>
            </w:r>
            <w:r>
              <w:rPr>
                <w:rFonts w:ascii="Times New Roman" w:eastAsia="Times New Roman" w:hAnsi="Times New Roman" w:cs="Times New Roman"/>
                <w:color w:val="000000"/>
                <w:spacing w:val="0"/>
                <w:w w:val="100"/>
                <w:position w:val="0"/>
                <w:sz w:val="18"/>
                <w:szCs w:val="18"/>
              </w:rPr>
              <w:t>49.90%</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年开始建设的募投项目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 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的在建工程已在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年底完工投入使用。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货币资金较年初增加了 </w:t>
            </w:r>
            <w:r>
              <w:rPr>
                <w:rFonts w:ascii="Times New Roman" w:eastAsia="Times New Roman" w:hAnsi="Times New Roman" w:cs="Times New Roman"/>
                <w:color w:val="000000"/>
                <w:spacing w:val="0"/>
                <w:w w:val="100"/>
                <w:position w:val="0"/>
                <w:sz w:val="18"/>
                <w:szCs w:val="18"/>
              </w:rPr>
              <w:t>52.66%</w:t>
            </w:r>
            <w:r>
              <w:rPr>
                <w:color w:val="000000"/>
                <w:spacing w:val="0"/>
                <w:w w:val="100"/>
                <w:position w:val="0"/>
              </w:rPr>
              <w:t xml:space="preserve">，一方面由于公司第四季度销售收款较上年同期增加 了 </w:t>
            </w:r>
            <w:r>
              <w:rPr>
                <w:rFonts w:ascii="Times New Roman" w:eastAsia="Times New Roman" w:hAnsi="Times New Roman" w:cs="Times New Roman"/>
                <w:color w:val="000000"/>
                <w:spacing w:val="0"/>
                <w:w w:val="100"/>
                <w:position w:val="0"/>
                <w:sz w:val="18"/>
                <w:szCs w:val="18"/>
              </w:rPr>
              <w:t>6,390.06</w:t>
            </w:r>
            <w:r>
              <w:rPr>
                <w:color w:val="000000"/>
                <w:spacing w:val="0"/>
                <w:w w:val="100"/>
                <w:position w:val="0"/>
              </w:rPr>
              <w:t>万元；另一方面由于报告期内公司收到特定投资者非公开发行股份募集 配套资金及员工持股计划募集资金的保证金。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预付款项较年初下降了 </w:t>
            </w:r>
            <w:r>
              <w:rPr>
                <w:rFonts w:ascii="Times New Roman" w:eastAsia="Times New Roman" w:hAnsi="Times New Roman" w:cs="Times New Roman"/>
                <w:color w:val="000000"/>
                <w:spacing w:val="0"/>
                <w:w w:val="100"/>
                <w:position w:val="0"/>
                <w:sz w:val="18"/>
                <w:szCs w:val="18"/>
              </w:rPr>
              <w:t>52.90%</w:t>
            </w:r>
            <w:r>
              <w:rPr>
                <w:color w:val="000000"/>
                <w:spacing w:val="0"/>
                <w:w w:val="100"/>
                <w:position w:val="0"/>
              </w:rPr>
              <w:t>，主要系年初预付货款已在报告期内入库。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其他应收款较年初增加了 </w:t>
            </w:r>
            <w:r>
              <w:rPr>
                <w:rFonts w:ascii="Times New Roman" w:eastAsia="Times New Roman" w:hAnsi="Times New Roman" w:cs="Times New Roman"/>
                <w:color w:val="000000"/>
                <w:spacing w:val="0"/>
                <w:w w:val="100"/>
                <w:position w:val="0"/>
                <w:sz w:val="18"/>
                <w:szCs w:val="18"/>
              </w:rPr>
              <w:t>32.10%</w:t>
            </w:r>
            <w:r>
              <w:rPr>
                <w:color w:val="000000"/>
                <w:spacing w:val="0"/>
                <w:w w:val="100"/>
                <w:position w:val="0"/>
              </w:rPr>
              <w:t>，主要是系报告期内公司支付给卧龙控股集团有限 公司因发行股份及支付现金购买资产事项的履约保证金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其他流动资产较年初下降了 </w:t>
            </w:r>
            <w:r>
              <w:rPr>
                <w:rFonts w:ascii="Times New Roman" w:eastAsia="Times New Roman" w:hAnsi="Times New Roman" w:cs="Times New Roman"/>
                <w:color w:val="000000"/>
                <w:spacing w:val="0"/>
                <w:w w:val="100"/>
                <w:position w:val="0"/>
                <w:sz w:val="18"/>
                <w:szCs w:val="18"/>
              </w:rPr>
              <w:t>99.65%</w:t>
            </w:r>
            <w:r>
              <w:rPr>
                <w:color w:val="000000"/>
                <w:spacing w:val="0"/>
                <w:w w:val="100"/>
                <w:position w:val="0"/>
              </w:rPr>
              <w:t>，主要系年初应收的理财产品本金已在报告期内 到期收回。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长期待摊费用较年初增加了 </w:t>
            </w:r>
            <w:r>
              <w:rPr>
                <w:rFonts w:ascii="Times New Roman" w:eastAsia="Times New Roman" w:hAnsi="Times New Roman" w:cs="Times New Roman"/>
                <w:color w:val="000000"/>
                <w:spacing w:val="0"/>
                <w:w w:val="100"/>
                <w:position w:val="0"/>
                <w:sz w:val="18"/>
                <w:szCs w:val="18"/>
              </w:rPr>
              <w:t>125.4%</w:t>
            </w:r>
            <w:r>
              <w:rPr>
                <w:color w:val="000000"/>
                <w:spacing w:val="0"/>
                <w:w w:val="100"/>
                <w:position w:val="0"/>
              </w:rPr>
              <w:t>，主要系报告期增加了观音山办公室的装修费。</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、主要境外资产情况</w:t>
      </w:r>
      <w:bookmarkEnd w:id="88"/>
      <w:bookmarkEnd w:id="89"/>
      <w:bookmarkEnd w:id="91"/>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三</w:t>
      </w:r>
      <w:bookmarkEnd w:id="94"/>
      <w:r>
        <w:rPr>
          <w:color w:val="000000"/>
          <w:spacing w:val="0"/>
          <w:w w:val="100"/>
          <w:position w:val="0"/>
          <w:sz w:val="24"/>
          <w:szCs w:val="24"/>
        </w:rPr>
        <w:t>、核心竞争力分析</w:t>
      </w:r>
      <w:bookmarkEnd w:id="92"/>
      <w:bookmarkEnd w:id="93"/>
      <w:bookmarkEnd w:id="9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公司是国内较早推广电力设备状态检测、监测产品的企业，自</w:t>
      </w:r>
      <w:r>
        <w:rPr>
          <w:rFonts w:ascii="Times New Roman" w:eastAsia="Times New Roman" w:hAnsi="Times New Roman" w:cs="Times New Roman"/>
          <w:color w:val="000000"/>
          <w:spacing w:val="0"/>
          <w:w w:val="100"/>
          <w:position w:val="0"/>
        </w:rPr>
        <w:t>2005</w:t>
      </w:r>
      <w:r>
        <w:rPr>
          <w:color w:val="000000"/>
          <w:spacing w:val="0"/>
          <w:w w:val="100"/>
          <w:position w:val="0"/>
        </w:rPr>
        <w:t>年成立时起即开始从事电力设备状 态检测、监测产品的销售和技术服务业务。在国内电力行业客户对状态检测、监测尚缺乏认识、行业整体 上处于萌芽阶段的时候，公司进行了大量的技术宣贯和推广应用工作，为推动行业的发展做出了贡献，并 在用户中树立了良好的形象。为了更好地满足电力客户的个性化需求，公司于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月设立了技术研究 所，于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月收购了澳洲红相、上海红相等公司，于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月收购涵普电力公司，</w:t>
      </w:r>
      <w:r>
        <w:rPr>
          <w:rFonts w:ascii="Times New Roman" w:eastAsia="Times New Roman" w:hAnsi="Times New Roman" w:cs="Times New Roman"/>
          <w:color w:val="000000"/>
          <w:spacing w:val="0"/>
          <w:w w:val="100"/>
          <w:position w:val="0"/>
        </w:rPr>
        <w:t>2015</w:t>
      </w:r>
      <w:r>
        <w:rPr>
          <w:color w:val="000000"/>
          <w:spacing w:val="0"/>
          <w:w w:val="100"/>
          <w:position w:val="0"/>
        </w:rPr>
        <w:t>年扩建研发 中心；于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月设立了红相软件，</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月设立红相信息，不断向研发、技术、生产和软件领域推进, </w:t>
      </w:r>
      <w:r>
        <w:rPr>
          <w:color w:val="000000"/>
          <w:spacing w:val="0"/>
          <w:w w:val="100"/>
          <w:position w:val="0"/>
        </w:rPr>
        <w:t>从而逐步发展成为一家以市场与研发为导向的企业。目前，公司已经在营销、技术、研发、产品、品牌以 及人才等方面具备了相当强的市场竞争优势，并能对市场需求的变化作出快速反应。与此同时，公司积极 寻求通过外延式并购优化公司业务结构和产业布局的机会，以进一步提升公司持续盈利能力和抗风险能 力，</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月公司筹划重大资产重组事项拟收购合肥星波通信股份有限公司</w:t>
      </w:r>
      <w:r>
        <w:rPr>
          <w:rFonts w:ascii="Times New Roman" w:eastAsia="Times New Roman" w:hAnsi="Times New Roman" w:cs="Times New Roman"/>
          <w:color w:val="000000"/>
          <w:spacing w:val="0"/>
          <w:w w:val="100"/>
          <w:position w:val="0"/>
        </w:rPr>
        <w:t>67.54%</w:t>
      </w:r>
      <w:r>
        <w:rPr>
          <w:color w:val="000000"/>
          <w:spacing w:val="0"/>
          <w:w w:val="100"/>
          <w:position w:val="0"/>
        </w:rPr>
        <w:t>股份、卧龙电气银川 变压器有限公司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股权，以积极把握铁路行业、军工电子产业快速发展的良好契机，向铁路和军工电子 领域进行深入拓展。</w:t>
      </w:r>
    </w:p>
    <w:p>
      <w:pPr>
        <w:pStyle w:val="Style35"/>
        <w:keepNext w:val="0"/>
        <w:keepLines w:val="0"/>
        <w:widowControl w:val="0"/>
        <w:shd w:val="clear" w:color="auto" w:fill="auto"/>
        <w:tabs>
          <w:tab w:pos="748" w:val="left"/>
        </w:tabs>
        <w:bidi w:val="0"/>
        <w:spacing w:before="0" w:after="0" w:line="326" w:lineRule="auto"/>
        <w:ind w:left="0" w:right="0" w:firstLine="440"/>
        <w:jc w:val="both"/>
      </w:pPr>
      <w:bookmarkStart w:id="96" w:name="bookmark96"/>
      <w:r>
        <w:rPr>
          <w:rFonts w:ascii="Times New Roman" w:eastAsia="Times New Roman" w:hAnsi="Times New Roman" w:cs="Times New Roman"/>
          <w:b/>
          <w:bCs/>
          <w:color w:val="000000"/>
          <w:spacing w:val="0"/>
          <w:w w:val="100"/>
          <w:position w:val="0"/>
        </w:rPr>
        <w:t>1</w:t>
      </w:r>
      <w:bookmarkEnd w:id="96"/>
      <w:r>
        <w:rPr>
          <w:b/>
          <w:bCs/>
          <w:color w:val="000000"/>
          <w:spacing w:val="0"/>
          <w:w w:val="100"/>
          <w:position w:val="0"/>
        </w:rPr>
        <w:t>、</w:t>
        <w:tab/>
        <w:t>先发优势</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依托子公司澳洲红相在电力设备状态检测、监测行业四十多年的技术和经验积累，公司自成立以来就 在中国市场大力推广电力设备状态检测、监测产品的应用，并为行业的成熟发展作出了贡献，同时也确立 了公司在研发技术、经验、市场、品牌等各方面的先发优势。具体主要体现在以下几个方面：</w:t>
      </w:r>
    </w:p>
    <w:p>
      <w:pPr>
        <w:pStyle w:val="Style35"/>
        <w:keepNext w:val="0"/>
        <w:keepLines w:val="0"/>
        <w:widowControl w:val="0"/>
        <w:numPr>
          <w:ilvl w:val="0"/>
          <w:numId w:val="7"/>
        </w:numPr>
        <w:shd w:val="clear" w:color="auto" w:fill="auto"/>
        <w:tabs>
          <w:tab w:pos="754" w:val="left"/>
        </w:tabs>
        <w:bidi w:val="0"/>
        <w:spacing w:before="0" w:after="100" w:line="314" w:lineRule="exact"/>
        <w:ind w:left="0" w:right="0" w:firstLine="440"/>
        <w:jc w:val="both"/>
      </w:pPr>
      <w:bookmarkStart w:id="97" w:name="bookmark97"/>
      <w:bookmarkEnd w:id="97"/>
      <w:r>
        <w:rPr>
          <w:rFonts w:ascii="Times New Roman" w:eastAsia="Times New Roman" w:hAnsi="Times New Roman" w:cs="Times New Roman"/>
          <w:color w:val="000000"/>
          <w:spacing w:val="0"/>
          <w:w w:val="100"/>
          <w:position w:val="0"/>
        </w:rPr>
        <w:t>2005</w:t>
      </w:r>
      <w:r>
        <w:rPr>
          <w:color w:val="000000"/>
          <w:spacing w:val="0"/>
          <w:w w:val="100"/>
          <w:position w:val="0"/>
        </w:rPr>
        <w:t>年成立之初，公司主要销售澳洲红相的非传统式互感器测试仪、计量装置远程校验系统、接地 装置特性参数测量系统等电力设备状态检测、监测产品。</w:t>
      </w:r>
      <w:r>
        <w:rPr>
          <w:rFonts w:ascii="Times New Roman" w:eastAsia="Times New Roman" w:hAnsi="Times New Roman" w:cs="Times New Roman"/>
          <w:color w:val="000000"/>
          <w:spacing w:val="0"/>
          <w:w w:val="100"/>
          <w:position w:val="0"/>
        </w:rPr>
        <w:t>2008</w:t>
      </w:r>
      <w:r>
        <w:rPr>
          <w:color w:val="000000"/>
          <w:spacing w:val="0"/>
          <w:w w:val="100"/>
          <w:position w:val="0"/>
        </w:rPr>
        <w:t>年，公司通过收购澳洲红相</w:t>
      </w:r>
      <w:r>
        <w:rPr>
          <w:rFonts w:ascii="Times New Roman" w:eastAsia="Times New Roman" w:hAnsi="Times New Roman" w:cs="Times New Roman"/>
          <w:color w:val="000000"/>
          <w:spacing w:val="0"/>
          <w:w w:val="100"/>
          <w:position w:val="0"/>
        </w:rPr>
        <w:t>100%</w:t>
      </w:r>
      <w:r>
        <w:rPr>
          <w:color w:val="000000"/>
          <w:spacing w:val="0"/>
          <w:w w:val="100"/>
          <w:position w:val="0"/>
        </w:rPr>
        <w:t>股权，获得 了澳洲红相经过四十多年积累起来的电力设备专有的研发和技术经验，从而成为少数拥有电力设备状态检 测、监测核心技术的企业之一。经过近几年的发展，公司通过消化吸收和改进国外先进技术，不断推出更 加符合国内客户需求特点的产品，实现了国外先进技术和国内客户需求之间的有效对接，促进了国内电力 设备状态检测、监测行业的发展，并在业内树立起明显的技术先发优势。</w:t>
      </w:r>
    </w:p>
    <w:p>
      <w:pPr>
        <w:pStyle w:val="Style35"/>
        <w:keepNext w:val="0"/>
        <w:keepLines w:val="0"/>
        <w:widowControl w:val="0"/>
        <w:numPr>
          <w:ilvl w:val="0"/>
          <w:numId w:val="7"/>
        </w:numPr>
        <w:shd w:val="clear" w:color="auto" w:fill="auto"/>
        <w:tabs>
          <w:tab w:pos="754" w:val="left"/>
        </w:tabs>
        <w:bidi w:val="0"/>
        <w:spacing w:before="0" w:after="100" w:line="313" w:lineRule="exact"/>
        <w:ind w:left="0" w:right="0" w:firstLine="440"/>
        <w:jc w:val="both"/>
      </w:pPr>
      <w:bookmarkStart w:id="98" w:name="bookmark98"/>
      <w:bookmarkEnd w:id="98"/>
      <w:r>
        <w:rPr>
          <w:color w:val="000000"/>
          <w:spacing w:val="0"/>
          <w:w w:val="100"/>
          <w:position w:val="0"/>
        </w:rPr>
        <w:t>由于电力系统企业对于电力设备运行的稳定性和可靠性要求较高，而电力设备历史运行业绩是对产 品质量和履约能力的最好佐证，因此，招标方在招标过程中一般会将供应商产品的运行业绩作为重要考核 指标之一。公司作为国内较早推广电力设备状态检测、监测产品的企业之一，具备多年电力设备状态检测、 监测产品的经营经验，相关产品已广泛应用于国家电网公司、南方电网公司及其下属的各级电力企业，并 取得了良好的口碑和稳定的运行业绩。因此，公司产品稳定的历史运行业绩已为公司在业内树立起市场先 发优势。</w:t>
      </w:r>
    </w:p>
    <w:p>
      <w:pPr>
        <w:pStyle w:val="Style35"/>
        <w:keepNext w:val="0"/>
        <w:keepLines w:val="0"/>
        <w:widowControl w:val="0"/>
        <w:numPr>
          <w:ilvl w:val="0"/>
          <w:numId w:val="7"/>
        </w:numPr>
        <w:shd w:val="clear" w:color="auto" w:fill="auto"/>
        <w:tabs>
          <w:tab w:pos="754" w:val="left"/>
        </w:tabs>
        <w:bidi w:val="0"/>
        <w:spacing w:before="0" w:after="200" w:line="312" w:lineRule="exact"/>
        <w:ind w:left="0" w:right="0" w:firstLine="440"/>
        <w:jc w:val="both"/>
      </w:pPr>
      <w:bookmarkStart w:id="99" w:name="bookmark99"/>
      <w:bookmarkEnd w:id="99"/>
      <w:r>
        <w:rPr>
          <w:color w:val="000000"/>
          <w:spacing w:val="0"/>
          <w:w w:val="100"/>
          <w:position w:val="0"/>
        </w:rPr>
        <w:t>随着智能电网建设规划的提出和状态检修理念逐步被电力企业所接受，国内电力企业对电力设备状 态检测、监测产品的需求正在不断增加，且已开始着手相关标准的制定工作。截至报告出具日，公司已相 继受邀参与了一些行业标准以及具体应用标准的编制工作。其中，公司参与编制的《接地装置特性参数测 量导则》这一行业标准已于</w:t>
      </w:r>
      <w:r>
        <w:rPr>
          <w:rFonts w:ascii="Times New Roman" w:eastAsia="Times New Roman" w:hAnsi="Times New Roman" w:cs="Times New Roman"/>
          <w:color w:val="000000"/>
          <w:spacing w:val="0"/>
          <w:w w:val="100"/>
          <w:position w:val="0"/>
        </w:rPr>
        <w:t>2006</w:t>
      </w:r>
      <w:r>
        <w:rPr>
          <w:color w:val="000000"/>
          <w:spacing w:val="0"/>
          <w:w w:val="100"/>
          <w:position w:val="0"/>
        </w:rPr>
        <w:t>年正式发布；公司参与的由云南电力试验研究院（集团）有限公司负责编 撰的《高压开关柜超声波、地电波局部放电带电检测技术应用导则》，国家电网公司企业标准《暂态地电 压局部放电监测仪技术规范》，以及福建省质量技术监督局发布的福建省地方计量技术规范《电流互感器 现场校验仪校准规范》、《电压互感器现场校验仪校准规范》的编制工作已顺利完成并发布。</w:t>
      </w:r>
    </w:p>
    <w:p>
      <w:pPr>
        <w:pStyle w:val="Style35"/>
        <w:keepNext w:val="0"/>
        <w:keepLines w:val="0"/>
        <w:widowControl w:val="0"/>
        <w:shd w:val="clear" w:color="auto" w:fill="auto"/>
        <w:tabs>
          <w:tab w:pos="758" w:val="left"/>
        </w:tabs>
        <w:bidi w:val="0"/>
        <w:spacing w:before="0" w:after="0" w:line="326" w:lineRule="auto"/>
        <w:ind w:left="0" w:right="0" w:firstLine="440"/>
        <w:jc w:val="both"/>
      </w:pPr>
      <w:bookmarkStart w:id="100" w:name="bookmark100"/>
      <w:r>
        <w:rPr>
          <w:rFonts w:ascii="Times New Roman" w:eastAsia="Times New Roman" w:hAnsi="Times New Roman" w:cs="Times New Roman"/>
          <w:b/>
          <w:bCs/>
          <w:color w:val="000000"/>
          <w:spacing w:val="0"/>
          <w:w w:val="100"/>
          <w:position w:val="0"/>
        </w:rPr>
        <w:t>2</w:t>
      </w:r>
      <w:bookmarkEnd w:id="100"/>
      <w:r>
        <w:rPr>
          <w:b/>
          <w:bCs/>
          <w:color w:val="000000"/>
          <w:spacing w:val="0"/>
          <w:w w:val="100"/>
          <w:position w:val="0"/>
        </w:rPr>
        <w:t>、</w:t>
        <w:tab/>
        <w:t>技术研发优势</w:t>
      </w:r>
    </w:p>
    <w:p>
      <w:pPr>
        <w:pStyle w:val="Style35"/>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公司专业从事电力设备状态检测、监测产品的研发和生产，并在该领域积累了丰富的技术和经验。公 司已经在互感器检测、局部放电检测、电测装置、配网自动化等系列产品的开发和持续完善。并在红外、 声学、变频等专业技术领域完成一定的技术积累并开发相关的系列产品。并在研发方面积累了相关优势如 下：</w:t>
      </w:r>
    </w:p>
    <w:p>
      <w:pPr>
        <w:pStyle w:val="Style35"/>
        <w:keepNext w:val="0"/>
        <w:keepLines w:val="0"/>
        <w:widowControl w:val="0"/>
        <w:numPr>
          <w:ilvl w:val="0"/>
          <w:numId w:val="9"/>
        </w:numPr>
        <w:shd w:val="clear" w:color="auto" w:fill="auto"/>
        <w:tabs>
          <w:tab w:pos="772" w:val="left"/>
        </w:tabs>
        <w:bidi w:val="0"/>
        <w:spacing w:before="0" w:after="100" w:line="313" w:lineRule="exact"/>
        <w:ind w:left="0" w:right="0" w:firstLine="440"/>
        <w:jc w:val="both"/>
      </w:pPr>
      <w:bookmarkStart w:id="101" w:name="bookmark101"/>
      <w:bookmarkEnd w:id="101"/>
      <w:r>
        <w:rPr>
          <w:color w:val="000000"/>
          <w:spacing w:val="0"/>
          <w:w w:val="100"/>
          <w:position w:val="0"/>
        </w:rPr>
        <w:t>积累了详实的电力设备信息数据库和丰富的故障识别案例库</w:t>
      </w:r>
    </w:p>
    <w:p>
      <w:pPr>
        <w:pStyle w:val="Style35"/>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公司作为国内较早涉入电力设备状态检测、监测及电测装置领域的企业之一，在销售商品和提供服务 过程中，已积累了大量的电力设备运行状态分析的经验数据和故障识别案例库。详实的电力设备信息数据 库和丰富的案例库不仅是从事技术研发的基础素材，也是改善公司产品质量、提升公司服务水平的重要保 障，还能为电力公司进行电力设备全寿命周期管理及状态检修决策提供直接的支持和指导。</w:t>
      </w:r>
    </w:p>
    <w:p>
      <w:pPr>
        <w:pStyle w:val="Style35"/>
        <w:keepNext w:val="0"/>
        <w:keepLines w:val="0"/>
        <w:widowControl w:val="0"/>
        <w:numPr>
          <w:ilvl w:val="0"/>
          <w:numId w:val="9"/>
        </w:numPr>
        <w:shd w:val="clear" w:color="auto" w:fill="auto"/>
        <w:tabs>
          <w:tab w:pos="777" w:val="left"/>
        </w:tabs>
        <w:bidi w:val="0"/>
        <w:spacing w:before="0" w:after="100" w:line="313" w:lineRule="exact"/>
        <w:ind w:left="0" w:right="0" w:firstLine="440"/>
        <w:jc w:val="both"/>
      </w:pPr>
      <w:bookmarkStart w:id="102" w:name="bookmark102"/>
      <w:bookmarkEnd w:id="102"/>
      <w:r>
        <w:rPr>
          <w:color w:val="000000"/>
          <w:spacing w:val="0"/>
          <w:w w:val="100"/>
          <w:position w:val="0"/>
        </w:rPr>
        <w:t>拥有专业化的研发团队和相对完备的研发平台</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公司已建成一支拥有超过一百名研发人员的专业化研发团队，研发人员数量占公司员工总数的 </w:t>
      </w:r>
      <w:r>
        <w:rPr>
          <w:rFonts w:ascii="Times New Roman" w:eastAsia="Times New Roman" w:hAnsi="Times New Roman" w:cs="Times New Roman"/>
          <w:color w:val="000000"/>
          <w:spacing w:val="0"/>
          <w:w w:val="100"/>
          <w:position w:val="0"/>
        </w:rPr>
        <w:t>20.56%</w:t>
      </w:r>
      <w:r>
        <w:rPr>
          <w:color w:val="000000"/>
          <w:spacing w:val="0"/>
          <w:w w:val="100"/>
          <w:position w:val="0"/>
        </w:rPr>
        <w:t>。上述研发人员均拥有扎实的理论基础、良好的专业背景和优秀的创新能力，学历均为本科或本科 以上，专业以电气工程、电子、计算机等专业为主。建立了相对完备的研发平台，并拥有高压局部放电物 理模拟实验室、高频电气测试实验室、超声波检测实验室、互感器检测实验室、电磁屏蔽室、环境实验室、 电磁兼容实验室、电测实验室、机械声学实验室等多个研发中心实验室，具备了开发高性能产品的基础条 件。</w:t>
      </w:r>
    </w:p>
    <w:p>
      <w:pPr>
        <w:pStyle w:val="Style35"/>
        <w:keepNext w:val="0"/>
        <w:keepLines w:val="0"/>
        <w:widowControl w:val="0"/>
        <w:numPr>
          <w:ilvl w:val="0"/>
          <w:numId w:val="9"/>
        </w:numPr>
        <w:shd w:val="clear" w:color="auto" w:fill="auto"/>
        <w:bidi w:val="0"/>
        <w:spacing w:before="0" w:after="100" w:line="313" w:lineRule="exact"/>
        <w:ind w:left="0" w:right="0" w:firstLine="440"/>
        <w:jc w:val="both"/>
      </w:pPr>
      <w:bookmarkStart w:id="103" w:name="bookmark103"/>
      <w:bookmarkEnd w:id="103"/>
      <w:r>
        <w:rPr>
          <w:color w:val="000000"/>
          <w:spacing w:val="0"/>
          <w:w w:val="100"/>
          <w:position w:val="0"/>
        </w:rPr>
        <w:t>形成了一系列的先进技术成果</w:t>
      </w:r>
    </w:p>
    <w:p>
      <w:pPr>
        <w:pStyle w:val="Style35"/>
        <w:keepNext w:val="0"/>
        <w:keepLines w:val="0"/>
        <w:widowControl w:val="0"/>
        <w:shd w:val="clear" w:color="auto" w:fill="auto"/>
        <w:bidi w:val="0"/>
        <w:spacing w:before="0" w:after="100" w:line="308" w:lineRule="exact"/>
        <w:ind w:left="0" w:right="0" w:firstLine="440"/>
        <w:jc w:val="both"/>
      </w:pPr>
      <w:r>
        <w:rPr>
          <w:color w:val="000000"/>
          <w:spacing w:val="0"/>
          <w:w w:val="100"/>
          <w:position w:val="0"/>
        </w:rPr>
        <w:t>作为国内较早涉足电力设备状态检测、监测行业的企业之一，公司成立以来，一直致力于电力设备状 态检测、监测及电测装置的研究和开发。经过多年的持续研发和技术积累，公司现已发展成为国内电力设 备状态检修领域的知名企业之一，并取得了一系列知识产权，部分产品还被认定为厦门市高新技术产品。 截至本报告期末，公司已获得</w:t>
      </w:r>
      <w:r>
        <w:rPr>
          <w:rFonts w:ascii="Times New Roman" w:eastAsia="Times New Roman" w:hAnsi="Times New Roman" w:cs="Times New Roman"/>
          <w:color w:val="000000"/>
          <w:spacing w:val="0"/>
          <w:w w:val="100"/>
          <w:position w:val="0"/>
        </w:rPr>
        <w:t>12</w:t>
      </w:r>
      <w:r>
        <w:rPr>
          <w:color w:val="000000"/>
          <w:spacing w:val="0"/>
          <w:w w:val="100"/>
          <w:position w:val="0"/>
        </w:rPr>
        <w:t>项发明专利，</w:t>
      </w:r>
      <w:r>
        <w:rPr>
          <w:rFonts w:ascii="Times New Roman" w:eastAsia="Times New Roman" w:hAnsi="Times New Roman" w:cs="Times New Roman"/>
          <w:color w:val="000000"/>
          <w:spacing w:val="0"/>
          <w:w w:val="100"/>
          <w:position w:val="0"/>
        </w:rPr>
        <w:t>84</w:t>
      </w:r>
      <w:r>
        <w:rPr>
          <w:color w:val="000000"/>
          <w:spacing w:val="0"/>
          <w:w w:val="100"/>
          <w:position w:val="0"/>
        </w:rPr>
        <w:t>项实用新型专利，</w:t>
      </w:r>
      <w:r>
        <w:rPr>
          <w:rFonts w:ascii="Times New Roman" w:eastAsia="Times New Roman" w:hAnsi="Times New Roman" w:cs="Times New Roman"/>
          <w:color w:val="000000"/>
          <w:spacing w:val="0"/>
          <w:w w:val="100"/>
          <w:position w:val="0"/>
        </w:rPr>
        <w:t>4</w:t>
      </w:r>
      <w:r>
        <w:rPr>
          <w:color w:val="000000"/>
          <w:spacing w:val="0"/>
          <w:w w:val="100"/>
          <w:position w:val="0"/>
        </w:rPr>
        <w:t>项外观设计专利，</w:t>
      </w:r>
      <w:r>
        <w:rPr>
          <w:rFonts w:ascii="Times New Roman" w:eastAsia="Times New Roman" w:hAnsi="Times New Roman" w:cs="Times New Roman"/>
          <w:color w:val="000000"/>
          <w:spacing w:val="0"/>
          <w:w w:val="100"/>
          <w:position w:val="0"/>
        </w:rPr>
        <w:t>62</w:t>
      </w:r>
      <w:r>
        <w:rPr>
          <w:color w:val="000000"/>
          <w:spacing w:val="0"/>
          <w:w w:val="100"/>
          <w:position w:val="0"/>
        </w:rPr>
        <w:t xml:space="preserve">项软件著作权， </w:t>
      </w:r>
      <w:r>
        <w:rPr>
          <w:rFonts w:ascii="Times New Roman" w:eastAsia="Times New Roman" w:hAnsi="Times New Roman" w:cs="Times New Roman"/>
          <w:color w:val="000000"/>
          <w:spacing w:val="0"/>
          <w:w w:val="100"/>
          <w:position w:val="0"/>
        </w:rPr>
        <w:t>17</w:t>
      </w:r>
      <w:r>
        <w:rPr>
          <w:color w:val="000000"/>
          <w:spacing w:val="0"/>
          <w:w w:val="100"/>
          <w:position w:val="0"/>
        </w:rPr>
        <w:t>项软件产品。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年公司被认定为</w:t>
      </w:r>
      <w:r>
        <w:rPr>
          <w:rFonts w:ascii="Times New Roman" w:eastAsia="Times New Roman" w:hAnsi="Times New Roman" w:cs="Times New Roman"/>
          <w:color w:val="000000"/>
          <w:spacing w:val="0"/>
          <w:w w:val="100"/>
          <w:position w:val="0"/>
        </w:rPr>
        <w:t>“</w:t>
      </w:r>
      <w:r>
        <w:rPr>
          <w:color w:val="000000"/>
          <w:spacing w:val="0"/>
          <w:w w:val="100"/>
          <w:position w:val="0"/>
        </w:rPr>
        <w:t>高新技术企业</w:t>
      </w:r>
    </w:p>
    <w:p>
      <w:pPr>
        <w:pStyle w:val="Style3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公司通过子公司澳洲红相，消化吸收境外先进技术，加强境内外技术研发部门的密切合作，不仅加快 了国外先进技术在国内的推广和应用，而且实现了国内客户需求与国外先进技术之间的有效对接，从而树 立了公司独特的技术竞争优势。</w:t>
      </w:r>
    </w:p>
    <w:p>
      <w:pPr>
        <w:pStyle w:val="Style35"/>
        <w:keepNext w:val="0"/>
        <w:keepLines w:val="0"/>
        <w:widowControl w:val="0"/>
        <w:shd w:val="clear" w:color="auto" w:fill="auto"/>
        <w:tabs>
          <w:tab w:pos="768" w:val="left"/>
        </w:tabs>
        <w:bidi w:val="0"/>
        <w:spacing w:before="0" w:after="0" w:line="326" w:lineRule="auto"/>
        <w:ind w:left="0" w:right="0" w:firstLine="440"/>
        <w:jc w:val="both"/>
      </w:pPr>
      <w:bookmarkStart w:id="104" w:name="bookmark104"/>
      <w:r>
        <w:rPr>
          <w:rFonts w:ascii="Times New Roman" w:eastAsia="Times New Roman" w:hAnsi="Times New Roman" w:cs="Times New Roman"/>
          <w:b/>
          <w:bCs/>
          <w:color w:val="000000"/>
          <w:spacing w:val="0"/>
          <w:w w:val="100"/>
          <w:position w:val="0"/>
        </w:rPr>
        <w:t>3</w:t>
      </w:r>
      <w:bookmarkEnd w:id="104"/>
      <w:r>
        <w:rPr>
          <w:b/>
          <w:bCs/>
          <w:color w:val="000000"/>
          <w:spacing w:val="0"/>
          <w:w w:val="100"/>
          <w:position w:val="0"/>
        </w:rPr>
        <w:t>、</w:t>
        <w:tab/>
        <w:t>营销优势</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公司成立以来，就一直从事电力设备状态检测、监测产品及电测装置的销售与技术服务业务。经过多 年的市场积累，公司已在电力系统中积累了广泛的客户资源，具体已延伸到两大电网公司及其下属的众多 成员企业、发电企业等。</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随着业务的不断发展，公司营销队伍和营销网络建设力度不断加大。截至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公司已建 立一支由</w:t>
      </w:r>
      <w:r>
        <w:rPr>
          <w:rFonts w:ascii="Times New Roman" w:eastAsia="Times New Roman" w:hAnsi="Times New Roman" w:cs="Times New Roman"/>
          <w:color w:val="000000"/>
          <w:spacing w:val="0"/>
          <w:w w:val="100"/>
          <w:position w:val="0"/>
        </w:rPr>
        <w:t>150</w:t>
      </w:r>
      <w:r>
        <w:rPr>
          <w:color w:val="000000"/>
          <w:spacing w:val="0"/>
          <w:w w:val="100"/>
          <w:position w:val="0"/>
        </w:rPr>
        <w:t>名销售人员组成的销售队伍，其中，</w:t>
      </w:r>
      <w:r>
        <w:rPr>
          <w:rFonts w:ascii="Times New Roman" w:eastAsia="Times New Roman" w:hAnsi="Times New Roman" w:cs="Times New Roman"/>
          <w:color w:val="000000"/>
          <w:spacing w:val="0"/>
          <w:w w:val="100"/>
          <w:position w:val="0"/>
        </w:rPr>
        <w:t>63.33%</w:t>
      </w:r>
      <w:r>
        <w:rPr>
          <w:color w:val="000000"/>
          <w:spacing w:val="0"/>
          <w:w w:val="100"/>
          <w:position w:val="0"/>
        </w:rPr>
        <w:t>在公司的服务期限在</w:t>
      </w:r>
      <w:r>
        <w:rPr>
          <w:rFonts w:ascii="Times New Roman" w:eastAsia="Times New Roman" w:hAnsi="Times New Roman" w:cs="Times New Roman"/>
          <w:color w:val="000000"/>
          <w:spacing w:val="0"/>
          <w:w w:val="100"/>
          <w:position w:val="0"/>
        </w:rPr>
        <w:t>3</w:t>
      </w:r>
      <w:r>
        <w:rPr>
          <w:color w:val="000000"/>
          <w:spacing w:val="0"/>
          <w:w w:val="100"/>
          <w:position w:val="0"/>
        </w:rPr>
        <w:t>年及以上，</w:t>
      </w:r>
      <w:r>
        <w:rPr>
          <w:rFonts w:ascii="Times New Roman" w:eastAsia="Times New Roman" w:hAnsi="Times New Roman" w:cs="Times New Roman"/>
          <w:color w:val="000000"/>
          <w:spacing w:val="0"/>
          <w:w w:val="100"/>
          <w:position w:val="0"/>
        </w:rPr>
        <w:t>41.33%</w:t>
      </w:r>
      <w:r>
        <w:rPr>
          <w:color w:val="000000"/>
          <w:spacing w:val="0"/>
          <w:w w:val="100"/>
          <w:position w:val="0"/>
        </w:rPr>
        <w:t>具有本科 及以上学历，专业以电气工程及自动化为主。同时，截至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日，公司已在全国建立了近</w:t>
      </w:r>
      <w:r>
        <w:rPr>
          <w:rFonts w:ascii="Times New Roman" w:eastAsia="Times New Roman" w:hAnsi="Times New Roman" w:cs="Times New Roman"/>
          <w:color w:val="000000"/>
          <w:spacing w:val="0"/>
          <w:w w:val="100"/>
          <w:position w:val="0"/>
        </w:rPr>
        <w:t>30</w:t>
      </w:r>
      <w:r>
        <w:rPr>
          <w:color w:val="000000"/>
          <w:spacing w:val="0"/>
          <w:w w:val="100"/>
          <w:position w:val="0"/>
        </w:rPr>
        <w:t xml:space="preserve">个联 络处，每个联络处至少配备了 </w:t>
      </w:r>
      <w:r>
        <w:rPr>
          <w:rFonts w:ascii="Times New Roman" w:eastAsia="Times New Roman" w:hAnsi="Times New Roman" w:cs="Times New Roman"/>
          <w:color w:val="000000"/>
          <w:spacing w:val="0"/>
          <w:w w:val="100"/>
          <w:position w:val="0"/>
        </w:rPr>
        <w:t>1</w:t>
      </w:r>
      <w:r>
        <w:rPr>
          <w:color w:val="000000"/>
          <w:spacing w:val="0"/>
          <w:w w:val="100"/>
          <w:position w:val="0"/>
        </w:rPr>
        <w:t>名专业技术人员。专业、稳定的销售队伍及广泛的营销网络，使公司能够 对客户的需求做出快速、及时的反应，并具备了为客户提供专业、优质技术服务的能力。</w:t>
      </w:r>
    </w:p>
    <w:p>
      <w:pPr>
        <w:pStyle w:val="Style35"/>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目前，公司在客户资源、营销队伍以及营销网络方面的优势，已成为公司不断开拓市场的有力保障。</w:t>
      </w:r>
    </w:p>
    <w:p>
      <w:pPr>
        <w:pStyle w:val="Style35"/>
        <w:keepNext w:val="0"/>
        <w:keepLines w:val="0"/>
        <w:widowControl w:val="0"/>
        <w:shd w:val="clear" w:color="auto" w:fill="auto"/>
        <w:tabs>
          <w:tab w:pos="768" w:val="left"/>
        </w:tabs>
        <w:bidi w:val="0"/>
        <w:spacing w:before="0" w:after="0" w:line="326" w:lineRule="auto"/>
        <w:ind w:left="0" w:right="0" w:firstLine="440"/>
        <w:jc w:val="both"/>
      </w:pPr>
      <w:bookmarkStart w:id="105" w:name="bookmark105"/>
      <w:r>
        <w:rPr>
          <w:rFonts w:ascii="Times New Roman" w:eastAsia="Times New Roman" w:hAnsi="Times New Roman" w:cs="Times New Roman"/>
          <w:b/>
          <w:bCs/>
          <w:color w:val="000000"/>
          <w:spacing w:val="0"/>
          <w:w w:val="100"/>
          <w:position w:val="0"/>
        </w:rPr>
        <w:t>4</w:t>
      </w:r>
      <w:bookmarkEnd w:id="105"/>
      <w:r>
        <w:rPr>
          <w:b/>
          <w:bCs/>
          <w:color w:val="000000"/>
          <w:spacing w:val="0"/>
          <w:w w:val="100"/>
          <w:position w:val="0"/>
        </w:rPr>
        <w:t>、</w:t>
        <w:tab/>
        <w:t>产品优势</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经过多年的技术积累和持续的产品研发，目前，公司已开发出众多的电力设备状态检测、监测产品， 并形成了品种多、类别全、配套能力强的特点。公司产品的应用对象涉及发电、输电、变电、配电、用电 各个领域，并可对电力设备局部放电、温度状态、机械特性、测量精度等进行检测、监测，因此，可与各 级电力公司的需求相配套，具有综合配套能力强的特点。</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公司的产品主要包括电力设备状态检测、监测产品和电测产品两大类。其中，电力设备状态检测、监 测产品包括开关柜状态检测、监测系列产品，</w:t>
      </w:r>
      <w:r>
        <w:rPr>
          <w:rFonts w:ascii="Times New Roman" w:eastAsia="Times New Roman" w:hAnsi="Times New Roman" w:cs="Times New Roman"/>
          <w:color w:val="000000"/>
          <w:spacing w:val="0"/>
          <w:w w:val="100"/>
          <w:position w:val="0"/>
        </w:rPr>
        <w:t>GIS</w:t>
      </w:r>
      <w:r>
        <w:rPr>
          <w:color w:val="000000"/>
          <w:spacing w:val="0"/>
          <w:w w:val="100"/>
          <w:position w:val="0"/>
        </w:rPr>
        <w:t>状态检测、监测系列产品，电缆状态检测、监测系列产 品，变压器状态检测、监测系列产品，断路器状态检测、监测系列产品，输电线路状态检测系列产品，接 地装置特性参数测量与管理系统、非传统式互感器测试仪和计量装置远程校验监测系统等；电测产品主要 包括电测标准装置、电能表及用电管理系统等。在产品类别方面，公司产品包括手持式、便携式、安装式 等，可满足不同客户的检测和监测需求。</w:t>
      </w:r>
    </w:p>
    <w:p>
      <w:pPr>
        <w:pStyle w:val="Style35"/>
        <w:keepNext w:val="0"/>
        <w:keepLines w:val="0"/>
        <w:widowControl w:val="0"/>
        <w:shd w:val="clear" w:color="auto" w:fill="auto"/>
        <w:tabs>
          <w:tab w:pos="768" w:val="left"/>
        </w:tabs>
        <w:bidi w:val="0"/>
        <w:spacing w:before="0" w:after="0" w:line="326" w:lineRule="auto"/>
        <w:ind w:left="0" w:right="0" w:firstLine="440"/>
        <w:jc w:val="both"/>
      </w:pPr>
      <w:bookmarkStart w:id="106" w:name="bookmark106"/>
      <w:r>
        <w:rPr>
          <w:rFonts w:ascii="Times New Roman" w:eastAsia="Times New Roman" w:hAnsi="Times New Roman" w:cs="Times New Roman"/>
          <w:b/>
          <w:bCs/>
          <w:color w:val="000000"/>
          <w:spacing w:val="0"/>
          <w:w w:val="100"/>
          <w:position w:val="0"/>
        </w:rPr>
        <w:t>5</w:t>
      </w:r>
      <w:bookmarkEnd w:id="106"/>
      <w:r>
        <w:rPr>
          <w:b/>
          <w:bCs/>
          <w:color w:val="000000"/>
          <w:spacing w:val="0"/>
          <w:w w:val="100"/>
          <w:position w:val="0"/>
        </w:rPr>
        <w:t>、</w:t>
        <w:tab/>
        <w:t>品牌优势</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公司相关产品已广泛应用于国家电网公司、南方电网公司及其下属的各级电力企业、发电企业，并取 得了良好的口碑和稳定的运行业绩。公司产品在上海世博会、广州亚运会等国家重点工程中的应用，不仅 为保障上述工程电力供应的安全、平稳、可靠运行做出了贡献，而且也树立起了</w:t>
      </w:r>
      <w:r>
        <w:rPr>
          <w:rFonts w:ascii="Times New Roman" w:eastAsia="Times New Roman" w:hAnsi="Times New Roman" w:cs="Times New Roman"/>
          <w:color w:val="000000"/>
          <w:spacing w:val="0"/>
          <w:w w:val="100"/>
          <w:position w:val="0"/>
        </w:rPr>
        <w:t>“</w:t>
      </w:r>
      <w:r>
        <w:rPr>
          <w:color w:val="000000"/>
          <w:spacing w:val="0"/>
          <w:w w:val="100"/>
          <w:position w:val="0"/>
        </w:rPr>
        <w:t>红相</w:t>
      </w:r>
      <w:r>
        <w:rPr>
          <w:rFonts w:ascii="Times New Roman" w:eastAsia="Times New Roman" w:hAnsi="Times New Roman" w:cs="Times New Roman"/>
          <w:color w:val="000000"/>
          <w:spacing w:val="0"/>
          <w:w w:val="100"/>
          <w:position w:val="0"/>
        </w:rPr>
        <w:t>''</w:t>
      </w:r>
      <w:r>
        <w:rPr>
          <w:color w:val="000000"/>
          <w:spacing w:val="0"/>
          <w:w w:val="100"/>
          <w:position w:val="0"/>
        </w:rPr>
        <w:t xml:space="preserve">品牌的良好市场形 </w:t>
      </w:r>
      <w:r>
        <w:rPr>
          <w:color w:val="000000"/>
          <w:spacing w:val="0"/>
          <w:w w:val="100"/>
          <w:position w:val="0"/>
        </w:rPr>
        <w:t>象。</w:t>
      </w:r>
    </w:p>
    <w:p>
      <w:pPr>
        <w:pStyle w:val="Style35"/>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优秀的历史运行业绩和良好的品牌效应，增强了公司产品的市场知名度和美誉度，促进了公司的进一 步发展。</w:t>
      </w:r>
    </w:p>
    <w:p>
      <w:pPr>
        <w:pStyle w:val="Style35"/>
        <w:keepNext w:val="0"/>
        <w:keepLines w:val="0"/>
        <w:widowControl w:val="0"/>
        <w:shd w:val="clear" w:color="auto" w:fill="auto"/>
        <w:bidi w:val="0"/>
        <w:spacing w:before="0" w:after="0" w:line="326" w:lineRule="auto"/>
        <w:ind w:left="0" w:right="0" w:firstLine="440"/>
        <w:jc w:val="left"/>
      </w:pPr>
      <w:bookmarkStart w:id="107" w:name="bookmark107"/>
      <w:r>
        <w:rPr>
          <w:rFonts w:ascii="Times New Roman" w:eastAsia="Times New Roman" w:hAnsi="Times New Roman" w:cs="Times New Roman"/>
          <w:b/>
          <w:bCs/>
          <w:color w:val="000000"/>
          <w:spacing w:val="0"/>
          <w:w w:val="100"/>
          <w:position w:val="0"/>
        </w:rPr>
        <w:t>6</w:t>
      </w:r>
      <w:bookmarkEnd w:id="107"/>
      <w:r>
        <w:rPr>
          <w:b/>
          <w:bCs/>
          <w:color w:val="000000"/>
          <w:spacing w:val="0"/>
          <w:w w:val="100"/>
          <w:position w:val="0"/>
        </w:rPr>
        <w:t>、人才优势</w:t>
      </w:r>
    </w:p>
    <w:p>
      <w:pPr>
        <w:pStyle w:val="Style35"/>
        <w:keepNext w:val="0"/>
        <w:keepLines w:val="0"/>
        <w:widowControl w:val="0"/>
        <w:shd w:val="clear" w:color="auto" w:fill="auto"/>
        <w:bidi w:val="0"/>
        <w:spacing w:before="0" w:line="314" w:lineRule="exact"/>
        <w:ind w:left="0" w:right="0" w:firstLine="440"/>
        <w:jc w:val="left"/>
      </w:pPr>
      <w:r>
        <w:rPr>
          <w:color w:val="000000"/>
          <w:spacing w:val="0"/>
          <w:w w:val="100"/>
          <w:position w:val="0"/>
        </w:rPr>
        <w:t>人才是企业发展的基石，因此，公司非常重视人才队伍建设。首先，公司建立了一支稳定的高管团队, 这支高管团队已共同创业多年，对电力行业发展及市场需求变化具有敏锐的洞察力和良好的机会把握能 力。同时，高管人员在长期的合作过程中形成了共同的经营理念，从而能够保证公司具备高效的决策效率 和良好的执行力。</w:t>
      </w:r>
    </w:p>
    <w:p>
      <w:pPr>
        <w:pStyle w:val="Style35"/>
        <w:keepNext w:val="0"/>
        <w:keepLines w:val="0"/>
        <w:widowControl w:val="0"/>
        <w:shd w:val="clear" w:color="auto" w:fill="auto"/>
        <w:bidi w:val="0"/>
        <w:spacing w:before="0" w:line="307" w:lineRule="exact"/>
        <w:ind w:left="0" w:right="0" w:firstLine="440"/>
        <w:jc w:val="left"/>
      </w:pPr>
      <w:r>
        <w:rPr>
          <w:color w:val="000000"/>
          <w:spacing w:val="0"/>
          <w:w w:val="100"/>
          <w:position w:val="0"/>
        </w:rPr>
        <w:t>其次，经过多年的发展，公司已建立起一支高学历、富有创新精神的人才队伍，且结构不断优化。截 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公司共有员工</w:t>
      </w:r>
      <w:r>
        <w:rPr>
          <w:rFonts w:ascii="Times New Roman" w:eastAsia="Times New Roman" w:hAnsi="Times New Roman" w:cs="Times New Roman"/>
          <w:color w:val="000000"/>
          <w:spacing w:val="0"/>
          <w:w w:val="100"/>
          <w:position w:val="0"/>
        </w:rPr>
        <w:t>574</w:t>
      </w:r>
      <w:r>
        <w:rPr>
          <w:color w:val="000000"/>
          <w:spacing w:val="0"/>
          <w:w w:val="100"/>
          <w:position w:val="0"/>
        </w:rPr>
        <w:t>人，其中，本科及本科以上员工数量达</w:t>
      </w:r>
      <w:r>
        <w:rPr>
          <w:rFonts w:ascii="Times New Roman" w:eastAsia="Times New Roman" w:hAnsi="Times New Roman" w:cs="Times New Roman"/>
          <w:color w:val="000000"/>
          <w:spacing w:val="0"/>
          <w:w w:val="100"/>
          <w:position w:val="0"/>
        </w:rPr>
        <w:t>281</w:t>
      </w:r>
      <w:r>
        <w:rPr>
          <w:color w:val="000000"/>
          <w:spacing w:val="0"/>
          <w:w w:val="100"/>
          <w:position w:val="0"/>
        </w:rPr>
        <w:t>人，占</w:t>
      </w:r>
      <w:r>
        <w:rPr>
          <w:rFonts w:ascii="Times New Roman" w:eastAsia="Times New Roman" w:hAnsi="Times New Roman" w:cs="Times New Roman"/>
          <w:color w:val="000000"/>
          <w:spacing w:val="0"/>
          <w:w w:val="100"/>
          <w:position w:val="0"/>
        </w:rPr>
        <w:t>48.95%</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岁及</w:t>
      </w:r>
      <w:r>
        <w:rPr>
          <w:rFonts w:ascii="Times New Roman" w:eastAsia="Times New Roman" w:hAnsi="Times New Roman" w:cs="Times New Roman"/>
          <w:color w:val="000000"/>
          <w:spacing w:val="0"/>
          <w:w w:val="100"/>
          <w:position w:val="0"/>
        </w:rPr>
        <w:t xml:space="preserve">40 </w:t>
      </w:r>
      <w:r>
        <w:rPr>
          <w:color w:val="000000"/>
          <w:spacing w:val="0"/>
          <w:w w:val="100"/>
          <w:position w:val="0"/>
        </w:rPr>
        <w:t>岁以下的员工数量达</w:t>
      </w:r>
      <w:r>
        <w:rPr>
          <w:rFonts w:ascii="Times New Roman" w:eastAsia="Times New Roman" w:hAnsi="Times New Roman" w:cs="Times New Roman"/>
          <w:color w:val="000000"/>
          <w:spacing w:val="0"/>
          <w:w w:val="100"/>
          <w:position w:val="0"/>
        </w:rPr>
        <w:t>446</w:t>
      </w:r>
      <w:r>
        <w:rPr>
          <w:color w:val="000000"/>
          <w:spacing w:val="0"/>
          <w:w w:val="100"/>
          <w:position w:val="0"/>
        </w:rPr>
        <w:t>人，占公司员工总数的</w:t>
      </w:r>
      <w:r>
        <w:rPr>
          <w:rFonts w:ascii="Times New Roman" w:eastAsia="Times New Roman" w:hAnsi="Times New Roman" w:cs="Times New Roman"/>
          <w:color w:val="000000"/>
          <w:spacing w:val="0"/>
          <w:w w:val="100"/>
          <w:position w:val="0"/>
        </w:rPr>
        <w:t>77.7%</w:t>
      </w:r>
      <w:r>
        <w:rPr>
          <w:color w:val="000000"/>
          <w:spacing w:val="0"/>
          <w:w w:val="100"/>
          <w:position w:val="0"/>
        </w:rPr>
        <w:t>。</w:t>
      </w:r>
    </w:p>
    <w:p>
      <w:pPr>
        <w:pStyle w:val="Style35"/>
        <w:keepNext w:val="0"/>
        <w:keepLines w:val="0"/>
        <w:widowControl w:val="0"/>
        <w:shd w:val="clear" w:color="auto" w:fill="auto"/>
        <w:bidi w:val="0"/>
        <w:spacing w:before="0" w:line="314" w:lineRule="exact"/>
        <w:ind w:left="0" w:right="0" w:firstLine="440"/>
        <w:jc w:val="left"/>
        <w:sectPr>
          <w:footnotePr>
            <w:pos w:val="pageBottom"/>
            <w:numFmt w:val="decimal"/>
            <w:numRestart w:val="continuous"/>
          </w:footnotePr>
          <w:pgSz w:w="11900" w:h="16840"/>
          <w:pgMar w:top="1398" w:right="1007" w:bottom="1494" w:left="1107" w:header="0" w:footer="3" w:gutter="0"/>
          <w:cols w:space="720"/>
          <w:noEndnote/>
          <w:rtlGutter w:val="0"/>
          <w:docGrid w:linePitch="360"/>
        </w:sectPr>
      </w:pPr>
      <w:r>
        <w:rPr>
          <w:color w:val="000000"/>
          <w:spacing w:val="0"/>
          <w:w w:val="100"/>
          <w:position w:val="0"/>
        </w:rPr>
        <w:t>稳定的高管团队和优秀的员工队伍，将成为公司未来可持续发展的有力保证。</w:t>
      </w:r>
    </w:p>
    <w:p>
      <w:pPr>
        <w:pStyle w:val="Style14"/>
        <w:keepNext/>
        <w:keepLines/>
        <w:widowControl w:val="0"/>
        <w:shd w:val="clear" w:color="auto" w:fill="auto"/>
        <w:bidi w:val="0"/>
        <w:spacing w:before="560" w:line="240" w:lineRule="auto"/>
        <w:ind w:left="0" w:right="0" w:firstLine="0"/>
        <w:jc w:val="center"/>
      </w:pPr>
      <w:bookmarkStart w:id="108" w:name="bookmark108"/>
      <w:bookmarkStart w:id="109" w:name="bookmark109"/>
      <w:bookmarkStart w:id="110" w:name="bookmark110"/>
      <w:r>
        <w:rPr>
          <w:color w:val="000000"/>
          <w:spacing w:val="0"/>
          <w:w w:val="100"/>
          <w:position w:val="0"/>
        </w:rPr>
        <w:t>第四节经营情况讨论与分析</w:t>
      </w:r>
      <w:bookmarkEnd w:id="108"/>
      <w:bookmarkEnd w:id="109"/>
      <w:bookmarkEnd w:id="110"/>
    </w:p>
    <w:p>
      <w:pPr>
        <w:pStyle w:val="Style23"/>
        <w:keepNext/>
        <w:keepLines/>
        <w:widowControl w:val="0"/>
        <w:shd w:val="clear" w:color="auto" w:fill="auto"/>
        <w:bidi w:val="0"/>
        <w:spacing w:before="0" w:after="28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sz w:val="24"/>
          <w:szCs w:val="24"/>
        </w:rPr>
        <w:t>一</w:t>
      </w:r>
      <w:bookmarkEnd w:id="113"/>
      <w:r>
        <w:rPr>
          <w:color w:val="000000"/>
          <w:spacing w:val="0"/>
          <w:w w:val="100"/>
          <w:position w:val="0"/>
          <w:sz w:val="24"/>
          <w:szCs w:val="24"/>
        </w:rPr>
        <w:t>、概述</w:t>
      </w:r>
      <w:bookmarkEnd w:id="111"/>
      <w:bookmarkEnd w:id="112"/>
      <w:bookmarkEnd w:id="114"/>
    </w:p>
    <w:p>
      <w:pPr>
        <w:pStyle w:val="Style35"/>
        <w:keepNext w:val="0"/>
        <w:keepLines w:val="0"/>
        <w:widowControl w:val="0"/>
        <w:shd w:val="clear" w:color="auto" w:fill="auto"/>
        <w:bidi w:val="0"/>
        <w:spacing w:before="0" w:after="100" w:line="31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规划的开局之年，面对新常态下国家宏观经济可能带来的挑战和</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规划所带 来的发展机遇，公司董事会与管理层审慎制定了经营策略和发展规划。一方面，通过自有资金投入和优化 募集资金配置，不断加大产品研发力度和实验能力，提升公司产品的自主能力和核心竞争力。另一方面， 继续推进外延式并购，加快在新市场领域的产业布局，保证公司经营的可持续发展。</w:t>
      </w:r>
    </w:p>
    <w:p>
      <w:pPr>
        <w:pStyle w:val="Style2"/>
        <w:keepNext w:val="0"/>
        <w:keepLines w:val="0"/>
        <w:widowControl w:val="0"/>
        <w:shd w:val="clear" w:color="auto" w:fill="auto"/>
        <w:bidi w:val="0"/>
        <w:spacing w:before="0" w:after="100" w:line="312" w:lineRule="exact"/>
        <w:ind w:left="0" w:right="0" w:firstLine="440"/>
        <w:jc w:val="both"/>
        <w:rPr>
          <w:sz w:val="20"/>
          <w:szCs w:val="20"/>
        </w:rPr>
      </w:pPr>
      <w:r>
        <w:rPr>
          <w:color w:val="000000"/>
          <w:spacing w:val="0"/>
          <w:w w:val="100"/>
          <w:position w:val="0"/>
          <w:sz w:val="20"/>
          <w:szCs w:val="20"/>
        </w:rPr>
        <w:t>报告期内，公司实现营业收入</w:t>
      </w:r>
      <w:r>
        <w:rPr>
          <w:rFonts w:ascii="Times New Roman" w:eastAsia="Times New Roman" w:hAnsi="Times New Roman" w:cs="Times New Roman"/>
          <w:color w:val="000000"/>
          <w:spacing w:val="0"/>
          <w:w w:val="100"/>
          <w:position w:val="0"/>
          <w:sz w:val="20"/>
          <w:szCs w:val="20"/>
        </w:rPr>
        <w:t>410,557,480.83</w:t>
      </w:r>
      <w:r>
        <w:rPr>
          <w:color w:val="000000"/>
          <w:spacing w:val="0"/>
          <w:w w:val="100"/>
          <w:position w:val="0"/>
          <w:sz w:val="20"/>
          <w:szCs w:val="20"/>
        </w:rPr>
        <w:t>元，同比增长</w:t>
      </w:r>
      <w:r>
        <w:rPr>
          <w:rFonts w:ascii="Times New Roman" w:eastAsia="Times New Roman" w:hAnsi="Times New Roman" w:cs="Times New Roman"/>
          <w:color w:val="000000"/>
          <w:spacing w:val="0"/>
          <w:w w:val="100"/>
          <w:position w:val="0"/>
          <w:sz w:val="20"/>
          <w:szCs w:val="20"/>
        </w:rPr>
        <w:t>34.5%</w:t>
      </w:r>
      <w:r>
        <w:rPr>
          <w:color w:val="000000"/>
          <w:spacing w:val="0"/>
          <w:w w:val="100"/>
          <w:position w:val="0"/>
          <w:sz w:val="20"/>
          <w:szCs w:val="20"/>
        </w:rPr>
        <w:t>；营业利润</w:t>
      </w:r>
      <w:r>
        <w:rPr>
          <w:rFonts w:ascii="Times New Roman" w:eastAsia="Times New Roman" w:hAnsi="Times New Roman" w:cs="Times New Roman"/>
          <w:color w:val="000000"/>
          <w:spacing w:val="0"/>
          <w:w w:val="100"/>
          <w:position w:val="0"/>
          <w:sz w:val="20"/>
          <w:szCs w:val="20"/>
        </w:rPr>
        <w:t>89,901,139.84</w:t>
      </w:r>
      <w:r>
        <w:rPr>
          <w:color w:val="000000"/>
          <w:spacing w:val="0"/>
          <w:w w:val="100"/>
          <w:position w:val="0"/>
          <w:sz w:val="20"/>
          <w:szCs w:val="20"/>
        </w:rPr>
        <w:t>元，同比增 长</w:t>
      </w:r>
      <w:r>
        <w:rPr>
          <w:rFonts w:ascii="Times New Roman" w:eastAsia="Times New Roman" w:hAnsi="Times New Roman" w:cs="Times New Roman"/>
          <w:color w:val="000000"/>
          <w:spacing w:val="0"/>
          <w:w w:val="100"/>
          <w:position w:val="0"/>
          <w:sz w:val="20"/>
          <w:szCs w:val="20"/>
        </w:rPr>
        <w:t>25.47%</w:t>
      </w:r>
      <w:r>
        <w:rPr>
          <w:color w:val="000000"/>
          <w:spacing w:val="0"/>
          <w:w w:val="100"/>
          <w:position w:val="0"/>
          <w:sz w:val="20"/>
          <w:szCs w:val="20"/>
        </w:rPr>
        <w:t>；利润总额</w:t>
      </w:r>
      <w:r>
        <w:rPr>
          <w:rFonts w:ascii="Times New Roman" w:eastAsia="Times New Roman" w:hAnsi="Times New Roman" w:cs="Times New Roman"/>
          <w:color w:val="000000"/>
          <w:spacing w:val="0"/>
          <w:w w:val="100"/>
          <w:position w:val="0"/>
          <w:sz w:val="20"/>
          <w:szCs w:val="20"/>
        </w:rPr>
        <w:t>100,787,412.17</w:t>
      </w:r>
      <w:r>
        <w:rPr>
          <w:color w:val="000000"/>
          <w:spacing w:val="0"/>
          <w:w w:val="100"/>
          <w:position w:val="0"/>
          <w:sz w:val="20"/>
          <w:szCs w:val="20"/>
        </w:rPr>
        <w:t>元，同比增长</w:t>
      </w:r>
      <w:r>
        <w:rPr>
          <w:rFonts w:ascii="Times New Roman" w:eastAsia="Times New Roman" w:hAnsi="Times New Roman" w:cs="Times New Roman"/>
          <w:color w:val="000000"/>
          <w:spacing w:val="0"/>
          <w:w w:val="100"/>
          <w:position w:val="0"/>
          <w:sz w:val="20"/>
          <w:szCs w:val="20"/>
        </w:rPr>
        <w:t>14.63%</w:t>
      </w:r>
      <w:r>
        <w:rPr>
          <w:color w:val="000000"/>
          <w:spacing w:val="0"/>
          <w:w w:val="100"/>
          <w:position w:val="0"/>
          <w:sz w:val="20"/>
          <w:szCs w:val="20"/>
        </w:rPr>
        <w:t>,归属于上市公司普通股股东的净利润</w:t>
      </w:r>
      <w:r>
        <w:rPr>
          <w:rFonts w:ascii="Times New Roman" w:eastAsia="Times New Roman" w:hAnsi="Times New Roman" w:cs="Times New Roman"/>
          <w:color w:val="000000"/>
          <w:spacing w:val="0"/>
          <w:w w:val="100"/>
          <w:position w:val="0"/>
          <w:sz w:val="20"/>
          <w:szCs w:val="20"/>
        </w:rPr>
        <w:t xml:space="preserve">73,815,900.71 </w:t>
      </w:r>
      <w:r>
        <w:rPr>
          <w:color w:val="000000"/>
          <w:spacing w:val="0"/>
          <w:w w:val="100"/>
          <w:position w:val="0"/>
          <w:sz w:val="20"/>
          <w:szCs w:val="20"/>
        </w:rPr>
        <w:t>元，同比增长</w:t>
      </w:r>
      <w:r>
        <w:rPr>
          <w:rFonts w:ascii="Times New Roman" w:eastAsia="Times New Roman" w:hAnsi="Times New Roman" w:cs="Times New Roman"/>
          <w:color w:val="000000"/>
          <w:spacing w:val="0"/>
          <w:w w:val="100"/>
          <w:position w:val="0"/>
          <w:sz w:val="20"/>
          <w:szCs w:val="20"/>
        </w:rPr>
        <w:t>4.06%</w:t>
      </w:r>
      <w:r>
        <w:rPr>
          <w:color w:val="000000"/>
          <w:spacing w:val="0"/>
          <w:w w:val="100"/>
          <w:position w:val="0"/>
          <w:sz w:val="20"/>
          <w:szCs w:val="20"/>
        </w:rPr>
        <w:t>。</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报告期内，公司主要开展以下工作：</w:t>
      </w:r>
    </w:p>
    <w:p>
      <w:pPr>
        <w:pStyle w:val="Style35"/>
        <w:keepNext w:val="0"/>
        <w:keepLines w:val="0"/>
        <w:widowControl w:val="0"/>
        <w:shd w:val="clear" w:color="auto" w:fill="auto"/>
        <w:tabs>
          <w:tab w:pos="763" w:val="left"/>
        </w:tabs>
        <w:bidi w:val="0"/>
        <w:spacing w:before="0" w:after="100" w:line="314" w:lineRule="exact"/>
        <w:ind w:left="0" w:right="0" w:firstLine="440"/>
        <w:jc w:val="both"/>
      </w:pPr>
      <w:bookmarkStart w:id="115" w:name="bookmark115"/>
      <w:r>
        <w:rPr>
          <w:rFonts w:ascii="Times New Roman" w:eastAsia="Times New Roman" w:hAnsi="Times New Roman" w:cs="Times New Roman"/>
          <w:b/>
          <w:bCs/>
          <w:color w:val="000000"/>
          <w:spacing w:val="0"/>
          <w:w w:val="100"/>
          <w:position w:val="0"/>
        </w:rPr>
        <w:t>1</w:t>
      </w:r>
      <w:bookmarkEnd w:id="115"/>
      <w:r>
        <w:rPr>
          <w:b/>
          <w:bCs/>
          <w:color w:val="000000"/>
          <w:spacing w:val="0"/>
          <w:w w:val="100"/>
          <w:position w:val="0"/>
        </w:rPr>
        <w:t>、</w:t>
        <w:tab/>
        <w:t>科学安排募集资金，优化资源配置，不断推进公司自主能力建设。</w:t>
      </w:r>
    </w:p>
    <w:p>
      <w:pPr>
        <w:pStyle w:val="Style35"/>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月，经公司股东大会审批，公司终止了</w:t>
      </w:r>
      <w:r>
        <w:rPr>
          <w:rFonts w:ascii="Times New Roman" w:eastAsia="Times New Roman" w:hAnsi="Times New Roman" w:cs="Times New Roman"/>
          <w:color w:val="000000"/>
          <w:spacing w:val="0"/>
          <w:w w:val="100"/>
          <w:position w:val="0"/>
        </w:rPr>
        <w:t>“</w:t>
      </w:r>
      <w:r>
        <w:rPr>
          <w:color w:val="000000"/>
          <w:spacing w:val="0"/>
          <w:w w:val="100"/>
          <w:position w:val="0"/>
        </w:rPr>
        <w:t>计量装置检测、监测设备生产改造项目将原该项目 的资金变更为投入</w:t>
      </w:r>
      <w:r>
        <w:rPr>
          <w:rFonts w:ascii="Times New Roman" w:eastAsia="Times New Roman" w:hAnsi="Times New Roman" w:cs="Times New Roman"/>
          <w:color w:val="000000"/>
          <w:spacing w:val="0"/>
          <w:w w:val="100"/>
          <w:position w:val="0"/>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高压电气设备故障仿真试验室</w:t>
      </w:r>
      <w:r>
        <w:rPr>
          <w:rFonts w:ascii="Times New Roman" w:eastAsia="Times New Roman" w:hAnsi="Times New Roman" w:cs="Times New Roman"/>
          <w:color w:val="000000"/>
          <w:spacing w:val="0"/>
          <w:w w:val="100"/>
          <w:position w:val="0"/>
        </w:rPr>
        <w:t>''</w:t>
      </w:r>
      <w:r>
        <w:rPr>
          <w:color w:val="000000"/>
          <w:spacing w:val="0"/>
          <w:w w:val="100"/>
          <w:position w:val="0"/>
        </w:rPr>
        <w:t>是在公司目 前的高压试验室的基础上进行升级扩建，项目建设完成后可以实现模拟高压电气设备在运行工况下出现的 多类别、多样化的故障；针对绝缘介质特点模拟自由金属颗粒、尖端、气隙、悬浮电位体、沿面、树枝状 放电等多种放电类型。通过</w:t>
      </w:r>
      <w:r>
        <w:rPr>
          <w:rFonts w:ascii="Times New Roman" w:eastAsia="Times New Roman" w:hAnsi="Times New Roman" w:cs="Times New Roman"/>
          <w:color w:val="000000"/>
          <w:spacing w:val="0"/>
          <w:w w:val="100"/>
          <w:position w:val="0"/>
        </w:rPr>
        <w:t>“</w:t>
      </w:r>
      <w:r>
        <w:rPr>
          <w:color w:val="000000"/>
          <w:spacing w:val="0"/>
          <w:w w:val="100"/>
          <w:position w:val="0"/>
        </w:rPr>
        <w:t>高压电气设备故障仿真试验室</w:t>
      </w:r>
      <w:r>
        <w:rPr>
          <w:rFonts w:ascii="Times New Roman" w:eastAsia="Times New Roman" w:hAnsi="Times New Roman" w:cs="Times New Roman"/>
          <w:color w:val="000000"/>
          <w:spacing w:val="0"/>
          <w:w w:val="100"/>
          <w:position w:val="0"/>
        </w:rPr>
        <w:t>''</w:t>
      </w:r>
      <w:r>
        <w:rPr>
          <w:color w:val="000000"/>
          <w:spacing w:val="0"/>
          <w:w w:val="100"/>
          <w:position w:val="0"/>
        </w:rPr>
        <w:t>提供的仿真试验平台可以进行局部放电产生机 理、局部放电对绝缘介质劣化影响、局放电伴生信号演变的基础性研究，该实验室的建成将使公司成为国 内先进的拥有全类别缺陷模型仿真试验室的厂家，实现了各种类型缺陷的试验室准备评估，为研发产品的 技术优势奠定了坚实的基础。同时，公司根据研发中心扩建项目募集资金投放计划，积极推进项目进程， 公司研发设备及条件不断改进，为公司先进产品、技术、服务的研发、升级、应用提供了有利保证。</w:t>
      </w:r>
    </w:p>
    <w:p>
      <w:pPr>
        <w:pStyle w:val="Style35"/>
        <w:keepNext w:val="0"/>
        <w:keepLines w:val="0"/>
        <w:widowControl w:val="0"/>
        <w:shd w:val="clear" w:color="auto" w:fill="auto"/>
        <w:tabs>
          <w:tab w:pos="773" w:val="left"/>
        </w:tabs>
        <w:bidi w:val="0"/>
        <w:spacing w:before="0" w:after="100" w:line="314" w:lineRule="exact"/>
        <w:ind w:left="0" w:right="0" w:firstLine="440"/>
        <w:jc w:val="both"/>
      </w:pPr>
      <w:bookmarkStart w:id="116" w:name="bookmark116"/>
      <w:r>
        <w:rPr>
          <w:rFonts w:ascii="Times New Roman" w:eastAsia="Times New Roman" w:hAnsi="Times New Roman" w:cs="Times New Roman"/>
          <w:b/>
          <w:bCs/>
          <w:color w:val="000000"/>
          <w:spacing w:val="0"/>
          <w:w w:val="100"/>
          <w:position w:val="0"/>
        </w:rPr>
        <w:t>2</w:t>
      </w:r>
      <w:bookmarkEnd w:id="116"/>
      <w:r>
        <w:rPr>
          <w:b/>
          <w:bCs/>
          <w:color w:val="000000"/>
          <w:spacing w:val="0"/>
          <w:w w:val="100"/>
          <w:position w:val="0"/>
        </w:rPr>
        <w:t>、</w:t>
        <w:tab/>
        <w:t>加大研发投入，促进技术持续创新</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报告期内，公司继续加大研发投入，</w:t>
      </w:r>
      <w:r>
        <w:rPr>
          <w:rFonts w:ascii="Times New Roman" w:eastAsia="Times New Roman" w:hAnsi="Times New Roman" w:cs="Times New Roman"/>
          <w:color w:val="000000"/>
          <w:spacing w:val="0"/>
          <w:w w:val="100"/>
          <w:position w:val="0"/>
        </w:rPr>
        <w:t>2016</w:t>
      </w:r>
      <w:r>
        <w:rPr>
          <w:color w:val="000000"/>
          <w:spacing w:val="0"/>
          <w:w w:val="100"/>
          <w:position w:val="0"/>
        </w:rPr>
        <w:t>年度公司及子公司围绕目前市场进行产品开发共计投入研发 费用</w:t>
      </w:r>
      <w:r>
        <w:rPr>
          <w:rFonts w:ascii="Times New Roman" w:eastAsia="Times New Roman" w:hAnsi="Times New Roman" w:cs="Times New Roman"/>
          <w:color w:val="000000"/>
          <w:spacing w:val="0"/>
          <w:w w:val="100"/>
          <w:position w:val="0"/>
        </w:rPr>
        <w:t>26,780,407.38</w:t>
      </w:r>
      <w:r>
        <w:rPr>
          <w:color w:val="000000"/>
          <w:spacing w:val="0"/>
          <w:w w:val="100"/>
          <w:position w:val="0"/>
        </w:rPr>
        <w:t>元，较去年同期增加</w:t>
      </w:r>
      <w:r>
        <w:rPr>
          <w:rFonts w:ascii="Times New Roman" w:eastAsia="Times New Roman" w:hAnsi="Times New Roman" w:cs="Times New Roman"/>
          <w:color w:val="000000"/>
          <w:spacing w:val="0"/>
          <w:w w:val="100"/>
          <w:position w:val="0"/>
        </w:rPr>
        <w:t xml:space="preserve">57.40 </w:t>
      </w:r>
      <w:r>
        <w:rPr>
          <w:rFonts w:ascii="Times New Roman" w:eastAsia="Times New Roman" w:hAnsi="Times New Roman" w:cs="Times New Roman"/>
          <w:color w:val="000000"/>
          <w:spacing w:val="0"/>
          <w:w w:val="100"/>
          <w:position w:val="0"/>
        </w:rPr>
        <w:t>%</w:t>
      </w:r>
      <w:r>
        <w:rPr>
          <w:color w:val="000000"/>
          <w:spacing w:val="0"/>
          <w:w w:val="100"/>
          <w:position w:val="0"/>
        </w:rPr>
        <w:t>，涵盖了状态检测、监测、配网自动化、电测产品等多个产 品领域，丰富现有产品线，提升市场竞争力。同时针对市场的发展需要和细分行业的发展特点，着手进行 状态检测、监测产品的智能化规划和设计；基于互联网架构进行分布式运算子站、数据节点和智能传感器 系统构架设计；逐步建立面向客户的智能数据中心，通过数据的维护和接入，完善和提高公司状态检测、 监测产品辅助决策系统应用水平，提高公司的核心竞争力。</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报告期内，公司的持续性研发投入使产品在智能化、互联网应用、分布式运算、大数据应用等将有长 足的进步和发展，从而奠定行业的领先地位，适时引领细分行业的发展方向</w:t>
      </w:r>
      <w:r>
        <w:rPr>
          <w:rFonts w:ascii="Times New Roman" w:eastAsia="Times New Roman" w:hAnsi="Times New Roman" w:cs="Times New Roman"/>
          <w:color w:val="000000"/>
          <w:spacing w:val="0"/>
          <w:w w:val="100"/>
          <w:position w:val="0"/>
        </w:rPr>
        <w:t>,</w:t>
      </w:r>
      <w:r>
        <w:rPr>
          <w:color w:val="000000"/>
          <w:spacing w:val="0"/>
          <w:w w:val="100"/>
          <w:position w:val="0"/>
        </w:rPr>
        <w:t>促进技术持续创新。</w:t>
      </w:r>
    </w:p>
    <w:p>
      <w:pPr>
        <w:pStyle w:val="Style35"/>
        <w:keepNext w:val="0"/>
        <w:keepLines w:val="0"/>
        <w:widowControl w:val="0"/>
        <w:shd w:val="clear" w:color="auto" w:fill="auto"/>
        <w:tabs>
          <w:tab w:pos="773" w:val="left"/>
        </w:tabs>
        <w:bidi w:val="0"/>
        <w:spacing w:before="0" w:after="100" w:line="314" w:lineRule="exact"/>
        <w:ind w:left="0" w:right="0" w:firstLine="440"/>
        <w:jc w:val="both"/>
      </w:pPr>
      <w:bookmarkStart w:id="117" w:name="bookmark117"/>
      <w:r>
        <w:rPr>
          <w:rFonts w:ascii="Times New Roman" w:eastAsia="Times New Roman" w:hAnsi="Times New Roman" w:cs="Times New Roman"/>
          <w:b/>
          <w:bCs/>
          <w:color w:val="000000"/>
          <w:spacing w:val="0"/>
          <w:w w:val="100"/>
          <w:position w:val="0"/>
        </w:rPr>
        <w:t>3</w:t>
      </w:r>
      <w:bookmarkEnd w:id="117"/>
      <w:r>
        <w:rPr>
          <w:b/>
          <w:bCs/>
          <w:color w:val="000000"/>
          <w:spacing w:val="0"/>
          <w:w w:val="100"/>
          <w:position w:val="0"/>
        </w:rPr>
        <w:t>、</w:t>
        <w:tab/>
        <w:t>加强销售渠道建设，积极布局新市场领域</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报告期内，公司通过企业间产业协调整合、自主销售渠道建设等多种手段，在保持现有电力设备状态 检修业务在电网领域的市场份额的同时，积极寻求主营业务在发电、铁路与轨道交通领域的拓展，通过与 涵普电力市场渠道资源的协同整合，以及公司自身销售渠道的开拓，</w:t>
      </w:r>
      <w:r>
        <w:rPr>
          <w:rFonts w:ascii="Times New Roman" w:eastAsia="Times New Roman" w:hAnsi="Times New Roman" w:cs="Times New Roman"/>
          <w:color w:val="000000"/>
          <w:spacing w:val="0"/>
          <w:w w:val="100"/>
          <w:position w:val="0"/>
        </w:rPr>
        <w:t>2016</w:t>
      </w:r>
      <w:r>
        <w:rPr>
          <w:color w:val="000000"/>
          <w:spacing w:val="0"/>
          <w:w w:val="100"/>
          <w:position w:val="0"/>
        </w:rPr>
        <w:t>年公司实现了主营业务在发电、 铁路与轨道交通领域的突破，为后续大幅度进入这两块领域奠定了良好的基础。</w:t>
      </w:r>
    </w:p>
    <w:p>
      <w:pPr>
        <w:pStyle w:val="Style35"/>
        <w:keepNext w:val="0"/>
        <w:keepLines w:val="0"/>
        <w:widowControl w:val="0"/>
        <w:shd w:val="clear" w:color="auto" w:fill="auto"/>
        <w:tabs>
          <w:tab w:pos="773" w:val="left"/>
        </w:tabs>
        <w:bidi w:val="0"/>
        <w:spacing w:before="0" w:after="100" w:line="314" w:lineRule="exact"/>
        <w:ind w:left="0" w:right="0" w:firstLine="440"/>
        <w:jc w:val="both"/>
      </w:pPr>
      <w:bookmarkStart w:id="118" w:name="bookmark118"/>
      <w:r>
        <w:rPr>
          <w:rFonts w:ascii="Times New Roman" w:eastAsia="Times New Roman" w:hAnsi="Times New Roman" w:cs="Times New Roman"/>
          <w:b/>
          <w:bCs/>
          <w:color w:val="000000"/>
          <w:spacing w:val="0"/>
          <w:w w:val="100"/>
          <w:position w:val="0"/>
        </w:rPr>
        <w:t>4</w:t>
      </w:r>
      <w:bookmarkEnd w:id="118"/>
      <w:r>
        <w:rPr>
          <w:b/>
          <w:bCs/>
          <w:color w:val="000000"/>
          <w:spacing w:val="0"/>
          <w:w w:val="100"/>
          <w:position w:val="0"/>
        </w:rPr>
        <w:t>、</w:t>
        <w:tab/>
        <w:t>敏锐洞察市场变化，适时强化技术服务团队建设</w:t>
      </w:r>
    </w:p>
    <w:p>
      <w:pPr>
        <w:pStyle w:val="Style3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公司始终坚持紧跟市场发展动态并遵循市场发展规律，</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年，公司根据电网招标模式出现的电力设 </w:t>
      </w:r>
      <w:r>
        <w:rPr>
          <w:color w:val="000000"/>
          <w:spacing w:val="0"/>
          <w:w w:val="100"/>
          <w:position w:val="0"/>
        </w:rPr>
        <w:t>备运维及技术服务招标比重上升等新的形势、电网及铁路后市场等所出现的市场机遇，及时加强技术服务 团队和资质建设，使公司承接电力工程施工、电力设备有偿检测服务、电力设备运维服务等技术服务能力 和水平更上一个新的台阶。</w:t>
      </w:r>
    </w:p>
    <w:p>
      <w:pPr>
        <w:pStyle w:val="Style35"/>
        <w:keepNext w:val="0"/>
        <w:keepLines w:val="0"/>
        <w:widowControl w:val="0"/>
        <w:shd w:val="clear" w:color="auto" w:fill="auto"/>
        <w:tabs>
          <w:tab w:pos="809" w:val="left"/>
        </w:tabs>
        <w:bidi w:val="0"/>
        <w:spacing w:before="0" w:after="0" w:line="326" w:lineRule="auto"/>
        <w:ind w:left="0" w:right="0" w:firstLine="440"/>
        <w:jc w:val="both"/>
      </w:pPr>
      <w:bookmarkStart w:id="119" w:name="bookmark119"/>
      <w:r>
        <w:rPr>
          <w:rFonts w:ascii="Times New Roman" w:eastAsia="Times New Roman" w:hAnsi="Times New Roman" w:cs="Times New Roman"/>
          <w:b/>
          <w:bCs/>
          <w:color w:val="000000"/>
          <w:spacing w:val="0"/>
          <w:w w:val="100"/>
          <w:position w:val="0"/>
        </w:rPr>
        <w:t>5</w:t>
      </w:r>
      <w:bookmarkEnd w:id="119"/>
      <w:r>
        <w:rPr>
          <w:b/>
          <w:bCs/>
          <w:color w:val="000000"/>
          <w:spacing w:val="0"/>
          <w:w w:val="100"/>
          <w:position w:val="0"/>
        </w:rPr>
        <w:t>、</w:t>
        <w:tab/>
        <w:t>充分利用资本平台推动公司外延式发展</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公司积极寻求在技术、成本及客户资源等方面为公司提供协同价值的企业，通过自主发展和外延式并 购相结合的战略，优化公司业务结构和进行产业布局，进一步提升公司的持续经营能力和抗风险能力。</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月公司停牌筹划重大资产重组事项，拟发行股份及支付现金购买卧龙电气银川变压器有限公司</w:t>
      </w:r>
      <w:r>
        <w:rPr>
          <w:rFonts w:ascii="Times New Roman" w:eastAsia="Times New Roman" w:hAnsi="Times New Roman" w:cs="Times New Roman"/>
          <w:color w:val="000000"/>
          <w:spacing w:val="0"/>
          <w:w w:val="100"/>
          <w:position w:val="0"/>
        </w:rPr>
        <w:t>100%</w:t>
      </w:r>
      <w:r>
        <w:rPr>
          <w:color w:val="000000"/>
          <w:spacing w:val="0"/>
          <w:w w:val="100"/>
          <w:position w:val="0"/>
        </w:rPr>
        <w:t>的 股权，合肥星波通信股份有限公司</w:t>
      </w:r>
      <w:r>
        <w:rPr>
          <w:rFonts w:ascii="Times New Roman" w:eastAsia="Times New Roman" w:hAnsi="Times New Roman" w:cs="Times New Roman"/>
          <w:color w:val="000000"/>
          <w:spacing w:val="0"/>
          <w:w w:val="100"/>
          <w:position w:val="0"/>
        </w:rPr>
        <w:t>67.54%</w:t>
      </w:r>
      <w:r>
        <w:rPr>
          <w:color w:val="000000"/>
          <w:spacing w:val="0"/>
          <w:w w:val="100"/>
          <w:position w:val="0"/>
        </w:rPr>
        <w:t>的股份，并募集配套资金。本次重组是公司践行发展战略，实现 公司主营业务向铁路与轨道交通、军工等其他行业快速渗透的重要举措，通过这一系列的产业并购，公司 与标的公司将在产品、技术、资本等多方面产生较强的协同效应，促进公司市场拓展，提升技术，产品的 研发能力，拓展公司的产业布局，增强公司的抗风险能力，进一步提升公司的经营效益。</w:t>
      </w:r>
    </w:p>
    <w:p>
      <w:pPr>
        <w:pStyle w:val="Style35"/>
        <w:keepNext w:val="0"/>
        <w:keepLines w:val="0"/>
        <w:widowControl w:val="0"/>
        <w:shd w:val="clear" w:color="auto" w:fill="auto"/>
        <w:tabs>
          <w:tab w:pos="809" w:val="left"/>
        </w:tabs>
        <w:bidi w:val="0"/>
        <w:spacing w:before="0" w:after="0" w:line="326" w:lineRule="auto"/>
        <w:ind w:left="0" w:right="0" w:firstLine="440"/>
        <w:jc w:val="both"/>
      </w:pPr>
      <w:bookmarkStart w:id="120" w:name="bookmark120"/>
      <w:r>
        <w:rPr>
          <w:rFonts w:ascii="Times New Roman" w:eastAsia="Times New Roman" w:hAnsi="Times New Roman" w:cs="Times New Roman"/>
          <w:b/>
          <w:bCs/>
          <w:color w:val="000000"/>
          <w:spacing w:val="0"/>
          <w:w w:val="100"/>
          <w:position w:val="0"/>
        </w:rPr>
        <w:t>6</w:t>
      </w:r>
      <w:bookmarkEnd w:id="120"/>
      <w:r>
        <w:rPr>
          <w:b/>
          <w:bCs/>
          <w:color w:val="000000"/>
          <w:spacing w:val="0"/>
          <w:w w:val="100"/>
          <w:position w:val="0"/>
        </w:rPr>
        <w:t>、</w:t>
        <w:tab/>
        <w:t>贯彻实施精细化管理模式，加强子公司管理和监督</w:t>
      </w:r>
    </w:p>
    <w:p>
      <w:pPr>
        <w:pStyle w:val="Style3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报告期内，公司贯彻实施精细化管理模式，在做好公司业务发展和扩张的同时，注重公司内部挖潜， 深入推进全员考核机制和目标责任管理；通过建立对外提供财务资助管理制度、重大信息内部报告制度、 子公司管理制度等进一步加强公司及其各子公司各项业务、信息等方面的管理、把控及监督；优化公司整 体管理机制，年度经营计划在报告期内得到了有效执行。</w:t>
      </w:r>
    </w:p>
    <w:p>
      <w:pPr>
        <w:pStyle w:val="Style35"/>
        <w:keepNext w:val="0"/>
        <w:keepLines w:val="0"/>
        <w:widowControl w:val="0"/>
        <w:shd w:val="clear" w:color="auto" w:fill="auto"/>
        <w:tabs>
          <w:tab w:pos="809" w:val="left"/>
        </w:tabs>
        <w:bidi w:val="0"/>
        <w:spacing w:before="0" w:after="0" w:line="326" w:lineRule="auto"/>
        <w:ind w:left="0" w:right="0" w:firstLine="440"/>
        <w:jc w:val="both"/>
      </w:pPr>
      <w:bookmarkStart w:id="121" w:name="bookmark121"/>
      <w:r>
        <w:rPr>
          <w:rFonts w:ascii="Times New Roman" w:eastAsia="Times New Roman" w:hAnsi="Times New Roman" w:cs="Times New Roman"/>
          <w:b/>
          <w:bCs/>
          <w:color w:val="000000"/>
          <w:spacing w:val="0"/>
          <w:w w:val="100"/>
          <w:position w:val="0"/>
        </w:rPr>
        <w:t>7</w:t>
      </w:r>
      <w:bookmarkEnd w:id="121"/>
      <w:r>
        <w:rPr>
          <w:b/>
          <w:bCs/>
          <w:color w:val="000000"/>
          <w:spacing w:val="0"/>
          <w:w w:val="100"/>
          <w:position w:val="0"/>
        </w:rPr>
        <w:t>、</w:t>
        <w:tab/>
        <w:t>加大人才培养力度，健全人才梯队建设机制</w:t>
      </w:r>
    </w:p>
    <w:p>
      <w:pPr>
        <w:pStyle w:val="Style35"/>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公司始终坚持人才第一、以人为本的经营理念，把提高员工素质、引进和培养高层次人才作为企业发 展的重中之重，不断完善人才培养和激励机制，以多种方式为员工谋福利，使员工和公司共同成长。</w:t>
      </w:r>
    </w:p>
    <w:p>
      <w:pPr>
        <w:pStyle w:val="Style35"/>
        <w:keepNext w:val="0"/>
        <w:keepLines w:val="0"/>
        <w:widowControl w:val="0"/>
        <w:shd w:val="clear" w:color="auto" w:fill="auto"/>
        <w:tabs>
          <w:tab w:pos="809" w:val="left"/>
        </w:tabs>
        <w:bidi w:val="0"/>
        <w:spacing w:before="0" w:after="0" w:line="326" w:lineRule="auto"/>
        <w:ind w:left="0" w:right="0" w:firstLine="440"/>
        <w:jc w:val="both"/>
      </w:pPr>
      <w:bookmarkStart w:id="122" w:name="bookmark122"/>
      <w:r>
        <w:rPr>
          <w:rFonts w:ascii="Times New Roman" w:eastAsia="Times New Roman" w:hAnsi="Times New Roman" w:cs="Times New Roman"/>
          <w:b/>
          <w:bCs/>
          <w:color w:val="000000"/>
          <w:spacing w:val="0"/>
          <w:w w:val="100"/>
          <w:position w:val="0"/>
        </w:rPr>
        <w:t>8</w:t>
      </w:r>
      <w:bookmarkEnd w:id="122"/>
      <w:r>
        <w:rPr>
          <w:b/>
          <w:bCs/>
          <w:color w:val="000000"/>
          <w:spacing w:val="0"/>
          <w:w w:val="100"/>
          <w:position w:val="0"/>
        </w:rPr>
        <w:t>、</w:t>
        <w:tab/>
        <w:t>重视投资者关系管理，切实维护投资者权益</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公司建立多渠道、多样化的投资者沟通模式，保持与投资者，特别是中小投资者的沟通交流，在日常 工作中，始终认真对待投资者的每一次来访、来电及提问。同时，公司坚持不断完善治理结构，规范运作 董事会、监事会、股东大会；坚持加强内部控制，督促公司大股东、董事、监事、高级管理人员等根据公 司章程、各项议事规则、制度等相关规定规范行为，及时履行职责，积极配合并切实履行信息披露义务， 从实际工作出发切实维护广大投资者的合法权益。最后，公司坚定积极执行利润分配政策，让广大投资者 分享公司成长及收益，切实保障投资者的合法权益。</w:t>
      </w:r>
    </w:p>
    <w:p>
      <w:pPr>
        <w:pStyle w:val="Style23"/>
        <w:keepNext/>
        <w:keepLines/>
        <w:widowControl w:val="0"/>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sz w:val="24"/>
          <w:szCs w:val="24"/>
        </w:rPr>
        <w:t>二</w:t>
      </w:r>
      <w:bookmarkEnd w:id="125"/>
      <w:r>
        <w:rPr>
          <w:color w:val="000000"/>
          <w:spacing w:val="0"/>
          <w:w w:val="100"/>
          <w:position w:val="0"/>
          <w:sz w:val="24"/>
          <w:szCs w:val="24"/>
        </w:rPr>
        <w:t>、主营业务分析</w:t>
      </w:r>
      <w:bookmarkEnd w:id="123"/>
      <w:bookmarkEnd w:id="124"/>
      <w:bookmarkEnd w:id="126"/>
    </w:p>
    <w:p>
      <w:pPr>
        <w:pStyle w:val="Style32"/>
        <w:keepNext/>
        <w:keepLines/>
        <w:widowControl w:val="0"/>
        <w:shd w:val="clear" w:color="auto" w:fill="auto"/>
        <w:tabs>
          <w:tab w:pos="359" w:val="left"/>
        </w:tabs>
        <w:bidi w:val="0"/>
        <w:spacing w:before="0" w:after="300" w:line="326"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概述</w:t>
      </w:r>
      <w:bookmarkEnd w:id="127"/>
      <w:bookmarkEnd w:id="128"/>
      <w:bookmarkEnd w:id="13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69" w:val="left"/>
        </w:tabs>
        <w:bidi w:val="0"/>
        <w:spacing w:before="0" w:after="200" w:line="326"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收入与成本</w:t>
      </w:r>
      <w:bookmarkEnd w:id="131"/>
      <w:bookmarkEnd w:id="132"/>
      <w:bookmarkEnd w:id="134"/>
    </w:p>
    <w:p>
      <w:pPr>
        <w:pStyle w:val="Style45"/>
        <w:keepNext/>
        <w:keepLines/>
        <w:widowControl w:val="0"/>
        <w:shd w:val="clear" w:color="auto" w:fill="auto"/>
        <w:bidi w:val="0"/>
        <w:spacing w:before="0" w:line="312" w:lineRule="exact"/>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5"/>
      <w:bookmarkEnd w:id="136"/>
      <w:bookmarkEnd w:id="13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否</w:t>
      </w:r>
      <w:r>
        <w:br w:type="page"/>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305,254,632.75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电力设备生产销售 及技术服务行业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305,254,632.75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电力设备状态检测、 监测产品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231,395,344.92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189,609,032.56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127,122,558.89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95,369,898.42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47,055,014.73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13,183,635.52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4,984,562.29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7,092,066.25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404,235,870.70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292,094,186.87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6,321,610.13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13,160,445.88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w:t>
            </w:r>
          </w:p>
        </w:tc>
      </w:tr>
    </w:tbl>
    <w:p>
      <w:pPr>
        <w:widowControl w:val="0"/>
        <w:spacing w:after="319" w:line="1" w:lineRule="exact"/>
      </w:pPr>
    </w:p>
    <w:p>
      <w:pPr>
        <w:pStyle w:val="Style45"/>
        <w:keepNext/>
        <w:keepLines/>
        <w:widowControl w:val="0"/>
        <w:numPr>
          <w:ilvl w:val="0"/>
          <w:numId w:val="11"/>
        </w:numPr>
        <w:shd w:val="clear" w:color="auto" w:fill="auto"/>
        <w:bidi w:val="0"/>
        <w:spacing w:before="0" w:after="24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9"/>
      <w:bookmarkEnd w:id="140"/>
      <w:bookmarkEnd w:id="142"/>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336" w:lineRule="exact"/>
        <w:ind w:left="0" w:right="0" w:firstLine="0"/>
        <w:jc w:val="left"/>
      </w:pPr>
      <w:r>
        <w:rPr>
          <w:color w:val="000000"/>
          <w:spacing w:val="0"/>
          <w:w w:val="100"/>
          <w:position w:val="0"/>
        </w:rPr>
        <w:t>公司是否需要遵守特殊行业的披露要求 否</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 销售及技术服务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195,527,303.98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电力设备状态检 测、监测产品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231,395,344.92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103,350,956.59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127,122,558.89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70,256,561.39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47,055,014.73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19,279,588.55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137,055,362.66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48,488,132.55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96,099,710.63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55,216,515.38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59,222,632.38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35,707,961.05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83,649,033.16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38,193,763.78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3"/>
      <w:bookmarkEnd w:id="144"/>
      <w:bookmarkEnd w:id="146"/>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电力设备生产、销售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及技术服务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7"/>
      <w:bookmarkEnd w:id="148"/>
      <w:bookmarkEnd w:id="15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1"/>
      <w:bookmarkEnd w:id="152"/>
      <w:bookmarkEnd w:id="15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电力设备状态检 测、监测产品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90,868,469.37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86,682,806.86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电力设备状态检 测、监测产品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12,482,487.22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11,285,104.98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60,004,667.27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38,955,198.96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电测产品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10,251,894.12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3,744,225.25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13,664,876.56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5,476,893.45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5,614,711.99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2,773,670.16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1,861,844.97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3,286,431.10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45"/>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5"/>
      <w:bookmarkEnd w:id="156"/>
      <w:bookmarkEnd w:id="15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keepLines/>
        <w:widowControl w:val="0"/>
        <w:shd w:val="clear" w:color="auto" w:fill="auto"/>
        <w:tabs>
          <w:tab w:pos="493"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9"/>
      <w:bookmarkEnd w:id="160"/>
      <w:bookmarkEnd w:id="16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3"/>
      <w:bookmarkEnd w:id="164"/>
      <w:bookmarkEnd w:id="166"/>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121,931,130.06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52,147,008.42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21,884,835.75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20,657,082.52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14,263,045.14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12,979,158.23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121,931,130.06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58,170,046.43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18,192,295.85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12,888,302.67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10,171,176.13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9,671,453.02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7,246,818.76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58,170,046.43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、费用</w:t>
      </w:r>
      <w:bookmarkEnd w:id="167"/>
      <w:bookmarkEnd w:id="168"/>
      <w:bookmarkEnd w:id="1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54,776,807.46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40,788,485.15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销售费用较去年同期增加了 </w:t>
            </w:r>
            <w:r>
              <w:rPr>
                <w:rFonts w:ascii="Times New Roman" w:eastAsia="Times New Roman" w:hAnsi="Times New Roman" w:cs="Times New Roman"/>
                <w:color w:val="000000"/>
                <w:spacing w:val="0"/>
                <w:w w:val="100"/>
                <w:position w:val="0"/>
                <w:sz w:val="18"/>
                <w:szCs w:val="18"/>
              </w:rPr>
              <w:t>34.29%</w:t>
            </w:r>
            <w:r>
              <w:rPr>
                <w:color w:val="000000"/>
                <w:spacing w:val="0"/>
                <w:w w:val="100"/>
                <w:position w:val="0"/>
              </w:rPr>
              <w:t>， 主要由于报告期内合并了子公司浙 江涵普的全年销售费用，去年同期仅 合并其</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月的销售费用；扣除 浙江涵普的影响，销售费用较去年同 期下降了 </w:t>
            </w:r>
            <w:r>
              <w:rPr>
                <w:rFonts w:ascii="Times New Roman" w:eastAsia="Times New Roman" w:hAnsi="Times New Roman" w:cs="Times New Roman"/>
                <w:color w:val="000000"/>
                <w:spacing w:val="0"/>
                <w:w w:val="100"/>
                <w:position w:val="0"/>
                <w:sz w:val="18"/>
                <w:szCs w:val="18"/>
              </w:rPr>
              <w:t>14.21%</w:t>
            </w:r>
            <w:r>
              <w:rPr>
                <w:color w:val="000000"/>
                <w:spacing w:val="0"/>
                <w:w w:val="100"/>
                <w:position w:val="0"/>
              </w:rPr>
              <w:t>，主要是公司业务招 待费用较去年同期减少。</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61,119,519.14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39,102,665.41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管理费用较去年同期增加了 </w:t>
            </w:r>
            <w:r>
              <w:rPr>
                <w:rFonts w:ascii="Times New Roman" w:eastAsia="Times New Roman" w:hAnsi="Times New Roman" w:cs="Times New Roman"/>
                <w:color w:val="000000"/>
                <w:spacing w:val="0"/>
                <w:w w:val="100"/>
                <w:position w:val="0"/>
                <w:sz w:val="18"/>
                <w:szCs w:val="18"/>
              </w:rPr>
              <w:t>56.31%</w:t>
            </w:r>
            <w:r>
              <w:rPr>
                <w:color w:val="000000"/>
                <w:spacing w:val="0"/>
                <w:w w:val="100"/>
                <w:position w:val="0"/>
              </w:rPr>
              <w:t>， 主要是由于报告期内合并了子公司 浙江涵普的全年管理费用，去年同期 仅合并了期</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月的管理费用； 扣除浙江涵普的影响，管理费用较去 年同期增加了 </w:t>
            </w:r>
            <w:r>
              <w:rPr>
                <w:rFonts w:ascii="Times New Roman" w:eastAsia="Times New Roman" w:hAnsi="Times New Roman" w:cs="Times New Roman"/>
                <w:color w:val="000000"/>
                <w:spacing w:val="0"/>
                <w:w w:val="100"/>
                <w:position w:val="0"/>
                <w:sz w:val="18"/>
                <w:szCs w:val="18"/>
              </w:rPr>
              <w:t>16.39%</w:t>
            </w:r>
            <w:r>
              <w:rPr>
                <w:color w:val="000000"/>
                <w:spacing w:val="0"/>
                <w:w w:val="100"/>
                <w:position w:val="0"/>
              </w:rPr>
              <w:t>，主要是由于报 告期内公司因发行股份及现金购买 资产而导致聘请中介机构的费用大 幅增加。</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-1,075,210.74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-632,829.63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财务费用较去年同期下降了 </w:t>
            </w:r>
            <w:r>
              <w:rPr>
                <w:rFonts w:ascii="Times New Roman" w:eastAsia="Times New Roman" w:hAnsi="Times New Roman" w:cs="Times New Roman"/>
                <w:color w:val="000000"/>
                <w:spacing w:val="0"/>
                <w:w w:val="100"/>
                <w:position w:val="0"/>
                <w:sz w:val="18"/>
                <w:szCs w:val="18"/>
              </w:rPr>
              <w:t xml:space="preserve">69.91%, </w:t>
            </w:r>
            <w:r>
              <w:rPr>
                <w:color w:val="000000"/>
                <w:spacing w:val="0"/>
                <w:w w:val="100"/>
                <w:position w:val="0"/>
              </w:rPr>
              <w:t xml:space="preserve">主要是由于利息收入较去年同期增 加了 </w:t>
            </w:r>
            <w:r>
              <w:rPr>
                <w:rFonts w:ascii="Times New Roman" w:eastAsia="Times New Roman" w:hAnsi="Times New Roman" w:cs="Times New Roman"/>
                <w:color w:val="000000"/>
                <w:spacing w:val="0"/>
                <w:w w:val="100"/>
                <w:position w:val="0"/>
                <w:sz w:val="18"/>
                <w:szCs w:val="18"/>
              </w:rPr>
              <w:t>50.17%</w:t>
            </w:r>
            <w:r>
              <w:rPr>
                <w:color w:val="000000"/>
                <w:spacing w:val="0"/>
                <w:w w:val="100"/>
                <w:position w:val="0"/>
              </w:rPr>
              <w:t xml:space="preserve">，其增加主要是由于公司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年购买理财产品的本金及利息 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年年初大部分已收回并存放 于银行收取利息。</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、研发投入</w:t>
      </w:r>
      <w:bookmarkEnd w:id="171"/>
      <w:bookmarkEnd w:id="172"/>
      <w:bookmarkEnd w:id="17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报告期内，公司保持一贯重视研发投入的经营理念，始终坚持自主创新，</w:t>
      </w:r>
      <w:r>
        <w:rPr>
          <w:rFonts w:ascii="Times New Roman" w:eastAsia="Times New Roman" w:hAnsi="Times New Roman" w:cs="Times New Roman"/>
          <w:color w:val="000000"/>
          <w:spacing w:val="0"/>
          <w:w w:val="100"/>
          <w:position w:val="0"/>
        </w:rPr>
        <w:t>2016</w:t>
      </w:r>
      <w:r>
        <w:rPr>
          <w:color w:val="000000"/>
          <w:spacing w:val="0"/>
          <w:w w:val="100"/>
          <w:position w:val="0"/>
        </w:rPr>
        <w:t>年度公司及其子公司围 绕目前市场进行产品开发或升级的直接项目研发项目共计</w:t>
      </w:r>
      <w:r>
        <w:rPr>
          <w:rFonts w:ascii="Times New Roman" w:eastAsia="Times New Roman" w:hAnsi="Times New Roman" w:cs="Times New Roman"/>
          <w:color w:val="000000"/>
          <w:spacing w:val="0"/>
          <w:w w:val="100"/>
          <w:position w:val="0"/>
        </w:rPr>
        <w:t>12</w:t>
      </w:r>
      <w:r>
        <w:rPr>
          <w:color w:val="000000"/>
          <w:spacing w:val="0"/>
          <w:w w:val="100"/>
          <w:position w:val="0"/>
        </w:rPr>
        <w:t>个，研发费用</w:t>
      </w:r>
      <w:r>
        <w:rPr>
          <w:rFonts w:ascii="Times New Roman" w:eastAsia="Times New Roman" w:hAnsi="Times New Roman" w:cs="Times New Roman"/>
          <w:color w:val="000000"/>
          <w:spacing w:val="0"/>
          <w:w w:val="100"/>
          <w:position w:val="0"/>
        </w:rPr>
        <w:t>26,780,407.38</w:t>
      </w:r>
      <w:r>
        <w:rPr>
          <w:color w:val="000000"/>
          <w:spacing w:val="0"/>
          <w:w w:val="100"/>
          <w:position w:val="0"/>
        </w:rPr>
        <w:t>元，较去年同期增 加</w:t>
      </w:r>
      <w:r>
        <w:rPr>
          <w:rFonts w:ascii="Times New Roman" w:eastAsia="Times New Roman" w:hAnsi="Times New Roman" w:cs="Times New Roman"/>
          <w:color w:val="000000"/>
          <w:spacing w:val="0"/>
          <w:w w:val="100"/>
          <w:position w:val="0"/>
        </w:rPr>
        <w:t xml:space="preserve">57.40 </w:t>
      </w:r>
      <w:r>
        <w:rPr>
          <w:rFonts w:ascii="Times New Roman" w:eastAsia="Times New Roman" w:hAnsi="Times New Roman" w:cs="Times New Roman"/>
          <w:color w:val="000000"/>
          <w:spacing w:val="0"/>
          <w:w w:val="100"/>
          <w:position w:val="0"/>
        </w:rPr>
        <w:t>%</w:t>
      </w:r>
      <w:r>
        <w:rPr>
          <w:color w:val="000000"/>
          <w:spacing w:val="0"/>
          <w:w w:val="100"/>
          <w:position w:val="0"/>
        </w:rPr>
        <w:t>。公司的持续性研发投入使产品在智能化、互联网应用、分布式运算、大数据应用等将有长足 的进步和发展，从而奠定行业的领先地位，适时引领细分行业的发展方向</w:t>
      </w:r>
      <w:r>
        <w:rPr>
          <w:rFonts w:ascii="Times New Roman" w:eastAsia="Times New Roman" w:hAnsi="Times New Roman" w:cs="Times New Roman"/>
          <w:color w:val="000000"/>
          <w:spacing w:val="0"/>
          <w:w w:val="100"/>
          <w:position w:val="0"/>
        </w:rPr>
        <w:t>,</w:t>
      </w:r>
      <w:r>
        <w:rPr>
          <w:color w:val="000000"/>
          <w:spacing w:val="0"/>
          <w:w w:val="100"/>
          <w:position w:val="0"/>
        </w:rPr>
        <w:t>促进技术持续创新。</w:t>
      </w:r>
    </w:p>
    <w:p>
      <w:pPr>
        <w:pStyle w:val="Style35"/>
        <w:keepNext w:val="0"/>
        <w:keepLines w:val="0"/>
        <w:widowControl w:val="0"/>
        <w:shd w:val="clear" w:color="auto" w:fill="auto"/>
        <w:bidi w:val="0"/>
        <w:spacing w:before="0" w:after="240" w:line="317" w:lineRule="exact"/>
        <w:ind w:left="0" w:right="0" w:firstLine="280"/>
        <w:jc w:val="left"/>
      </w:pPr>
      <w:r>
        <w:rPr>
          <w:color w:val="000000"/>
          <w:spacing w:val="0"/>
          <w:w w:val="100"/>
          <w:position w:val="0"/>
        </w:rPr>
        <w:t>报告期内，公司及子公司在报告期内正在从事的研发项目进展情况如下表：</w:t>
      </w:r>
    </w:p>
    <w:tbl>
      <w:tblPr>
        <w:tblOverlap w:val="never"/>
        <w:jc w:val="left"/>
        <w:tblLayout w:type="fixed"/>
      </w:tblPr>
      <w:tblGrid>
        <w:gridCol w:w="686"/>
        <w:gridCol w:w="1843"/>
        <w:gridCol w:w="1843"/>
        <w:gridCol w:w="2126"/>
        <w:gridCol w:w="2136"/>
      </w:tblGrid>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项目名称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项目进展情况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拟达到的目标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对公司未来的影响</w:t>
            </w:r>
          </w:p>
        </w:tc>
      </w:tr>
    </w:tbl>
    <w:p>
      <w:pPr>
        <w:spacing w:lineRule="exact" w:line="1"/>
        <w:rPr>
          <w:sz w:val="2"/>
          <w:szCs w:val="2"/>
        </w:rPr>
      </w:pPr>
      <w:r>
        <w:br w:type="page"/>
      </w:r>
    </w:p>
    <w:tbl>
      <w:tblPr>
        <w:tblOverlap w:val="never"/>
        <w:jc w:val="left"/>
        <w:tblLayout w:type="fixed"/>
      </w:tblPr>
      <w:tblGrid>
        <w:gridCol w:w="686"/>
        <w:gridCol w:w="1843"/>
        <w:gridCol w:w="1843"/>
        <w:gridCol w:w="2126"/>
        <w:gridCol w:w="2136"/>
      </w:tblGrid>
      <w:tr>
        <w:trPr>
          <w:trHeight w:val="11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高压断路器故障诊 断分析技术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已完成整套设备的 硬件、软件功能设计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所有功能及技术指标均 达到预期要求，产品可 投入生产。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丰富产品线，形成产品 销售，并提升市场竞争 力。</w:t>
            </w:r>
          </w:p>
        </w:tc>
      </w:tr>
      <w:tr>
        <w:trPr>
          <w:trHeight w:val="21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PDT-200</w:t>
            </w:r>
            <w:r>
              <w:rPr>
                <w:color w:val="000000"/>
                <w:spacing w:val="0"/>
                <w:w w:val="100"/>
                <w:position w:val="0"/>
                <w:sz w:val="20"/>
                <w:szCs w:val="20"/>
              </w:rPr>
              <w:t>型配电设 备局部放电巡检仪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完成检测设备和软 件的开发。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按照计划完成项目的开 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通过实现五种传感技术 的集成，并配套综合性 后台软件，打造一个完 整的测试系统，使得设 备具备综合性功能需 求，提升竞争力。</w:t>
            </w:r>
          </w:p>
        </w:tc>
      </w:tr>
      <w:tr>
        <w:trPr>
          <w:trHeight w:val="14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小型化、传感器无线 化的综合型（五种传 感器）局部放电检测 产品开发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继续进行无线化传 感器的开发，数字平 台的设计以及人机 交互软件的设计。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进一步满足用户对现场 巡检设备小型化、便捷 性的需求。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丰富产品线，提升市场 竞争力。</w:t>
            </w:r>
          </w:p>
        </w:tc>
      </w:tr>
      <w:tr>
        <w:trPr>
          <w:trHeight w:val="3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变压器有载调压开 关故障检测产品</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TCD-200）</w:t>
            </w:r>
            <w:r>
              <w:rPr>
                <w:color w:val="000000"/>
                <w:spacing w:val="0"/>
                <w:w w:val="100"/>
                <w:position w:val="0"/>
                <w:sz w:val="20"/>
                <w:szCs w:val="20"/>
              </w:rPr>
              <w:t>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完成加速度及电流 传感技术前端调理 模块的研究，并着手 进行原理设计；完成 后台软件的方案设 计，并着手进行各功 能模块的开发；对一 些数据处理算法进 行了初步的调研和 模拟测试。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完成相关技术研究工 作，着手进行相关产品 的具体开发。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对于有载调压开关故障 带电检测的市场容量较 大、预期前景较好。本 项目开发的产品一方面 能大幅度降低公司的成 本压力，为公司创造可 观的经济效益；另一方 面能一定程度上掌握振 动声学等新检测技术， 以此开辟一条新的产品 线路，实现公司产品的 多样化</w:t>
            </w:r>
          </w:p>
        </w:tc>
      </w:tr>
      <w:tr>
        <w:trPr>
          <w:trHeight w:val="179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基于复数域建模的 谐波责任研究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完成干扰性负荷谐 波责任定量评估方 案设计及实际应用。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功能及技术指标达到研 究目标，可实现现场实 际谐波污染责任定量评 估，完善了谐波管理制 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拓宽研究方向，提高理 论研究水平，积累了将 研究成果应用于实际的 经验。</w:t>
            </w:r>
          </w:p>
        </w:tc>
      </w:tr>
      <w:tr>
        <w:trPr>
          <w:trHeight w:val="117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46" w:lineRule="exact"/>
              <w:ind w:left="0" w:right="0" w:firstLine="0"/>
              <w:jc w:val="both"/>
              <w:rPr>
                <w:sz w:val="20"/>
                <w:szCs w:val="20"/>
              </w:rPr>
            </w:pPr>
            <w:r>
              <w:rPr>
                <w:color w:val="000000"/>
                <w:spacing w:val="0"/>
                <w:w w:val="100"/>
                <w:position w:val="0"/>
                <w:sz w:val="20"/>
                <w:szCs w:val="20"/>
              </w:rPr>
              <w:t>振动声学指纹诊断 设备的研制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已完成整套设备的 硬件、软件功能设计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所有功能及技术指标均 达到预期要求，产品可 投入生产。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丰富产品线，形成产品 销售，并提升市场竞争 力。</w:t>
            </w:r>
          </w:p>
        </w:tc>
      </w:tr>
      <w:tr>
        <w:trPr>
          <w:trHeight w:val="180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配网线路智能检测 与控制技术研究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完成配网线路智能 检测产品开发。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产品功能及技术指标均 达到预期要求，可实现 配网线路故障识别、隔 离和对非故障区间供电 的恢复。</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丰富产品线，形成产品 销售，并提升市场竞争 力。</w:t>
            </w:r>
          </w:p>
        </w:tc>
      </w:tr>
    </w:tbl>
    <w:p>
      <w:pPr>
        <w:spacing w:lineRule="exact" w:line="1"/>
        <w:rPr>
          <w:sz w:val="2"/>
          <w:szCs w:val="2"/>
        </w:rPr>
      </w:pPr>
      <w:r>
        <w:br w:type="page"/>
      </w:r>
    </w:p>
    <w:tbl>
      <w:tblPr>
        <w:tblOverlap w:val="never"/>
        <w:jc w:val="left"/>
        <w:tblLayout w:type="fixed"/>
      </w:tblPr>
      <w:tblGrid>
        <w:gridCol w:w="686"/>
        <w:gridCol w:w="1843"/>
        <w:gridCol w:w="1843"/>
        <w:gridCol w:w="2126"/>
        <w:gridCol w:w="2136"/>
      </w:tblGrid>
      <w:tr>
        <w:trPr>
          <w:trHeight w:val="14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接地网状态检测与 故障诊断新技术研 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完成接地网状态与 故障诊断评估技术 及其软硬件平台开 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产品功能及技术指标均 达到预期要求，可实现 地网运行状态检测及故 障诊断评估。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丰富产品线，形成产品 销售，并提升市场竞争 力。</w:t>
            </w:r>
          </w:p>
        </w:tc>
      </w:tr>
      <w:tr>
        <w:trPr>
          <w:trHeight w:val="12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PD-6900</w:t>
            </w:r>
          </w:p>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发电机功率变送装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继续完善软件，并已 经小批量生产销售。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发电机功率调节系统的 关键产品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完成该产品开发，对稳 定公司的电厂客户业务 有重要的作用</w:t>
            </w:r>
          </w:p>
        </w:tc>
      </w:tr>
      <w:tr>
        <w:trPr>
          <w:trHeight w:val="179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PD-6500</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发变组综合电量测 量装置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月底， 已经完成样机开发 和内测，后续将送样 测试争取近期完成 样机的检验报告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是传统模拟变送器产品 的升级产品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保证公司产品在发电机 监控系统的竞争力</w:t>
            </w:r>
          </w:p>
        </w:tc>
      </w:tr>
      <w:tr>
        <w:trPr>
          <w:trHeight w:val="21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404040"/>
                <w:spacing w:val="0"/>
                <w:w w:val="100"/>
                <w:position w:val="0"/>
                <w:sz w:val="20"/>
                <w:szCs w:val="20"/>
              </w:rPr>
              <w:t>PTC-8300HS</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404040"/>
                <w:spacing w:val="0"/>
                <w:w w:val="100"/>
                <w:position w:val="0"/>
                <w:sz w:val="20"/>
                <w:szCs w:val="20"/>
              </w:rPr>
              <w:t>变送器和交流采样 检验装置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月底， 已经基本完成全部 软件和硬件开发工 作，样机内测全部完 成，产品已经完成销 售准备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满足电厂客户对变送器 产品的检验需求；满足 电网客户对交流采样装 置的测试需求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完善公司的电测产品 线，增加公司业务</w:t>
            </w:r>
          </w:p>
        </w:tc>
      </w:tr>
      <w:tr>
        <w:trPr>
          <w:trHeight w:val="211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HPU-DTU2200</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自动化配电终端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月底完成首 台样机的开发，然后 测试后开始进行改 进设计，第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次样机 的开发和测试工作 还在进行中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完善</w:t>
            </w:r>
            <w:r>
              <w:rPr>
                <w:rFonts w:ascii="Times New Roman" w:eastAsia="Times New Roman" w:hAnsi="Times New Roman" w:cs="Times New Roman"/>
                <w:color w:val="000000"/>
                <w:spacing w:val="0"/>
                <w:w w:val="100"/>
                <w:position w:val="0"/>
                <w:sz w:val="20"/>
                <w:szCs w:val="20"/>
              </w:rPr>
              <w:t>DTU</w:t>
            </w:r>
            <w:r>
              <w:rPr>
                <w:color w:val="000000"/>
                <w:spacing w:val="0"/>
                <w:w w:val="100"/>
                <w:position w:val="0"/>
                <w:sz w:val="20"/>
                <w:szCs w:val="20"/>
              </w:rPr>
              <w:t>的产品线，实 现</w:t>
            </w:r>
            <w:r>
              <w:rPr>
                <w:rFonts w:ascii="Times New Roman" w:eastAsia="Times New Roman" w:hAnsi="Times New Roman" w:cs="Times New Roman"/>
                <w:color w:val="000000"/>
                <w:spacing w:val="0"/>
                <w:w w:val="100"/>
                <w:position w:val="0"/>
                <w:sz w:val="20"/>
                <w:szCs w:val="20"/>
              </w:rPr>
              <w:t>DTU/FTU</w:t>
            </w:r>
            <w:r>
              <w:rPr>
                <w:color w:val="000000"/>
                <w:spacing w:val="0"/>
                <w:w w:val="100"/>
                <w:position w:val="0"/>
                <w:sz w:val="20"/>
                <w:szCs w:val="20"/>
              </w:rPr>
              <w:t>小型化设 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形成全系列的配电自动 化终端产品线，满足电 网客户的不同需求，提 高公司竞争力</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26,780,407.38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12,124,631.28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、现金流</w:t>
      </w:r>
      <w:bookmarkEnd w:id="175"/>
      <w:bookmarkEnd w:id="176"/>
      <w:bookmarkEnd w:id="1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525,983,014.85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367,420,858.54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395,443,253.58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324,947,731.17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130,539,761.27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42,473,127.37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20,397,870.54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150,887,174.74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27,956,085.81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150,561,136.23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-7,558,215.27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67,832,069.30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206,398,200.00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40,174,685.74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63,522,958.34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27,657,383.56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142,875,241.66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150,494,320.29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185,336,381.22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r>
    </w:tbl>
    <w:p>
      <w:pPr>
        <w:pStyle w:val="Style27"/>
        <w:keepNext w:val="0"/>
        <w:keepLines w:val="0"/>
        <w:widowControl w:val="0"/>
        <w:shd w:val="clear" w:color="auto" w:fill="auto"/>
        <w:bidi w:val="0"/>
        <w:spacing w:before="0" w:line="315"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13"/>
        </w:numPr>
        <w:shd w:val="clear" w:color="auto" w:fill="auto"/>
        <w:bidi w:val="0"/>
        <w:spacing w:before="0" w:after="0" w:line="315" w:lineRule="exact"/>
        <w:ind w:left="0" w:right="0" w:firstLine="0"/>
        <w:jc w:val="left"/>
      </w:pPr>
      <w:bookmarkStart w:id="179" w:name="bookmark179"/>
      <w:bookmarkEnd w:id="17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经营活动现金流入较去年同期增加了</w:t>
      </w:r>
      <w:r>
        <w:rPr>
          <w:rFonts w:ascii="Times New Roman" w:eastAsia="Times New Roman" w:hAnsi="Times New Roman" w:cs="Times New Roman"/>
          <w:color w:val="000000"/>
          <w:spacing w:val="0"/>
          <w:w w:val="100"/>
          <w:position w:val="0"/>
          <w:sz w:val="18"/>
          <w:szCs w:val="18"/>
        </w:rPr>
        <w:t>43.39%</w:t>
      </w:r>
      <w:r>
        <w:rPr>
          <w:color w:val="000000"/>
          <w:spacing w:val="0"/>
          <w:w w:val="100"/>
          <w:position w:val="0"/>
        </w:rPr>
        <w:t>,主要是由于报告期内合并了浙江涵普全年的经营活动现金量，而去年同期仅 合并浙江涵普</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月的经营活动现金流量；扣除浙江涵普的影响，经营活动现金流入较去年同期增加为</w:t>
      </w:r>
      <w:r>
        <w:rPr>
          <w:rFonts w:ascii="Times New Roman" w:eastAsia="Times New Roman" w:hAnsi="Times New Roman" w:cs="Times New Roman"/>
          <w:color w:val="000000"/>
          <w:spacing w:val="0"/>
          <w:w w:val="100"/>
          <w:position w:val="0"/>
          <w:sz w:val="18"/>
          <w:szCs w:val="18"/>
        </w:rPr>
        <w:t>12.06%</w:t>
      </w:r>
      <w:r>
        <w:rPr>
          <w:color w:val="000000"/>
          <w:spacing w:val="0"/>
          <w:w w:val="100"/>
          <w:position w:val="0"/>
        </w:rPr>
        <w:t>，主要 是由于母公司加强销售收款的催收力度，销售收款较去年同期增加了</w:t>
      </w:r>
      <w:r>
        <w:rPr>
          <w:rFonts w:ascii="Times New Roman" w:eastAsia="Times New Roman" w:hAnsi="Times New Roman" w:cs="Times New Roman"/>
          <w:color w:val="000000"/>
          <w:spacing w:val="0"/>
          <w:w w:val="100"/>
          <w:position w:val="0"/>
          <w:sz w:val="18"/>
          <w:szCs w:val="18"/>
        </w:rPr>
        <w:t>22.84%</w:t>
      </w:r>
      <w:r>
        <w:rPr>
          <w:color w:val="000000"/>
          <w:spacing w:val="0"/>
          <w:w w:val="100"/>
          <w:position w:val="0"/>
        </w:rPr>
        <w:t>。</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0" w:name="bookmark180"/>
      <w:bookmarkEnd w:id="180"/>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sz w:val="18"/>
          <w:szCs w:val="18"/>
        </w:rPr>
        <w:t>207.35%</w:t>
      </w:r>
      <w:r>
        <w:rPr>
          <w:color w:val="000000"/>
          <w:spacing w:val="0"/>
          <w:w w:val="100"/>
          <w:position w:val="0"/>
        </w:rPr>
        <w:t>,主要是由于经营活动现金流入较去年同期增加导致的。</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1" w:name="bookmark181"/>
      <w:bookmarkEnd w:id="181"/>
      <w:r>
        <w:rPr>
          <w:color w:val="000000"/>
          <w:spacing w:val="0"/>
          <w:w w:val="100"/>
          <w:position w:val="0"/>
        </w:rPr>
        <w:t>投资活动现金流入较去年同期下降了</w:t>
      </w:r>
      <w:r>
        <w:rPr>
          <w:rFonts w:ascii="Times New Roman" w:eastAsia="Times New Roman" w:hAnsi="Times New Roman" w:cs="Times New Roman"/>
          <w:color w:val="000000"/>
          <w:spacing w:val="0"/>
          <w:w w:val="100"/>
          <w:position w:val="0"/>
          <w:sz w:val="18"/>
          <w:szCs w:val="18"/>
        </w:rPr>
        <w:t>86.48%</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年购买的理财产品的本金及利息</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的已在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年收回，仅 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的本金及利息在报告期内到期收回。</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2" w:name="bookmark182"/>
      <w:bookmarkEnd w:id="182"/>
      <w:r>
        <w:rPr>
          <w:color w:val="000000"/>
          <w:spacing w:val="0"/>
          <w:w w:val="100"/>
          <w:position w:val="0"/>
        </w:rPr>
        <w:t>投资活动现金流出较去年同期下降</w:t>
      </w:r>
      <w:r>
        <w:rPr>
          <w:rFonts w:ascii="Times New Roman" w:eastAsia="Times New Roman" w:hAnsi="Times New Roman" w:cs="Times New Roman"/>
          <w:color w:val="000000"/>
          <w:spacing w:val="0"/>
          <w:w w:val="100"/>
          <w:position w:val="0"/>
          <w:sz w:val="18"/>
          <w:szCs w:val="18"/>
        </w:rPr>
        <w:t>81.43%</w:t>
      </w:r>
      <w:r>
        <w:rPr>
          <w:color w:val="000000"/>
          <w:spacing w:val="0"/>
          <w:w w:val="100"/>
          <w:position w:val="0"/>
        </w:rPr>
        <w:t>，主要是由于去年用闲置的募集资金购买了理财产品；报告期内未发生此项交易， 报告期内的投资活动现金流出主要是募投项目的固定资产的投入。</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3" w:name="bookmark183"/>
      <w:bookmarkEnd w:id="183"/>
      <w:r>
        <w:rPr>
          <w:color w:val="000000"/>
          <w:spacing w:val="0"/>
          <w:w w:val="100"/>
          <w:position w:val="0"/>
        </w:rPr>
        <w:t>投资活动产生的现金流量净额较去年同期下降了</w:t>
      </w:r>
      <w:r>
        <w:rPr>
          <w:rFonts w:ascii="Times New Roman" w:eastAsia="Times New Roman" w:hAnsi="Times New Roman" w:cs="Times New Roman"/>
          <w:color w:val="000000"/>
          <w:spacing w:val="0"/>
          <w:w w:val="100"/>
          <w:position w:val="0"/>
          <w:sz w:val="18"/>
          <w:szCs w:val="18"/>
        </w:rPr>
        <w:t>2418.20%</w:t>
      </w:r>
      <w:r>
        <w:rPr>
          <w:color w:val="000000"/>
          <w:spacing w:val="0"/>
          <w:w w:val="100"/>
          <w:position w:val="0"/>
        </w:rPr>
        <w:t>,主要是由于报告期是研发中心扩建募投项目的主要建设期，其 固定资产的投入主要发生在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4" w:name="bookmark184"/>
      <w:bookmarkEnd w:id="184"/>
      <w:r>
        <w:rPr>
          <w:color w:val="000000"/>
          <w:spacing w:val="0"/>
          <w:w w:val="100"/>
          <w:position w:val="0"/>
        </w:rPr>
        <w:t xml:space="preserve">报告期内筹资活动现金流入主要是收到特定投资者非公开发行股份募集配套资金及员工持股计划募集资金的保证。筹资活 动现金流入较去年同期下降了 </w:t>
      </w:r>
      <w:r>
        <w:rPr>
          <w:rFonts w:ascii="Times New Roman" w:eastAsia="Times New Roman" w:hAnsi="Times New Roman" w:cs="Times New Roman"/>
          <w:color w:val="000000"/>
          <w:spacing w:val="0"/>
          <w:w w:val="100"/>
          <w:position w:val="0"/>
          <w:sz w:val="18"/>
          <w:szCs w:val="18"/>
        </w:rPr>
        <w:t>67.14%</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年公司首次公开发行股票的募集资金到位，报告期内公司未发生。</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5" w:name="bookmark185"/>
      <w:bookmarkEnd w:id="185"/>
      <w:r>
        <w:rPr>
          <w:color w:val="000000"/>
          <w:spacing w:val="0"/>
          <w:w w:val="100"/>
          <w:position w:val="0"/>
        </w:rPr>
        <w:t xml:space="preserve">筹资活动现金流出较去年同期下降了 </w:t>
      </w:r>
      <w:r>
        <w:rPr>
          <w:rFonts w:ascii="Times New Roman" w:eastAsia="Times New Roman" w:hAnsi="Times New Roman" w:cs="Times New Roman"/>
          <w:color w:val="000000"/>
          <w:spacing w:val="0"/>
          <w:w w:val="100"/>
          <w:position w:val="0"/>
          <w:sz w:val="18"/>
          <w:szCs w:val="18"/>
        </w:rPr>
        <w:t>36.76%</w:t>
      </w:r>
      <w:r>
        <w:rPr>
          <w:color w:val="000000"/>
          <w:spacing w:val="0"/>
          <w:w w:val="100"/>
          <w:position w:val="0"/>
        </w:rPr>
        <w:t>，主要是由于控股子公司浙江涵普支付的少数股东的现金股利较去年同期下 降，主要是由于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年新增的控股子公司浙江涵普将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年以前累计的少数股东的股利都在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年支付完毕。</w:t>
      </w:r>
    </w:p>
    <w:p>
      <w:pPr>
        <w:pStyle w:val="Style27"/>
        <w:keepNext w:val="0"/>
        <w:keepLines w:val="0"/>
        <w:widowControl w:val="0"/>
        <w:numPr>
          <w:ilvl w:val="0"/>
          <w:numId w:val="13"/>
        </w:numPr>
        <w:shd w:val="clear" w:color="auto" w:fill="auto"/>
        <w:tabs>
          <w:tab w:pos="320" w:val="left"/>
        </w:tabs>
        <w:bidi w:val="0"/>
        <w:spacing w:before="0" w:after="0" w:line="315" w:lineRule="exact"/>
        <w:ind w:left="0" w:right="0" w:firstLine="0"/>
        <w:jc w:val="left"/>
      </w:pPr>
      <w:bookmarkStart w:id="186" w:name="bookmark186"/>
      <w:bookmarkEnd w:id="186"/>
      <w:r>
        <w:rPr>
          <w:color w:val="000000"/>
          <w:spacing w:val="0"/>
          <w:w w:val="100"/>
          <w:position w:val="0"/>
        </w:rPr>
        <w:t>筹资活动产生的现金流量净额较去年同期下降了</w:t>
      </w:r>
      <w:r>
        <w:rPr>
          <w:rFonts w:ascii="Times New Roman" w:eastAsia="Times New Roman" w:hAnsi="Times New Roman" w:cs="Times New Roman"/>
          <w:color w:val="000000"/>
          <w:spacing w:val="0"/>
          <w:w w:val="100"/>
          <w:position w:val="0"/>
          <w:sz w:val="18"/>
          <w:szCs w:val="18"/>
        </w:rPr>
        <w:t>80.64%</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年公司首次公开发行股票的募集资金到位，报告 期内公司未发生。</w:t>
      </w:r>
    </w:p>
    <w:p>
      <w:pPr>
        <w:pStyle w:val="Style27"/>
        <w:keepNext w:val="0"/>
        <w:keepLines w:val="0"/>
        <w:widowControl w:val="0"/>
        <w:shd w:val="clear" w:color="auto" w:fill="auto"/>
        <w:bidi w:val="0"/>
        <w:spacing w:before="0" w:line="315" w:lineRule="exact"/>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27"/>
        <w:keepNext w:val="0"/>
        <w:keepLines w:val="0"/>
        <w:widowControl w:val="0"/>
        <w:shd w:val="clear" w:color="auto" w:fill="auto"/>
        <w:bidi w:val="0"/>
        <w:spacing w:before="0" w:after="40" w:line="29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80" w:line="298" w:lineRule="exact"/>
        <w:ind w:left="0" w:right="0" w:firstLine="0"/>
        <w:jc w:val="left"/>
      </w:pPr>
      <w:r>
        <w:rPr>
          <w:color w:val="000000"/>
          <w:spacing w:val="0"/>
          <w:w w:val="100"/>
          <w:position w:val="0"/>
        </w:rPr>
        <w:t xml:space="preserve">报告期内公司经营活动产生的现金净流量与本年度净利润存在差异的主要原因是经营性应收项目的增加和经营性应付项目 的减少。报期经营性应收项目减少了 </w:t>
      </w:r>
      <w:r>
        <w:rPr>
          <w:rFonts w:ascii="Times New Roman" w:eastAsia="Times New Roman" w:hAnsi="Times New Roman" w:cs="Times New Roman"/>
          <w:color w:val="000000"/>
          <w:spacing w:val="0"/>
          <w:w w:val="100"/>
          <w:position w:val="0"/>
          <w:sz w:val="18"/>
          <w:szCs w:val="18"/>
        </w:rPr>
        <w:t>1,371.4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万元；经营性应付项目增加了 </w:t>
      </w:r>
      <w:r>
        <w:rPr>
          <w:rFonts w:ascii="Times New Roman" w:eastAsia="Times New Roman" w:hAnsi="Times New Roman" w:cs="Times New Roman"/>
          <w:color w:val="000000"/>
          <w:spacing w:val="0"/>
          <w:w w:val="100"/>
          <w:position w:val="0"/>
          <w:sz w:val="18"/>
          <w:szCs w:val="18"/>
        </w:rPr>
        <w:t>2,095.3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3"/>
        <w:keepNext/>
        <w:keepLines/>
        <w:widowControl w:val="0"/>
        <w:shd w:val="clear" w:color="auto" w:fill="auto"/>
        <w:bidi w:val="0"/>
        <w:spacing w:before="0" w:after="30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sz w:val="24"/>
          <w:szCs w:val="24"/>
        </w:rPr>
        <w:t>三</w:t>
      </w:r>
      <w:bookmarkEnd w:id="189"/>
      <w:r>
        <w:rPr>
          <w:color w:val="000000"/>
          <w:spacing w:val="0"/>
          <w:w w:val="100"/>
          <w:position w:val="0"/>
          <w:sz w:val="24"/>
          <w:szCs w:val="24"/>
        </w:rPr>
        <w:t>、非主营业务情况</w:t>
      </w:r>
      <w:bookmarkEnd w:id="187"/>
      <w:bookmarkEnd w:id="188"/>
      <w:bookmarkEnd w:id="190"/>
    </w:p>
    <w:p>
      <w:pPr>
        <w:pStyle w:val="Style27"/>
        <w:keepNext w:val="0"/>
        <w:keepLines w:val="0"/>
        <w:widowControl w:val="0"/>
        <w:shd w:val="clear" w:color="auto" w:fill="auto"/>
        <w:bidi w:val="0"/>
        <w:spacing w:before="0" w:line="29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主要是购买理财产品的收 益以及可供出售金融资产 取得分红收益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5,750,943.77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主要系计提的坏账损失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10,972,838.32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固定资产处置损失及车辆 违章罚没等支出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四</w:t>
      </w:r>
      <w:bookmarkEnd w:id="193"/>
      <w:r>
        <w:rPr>
          <w:color w:val="000000"/>
          <w:spacing w:val="0"/>
          <w:w w:val="100"/>
          <w:position w:val="0"/>
          <w:sz w:val="24"/>
          <w:szCs w:val="24"/>
        </w:rPr>
        <w:t>、资产及负债状况</w:t>
      </w:r>
      <w:bookmarkEnd w:id="191"/>
      <w:bookmarkEnd w:id="192"/>
      <w:bookmarkEnd w:id="194"/>
    </w:p>
    <w:p>
      <w:pPr>
        <w:pStyle w:val="Style32"/>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、资产构成重大变动情况</w:t>
      </w:r>
      <w:bookmarkEnd w:id="195"/>
      <w:bookmarkEnd w:id="196"/>
      <w:bookmarkEnd w:id="1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439,661,227.5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287,993,878.47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一方面由于公司第四季度销售收款 较上年同期增加了 </w:t>
            </w:r>
            <w:r>
              <w:rPr>
                <w:rFonts w:ascii="Times New Roman" w:eastAsia="Times New Roman" w:hAnsi="Times New Roman" w:cs="Times New Roman"/>
                <w:color w:val="000000"/>
                <w:spacing w:val="0"/>
                <w:w w:val="100"/>
                <w:position w:val="0"/>
                <w:sz w:val="18"/>
                <w:szCs w:val="18"/>
              </w:rPr>
              <w:t>6,390.06</w:t>
            </w:r>
            <w:r>
              <w:rPr>
                <w:color w:val="000000"/>
                <w:spacing w:val="0"/>
                <w:w w:val="100"/>
                <w:position w:val="0"/>
              </w:rPr>
              <w:t>万元；另 一方面由于报告期内公司收到特定 投资者非公开发行股份募集配套资 金及员工持股计划募集资金的保证 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263,613,715.5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268,835,560.78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60,545,001.23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58,646,760.30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15,028,928.51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58,306,052.63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58,668,020.10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1,076,174.36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479,166.74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3,354,166.82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、以公允价值计量的资产和负债</w:t>
      </w:r>
      <w:bookmarkEnd w:id="199"/>
      <w:bookmarkEnd w:id="200"/>
      <w:bookmarkEnd w:id="20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9" w:right="0" w:firstLine="0"/>
        <w:jc w:val="left"/>
        <w:rPr>
          <w:sz w:val="20"/>
          <w:szCs w:val="20"/>
        </w:rPr>
      </w:pPr>
      <w:bookmarkStart w:id="203" w:name="bookmark20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bookmarkEnd w:id="203"/>
    </w:p>
    <w:tbl>
      <w:tblPr>
        <w:tblOverlap w:val="never"/>
        <w:jc w:val="center"/>
        <w:tblLayout w:type="fixed"/>
      </w:tblPr>
      <w:tblGrid>
        <w:gridCol w:w="2266"/>
        <w:gridCol w:w="2731"/>
        <w:gridCol w:w="2525"/>
        <w:gridCol w:w="168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期末账面原值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4"/>
                <w:szCs w:val="24"/>
              </w:rPr>
            </w:pPr>
            <w:r>
              <w:rPr>
                <w:b/>
                <w:bCs/>
                <w:color w:val="000000"/>
                <w:spacing w:val="0"/>
                <w:w w:val="100"/>
                <w:position w:val="0"/>
                <w:sz w:val="24"/>
                <w:szCs w:val="24"/>
              </w:rPr>
              <w:t>期末账面净值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受限原因</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）厦门红相</w:t>
            </w:r>
          </w:p>
        </w:tc>
        <w:tc>
          <w:tcPr>
            <w:gridSpan w:val="3"/>
            <w:tcBorders>
              <w:top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1,258,003.50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4"/>
                <w:szCs w:val="24"/>
              </w:rPr>
              <w:t>1,258,003.50</w:t>
            </w:r>
            <w:r>
              <w:rPr>
                <w:color w:val="000000"/>
                <w:spacing w:val="0"/>
                <w:w w:val="100"/>
                <w:position w:val="0"/>
                <w:sz w:val="22"/>
                <w:szCs w:val="22"/>
              </w:rPr>
              <w:t>银行履约保函保证</w:t>
            </w:r>
          </w:p>
          <w:p>
            <w:pPr>
              <w:pStyle w:val="Style2"/>
              <w:keepNext w:val="0"/>
              <w:keepLines w:val="0"/>
              <w:widowControl w:val="0"/>
              <w:shd w:val="clear" w:color="auto" w:fill="auto"/>
              <w:bidi w:val="0"/>
              <w:spacing w:before="0" w:after="0" w:line="240" w:lineRule="auto"/>
              <w:ind w:left="0" w:right="940" w:firstLine="0"/>
              <w:jc w:val="right"/>
              <w:rPr>
                <w:sz w:val="22"/>
                <w:szCs w:val="22"/>
              </w:rPr>
            </w:pPr>
            <w:r>
              <w:rPr>
                <w:color w:val="000000"/>
                <w:spacing w:val="0"/>
                <w:w w:val="100"/>
                <w:position w:val="0"/>
                <w:sz w:val="22"/>
                <w:szCs w:val="22"/>
              </w:rPr>
              <w:t>金</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18,191,468.50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12,862,884.27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投资性房地产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18,191,468.50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12,862,884.26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）浙江涵普</w:t>
            </w:r>
          </w:p>
        </w:tc>
        <w:tc>
          <w:tcPr>
            <w:gridSpan w:val="3"/>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179,178.93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179,178.93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保函保证金</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15,063,529.00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13,816,838.81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p>
        </w:tc>
      </w:tr>
      <w:tr>
        <w:trPr>
          <w:trHeight w:val="35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b/>
                <w:bCs/>
                <w:color w:val="000000"/>
                <w:spacing w:val="0"/>
                <w:w w:val="100"/>
                <w:position w:val="0"/>
                <w:sz w:val="24"/>
                <w:szCs w:val="24"/>
              </w:rPr>
              <w:t>52,883,648.43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b/>
                <w:bCs/>
                <w:color w:val="000000"/>
                <w:spacing w:val="0"/>
                <w:w w:val="100"/>
                <w:position w:val="0"/>
                <w:sz w:val="24"/>
                <w:szCs w:val="24"/>
              </w:rPr>
              <w:t>40,979,789.77</w:t>
            </w:r>
          </w:p>
        </w:tc>
        <w:tc>
          <w:tcPr>
            <w:tcBorders>
              <w:top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9" w:right="0" w:firstLine="0"/>
        <w:jc w:val="left"/>
        <w:rPr>
          <w:sz w:val="22"/>
          <w:szCs w:val="22"/>
        </w:rPr>
      </w:pPr>
      <w:r>
        <w:rPr>
          <w:color w:val="000000"/>
          <w:spacing w:val="0"/>
          <w:w w:val="100"/>
          <w:position w:val="0"/>
          <w:sz w:val="22"/>
          <w:szCs w:val="22"/>
        </w:rPr>
        <w:t>说明:</w:t>
      </w:r>
    </w:p>
    <w:p>
      <w:pPr>
        <w:widowControl w:val="0"/>
        <w:spacing w:after="179" w:line="1" w:lineRule="exact"/>
      </w:pPr>
    </w:p>
    <w:p>
      <w:pPr>
        <w:pStyle w:val="Style35"/>
        <w:keepNext w:val="0"/>
        <w:keepLines w:val="0"/>
        <w:widowControl w:val="0"/>
        <w:numPr>
          <w:ilvl w:val="0"/>
          <w:numId w:val="15"/>
        </w:numPr>
        <w:shd w:val="clear" w:color="auto" w:fill="auto"/>
        <w:tabs>
          <w:tab w:pos="748" w:val="left"/>
        </w:tabs>
        <w:bidi w:val="0"/>
        <w:spacing w:before="0" w:after="220" w:line="314" w:lineRule="exact"/>
        <w:ind w:left="760" w:right="0" w:hanging="360"/>
        <w:jc w:val="both"/>
        <w:rPr>
          <w:sz w:val="22"/>
          <w:szCs w:val="22"/>
        </w:rPr>
      </w:pPr>
      <w:bookmarkStart w:id="204" w:name="bookmark204"/>
      <w:bookmarkEnd w:id="204"/>
      <w:r>
        <w:rPr>
          <w:color w:val="000000"/>
          <w:spacing w:val="0"/>
          <w:w w:val="100"/>
          <w:position w:val="0"/>
          <w:sz w:val="22"/>
          <w:szCs w:val="22"/>
        </w:rPr>
        <w:t>本公司于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日与中国农业银行股份有限公司厦门莲前支行签订《厂房按揭借 款合同》，以环东海域思明工业园</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2"/>
          <w:szCs w:val="22"/>
        </w:rPr>
        <w:t xml:space="preserve">厂房作为抵押，向银行按揭借款计人民币 </w:t>
      </w:r>
      <w:r>
        <w:rPr>
          <w:rFonts w:ascii="Times New Roman" w:eastAsia="Times New Roman" w:hAnsi="Times New Roman" w:cs="Times New Roman"/>
          <w:color w:val="000000"/>
          <w:spacing w:val="0"/>
          <w:w w:val="100"/>
          <w:position w:val="0"/>
          <w:sz w:val="24"/>
          <w:szCs w:val="24"/>
        </w:rPr>
        <w:t>23,000,000.00</w:t>
      </w:r>
      <w:r>
        <w:rPr>
          <w:color w:val="000000"/>
          <w:spacing w:val="0"/>
          <w:w w:val="100"/>
          <w:position w:val="0"/>
          <w:sz w:val="22"/>
          <w:szCs w:val="22"/>
        </w:rPr>
        <w:t>元，借款期限为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日。截止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 上述银行借款本金余额</w:t>
      </w:r>
      <w:r>
        <w:rPr>
          <w:rFonts w:ascii="Times New Roman" w:eastAsia="Times New Roman" w:hAnsi="Times New Roman" w:cs="Times New Roman"/>
          <w:color w:val="000000"/>
          <w:spacing w:val="0"/>
          <w:w w:val="100"/>
          <w:position w:val="0"/>
          <w:sz w:val="24"/>
          <w:szCs w:val="24"/>
        </w:rPr>
        <w:t>3,354,166.7</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元，其中一年内到期长期借款金额为</w:t>
      </w:r>
      <w:r>
        <w:rPr>
          <w:rFonts w:ascii="Times New Roman" w:eastAsia="Times New Roman" w:hAnsi="Times New Roman" w:cs="Times New Roman"/>
          <w:color w:val="000000"/>
          <w:spacing w:val="0"/>
          <w:w w:val="100"/>
          <w:position w:val="0"/>
          <w:sz w:val="24"/>
          <w:szCs w:val="24"/>
        </w:rPr>
        <w:t xml:space="preserve">2,874,999.96 </w:t>
      </w:r>
      <w:r>
        <w:rPr>
          <w:color w:val="000000"/>
          <w:spacing w:val="0"/>
          <w:w w:val="100"/>
          <w:position w:val="0"/>
          <w:sz w:val="22"/>
          <w:szCs w:val="22"/>
        </w:rPr>
        <w:t>/元。</w:t>
      </w:r>
    </w:p>
    <w:p>
      <w:pPr>
        <w:pStyle w:val="Style35"/>
        <w:keepNext w:val="0"/>
        <w:keepLines w:val="0"/>
        <w:widowControl w:val="0"/>
        <w:numPr>
          <w:ilvl w:val="0"/>
          <w:numId w:val="15"/>
        </w:numPr>
        <w:shd w:val="clear" w:color="auto" w:fill="auto"/>
        <w:tabs>
          <w:tab w:pos="749" w:val="left"/>
        </w:tabs>
        <w:bidi w:val="0"/>
        <w:spacing w:before="0" w:after="0" w:line="312" w:lineRule="exact"/>
        <w:ind w:left="0" w:right="0"/>
        <w:jc w:val="both"/>
        <w:rPr>
          <w:sz w:val="22"/>
          <w:szCs w:val="22"/>
        </w:rPr>
      </w:pPr>
      <w:bookmarkStart w:id="205" w:name="bookmark205"/>
      <w:bookmarkEnd w:id="205"/>
      <w:r>
        <w:rPr>
          <w:color w:val="000000"/>
          <w:spacing w:val="0"/>
          <w:w w:val="100"/>
          <w:position w:val="0"/>
          <w:sz w:val="22"/>
          <w:szCs w:val="22"/>
        </w:rPr>
        <w:t>本公司的子公司浙江涵普以位于杭州伟星大厦第十八层整层的写字楼及土地使用权</w:t>
      </w:r>
    </w:p>
    <w:p>
      <w:pPr>
        <w:pStyle w:val="Style35"/>
        <w:keepNext w:val="0"/>
        <w:keepLines w:val="0"/>
        <w:widowControl w:val="0"/>
        <w:shd w:val="clear" w:color="auto" w:fill="auto"/>
        <w:bidi w:val="0"/>
        <w:spacing w:before="0" w:after="860" w:line="312" w:lineRule="exact"/>
        <w:ind w:left="760" w:right="0" w:firstLine="0"/>
        <w:jc w:val="both"/>
        <w:rPr>
          <w:sz w:val="22"/>
          <w:szCs w:val="22"/>
        </w:rPr>
      </w:pPr>
      <w:r>
        <w:rPr>
          <w:color w:val="000000"/>
          <w:spacing w:val="0"/>
          <w:w w:val="100"/>
          <w:position w:val="0"/>
          <w:sz w:val="22"/>
          <w:szCs w:val="22"/>
        </w:rPr>
        <w:t>（房屋产权证：杭房权证西移字第</w:t>
      </w:r>
      <w:r>
        <w:rPr>
          <w:rFonts w:ascii="Times New Roman" w:eastAsia="Times New Roman" w:hAnsi="Times New Roman" w:cs="Times New Roman"/>
          <w:color w:val="000000"/>
          <w:spacing w:val="0"/>
          <w:w w:val="100"/>
          <w:position w:val="0"/>
          <w:sz w:val="24"/>
          <w:szCs w:val="24"/>
        </w:rPr>
        <w:t>13598170</w:t>
      </w:r>
      <w:r>
        <w:rPr>
          <w:color w:val="000000"/>
          <w:spacing w:val="0"/>
          <w:w w:val="100"/>
          <w:position w:val="0"/>
          <w:sz w:val="22"/>
          <w:szCs w:val="22"/>
        </w:rPr>
        <w:t>号；土地使用权证：杭西国用（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 xml:space="preserve">）第 </w:t>
      </w:r>
      <w:r>
        <w:rPr>
          <w:rFonts w:ascii="Times New Roman" w:eastAsia="Times New Roman" w:hAnsi="Times New Roman" w:cs="Times New Roman"/>
          <w:color w:val="000000"/>
          <w:spacing w:val="0"/>
          <w:w w:val="100"/>
          <w:position w:val="0"/>
          <w:sz w:val="24"/>
          <w:szCs w:val="24"/>
        </w:rPr>
        <w:t>018135</w:t>
      </w:r>
      <w:r>
        <w:rPr>
          <w:color w:val="000000"/>
          <w:spacing w:val="0"/>
          <w:w w:val="100"/>
          <w:position w:val="0"/>
          <w:sz w:val="22"/>
          <w:szCs w:val="22"/>
        </w:rPr>
        <w:t>号，账面价值</w:t>
      </w:r>
      <w:r>
        <w:rPr>
          <w:rFonts w:ascii="Times New Roman" w:eastAsia="Times New Roman" w:hAnsi="Times New Roman" w:cs="Times New Roman"/>
          <w:color w:val="000000"/>
          <w:spacing w:val="0"/>
          <w:w w:val="100"/>
          <w:position w:val="0"/>
          <w:sz w:val="24"/>
          <w:szCs w:val="24"/>
        </w:rPr>
        <w:t>13,816,838.81</w:t>
      </w:r>
      <w:r>
        <w:rPr>
          <w:color w:val="000000"/>
          <w:spacing w:val="0"/>
          <w:w w:val="100"/>
          <w:position w:val="0"/>
          <w:sz w:val="22"/>
          <w:szCs w:val="22"/>
        </w:rPr>
        <w:t>元）作为抵押，向中国银行海盐支行借款。</w:t>
      </w:r>
    </w:p>
    <w:p>
      <w:pPr>
        <w:pStyle w:val="Style23"/>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五</w:t>
      </w:r>
      <w:bookmarkEnd w:id="208"/>
      <w:r>
        <w:rPr>
          <w:color w:val="000000"/>
          <w:spacing w:val="0"/>
          <w:w w:val="100"/>
          <w:position w:val="0"/>
          <w:sz w:val="24"/>
          <w:szCs w:val="24"/>
        </w:rPr>
        <w:t>、投资状况分析</w:t>
      </w:r>
      <w:bookmarkEnd w:id="206"/>
      <w:bookmarkEnd w:id="207"/>
      <w:bookmarkEnd w:id="209"/>
    </w:p>
    <w:p>
      <w:pPr>
        <w:pStyle w:val="Style32"/>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、总体情况</w:t>
      </w:r>
      <w:bookmarkEnd w:id="210"/>
      <w:bookmarkEnd w:id="211"/>
      <w:bookmarkEnd w:id="21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56,925,589.52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14" w:name="bookmark2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、报告期内获取的重大的股权投资情况</w:t>
      </w:r>
      <w:bookmarkEnd w:id="214"/>
    </w:p>
    <w:p>
      <w:pPr>
        <w:widowControl w:val="0"/>
        <w:spacing w:after="359" w:line="1" w:lineRule="exact"/>
      </w:pPr>
    </w:p>
    <w:p>
      <w:pPr>
        <w:pStyle w:val="Style27"/>
        <w:keepNext w:val="0"/>
        <w:keepLines w:val="0"/>
        <w:widowControl w:val="0"/>
        <w:shd w:val="clear" w:color="auto" w:fill="auto"/>
        <w:bidi w:val="0"/>
        <w:spacing w:before="0" w:after="360" w:line="240" w:lineRule="auto"/>
        <w:ind w:left="0" w:right="0" w:firstLine="0"/>
        <w:jc w:val="left"/>
      </w:pPr>
      <w:bookmarkStart w:id="215" w:name="bookmark215"/>
      <w:r>
        <w:rPr>
          <w:rFonts w:ascii="Times New Roman" w:eastAsia="Times New Roman" w:hAnsi="Times New Roman" w:cs="Times New Roman"/>
          <w:color w:val="000000"/>
          <w:spacing w:val="0"/>
          <w:w w:val="100"/>
          <w:position w:val="0"/>
          <w:sz w:val="18"/>
          <w:szCs w:val="18"/>
        </w:rPr>
        <w:t>□</w:t>
      </w:r>
      <w:bookmarkEnd w:id="215"/>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8" w:val="left"/>
        </w:tabs>
        <w:bidi w:val="0"/>
        <w:spacing w:before="0" w:after="380" w:line="240" w:lineRule="auto"/>
        <w:ind w:left="0" w:right="0" w:firstLine="14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w:t>
        <w:tab/>
        <w:t>报告期内正在进行的重大的非股权投资情况</w:t>
      </w:r>
      <w:bookmarkEnd w:id="216"/>
      <w:bookmarkEnd w:id="217"/>
      <w:bookmarkEnd w:id="219"/>
    </w:p>
    <w:p>
      <w:pPr>
        <w:pStyle w:val="Style27"/>
        <w:keepNext w:val="0"/>
        <w:keepLines w:val="0"/>
        <w:widowControl w:val="0"/>
        <w:shd w:val="clear" w:color="auto" w:fill="auto"/>
        <w:bidi w:val="0"/>
        <w:spacing w:before="0" w:after="380" w:line="240" w:lineRule="auto"/>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518" w:val="left"/>
        </w:tabs>
        <w:bidi w:val="0"/>
        <w:spacing w:before="0" w:after="380" w:line="240" w:lineRule="auto"/>
        <w:ind w:left="0" w:right="0" w:firstLine="14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4</w:t>
      </w:r>
      <w:bookmarkEnd w:id="222"/>
      <w:r>
        <w:rPr>
          <w:color w:val="000000"/>
          <w:spacing w:val="0"/>
          <w:w w:val="100"/>
          <w:position w:val="0"/>
        </w:rPr>
        <w:t>、</w:t>
        <w:tab/>
        <w:t>以公允价值计量的金融资产</w:t>
      </w:r>
      <w:bookmarkEnd w:id="220"/>
      <w:bookmarkEnd w:id="221"/>
      <w:bookmarkEnd w:id="223"/>
    </w:p>
    <w:p>
      <w:pPr>
        <w:pStyle w:val="Style27"/>
        <w:keepNext w:val="0"/>
        <w:keepLines w:val="0"/>
        <w:widowControl w:val="0"/>
        <w:shd w:val="clear" w:color="auto" w:fill="auto"/>
        <w:bidi w:val="0"/>
        <w:spacing w:before="0" w:after="380" w:line="240" w:lineRule="auto"/>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518" w:val="left"/>
        </w:tabs>
        <w:bidi w:val="0"/>
        <w:spacing w:before="0" w:after="380" w:line="240" w:lineRule="auto"/>
        <w:ind w:left="0" w:right="0" w:firstLine="14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5</w:t>
      </w:r>
      <w:bookmarkEnd w:id="226"/>
      <w:r>
        <w:rPr>
          <w:color w:val="000000"/>
          <w:spacing w:val="0"/>
          <w:w w:val="100"/>
          <w:position w:val="0"/>
        </w:rPr>
        <w:t>、</w:t>
        <w:tab/>
        <w:t>募集资金使用情况</w:t>
      </w:r>
      <w:bookmarkEnd w:id="224"/>
      <w:bookmarkEnd w:id="225"/>
      <w:bookmarkEnd w:id="227"/>
    </w:p>
    <w:p>
      <w:pPr>
        <w:pStyle w:val="Style27"/>
        <w:keepNext w:val="0"/>
        <w:keepLines w:val="0"/>
        <w:widowControl w:val="0"/>
        <w:shd w:val="clear" w:color="auto" w:fill="auto"/>
        <w:bidi w:val="0"/>
        <w:spacing w:before="0" w:after="380" w:line="240" w:lineRule="auto"/>
        <w:ind w:left="0" w:right="0" w:firstLine="1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14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8"/>
      <w:bookmarkEnd w:id="229"/>
      <w:bookmarkEnd w:id="231"/>
    </w:p>
    <w:p>
      <w:pPr>
        <w:pStyle w:val="Style27"/>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尚未使用 募集资金 将用于募 投项目后 续资金支 出；截至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 未使用的 募集资金 均存放于 募集资金 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号核准，并经深圳证券交易所同意，本公司由主承销商长江证券承销保 荐有限公司通过深圳证券交易所系统于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日采用全部向二级市场投资者定价配售方式，向社会公众公开发行 了普通股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2,217</w:t>
            </w:r>
            <w:r>
              <w:rPr>
                <w:color w:val="000000"/>
                <w:spacing w:val="0"/>
                <w:w w:val="100"/>
                <w:position w:val="0"/>
              </w:rPr>
              <w:t>万股，发行价为每股人民币</w:t>
            </w:r>
            <w:r>
              <w:rPr>
                <w:rFonts w:ascii="Times New Roman" w:eastAsia="Times New Roman" w:hAnsi="Times New Roman" w:cs="Times New Roman"/>
                <w:color w:val="000000"/>
                <w:spacing w:val="0"/>
                <w:w w:val="100"/>
                <w:position w:val="0"/>
                <w:sz w:val="18"/>
                <w:szCs w:val="18"/>
              </w:rPr>
              <w:t>10.46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 xml:space="preserve">23,189.82 </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4,512.88</w:t>
            </w:r>
            <w:r>
              <w:rPr>
                <w:color w:val="000000"/>
                <w:spacing w:val="0"/>
                <w:w w:val="100"/>
                <w:position w:val="0"/>
              </w:rPr>
              <w:t>万元后，募集资金净额为</w:t>
            </w:r>
            <w:r>
              <w:rPr>
                <w:rFonts w:ascii="Times New Roman" w:eastAsia="Times New Roman" w:hAnsi="Times New Roman" w:cs="Times New Roman"/>
                <w:color w:val="000000"/>
                <w:spacing w:val="0"/>
                <w:w w:val="100"/>
                <w:position w:val="0"/>
                <w:sz w:val="18"/>
                <w:szCs w:val="18"/>
              </w:rPr>
              <w:t>18,676.94</w:t>
            </w:r>
            <w:r>
              <w:rPr>
                <w:color w:val="000000"/>
                <w:spacing w:val="0"/>
                <w:w w:val="100"/>
                <w:position w:val="0"/>
              </w:rPr>
              <w:t>万元。上述募集资金净额已经致同会计师事务所（特殊 普通合伙）出具的致同验字（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320ZA0005</w:t>
            </w:r>
            <w:r>
              <w:rPr>
                <w:color w:val="000000"/>
                <w:spacing w:val="0"/>
                <w:w w:val="100"/>
                <w:position w:val="0"/>
              </w:rPr>
              <w:t>号《验资报告》验证。公司对募集资金采取了专户存储制度。截至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日，募集资金累计投入</w:t>
            </w:r>
            <w:r>
              <w:rPr>
                <w:rFonts w:ascii="Times New Roman" w:eastAsia="Times New Roman" w:hAnsi="Times New Roman" w:cs="Times New Roman"/>
                <w:color w:val="000000"/>
                <w:spacing w:val="0"/>
                <w:w w:val="100"/>
                <w:position w:val="0"/>
                <w:sz w:val="18"/>
                <w:szCs w:val="18"/>
              </w:rPr>
              <w:t>16,861.68</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sz w:val="18"/>
                <w:szCs w:val="18"/>
              </w:rPr>
              <w:t>2,398.76</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2,087.79</w:t>
            </w:r>
            <w:r>
              <w:rPr>
                <w:color w:val="000000"/>
                <w:spacing w:val="0"/>
                <w:w w:val="100"/>
                <w:position w:val="0"/>
              </w:rPr>
              <w:t>万元，专户 存储累计利息、短期理财收益扣除手续费</w:t>
            </w:r>
            <w:r>
              <w:rPr>
                <w:rFonts w:ascii="Times New Roman" w:eastAsia="Times New Roman" w:hAnsi="Times New Roman" w:cs="Times New Roman"/>
                <w:color w:val="000000"/>
                <w:spacing w:val="0"/>
                <w:w w:val="100"/>
                <w:position w:val="0"/>
                <w:sz w:val="18"/>
                <w:szCs w:val="18"/>
              </w:rPr>
              <w:t>310.97</w:t>
            </w:r>
            <w:r>
              <w:rPr>
                <w:color w:val="000000"/>
                <w:spacing w:val="0"/>
                <w:w w:val="100"/>
                <w:position w:val="0"/>
              </w:rPr>
              <w:t>万元）</w:t>
            </w:r>
          </w:p>
        </w:tc>
      </w:tr>
    </w:tbl>
    <w:p>
      <w:pPr>
        <w:spacing w:lineRule="exact" w:line="1"/>
        <w:rPr>
          <w:sz w:val="2"/>
          <w:szCs w:val="2"/>
        </w:rPr>
      </w:pPr>
      <w:r>
        <w:br w:type="page"/>
      </w:r>
    </w:p>
    <w:p>
      <w:pPr>
        <w:pStyle w:val="Style45"/>
        <w:keepNext/>
        <w:keepLines/>
        <w:widowControl w:val="0"/>
        <w:numPr>
          <w:ilvl w:val="0"/>
          <w:numId w:val="17"/>
        </w:numPr>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募集资金承诺项目情况</w:t>
      </w:r>
      <w:bookmarkEnd w:id="232"/>
      <w:bookmarkEnd w:id="233"/>
      <w:bookmarkEnd w:id="23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一次设备状态检测、监 测产品生产改造项目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以货币增资浙江涵普 电力科技有限公司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高压电气设备故障仿 真实验室建设项目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计量装置检测、监测设 备生产改造项目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51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一次设备状态检测、监测产品生产改造项目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一次设备状态检测、监测产品生产改造项目于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年立项，该项目主要是完善一次设备状态检测、 监测产品的生产工艺、提升产品检测水平、实验能力等。从项目立项至上市发行取得募集资金期间， 外部的经济形势和市场环境发生了较大的变化，公司已经通过自筹资金投入设备、委托生产等方式 解决了大部分生产工艺提升的需求，并且一定程度上完善了产品检测和实验能力，</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一次设备状态检测、监测产品销量分别为</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标准台、</w:t>
            </w:r>
            <w:r>
              <w:rPr>
                <w:rFonts w:ascii="Times New Roman" w:eastAsia="Times New Roman" w:hAnsi="Times New Roman" w:cs="Times New Roman"/>
                <w:color w:val="000000"/>
                <w:spacing w:val="0"/>
                <w:w w:val="100"/>
                <w:position w:val="0"/>
                <w:sz w:val="18"/>
                <w:szCs w:val="18"/>
              </w:rPr>
              <w:t>249</w:t>
            </w:r>
            <w:r>
              <w:rPr>
                <w:color w:val="000000"/>
                <w:spacing w:val="0"/>
                <w:w w:val="100"/>
                <w:position w:val="0"/>
              </w:rPr>
              <w:t>标准台和</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标准台，销量稳步提升。 目前公司整体的产能及工艺、试验及检测能力预计能够满足公司现阶段及未来一段时间增长的市场 需要。同时，由于公司产品生产工艺集中在组装和调试环节，该部分的产能建设耗时较短，因此公 司可以在需要时投入建设，及时满足需求。基于以上原因，为了更好的实现募集资金使用效益，提 升公司的综合盈利能力，公司于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 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 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已经使用的募集资金</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万元以自有资金置换出来，以及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 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剩余的募集资金</w:t>
            </w:r>
            <w:r>
              <w:rPr>
                <w:rFonts w:ascii="Times New Roman" w:eastAsia="Times New Roman" w:hAnsi="Times New Roman" w:cs="Times New Roman"/>
                <w:color w:val="000000"/>
                <w:spacing w:val="0"/>
                <w:w w:val="100"/>
                <w:position w:val="0"/>
                <w:sz w:val="18"/>
                <w:szCs w:val="18"/>
              </w:rPr>
              <w:t>758.79</w:t>
            </w:r>
            <w:r>
              <w:rPr>
                <w:color w:val="000000"/>
                <w:spacing w:val="0"/>
                <w:w w:val="100"/>
                <w:position w:val="0"/>
              </w:rPr>
              <w:t>万元，共计剩余募集资金</w:t>
            </w:r>
            <w:r>
              <w:rPr>
                <w:rFonts w:ascii="Times New Roman" w:eastAsia="Times New Roman" w:hAnsi="Times New Roman" w:cs="Times New Roman"/>
                <w:color w:val="000000"/>
                <w:spacing w:val="0"/>
                <w:w w:val="100"/>
                <w:position w:val="0"/>
                <w:sz w:val="18"/>
                <w:szCs w:val="18"/>
              </w:rPr>
              <w:t>810.47</w:t>
            </w:r>
            <w:r>
              <w:rPr>
                <w:color w:val="000000"/>
                <w:spacing w:val="0"/>
                <w:w w:val="100"/>
                <w:position w:val="0"/>
              </w:rPr>
              <w:t>万 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计量装置检测、监测设备生产改造项目</w:t>
            </w:r>
          </w:p>
        </w:tc>
      </w:tr>
    </w:tbl>
    <w:p>
      <w:pPr>
        <w:spacing w:lineRule="exact" w:line="1"/>
        <w:rPr>
          <w:sz w:val="2"/>
          <w:szCs w:val="2"/>
        </w:rPr>
      </w:pPr>
      <w:r>
        <w:br w:type="page"/>
      </w:r>
    </w:p>
    <w:tbl>
      <w:tblPr>
        <w:tblOverlap w:val="never"/>
        <w:jc w:val="center"/>
        <w:tblLayout w:type="fixed"/>
      </w:tblPr>
      <w:tblGrid>
        <w:gridCol w:w="1776"/>
        <w:gridCol w:w="7805"/>
      </w:tblGrid>
      <w:tr>
        <w:trPr>
          <w:trHeight w:val="48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计量装置检测、监测设备生产改造项目于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年立项，该项目主要是完善计量装置检测、监测产 品的生产工艺、提升产品检测水平、实验能力等。从项目立项至上市发行取得募集资金期间，外部 的经济形势和市场环境发生了较大变化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在公司内部，已经通过自筹资金投入设备、委托生产等方式 解决了生产工艺的需求，并且提升了产品检测和实验能力，</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年计量装置检测、监测 设备销量分别为</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标准台、</w:t>
            </w:r>
            <w:r>
              <w:rPr>
                <w:rFonts w:ascii="Times New Roman" w:eastAsia="Times New Roman" w:hAnsi="Times New Roman" w:cs="Times New Roman"/>
                <w:color w:val="000000"/>
                <w:spacing w:val="0"/>
                <w:w w:val="100"/>
                <w:position w:val="0"/>
                <w:sz w:val="18"/>
                <w:szCs w:val="18"/>
              </w:rPr>
              <w:t>243</w:t>
            </w:r>
            <w:r>
              <w:rPr>
                <w:color w:val="000000"/>
                <w:spacing w:val="0"/>
                <w:w w:val="100"/>
                <w:position w:val="0"/>
              </w:rPr>
              <w:t>标准台和</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标准台。考虑到公司现有的设备可以满足未来三 年市场的发展需要，为了提升公司资金使用效益，提升公司的综合盈利能力，公司拟终止计量装置 检测、监测设备生产改造项目，并将资金转投可以提升公司研发能力的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 室建设项目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 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 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研发中心扩建项目</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研发中心扩建项目旨在提升公司综合研发实力，进一步增强公司竞争力，为实现公司长远发展目标 提供技术保障，因此该项目的效益无法反映在公司的整体效益中，无法单独核算。</w:t>
            </w:r>
          </w:p>
          <w:p>
            <w:pPr>
              <w:pStyle w:val="Style2"/>
              <w:keepNext w:val="0"/>
              <w:keepLines w:val="0"/>
              <w:widowControl w:val="0"/>
              <w:shd w:val="clear" w:color="auto" w:fill="auto"/>
              <w:tabs>
                <w:tab w:pos="278" w:val="left"/>
              </w:tabs>
              <w:bidi w:val="0"/>
              <w:spacing w:before="0" w:after="8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补充营运资金补充营运资金旨在提升公司整体运营能力，无法单独核算具体收益。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未达到计划进度或预计收益的情况和原因（分具体项目）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0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月，公司分别于第三届董事会第十次会议以及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 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 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股权匚本次变更同时导致该项目的实施地点由福建省厦门市变更为浙江省 嘉兴市海盐县。</w:t>
            </w:r>
          </w:p>
          <w:p>
            <w:pPr>
              <w:pStyle w:val="Style2"/>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报告期内：报告期内未发生实施地点变更的情况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329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以前年度发生</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月，公司分别于第三届董事会第十次会议以及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 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 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股权匚本次变更同时导致该项目的实施地点由福建省厦门市变更为浙江省嘉兴 市海盐县。</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报告期内发生</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 《关于终止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 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日，存放于募集资金账户金额为</w:t>
            </w:r>
            <w:r>
              <w:rPr>
                <w:rFonts w:ascii="Times New Roman" w:eastAsia="Times New Roman" w:hAnsi="Times New Roman" w:cs="Times New Roman"/>
                <w:color w:val="000000"/>
                <w:spacing w:val="0"/>
                <w:w w:val="100"/>
                <w:position w:val="0"/>
                <w:sz w:val="18"/>
                <w:szCs w:val="18"/>
              </w:rPr>
              <w:t>2,398.76</w:t>
            </w:r>
            <w:r>
              <w:rPr>
                <w:color w:val="000000"/>
                <w:spacing w:val="0"/>
                <w:w w:val="100"/>
                <w:position w:val="0"/>
              </w:rPr>
              <w:t>万元；尚未使用的募集资金将用于募 投项目后续资金支出。</w:t>
            </w:r>
          </w:p>
        </w:tc>
      </w:tr>
      <w:tr>
        <w:trPr>
          <w:trHeight w:val="52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发生变更前，该项目已投 入募集资金</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时股东大会审议通过将该项目投入的</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万元以自有资金进行置换。截止报告期末，此项置换事 项已执行完毕。</w:t>
            </w:r>
          </w:p>
          <w:p>
            <w:pPr>
              <w:pStyle w:val="Style2"/>
              <w:keepNext w:val="0"/>
              <w:keepLines w:val="0"/>
              <w:widowControl w:val="0"/>
              <w:shd w:val="clear" w:color="auto" w:fill="auto"/>
              <w:tabs>
                <w:tab w:pos="278"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发生变更前，该项目已投入募集资 金</w:t>
            </w:r>
            <w:r>
              <w:rPr>
                <w:rFonts w:ascii="Times New Roman" w:eastAsia="Times New Roman" w:hAnsi="Times New Roman" w:cs="Times New Roman"/>
                <w:color w:val="000000"/>
                <w:spacing w:val="0"/>
                <w:w w:val="100"/>
                <w:position w:val="0"/>
                <w:sz w:val="18"/>
                <w:szCs w:val="18"/>
              </w:rPr>
              <w:t>35.70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 会审议通过《关于终止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 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 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，同时审议通过将该项目投入的</w:t>
            </w:r>
            <w:r>
              <w:rPr>
                <w:rFonts w:ascii="Times New Roman" w:eastAsia="Times New Roman" w:hAnsi="Times New Roman" w:cs="Times New Roman"/>
                <w:color w:val="000000"/>
                <w:spacing w:val="0"/>
                <w:w w:val="100"/>
                <w:position w:val="0"/>
                <w:sz w:val="18"/>
                <w:szCs w:val="18"/>
              </w:rPr>
              <w:t>35.70</w:t>
            </w:r>
            <w:r>
              <w:rPr>
                <w:color w:val="000000"/>
                <w:spacing w:val="0"/>
                <w:w w:val="100"/>
                <w:position w:val="0"/>
              </w:rPr>
              <w:t>万元以自有资金进行置换。截止报告期末，此项置 换事项已执行完毕。</w:t>
            </w:r>
          </w:p>
          <w:p>
            <w:pPr>
              <w:pStyle w:val="Style2"/>
              <w:keepNext w:val="0"/>
              <w:keepLines w:val="0"/>
              <w:widowControl w:val="0"/>
              <w:shd w:val="clear" w:color="auto" w:fill="auto"/>
              <w:tabs>
                <w:tab w:pos="26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项目截至期末累计投入金额超过承诺投入金额</w:t>
            </w:r>
            <w:r>
              <w:rPr>
                <w:rFonts w:ascii="Times New Roman" w:eastAsia="Times New Roman" w:hAnsi="Times New Roman" w:cs="Times New Roman"/>
                <w:color w:val="000000"/>
                <w:spacing w:val="0"/>
                <w:w w:val="100"/>
                <w:position w:val="0"/>
                <w:sz w:val="18"/>
                <w:szCs w:val="18"/>
              </w:rPr>
              <w:t>272.52</w:t>
            </w:r>
            <w:r>
              <w:rPr>
                <w:color w:val="000000"/>
                <w:spacing w:val="0"/>
                <w:w w:val="100"/>
                <w:position w:val="0"/>
              </w:rPr>
              <w:t>万元，系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年度补 充营运资金项目投资理财产品产生的收益及银行利息扣除手续费的净额。截至报告期末，该项目对 应专项账户的募集资金已全部投入到募投项目，并完成了该专项账户的注销手续。</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高压电气设备故障仿真试验室建设项目拟投入资金为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 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合计募集资金</w:t>
            </w:r>
            <w:r>
              <w:rPr>
                <w:rFonts w:ascii="Times New Roman" w:eastAsia="Times New Roman" w:hAnsi="Times New Roman" w:cs="Times New Roman"/>
                <w:color w:val="000000"/>
                <w:spacing w:val="0"/>
                <w:w w:val="100"/>
                <w:position w:val="0"/>
                <w:sz w:val="18"/>
                <w:szCs w:val="18"/>
              </w:rPr>
              <w:t>2348.41</w:t>
            </w:r>
            <w:r>
              <w:rPr>
                <w:color w:val="000000"/>
                <w:spacing w:val="0"/>
                <w:w w:val="100"/>
                <w:position w:val="0"/>
              </w:rPr>
              <w:t>万元投入外， 其余</w:t>
            </w:r>
            <w:r>
              <w:rPr>
                <w:rFonts w:ascii="Times New Roman" w:eastAsia="Times New Roman" w:hAnsi="Times New Roman" w:cs="Times New Roman"/>
                <w:color w:val="000000"/>
                <w:spacing w:val="0"/>
                <w:w w:val="100"/>
                <w:position w:val="0"/>
                <w:sz w:val="18"/>
                <w:szCs w:val="18"/>
              </w:rPr>
              <w:t>151.59</w:t>
            </w:r>
            <w:r>
              <w:rPr>
                <w:color w:val="000000"/>
                <w:spacing w:val="0"/>
                <w:w w:val="100"/>
                <w:position w:val="0"/>
              </w:rPr>
              <w:t>万元由公司自有资金投入。</w:t>
            </w:r>
          </w:p>
        </w:tc>
      </w:tr>
    </w:tbl>
    <w:p>
      <w:pPr>
        <w:widowControl w:val="0"/>
        <w:spacing w:after="319" w:line="1" w:lineRule="exact"/>
      </w:pPr>
    </w:p>
    <w:p>
      <w:pPr>
        <w:pStyle w:val="Style45"/>
        <w:keepNext/>
        <w:keepLines/>
        <w:widowControl w:val="0"/>
        <w:numPr>
          <w:ilvl w:val="0"/>
          <w:numId w:val="19"/>
        </w:numPr>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募集资金变更项目情况</w:t>
      </w:r>
      <w:bookmarkEnd w:id="236"/>
      <w:bookmarkEnd w:id="237"/>
      <w:bookmarkEnd w:id="23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变化</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以货币增资 方式取得浙 江涵普电力 科技有限公 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一次设备状 态检测、监 测产品生产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高压电气设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备故障仿真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试验室建设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一次设备状 态检测、监 测产品生产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改造项目； 计量装置检 测、监测设 备生产改造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169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18" w:val="left"/>
              </w:tabs>
              <w:bidi w:val="0"/>
              <w:spacing w:before="0" w:after="0" w:line="314" w:lineRule="exact"/>
              <w:ind w:left="0" w:right="0" w:firstLine="0"/>
              <w:jc w:val="both"/>
            </w:pPr>
            <w:r>
              <w:rPr>
                <w:color w:val="000000"/>
                <w:spacing w:val="0"/>
                <w:w w:val="100"/>
                <w:position w:val="0"/>
              </w:rPr>
              <w:t>一、</w:t>
              <w:tab/>
              <w:t>一次设备状态检测、监测产品生产改造项目</w:t>
            </w:r>
          </w:p>
          <w:p>
            <w:pPr>
              <w:pStyle w:val="Style2"/>
              <w:keepNext w:val="0"/>
              <w:keepLines w:val="0"/>
              <w:widowControl w:val="0"/>
              <w:shd w:val="clear" w:color="auto" w:fill="auto"/>
              <w:tabs>
                <w:tab w:pos="442" w:val="left"/>
              </w:tabs>
              <w:bidi w:val="0"/>
              <w:spacing w:before="0" w:after="0" w:line="314" w:lineRule="exact"/>
              <w:ind w:left="0" w:right="0" w:firstLine="0"/>
              <w:jc w:val="both"/>
              <w:rPr>
                <w:sz w:val="18"/>
                <w:szCs w:val="18"/>
              </w:rPr>
            </w:pPr>
            <w:r>
              <w:rPr>
                <w:color w:val="000000"/>
                <w:spacing w:val="0"/>
                <w:w w:val="100"/>
                <w:position w:val="0"/>
                <w:sz w:val="17"/>
                <w:szCs w:val="17"/>
              </w:rPr>
              <w:t>（一）</w:t>
              <w:tab/>
              <w:t>一次设备状态检测、监测产品生产改造项目变更主要有以下两方面原因</w:t>
            </w:r>
            <w:r>
              <w:rPr>
                <w:color w:val="000000"/>
                <w:spacing w:val="0"/>
                <w:w w:val="100"/>
                <w:position w:val="0"/>
                <w:sz w:val="18"/>
                <w:szCs w:val="18"/>
              </w:rPr>
              <w:t>：</w:t>
            </w:r>
          </w:p>
          <w:p>
            <w:pPr>
              <w:pStyle w:val="Style2"/>
              <w:keepNext w:val="0"/>
              <w:keepLines w:val="0"/>
              <w:widowControl w:val="0"/>
              <w:shd w:val="clear" w:color="auto" w:fill="auto"/>
              <w:tabs>
                <w:tab w:pos="35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公司已先期投入资金完善一次设备状态检测、监测产品生产环节，目前产能和工 艺能力基本能够满足现阶段及未来一段时间的需求，继续投入的紧迫性不大。</w:t>
            </w:r>
          </w:p>
          <w:p>
            <w:pPr>
              <w:pStyle w:val="Style2"/>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利用募集资金进行合适的外延式并购更有利于提升公司盈利能力。公司战略发展 策略分为两个方向：一是围绕公司目前的核心产品</w:t>
            </w:r>
            <w:r>
              <w:rPr>
                <w:color w:val="000000"/>
                <w:spacing w:val="0"/>
                <w:w w:val="100"/>
                <w:position w:val="0"/>
                <w:sz w:val="18"/>
                <w:szCs w:val="18"/>
              </w:rPr>
              <w:t>一</w:t>
            </w:r>
            <w:r>
              <w:rPr>
                <w:color w:val="000000"/>
                <w:spacing w:val="0"/>
                <w:w w:val="100"/>
                <w:position w:val="0"/>
              </w:rPr>
              <w:t>电力设备检测、监测产品在电网 以外的其他应用领域上进行拓展，包括在发电企业、铁路与轨道交通、军工、石油石 化等领域；二是利用公司在电网市场深厚的积淀，在该领域拓展十三五规划以及电力 体制改革发展方向上的产品和服务。根据公司发展战略，公司将通过包括并购在内的 各种方式在上述两个方向上快速获取优质资源，完善产品和市场覆盖能力。本次变更 募集资金投向，将原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的资金投入变更为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项目，符合公司的战略发 展方向，能更有效的提高该部分资金使用效率，为全体股东带来更大收益。</w:t>
            </w:r>
          </w:p>
          <w:p>
            <w:pPr>
              <w:pStyle w:val="Style2"/>
              <w:keepNext w:val="0"/>
              <w:keepLines w:val="0"/>
              <w:widowControl w:val="0"/>
              <w:shd w:val="clear" w:color="auto" w:fill="auto"/>
              <w:tabs>
                <w:tab w:pos="446" w:val="left"/>
              </w:tabs>
              <w:bidi w:val="0"/>
              <w:spacing w:before="0" w:after="0" w:line="314" w:lineRule="exact"/>
              <w:ind w:left="0" w:right="0" w:firstLine="0"/>
              <w:jc w:val="both"/>
            </w:pPr>
            <w:r>
              <w:rPr>
                <w:color w:val="000000"/>
                <w:spacing w:val="0"/>
                <w:w w:val="100"/>
                <w:position w:val="0"/>
              </w:rPr>
              <w:t>（二）</w:t>
              <w:tab/>
              <w:t>决策程序</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日召开的公司第三届董事会第十次会议、第三届监事会第六次会议及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及变更募集资金投资项目的议案》，终止实 施原计划中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，并将其中募集资金</w:t>
            </w:r>
            <w:r>
              <w:rPr>
                <w:rFonts w:ascii="Times New Roman" w:eastAsia="Times New Roman" w:hAnsi="Times New Roman" w:cs="Times New Roman"/>
                <w:color w:val="000000"/>
                <w:spacing w:val="0"/>
                <w:w w:val="100"/>
                <w:position w:val="0"/>
                <w:sz w:val="18"/>
                <w:szCs w:val="18"/>
              </w:rPr>
              <w:t xml:space="preserve">5,492.56 </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以货币增资方式取得浙江涵普电力科技股份有限公司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项目。公 司独立董事、监事会以及保荐机构长江证券承销保荐有限公司对上述事项发表了意 见。</w:t>
            </w:r>
          </w:p>
          <w:p>
            <w:pPr>
              <w:pStyle w:val="Style2"/>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（三）</w:t>
              <w:tab/>
              <w:t>信息披露情况</w:t>
            </w:r>
          </w:p>
          <w:p>
            <w:pPr>
              <w:pStyle w:val="Style2"/>
              <w:keepNext w:val="0"/>
              <w:keepLines w:val="0"/>
              <w:widowControl w:val="0"/>
              <w:shd w:val="clear" w:color="auto" w:fill="auto"/>
              <w:tabs>
                <w:tab w:pos="206"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日，公司于中国证监会指定信息披露网站巨潮资讯网上披露了《独 立董事关于终止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目的独立意见》、《关于变更部分募集资金用途暨对外投资之可行性分析》、《长江证券 承销保荐有限公司关于厦门红相电力设备股份有限公司终止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 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及变更募集资金投资项目的核查意见》、《厦门红相电力设备股 份有限公司第三届董事会第十次会议决议公告》（公告编码</w:t>
            </w:r>
            <w:r>
              <w:rPr>
                <w:rFonts w:ascii="Times New Roman" w:eastAsia="Times New Roman" w:hAnsi="Times New Roman" w:cs="Times New Roman"/>
                <w:color w:val="000000"/>
                <w:spacing w:val="0"/>
                <w:w w:val="100"/>
                <w:position w:val="0"/>
                <w:sz w:val="18"/>
                <w:szCs w:val="18"/>
              </w:rPr>
              <w:t>“2015-062</w:t>
            </w:r>
            <w:r>
              <w:rPr>
                <w:color w:val="000000"/>
                <w:spacing w:val="0"/>
                <w:w w:val="100"/>
                <w:position w:val="0"/>
              </w:rPr>
              <w:t>）、《关于终止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及变更募集资金投资项目的公告》（公告 编码：</w:t>
            </w:r>
            <w:r>
              <w:rPr>
                <w:rFonts w:ascii="Times New Roman" w:eastAsia="Times New Roman" w:hAnsi="Times New Roman" w:cs="Times New Roman"/>
                <w:color w:val="000000"/>
                <w:spacing w:val="0"/>
                <w:w w:val="100"/>
                <w:position w:val="0"/>
                <w:sz w:val="18"/>
                <w:szCs w:val="18"/>
              </w:rPr>
              <w:t>2015-063</w:t>
            </w:r>
            <w:r>
              <w:rPr>
                <w:color w:val="000000"/>
                <w:spacing w:val="0"/>
                <w:w w:val="100"/>
                <w:position w:val="0"/>
              </w:rPr>
              <w:t>）、《厦门红相电力设备股份有限公司第三届监事会第六次会议决议公 告》（公告编码：</w:t>
            </w:r>
            <w:r>
              <w:rPr>
                <w:rFonts w:ascii="Times New Roman" w:eastAsia="Times New Roman" w:hAnsi="Times New Roman" w:cs="Times New Roman"/>
                <w:color w:val="000000"/>
                <w:spacing w:val="0"/>
                <w:w w:val="100"/>
                <w:position w:val="0"/>
                <w:sz w:val="18"/>
                <w:szCs w:val="18"/>
              </w:rPr>
              <w:t>2015-065</w:t>
            </w:r>
            <w:r>
              <w:rPr>
                <w:color w:val="000000"/>
                <w:spacing w:val="0"/>
                <w:w w:val="100"/>
                <w:position w:val="0"/>
              </w:rPr>
              <w:t>）。</w:t>
            </w:r>
          </w:p>
          <w:p>
            <w:pPr>
              <w:pStyle w:val="Style2"/>
              <w:keepNext w:val="0"/>
              <w:keepLines w:val="0"/>
              <w:widowControl w:val="0"/>
              <w:shd w:val="clear" w:color="auto" w:fill="auto"/>
              <w:tabs>
                <w:tab w:pos="216"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日，公司于中国证监会指定信息披露网站巨潮资讯网上披露了《厦 门红相电力设备股份有限公司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年第五次临时股东大会决议公告》（公告编码： </w:t>
            </w:r>
            <w:r>
              <w:rPr>
                <w:rFonts w:ascii="Times New Roman" w:eastAsia="Times New Roman" w:hAnsi="Times New Roman" w:cs="Times New Roman"/>
                <w:color w:val="000000"/>
                <w:spacing w:val="0"/>
                <w:w w:val="100"/>
                <w:position w:val="0"/>
                <w:sz w:val="18"/>
                <w:szCs w:val="18"/>
              </w:rPr>
              <w:t>2015-069</w:t>
            </w:r>
            <w:r>
              <w:rPr>
                <w:color w:val="000000"/>
                <w:spacing w:val="0"/>
                <w:w w:val="100"/>
                <w:position w:val="0"/>
              </w:rPr>
              <w:t>）、《北京市尚公律师事务所关于厦门红相电力设备股份有限公司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 五次临时股东大会的法律意见书》。</w:t>
            </w:r>
          </w:p>
          <w:p>
            <w:pPr>
              <w:pStyle w:val="Style2"/>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二、</w:t>
              <w:tab/>
              <w:t>计量装置检测、监测设备生产改造项目</w:t>
            </w:r>
          </w:p>
        </w:tc>
      </w:tr>
    </w:tbl>
    <w:p>
      <w:pPr>
        <w:spacing w:lineRule="exact" w:line="1"/>
        <w:rPr>
          <w:sz w:val="2"/>
          <w:szCs w:val="2"/>
        </w:rPr>
      </w:pPr>
      <w:r>
        <w:br w:type="page"/>
      </w:r>
    </w:p>
    <w:tbl>
      <w:tblPr>
        <w:tblOverlap w:val="never"/>
        <w:jc w:val="center"/>
        <w:tblLayout w:type="fixed"/>
      </w:tblPr>
      <w:tblGrid>
        <w:gridCol w:w="2875"/>
        <w:gridCol w:w="6710"/>
      </w:tblGrid>
      <w:tr>
        <w:trPr>
          <w:trHeight w:val="119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（一）</w:t>
              <w:tab/>
              <w:t>计量装置检测、监测设备生产改造项目变更主要有以下方面的原因：</w:t>
            </w:r>
          </w:p>
          <w:p>
            <w:pPr>
              <w:pStyle w:val="Style2"/>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公司已先期投入资金完善计量装置检测、监测产品的生产环节，目前产能和工艺 能力基本能够满足现阶段及未来一段时间的需求，继续投入的紧迫性不大。</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研发力量的加强有助于提升公司综合竞争力。随着国内状态检测、监测市场的日 益壮大，越来越多的国内厂商开始涉足该领域。行业竞争的焦点正在逐步从原来的价 格之争，逐步过渡到未来的技术之争、服务之争。因此，公司通过实施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 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，将为公司研发产品的技术优势奠定了坚实的基础，以 应对不断加剧的行业竞争态势，使公司始终保持在行业内的技术领先优势，提升公司 综合竞争力，为全体股东带来更大收益。</w:t>
            </w:r>
          </w:p>
          <w:p>
            <w:pPr>
              <w:pStyle w:val="Style2"/>
              <w:keepNext w:val="0"/>
              <w:keepLines w:val="0"/>
              <w:widowControl w:val="0"/>
              <w:shd w:val="clear" w:color="auto" w:fill="auto"/>
              <w:tabs>
                <w:tab w:pos="446" w:val="left"/>
              </w:tabs>
              <w:bidi w:val="0"/>
              <w:spacing w:before="0" w:after="0" w:line="313" w:lineRule="exact"/>
              <w:ind w:left="0" w:right="0" w:firstLine="0"/>
              <w:jc w:val="both"/>
            </w:pPr>
            <w:r>
              <w:rPr>
                <w:color w:val="000000"/>
                <w:spacing w:val="0"/>
                <w:w w:val="100"/>
                <w:position w:val="0"/>
              </w:rPr>
              <w:t>（二）</w:t>
              <w:tab/>
              <w:t>决策程序</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日公司召开的第三届董事会第十四次会议、第三届监事会第八次会议 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 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及变更募集资金投资项目的议案》，终止实施原 计划中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该项目剩余募集资金</w:t>
            </w:r>
            <w:r>
              <w:rPr>
                <w:rFonts w:ascii="Times New Roman" w:eastAsia="Times New Roman" w:hAnsi="Times New Roman" w:cs="Times New Roman"/>
                <w:color w:val="000000"/>
                <w:spacing w:val="0"/>
                <w:w w:val="100"/>
                <w:position w:val="0"/>
                <w:sz w:val="18"/>
                <w:szCs w:val="18"/>
              </w:rPr>
              <w:t>1,502.24</w:t>
            </w:r>
            <w:r>
              <w:rPr>
                <w:color w:val="000000"/>
                <w:spacing w:val="0"/>
                <w:w w:val="100"/>
                <w:position w:val="0"/>
              </w:rPr>
              <w:t>万元， 并且将已经使用的募集资金</w:t>
            </w:r>
            <w:r>
              <w:rPr>
                <w:rFonts w:ascii="Times New Roman" w:eastAsia="Times New Roman" w:hAnsi="Times New Roman" w:cs="Times New Roman"/>
                <w:color w:val="000000"/>
                <w:spacing w:val="0"/>
                <w:w w:val="100"/>
                <w:position w:val="0"/>
                <w:sz w:val="18"/>
                <w:szCs w:val="18"/>
              </w:rPr>
              <w:t>35.70</w:t>
            </w:r>
            <w:r>
              <w:rPr>
                <w:color w:val="000000"/>
                <w:spacing w:val="0"/>
                <w:w w:val="100"/>
                <w:position w:val="0"/>
              </w:rPr>
              <w:t>万元以自有资金置换出来</w:t>
            </w:r>
            <w:r>
              <w:rPr>
                <w:color w:val="000000"/>
                <w:spacing w:val="0"/>
                <w:w w:val="100"/>
                <w:position w:val="0"/>
                <w:sz w:val="18"/>
                <w:szCs w:val="18"/>
              </w:rPr>
              <w:t>，</w:t>
            </w:r>
            <w:r>
              <w:rPr>
                <w:color w:val="000000"/>
                <w:spacing w:val="0"/>
                <w:w w:val="100"/>
                <w:position w:val="0"/>
              </w:rPr>
              <w:t xml:space="preserve">置换后将募集资金 </w:t>
            </w:r>
            <w:r>
              <w:rPr>
                <w:rFonts w:ascii="Times New Roman" w:eastAsia="Times New Roman" w:hAnsi="Times New Roman" w:cs="Times New Roman"/>
                <w:color w:val="000000"/>
                <w:spacing w:val="0"/>
                <w:w w:val="100"/>
                <w:position w:val="0"/>
                <w:sz w:val="18"/>
                <w:szCs w:val="18"/>
              </w:rPr>
              <w:t>1,537.94</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另外</w:t>
            </w:r>
            <w:r>
              <w:rPr>
                <w:color w:val="000000"/>
                <w:spacing w:val="0"/>
                <w:w w:val="100"/>
                <w:position w:val="0"/>
                <w:sz w:val="18"/>
                <w:szCs w:val="18"/>
              </w:rPr>
              <w:t>，</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 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已经使用的募集资金</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万元以自有资金置换出来， 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剩余的募集资金</w:t>
            </w:r>
            <w:r>
              <w:rPr>
                <w:rFonts w:ascii="Times New Roman" w:eastAsia="Times New Roman" w:hAnsi="Times New Roman" w:cs="Times New Roman"/>
                <w:color w:val="000000"/>
                <w:spacing w:val="0"/>
                <w:w w:val="100"/>
                <w:position w:val="0"/>
                <w:sz w:val="18"/>
                <w:szCs w:val="18"/>
              </w:rPr>
              <w:t>758.79</w:t>
            </w:r>
            <w:r>
              <w:rPr>
                <w:color w:val="000000"/>
                <w:spacing w:val="0"/>
                <w:w w:val="100"/>
                <w:position w:val="0"/>
              </w:rPr>
              <w:t>万元，共 计剩余募集资金</w:t>
            </w:r>
            <w:r>
              <w:rPr>
                <w:rFonts w:ascii="Times New Roman" w:eastAsia="Times New Roman" w:hAnsi="Times New Roman" w:cs="Times New Roman"/>
                <w:color w:val="000000"/>
                <w:spacing w:val="0"/>
                <w:w w:val="100"/>
                <w:position w:val="0"/>
                <w:sz w:val="18"/>
                <w:szCs w:val="18"/>
              </w:rPr>
              <w:t>810.47</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 设备故障仿真试验室建设项目拟投入资金为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万元，除上述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 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合计募集资金 </w:t>
            </w:r>
            <w:r>
              <w:rPr>
                <w:rFonts w:ascii="Times New Roman" w:eastAsia="Times New Roman" w:hAnsi="Times New Roman" w:cs="Times New Roman"/>
                <w:color w:val="000000"/>
                <w:spacing w:val="0"/>
                <w:w w:val="100"/>
                <w:position w:val="0"/>
                <w:sz w:val="18"/>
                <w:szCs w:val="18"/>
              </w:rPr>
              <w:t>2348.41</w:t>
            </w:r>
            <w:r>
              <w:rPr>
                <w:color w:val="000000"/>
                <w:spacing w:val="0"/>
                <w:w w:val="100"/>
                <w:position w:val="0"/>
              </w:rPr>
              <w:t>万元投入外，其余</w:t>
            </w:r>
            <w:r>
              <w:rPr>
                <w:rFonts w:ascii="Times New Roman" w:eastAsia="Times New Roman" w:hAnsi="Times New Roman" w:cs="Times New Roman"/>
                <w:color w:val="000000"/>
                <w:spacing w:val="0"/>
                <w:w w:val="100"/>
                <w:position w:val="0"/>
                <w:sz w:val="18"/>
                <w:szCs w:val="18"/>
              </w:rPr>
              <w:t>151.59</w:t>
            </w:r>
            <w:r>
              <w:rPr>
                <w:color w:val="000000"/>
                <w:spacing w:val="0"/>
                <w:w w:val="100"/>
                <w:position w:val="0"/>
              </w:rPr>
              <w:t>万元由公司自有资金投入。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公司独立董事、监事会以及保荐机构长江证券承销保荐有限公司对上述事项发表了意 见。</w:t>
            </w:r>
          </w:p>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（三）</w:t>
              <w:tab/>
              <w:t>信息披露情况</w:t>
            </w:r>
          </w:p>
          <w:p>
            <w:pPr>
              <w:pStyle w:val="Style2"/>
              <w:keepNext w:val="0"/>
              <w:keepLines w:val="0"/>
              <w:widowControl w:val="0"/>
              <w:shd w:val="clear" w:color="auto" w:fill="auto"/>
              <w:tabs>
                <w:tab w:pos="24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日，公司于中国证监会指定信息披露网站巨潮资讯网上披露了《关 于变更部分募集资金用途之可行性研究报告》、《长江证券承销保荐有限公司关于厦门 红相电力设备股份有限公司终止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 资金投资项目的核查意见》、《独立董事关于终止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及变更募集资金投资项目的独立意见》、《第三届董事会第十四次会议决议公</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告》（公告编号：</w:t>
            </w: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变更募集资金投资项目的公告》（公告编号：</w:t>
            </w:r>
            <w:r>
              <w:rPr>
                <w:rFonts w:ascii="Times New Roman" w:eastAsia="Times New Roman" w:hAnsi="Times New Roman" w:cs="Times New Roman"/>
                <w:color w:val="000000"/>
                <w:spacing w:val="0"/>
                <w:w w:val="100"/>
                <w:position w:val="0"/>
                <w:sz w:val="18"/>
                <w:szCs w:val="18"/>
              </w:rPr>
              <w:t>2016-005</w:t>
            </w:r>
            <w:r>
              <w:rPr>
                <w:color w:val="000000"/>
                <w:spacing w:val="0"/>
                <w:w w:val="100"/>
                <w:position w:val="0"/>
              </w:rPr>
              <w:t>）、《第三届监事会第八次会议 决议公告》（公告编号：</w:t>
            </w:r>
            <w:r>
              <w:rPr>
                <w:rFonts w:ascii="Times New Roman" w:eastAsia="Times New Roman" w:hAnsi="Times New Roman" w:cs="Times New Roman"/>
                <w:color w:val="000000"/>
                <w:spacing w:val="0"/>
                <w:w w:val="100"/>
                <w:position w:val="0"/>
                <w:sz w:val="18"/>
                <w:szCs w:val="18"/>
              </w:rPr>
              <w:t>2016-003</w:t>
            </w:r>
            <w:r>
              <w:rPr>
                <w:color w:val="000000"/>
                <w:spacing w:val="0"/>
                <w:w w:val="100"/>
                <w:position w:val="0"/>
              </w:rPr>
              <w:t>）</w:t>
            </w:r>
            <w:r>
              <w:rPr>
                <w:color w:val="000000"/>
                <w:spacing w:val="0"/>
                <w:w w:val="100"/>
                <w:position w:val="0"/>
              </w:rPr>
              <w:t>:</w:t>
            </w:r>
          </w:p>
          <w:p>
            <w:pPr>
              <w:pStyle w:val="Style2"/>
              <w:keepNext w:val="0"/>
              <w:keepLines w:val="0"/>
              <w:widowControl w:val="0"/>
              <w:shd w:val="clear" w:color="auto" w:fill="auto"/>
              <w:tabs>
                <w:tab w:pos="245"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日，公司于中国证监会指定信息披露网站巨潮资讯网上披露了《募 集资金使用情况说明》（公告编号：</w:t>
            </w:r>
            <w:r>
              <w:rPr>
                <w:rFonts w:ascii="Times New Roman" w:eastAsia="Times New Roman" w:hAnsi="Times New Roman" w:cs="Times New Roman"/>
                <w:color w:val="000000"/>
                <w:spacing w:val="0"/>
                <w:w w:val="100"/>
                <w:position w:val="0"/>
                <w:sz w:val="18"/>
                <w:szCs w:val="18"/>
              </w:rPr>
              <w:t>2016-006</w:t>
            </w:r>
            <w:r>
              <w:rPr>
                <w:color w:val="000000"/>
                <w:spacing w:val="0"/>
                <w:w w:val="100"/>
                <w:position w:val="0"/>
              </w:rPr>
              <w:t>）；</w:t>
            </w:r>
          </w:p>
          <w:p>
            <w:pPr>
              <w:pStyle w:val="Style2"/>
              <w:keepNext w:val="0"/>
              <w:keepLines w:val="0"/>
              <w:widowControl w:val="0"/>
              <w:shd w:val="clear" w:color="auto" w:fill="auto"/>
              <w:tabs>
                <w:tab w:pos="1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日，公司于中国证监会指定信息披露网站巨潮资讯网上披露了《</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sz w:val="18"/>
                <w:szCs w:val="18"/>
              </w:rPr>
              <w:t>2016-009</w:t>
            </w:r>
            <w:r>
              <w:rPr>
                <w:color w:val="000000"/>
                <w:spacing w:val="0"/>
                <w:w w:val="100"/>
                <w:position w:val="0"/>
              </w:rPr>
              <w:t>）</w:t>
            </w:r>
            <w:r>
              <w:rPr>
                <w:color w:val="000000"/>
                <w:spacing w:val="0"/>
                <w:w w:val="100"/>
                <w:position w:val="0"/>
              </w:rPr>
              <w:t>以及《北京市尚公律师事务 所关于厦门红相电力设备股份有限公司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年第二次临时股东大会的法律意见书》。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3"/>
        <w:keepNext/>
        <w:keepLines/>
        <w:widowControl w:val="0"/>
        <w:shd w:val="clear" w:color="auto" w:fill="auto"/>
        <w:tabs>
          <w:tab w:pos="517"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六</w:t>
      </w:r>
      <w:bookmarkEnd w:id="242"/>
      <w:r>
        <w:rPr>
          <w:color w:val="000000"/>
          <w:spacing w:val="0"/>
          <w:w w:val="100"/>
          <w:position w:val="0"/>
          <w:sz w:val="24"/>
          <w:szCs w:val="24"/>
        </w:rPr>
        <w:t>、</w:t>
        <w:tab/>
        <w:t>重大资产和股权出售</w:t>
      </w:r>
      <w:bookmarkEnd w:id="240"/>
      <w:bookmarkEnd w:id="241"/>
      <w:bookmarkEnd w:id="243"/>
    </w:p>
    <w:p>
      <w:pPr>
        <w:pStyle w:val="Style32"/>
        <w:keepNext/>
        <w:keepLines/>
        <w:widowControl w:val="0"/>
        <w:shd w:val="clear" w:color="auto" w:fill="auto"/>
        <w:tabs>
          <w:tab w:pos="433" w:val="left"/>
        </w:tabs>
        <w:bidi w:val="0"/>
        <w:spacing w:before="0" w:after="280" w:line="324"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出售重大资产情况</w:t>
      </w:r>
      <w:bookmarkEnd w:id="244"/>
      <w:bookmarkEnd w:id="245"/>
      <w:bookmarkEnd w:id="24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33" w:val="left"/>
        </w:tabs>
        <w:bidi w:val="0"/>
        <w:spacing w:before="0" w:after="280" w:line="324"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出售重大股权情况</w:t>
      </w:r>
      <w:bookmarkEnd w:id="248"/>
      <w:bookmarkEnd w:id="249"/>
      <w:bookmarkEnd w:id="25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七</w:t>
      </w:r>
      <w:bookmarkEnd w:id="254"/>
      <w:r>
        <w:rPr>
          <w:color w:val="000000"/>
          <w:spacing w:val="0"/>
          <w:w w:val="100"/>
          <w:position w:val="0"/>
          <w:sz w:val="24"/>
          <w:szCs w:val="24"/>
        </w:rPr>
        <w:t>、</w:t>
        <w:tab/>
        <w:t>主要控股参股公司分析</w:t>
      </w:r>
      <w:bookmarkEnd w:id="252"/>
      <w:bookmarkEnd w:id="253"/>
      <w:bookmarkEnd w:id="255"/>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23"/>
        <w:keepNext/>
        <w:keepLines/>
        <w:widowControl w:val="0"/>
        <w:shd w:val="clear" w:color="auto" w:fill="auto"/>
        <w:tabs>
          <w:tab w:pos="517"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八</w:t>
      </w:r>
      <w:bookmarkEnd w:id="258"/>
      <w:r>
        <w:rPr>
          <w:color w:val="000000"/>
          <w:spacing w:val="0"/>
          <w:w w:val="100"/>
          <w:position w:val="0"/>
          <w:sz w:val="24"/>
          <w:szCs w:val="24"/>
        </w:rPr>
        <w:t>、</w:t>
        <w:tab/>
        <w:t>公司控制的结构化主体情况</w:t>
      </w:r>
      <w:bookmarkEnd w:id="256"/>
      <w:bookmarkEnd w:id="257"/>
      <w:bookmarkEnd w:id="25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九</w:t>
      </w:r>
      <w:bookmarkEnd w:id="262"/>
      <w:r>
        <w:rPr>
          <w:color w:val="000000"/>
          <w:spacing w:val="0"/>
          <w:w w:val="100"/>
          <w:position w:val="0"/>
          <w:sz w:val="24"/>
          <w:szCs w:val="24"/>
        </w:rPr>
        <w:t>、</w:t>
        <w:tab/>
        <w:t>公司未来发展的展望</w:t>
      </w:r>
      <w:bookmarkEnd w:id="260"/>
      <w:bookmarkEnd w:id="261"/>
      <w:bookmarkEnd w:id="263"/>
    </w:p>
    <w:p>
      <w:pPr>
        <w:pStyle w:val="Style35"/>
        <w:keepNext w:val="0"/>
        <w:keepLines w:val="0"/>
        <w:widowControl w:val="0"/>
        <w:shd w:val="clear" w:color="auto" w:fill="auto"/>
        <w:tabs>
          <w:tab w:pos="1038" w:val="left"/>
        </w:tabs>
        <w:bidi w:val="0"/>
        <w:spacing w:before="0" w:line="310" w:lineRule="exact"/>
        <w:ind w:left="0" w:right="0" w:firstLine="440"/>
        <w:jc w:val="both"/>
      </w:pPr>
      <w:bookmarkStart w:id="264" w:name="bookmark264"/>
      <w:r>
        <w:rPr>
          <w:b/>
          <w:bCs/>
          <w:color w:val="000000"/>
          <w:spacing w:val="0"/>
          <w:w w:val="100"/>
          <w:position w:val="0"/>
        </w:rPr>
        <w:t>（</w:t>
      </w:r>
      <w:bookmarkEnd w:id="264"/>
      <w:r>
        <w:rPr>
          <w:b/>
          <w:bCs/>
          <w:color w:val="000000"/>
          <w:spacing w:val="0"/>
          <w:w w:val="100"/>
          <w:position w:val="0"/>
        </w:rPr>
        <w:t>一）</w:t>
        <w:tab/>
        <w:t>公司发展战略</w:t>
      </w:r>
    </w:p>
    <w:p>
      <w:pPr>
        <w:pStyle w:val="Style35"/>
        <w:keepNext w:val="0"/>
        <w:keepLines w:val="0"/>
        <w:widowControl w:val="0"/>
        <w:shd w:val="clear" w:color="auto" w:fill="auto"/>
        <w:bidi w:val="0"/>
        <w:spacing w:before="0" w:line="307" w:lineRule="exact"/>
        <w:ind w:left="0" w:right="0" w:firstLine="440"/>
        <w:jc w:val="both"/>
      </w:pPr>
      <w:r>
        <w:rPr>
          <w:color w:val="000000"/>
          <w:spacing w:val="0"/>
          <w:w w:val="100"/>
          <w:position w:val="0"/>
        </w:rPr>
        <w:t>公司战略发展策略分为两个方向，一是围绕公司目前的核心产品</w:t>
      </w:r>
      <w:r>
        <w:rPr>
          <w:color w:val="000000"/>
          <w:spacing w:val="0"/>
          <w:w w:val="100"/>
          <w:position w:val="0"/>
        </w:rPr>
        <w:t>一</w:t>
      </w:r>
      <w:r>
        <w:rPr>
          <w:color w:val="000000"/>
          <w:spacing w:val="0"/>
          <w:w w:val="100"/>
          <w:position w:val="0"/>
        </w:rPr>
        <w:t>电力设备检测、监测产品在电网以 外的其他应用领域上进行拓展，包括在发电企业、铁路与轨道交通、军工、石油石化等领域；二是利用公 司在电网市场深厚的积淀，在该领域拓展契合</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规划以及电力体制改革发展方向的产品和服务。</w:t>
      </w:r>
    </w:p>
    <w:p>
      <w:pPr>
        <w:pStyle w:val="Style35"/>
        <w:keepNext w:val="0"/>
        <w:keepLines w:val="0"/>
        <w:widowControl w:val="0"/>
        <w:shd w:val="clear" w:color="auto" w:fill="auto"/>
        <w:tabs>
          <w:tab w:pos="1038" w:val="left"/>
        </w:tabs>
        <w:bidi w:val="0"/>
        <w:spacing w:before="0" w:line="310" w:lineRule="exact"/>
        <w:ind w:left="0" w:right="0" w:firstLine="440"/>
        <w:jc w:val="both"/>
      </w:pPr>
      <w:bookmarkStart w:id="265" w:name="bookmark265"/>
      <w:r>
        <w:rPr>
          <w:b/>
          <w:bCs/>
          <w:color w:val="000000"/>
          <w:spacing w:val="0"/>
          <w:w w:val="100"/>
          <w:position w:val="0"/>
        </w:rPr>
        <w:t>（</w:t>
      </w:r>
      <w:bookmarkEnd w:id="265"/>
      <w:r>
        <w:rPr>
          <w:b/>
          <w:bCs/>
          <w:color w:val="000000"/>
          <w:spacing w:val="0"/>
          <w:w w:val="100"/>
          <w:position w:val="0"/>
        </w:rPr>
        <w:t>二）</w:t>
        <w:tab/>
      </w:r>
      <w:r>
        <w:rPr>
          <w:rFonts w:ascii="Times New Roman" w:eastAsia="Times New Roman" w:hAnsi="Times New Roman" w:cs="Times New Roman"/>
          <w:b/>
          <w:bCs/>
          <w:color w:val="000000"/>
          <w:spacing w:val="0"/>
          <w:w w:val="100"/>
          <w:position w:val="0"/>
        </w:rPr>
        <w:t>2017</w:t>
      </w:r>
      <w:r>
        <w:rPr>
          <w:b/>
          <w:bCs/>
          <w:color w:val="000000"/>
          <w:spacing w:val="0"/>
          <w:w w:val="100"/>
          <w:position w:val="0"/>
        </w:rPr>
        <w:t>年经营计划</w:t>
      </w:r>
    </w:p>
    <w:p>
      <w:pPr>
        <w:pStyle w:val="Style35"/>
        <w:keepNext w:val="0"/>
        <w:keepLines w:val="0"/>
        <w:widowControl w:val="0"/>
        <w:shd w:val="clear" w:color="auto" w:fill="auto"/>
        <w:tabs>
          <w:tab w:pos="868" w:val="left"/>
        </w:tabs>
        <w:bidi w:val="0"/>
        <w:spacing w:before="0" w:line="310" w:lineRule="exact"/>
        <w:ind w:left="0" w:right="0" w:firstLine="44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自主创新能力建设计划</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随着公司研发中心扩建项目的逐步实施，公司研发设备及条件不断改进，为公司先进产品、技术、服 务的研发、升级、应用提供了有利保证。同时，公司将科学规划高压电气设备故障仿真试验室建设项目， 为公司研发产品的技术优势奠定坚实基础。</w:t>
      </w:r>
    </w:p>
    <w:p>
      <w:pPr>
        <w:pStyle w:val="Style35"/>
        <w:keepNext w:val="0"/>
        <w:keepLines w:val="0"/>
        <w:widowControl w:val="0"/>
        <w:shd w:val="clear" w:color="auto" w:fill="auto"/>
        <w:bidi w:val="0"/>
        <w:spacing w:before="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年，公司将进一步理顺公司研发机制，增强研发与销售部门的互动，落实以市场需求导向的研发 战略，优化技术开发和产品开发两级开发体系。完善公司研发基础平台，为公司的研发项目提供实验和测 试支持，加快新技术的实际应用和产业化速度，提高企业的基础检测水平，进一步提高研发效率和质量； 在营销体系中培养和增加一定的技术研发力量，及时响应客户个性化需求。</w:t>
      </w:r>
    </w:p>
    <w:p>
      <w:pPr>
        <w:pStyle w:val="Style35"/>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同时，公司坚持以加强内部人才培养与建立广泛技术合作联盟相结合的技术开发资源平台，建立灵活、 高效、规范的技术开发项目运作流程，加强项目目标、计划和过程管理，确保项目完成率和交付率质量。</w:t>
      </w:r>
    </w:p>
    <w:p>
      <w:pPr>
        <w:pStyle w:val="Style35"/>
        <w:keepNext w:val="0"/>
        <w:keepLines w:val="0"/>
        <w:widowControl w:val="0"/>
        <w:shd w:val="clear" w:color="auto" w:fill="auto"/>
        <w:tabs>
          <w:tab w:pos="868" w:val="left"/>
        </w:tabs>
        <w:bidi w:val="0"/>
        <w:spacing w:before="0" w:after="0" w:line="324" w:lineRule="auto"/>
        <w:ind w:left="0" w:right="0" w:firstLine="44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营销与市场扩展计划</w:t>
      </w:r>
    </w:p>
    <w:p>
      <w:pPr>
        <w:pStyle w:val="Style35"/>
        <w:keepNext w:val="0"/>
        <w:keepLines w:val="0"/>
        <w:widowControl w:val="0"/>
        <w:shd w:val="clear" w:color="auto" w:fill="auto"/>
        <w:bidi w:val="0"/>
        <w:spacing w:before="0" w:line="310"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）及时把握行业政策动向，积极实施市场扩展</w:t>
      </w:r>
    </w:p>
    <w:p>
      <w:pPr>
        <w:pStyle w:val="Style35"/>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 xml:space="preserve">根据国家电力改革、配电网建设改造计划及铁路与轨道交通领域的发展规划，充分发挥公司发电事业 部、轨道事业部的业务发展能力及子公司涵普电力在配电网领域的技术优势，及时把握市场需求，不断丰 </w:t>
      </w:r>
      <w:r>
        <w:rPr>
          <w:color w:val="000000"/>
          <w:spacing w:val="0"/>
          <w:w w:val="100"/>
          <w:position w:val="0"/>
        </w:rPr>
        <w:t>富公司产品线，积极开拓市场，扩大公司产品的市场覆盖率。</w:t>
      </w:r>
    </w:p>
    <w:p>
      <w:pPr>
        <w:pStyle w:val="Style35"/>
        <w:keepNext w:val="0"/>
        <w:keepLines w:val="0"/>
        <w:widowControl w:val="0"/>
        <w:shd w:val="clear" w:color="auto" w:fill="auto"/>
        <w:bidi w:val="0"/>
        <w:spacing w:before="0" w:after="100" w:line="312" w:lineRule="exact"/>
        <w:ind w:left="0" w:right="0" w:firstLine="440"/>
        <w:jc w:val="left"/>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）完善激励和考核机制，提高营销团队市场开拓积极性</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公司将营销目标任务层层分解，落实到人，实行定期与临时重大事项考核相结合的方式。结合销售目 标的完成、应收账款回收、客户满意度的提升及新项目的开拓等情况进行全员考核和激励，严格执行优胜 劣汰机制。利用良好的激励机制充分激发营销团队的工作热情，提升营销水平，为市场扩展工作的稳步持 续发展奠定基础。</w:t>
      </w:r>
    </w:p>
    <w:p>
      <w:pPr>
        <w:pStyle w:val="Style35"/>
        <w:keepNext w:val="0"/>
        <w:keepLines w:val="0"/>
        <w:widowControl w:val="0"/>
        <w:shd w:val="clear" w:color="auto" w:fill="auto"/>
        <w:tabs>
          <w:tab w:pos="805" w:val="left"/>
        </w:tabs>
        <w:bidi w:val="0"/>
        <w:spacing w:before="0" w:after="0" w:line="326" w:lineRule="auto"/>
        <w:ind w:left="0" w:right="0" w:firstLine="440"/>
        <w:jc w:val="both"/>
      </w:pPr>
      <w:bookmarkStart w:id="270" w:name="bookmark270"/>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t>人力资源开发及组织结构优化计划</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随着公司并购等资本运作，公司规模不断扩大，公司将不断加大人力资源开发和管理力度，进一步加 强管理团队建设，增强公司人才优势及管理优势。</w:t>
      </w:r>
    </w:p>
    <w:p>
      <w:pPr>
        <w:pStyle w:val="Style35"/>
        <w:keepNext w:val="0"/>
        <w:keepLines w:val="0"/>
        <w:widowControl w:val="0"/>
        <w:shd w:val="clear" w:color="auto" w:fill="auto"/>
        <w:tabs>
          <w:tab w:pos="920" w:val="left"/>
        </w:tabs>
        <w:bidi w:val="0"/>
        <w:spacing w:before="0" w:after="100" w:line="312" w:lineRule="exact"/>
        <w:ind w:left="0" w:right="0" w:firstLine="44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w:t>
      </w:r>
      <w:r>
        <w:rPr>
          <w:color w:val="000000"/>
          <w:spacing w:val="0"/>
          <w:w w:val="100"/>
          <w:position w:val="0"/>
        </w:rPr>
        <w:t>）</w:t>
        <w:tab/>
        <w:t>深化调整组织结构</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进一步完善公司法人治理结构，完善公司经理层工作制度，建立科学有效的公司决策机制、市场快速 反应机制和风险防范机制。加速信息化系统建设，在公司及其子公司范围内深化工作流程改革，保证资源 的合理利用和信息的有效及时传递，提升整体效率，实现企业信息化管理，使公司组织运作更高效、灵活。</w:t>
      </w:r>
    </w:p>
    <w:p>
      <w:pPr>
        <w:pStyle w:val="Style35"/>
        <w:keepNext w:val="0"/>
        <w:keepLines w:val="0"/>
        <w:widowControl w:val="0"/>
        <w:shd w:val="clear" w:color="auto" w:fill="auto"/>
        <w:tabs>
          <w:tab w:pos="920" w:val="left"/>
        </w:tabs>
        <w:bidi w:val="0"/>
        <w:spacing w:before="0" w:after="100" w:line="312"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w:t>
        <w:tab/>
        <w:t>引进和培养人才相结合，注重人才结构优化</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为满足公司规模扩张、市场开拓等因素产生的高级人才需求，公司进一步加强管理团队建设，通过内 部培养与外部引进两种方式建立业务队伍，一方面积极引进高素质的技术开发人才，另一方面公司内部积 极培养、选拔、引进营销人才、管理人才。在人才结构方面，注重协调研发、营销、服务、技术、生产、 管理等方面的人员比例，注意不同年龄结构配比，科学、合理配置和优化人才结构。</w:t>
      </w:r>
    </w:p>
    <w:p>
      <w:pPr>
        <w:pStyle w:val="Style35"/>
        <w:keepNext w:val="0"/>
        <w:keepLines w:val="0"/>
        <w:widowControl w:val="0"/>
        <w:shd w:val="clear" w:color="auto" w:fill="auto"/>
        <w:tabs>
          <w:tab w:pos="920" w:val="left"/>
        </w:tabs>
        <w:bidi w:val="0"/>
        <w:spacing w:before="0" w:after="100" w:line="312"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w:t>
        <w:tab/>
        <w:t>完善岗位责任制和绩效评价体系</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建立有序的岗位竞争、激励、淘汰机制，增加岗位流通性，充分发挥员工的主观能动性，为员工提供 职业发展的广阔空间与平台。</w:t>
      </w:r>
    </w:p>
    <w:p>
      <w:pPr>
        <w:pStyle w:val="Style35"/>
        <w:keepNext w:val="0"/>
        <w:keepLines w:val="0"/>
        <w:widowControl w:val="0"/>
        <w:shd w:val="clear" w:color="auto" w:fill="auto"/>
        <w:tabs>
          <w:tab w:pos="805" w:val="left"/>
        </w:tabs>
        <w:bidi w:val="0"/>
        <w:spacing w:before="0" w:after="0" w:line="326" w:lineRule="auto"/>
        <w:ind w:left="0" w:right="0" w:firstLine="440"/>
        <w:jc w:val="both"/>
      </w:pPr>
      <w:bookmarkStart w:id="274" w:name="bookmark274"/>
      <w:r>
        <w:rPr>
          <w:rFonts w:ascii="Times New Roman" w:eastAsia="Times New Roman" w:hAnsi="Times New Roman" w:cs="Times New Roman"/>
          <w:color w:val="000000"/>
          <w:spacing w:val="0"/>
          <w:w w:val="100"/>
          <w:position w:val="0"/>
        </w:rPr>
        <w:t>4</w:t>
      </w:r>
      <w:bookmarkEnd w:id="274"/>
      <w:r>
        <w:rPr>
          <w:color w:val="000000"/>
          <w:spacing w:val="0"/>
          <w:w w:val="100"/>
          <w:position w:val="0"/>
        </w:rPr>
        <w:t>、</w:t>
        <w:tab/>
        <w:t>并购计划</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为加快自身发展，公司在坚持自主研发和生产的基础上，积极把握适当的外部并购机会。公司积极寻 求在技术上、成本上以及客户资源等方面能为公司提供协同价值的企业。公司通过自主发展和外部并购相 结合的战略，不断扩大自身产品体系，为客户提供更加全面的服务。</w:t>
      </w:r>
    </w:p>
    <w:p>
      <w:pPr>
        <w:pStyle w:val="Style35"/>
        <w:keepNext w:val="0"/>
        <w:keepLines w:val="0"/>
        <w:widowControl w:val="0"/>
        <w:shd w:val="clear" w:color="auto" w:fill="auto"/>
        <w:bidi w:val="0"/>
        <w:spacing w:before="0" w:after="100" w:line="312" w:lineRule="exact"/>
        <w:ind w:left="0" w:right="0" w:firstLine="440"/>
        <w:jc w:val="both"/>
      </w:pPr>
      <w:bookmarkStart w:id="275" w:name="bookmark275"/>
      <w:r>
        <w:rPr>
          <w:b/>
          <w:bCs/>
          <w:color w:val="000000"/>
          <w:spacing w:val="0"/>
          <w:w w:val="100"/>
          <w:position w:val="0"/>
        </w:rPr>
        <w:t>（</w:t>
      </w:r>
      <w:bookmarkEnd w:id="275"/>
      <w:r>
        <w:rPr>
          <w:b/>
          <w:bCs/>
          <w:color w:val="000000"/>
          <w:spacing w:val="0"/>
          <w:w w:val="100"/>
          <w:position w:val="0"/>
        </w:rPr>
        <w:t>三）可能面对的风险</w:t>
      </w:r>
    </w:p>
    <w:p>
      <w:pPr>
        <w:pStyle w:val="Style35"/>
        <w:keepNext w:val="0"/>
        <w:keepLines w:val="0"/>
        <w:widowControl w:val="0"/>
        <w:shd w:val="clear" w:color="auto" w:fill="auto"/>
        <w:tabs>
          <w:tab w:pos="803" w:val="left"/>
        </w:tabs>
        <w:bidi w:val="0"/>
        <w:spacing w:before="0" w:after="100" w:line="312" w:lineRule="exact"/>
        <w:ind w:left="0" w:right="0" w:firstLine="440"/>
        <w:jc w:val="left"/>
      </w:pPr>
      <w:bookmarkStart w:id="276" w:name="bookmark276"/>
      <w:r>
        <w:rPr>
          <w:rFonts w:ascii="Times New Roman" w:eastAsia="Times New Roman" w:hAnsi="Times New Roman" w:cs="Times New Roman"/>
          <w:color w:val="000000"/>
          <w:spacing w:val="0"/>
          <w:w w:val="100"/>
          <w:position w:val="0"/>
        </w:rPr>
        <w:t>1</w:t>
      </w:r>
      <w:bookmarkEnd w:id="276"/>
      <w:r>
        <w:rPr>
          <w:color w:val="000000"/>
          <w:spacing w:val="0"/>
          <w:w w:val="100"/>
          <w:position w:val="0"/>
        </w:rPr>
        <w:t>、</w:t>
        <w:tab/>
        <w:t>电力设备状态检测、监测行业发展速度存在不确定性的风险</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电力设备状态检测、监测行业目前正处于成长阶段，电力建设产业政策和投资规模的变动以及电力系 统企业推广状态检修策略进程的延缓，都会影响本行业的发展。因此，行业具体发展速度存在着一定的不 确定性的风险。</w:t>
      </w:r>
    </w:p>
    <w:p>
      <w:pPr>
        <w:pStyle w:val="Style35"/>
        <w:keepNext w:val="0"/>
        <w:keepLines w:val="0"/>
        <w:widowControl w:val="0"/>
        <w:shd w:val="clear" w:color="auto" w:fill="auto"/>
        <w:tabs>
          <w:tab w:pos="805" w:val="left"/>
        </w:tabs>
        <w:bidi w:val="0"/>
        <w:spacing w:before="0" w:after="100" w:line="312" w:lineRule="exact"/>
        <w:ind w:left="0" w:right="0" w:firstLine="440"/>
        <w:jc w:val="left"/>
      </w:pPr>
      <w:bookmarkStart w:id="277" w:name="bookmark277"/>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电网公司整体发展战略、投资规划、采购模式发生重大变化的风险</w:t>
      </w:r>
    </w:p>
    <w:p>
      <w:pPr>
        <w:pStyle w:val="Style35"/>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公司主要客户相对集中于两大电网公司及其下属企业。但在两大电网公司的具体采购方式上，包括由 总部直接组织实施、由网省公司负责组织实施或由地市级电力企业组织实施等不同的采购模式，决策并非 完全集中在公司总部。以省级电网公司口径或单体客户口径分析，公司对主要客户并不存在重大依赖。但 是如果两大电网公司整体发展战略和投资规划、采购模式发生重大变化，将会对公司未来的盈利能力和成 长性产生重大影响。</w:t>
      </w:r>
    </w:p>
    <w:p>
      <w:pPr>
        <w:pStyle w:val="Style35"/>
        <w:keepNext w:val="0"/>
        <w:keepLines w:val="0"/>
        <w:widowControl w:val="0"/>
        <w:shd w:val="clear" w:color="auto" w:fill="auto"/>
        <w:tabs>
          <w:tab w:pos="805" w:val="left"/>
        </w:tabs>
        <w:bidi w:val="0"/>
        <w:spacing w:before="0" w:after="100" w:line="326" w:lineRule="auto"/>
        <w:ind w:left="0" w:right="0" w:firstLine="440"/>
        <w:jc w:val="both"/>
      </w:pPr>
      <w:bookmarkStart w:id="278" w:name="bookmark278"/>
      <w:r>
        <w:rPr>
          <w:rFonts w:ascii="Times New Roman" w:eastAsia="Times New Roman" w:hAnsi="Times New Roman" w:cs="Times New Roman"/>
          <w:color w:val="000000"/>
          <w:spacing w:val="0"/>
          <w:w w:val="100"/>
          <w:position w:val="0"/>
        </w:rPr>
        <w:t>3</w:t>
      </w:r>
      <w:bookmarkEnd w:id="278"/>
      <w:r>
        <w:rPr>
          <w:color w:val="000000"/>
          <w:spacing w:val="0"/>
          <w:w w:val="100"/>
          <w:position w:val="0"/>
        </w:rPr>
        <w:t>、</w:t>
        <w:tab/>
        <w:t>经营业绩存在季节性波动的风险</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公司产品主要应用于电力行业。由于电力系统企业一般在每年下半年进行投资计划立项，次年的一季 度对该些项目进行审批，其采购和资金支付往往主要集中在第三季度末和第四季度，第一季度和第二季度 也会有少量的采购，因此，报告期公司经营业绩呈现较明显的季节性特征，公司营业收入主要在下半年实 现，特别是第四季度营业收入占全年的比例超过一半以上。受公司上半年营业收入占比较低及固定运营成 本的影响，公司上半年净利润较少，甚至存在季度亏损的风险。</w:t>
      </w:r>
    </w:p>
    <w:p>
      <w:pPr>
        <w:pStyle w:val="Style35"/>
        <w:keepNext w:val="0"/>
        <w:keepLines w:val="0"/>
        <w:widowControl w:val="0"/>
        <w:shd w:val="clear" w:color="auto" w:fill="auto"/>
        <w:tabs>
          <w:tab w:pos="758" w:val="left"/>
        </w:tabs>
        <w:bidi w:val="0"/>
        <w:spacing w:before="0" w:after="0" w:line="326" w:lineRule="auto"/>
        <w:ind w:left="0" w:right="0" w:firstLine="440"/>
        <w:jc w:val="left"/>
      </w:pPr>
      <w:bookmarkStart w:id="279" w:name="bookmark279"/>
      <w:r>
        <w:rPr>
          <w:rFonts w:ascii="Times New Roman" w:eastAsia="Times New Roman" w:hAnsi="Times New Roman" w:cs="Times New Roman"/>
          <w:color w:val="000000"/>
          <w:spacing w:val="0"/>
          <w:w w:val="100"/>
          <w:position w:val="0"/>
        </w:rPr>
        <w:t>4</w:t>
      </w:r>
      <w:bookmarkEnd w:id="279"/>
      <w:r>
        <w:rPr>
          <w:color w:val="000000"/>
          <w:spacing w:val="0"/>
          <w:w w:val="100"/>
          <w:position w:val="0"/>
        </w:rPr>
        <w:t>、</w:t>
        <w:tab/>
        <w:t>备货生产增加导致期末库存无法及时结转销售收入的风险</w:t>
      </w:r>
    </w:p>
    <w:p>
      <w:pPr>
        <w:pStyle w:val="Style35"/>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公司主要通过招投标方式取得销售合同，并主要采取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w:t>
      </w:r>
      <w:r>
        <w:rPr>
          <w:color w:val="000000"/>
          <w:spacing w:val="0"/>
          <w:w w:val="100"/>
          <w:position w:val="0"/>
        </w:rPr>
        <w:t>的模式组织生产。但随着市场需求的 增加，公司为确保如期交货，根据市场潜在需求以及预期中标成功率情况，提前安排销售把握较大产品的 生产。公司库存商品与发出商品期末余额的高低主要取决于生产交货、客户验收确认速度的快慢以及预先 备货生产项目的增减变动。公司报告期期末存货的总体金额不大，但随着备货生产的增加，公司存在因客 户项目取消、变更以及未能成功中标等情况而无法及时结转销售收入的风险。</w:t>
      </w:r>
    </w:p>
    <w:p>
      <w:pPr>
        <w:pStyle w:val="Style35"/>
        <w:keepNext w:val="0"/>
        <w:keepLines w:val="0"/>
        <w:widowControl w:val="0"/>
        <w:shd w:val="clear" w:color="auto" w:fill="auto"/>
        <w:tabs>
          <w:tab w:pos="758" w:val="left"/>
        </w:tabs>
        <w:bidi w:val="0"/>
        <w:spacing w:before="0" w:after="0" w:line="326" w:lineRule="auto"/>
        <w:ind w:left="0" w:right="0" w:firstLine="440"/>
        <w:jc w:val="both"/>
      </w:pPr>
      <w:bookmarkStart w:id="280" w:name="bookmark280"/>
      <w:r>
        <w:rPr>
          <w:rFonts w:ascii="Times New Roman" w:eastAsia="Times New Roman" w:hAnsi="Times New Roman" w:cs="Times New Roman"/>
          <w:color w:val="000000"/>
          <w:spacing w:val="0"/>
          <w:w w:val="100"/>
          <w:position w:val="0"/>
        </w:rPr>
        <w:t>5</w:t>
      </w:r>
      <w:bookmarkEnd w:id="280"/>
      <w:r>
        <w:rPr>
          <w:color w:val="000000"/>
          <w:spacing w:val="0"/>
          <w:w w:val="100"/>
          <w:position w:val="0"/>
        </w:rPr>
        <w:t>、</w:t>
        <w:tab/>
        <w:t>应收账款无法及时收回的风险</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公司主要客户来自电力系统企业，受到其结算惯例的影响，公司应收账款收款周期相对较长，导致期 末应收账款相对较高。随着公司经营规模的不断扩大，应收账款的规模可能会持续增长，如果国内经济环 境、客户信用状况等发生变化，公司存在应收账款不能够及时回收，从而影响公司资金流动性和利用效率 的风险。</w:t>
      </w:r>
    </w:p>
    <w:p>
      <w:pPr>
        <w:pStyle w:val="Style35"/>
        <w:keepNext w:val="0"/>
        <w:keepLines w:val="0"/>
        <w:widowControl w:val="0"/>
        <w:shd w:val="clear" w:color="auto" w:fill="auto"/>
        <w:tabs>
          <w:tab w:pos="758" w:val="left"/>
        </w:tabs>
        <w:bidi w:val="0"/>
        <w:spacing w:before="0" w:after="0" w:line="326" w:lineRule="auto"/>
        <w:ind w:left="0" w:right="0" w:firstLine="440"/>
        <w:jc w:val="both"/>
      </w:pPr>
      <w:bookmarkStart w:id="281" w:name="bookmark281"/>
      <w:r>
        <w:rPr>
          <w:rFonts w:ascii="Times New Roman" w:eastAsia="Times New Roman" w:hAnsi="Times New Roman" w:cs="Times New Roman"/>
          <w:color w:val="000000"/>
          <w:spacing w:val="0"/>
          <w:w w:val="100"/>
          <w:position w:val="0"/>
        </w:rPr>
        <w:t>6</w:t>
      </w:r>
      <w:bookmarkEnd w:id="281"/>
      <w:r>
        <w:rPr>
          <w:color w:val="000000"/>
          <w:spacing w:val="0"/>
          <w:w w:val="100"/>
          <w:position w:val="0"/>
        </w:rPr>
        <w:t>、</w:t>
        <w:tab/>
        <w:t>技术跟不上行业发展的风险</w:t>
      </w:r>
    </w:p>
    <w:p>
      <w:pPr>
        <w:pStyle w:val="Style35"/>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电力设备状态检测、监测产品研发具有多学科交叉的特征，具体涉及微电子技术、测控技术、通信技 术、嵌入式软件技术、计算机应用软件技术、故障诊断技术、信息融合技术、人工智能技术以及环境适应 技术等多个领域。如果公司未来研发人员数量、研发人员的知识结构更新无法跟上上述相关领域技术发展 的趋势或者公司研发项目储备、研发投入不足，则可能导致公司的技术研发能力无法跟上整个行业发展步 伐，从而给公司的可持续发展带来不利影响。</w:t>
      </w:r>
    </w:p>
    <w:p>
      <w:pPr>
        <w:pStyle w:val="Style35"/>
        <w:keepNext w:val="0"/>
        <w:keepLines w:val="0"/>
        <w:widowControl w:val="0"/>
        <w:shd w:val="clear" w:color="auto" w:fill="auto"/>
        <w:tabs>
          <w:tab w:pos="758" w:val="left"/>
        </w:tabs>
        <w:bidi w:val="0"/>
        <w:spacing w:before="0" w:after="0" w:line="326" w:lineRule="auto"/>
        <w:ind w:left="0" w:right="0" w:firstLine="440"/>
        <w:jc w:val="both"/>
      </w:pPr>
      <w:bookmarkStart w:id="282" w:name="bookmark282"/>
      <w:r>
        <w:rPr>
          <w:rFonts w:ascii="Times New Roman" w:eastAsia="Times New Roman" w:hAnsi="Times New Roman" w:cs="Times New Roman"/>
          <w:color w:val="000000"/>
          <w:spacing w:val="0"/>
          <w:w w:val="100"/>
          <w:position w:val="0"/>
        </w:rPr>
        <w:t>7</w:t>
      </w:r>
      <w:bookmarkEnd w:id="282"/>
      <w:r>
        <w:rPr>
          <w:color w:val="000000"/>
          <w:spacing w:val="0"/>
          <w:w w:val="100"/>
          <w:position w:val="0"/>
        </w:rPr>
        <w:t>、</w:t>
        <w:tab/>
        <w:t>规模快速扩张引致的风险</w:t>
      </w:r>
    </w:p>
    <w:p>
      <w:pPr>
        <w:pStyle w:val="Style3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为扩大产能，公司将通过并购等多种资本运作方式，扩大生产经营规模，这将对公司现有的战略规划、 制度建设、组织设置、营运管理、财务管理、内部控制等方面带来较大挑战。如果公司管理层不能及时调 整公司管理体制，未能良好把握调整时机或者选任相关职位的管理人员决策不当，都可能阻碍公司业务的 正常开展或者错失发展良机。</w:t>
      </w:r>
    </w:p>
    <w:p>
      <w:pPr>
        <w:pStyle w:val="Style35"/>
        <w:keepNext w:val="0"/>
        <w:keepLines w:val="0"/>
        <w:widowControl w:val="0"/>
        <w:shd w:val="clear" w:color="auto" w:fill="auto"/>
        <w:tabs>
          <w:tab w:pos="758" w:val="left"/>
        </w:tabs>
        <w:bidi w:val="0"/>
        <w:spacing w:before="0" w:after="0" w:line="326" w:lineRule="auto"/>
        <w:ind w:left="0" w:right="0" w:firstLine="440"/>
        <w:jc w:val="both"/>
      </w:pPr>
      <w:bookmarkStart w:id="283" w:name="bookmark283"/>
      <w:r>
        <w:rPr>
          <w:rFonts w:ascii="Times New Roman" w:eastAsia="Times New Roman" w:hAnsi="Times New Roman" w:cs="Times New Roman"/>
          <w:color w:val="000000"/>
          <w:spacing w:val="0"/>
          <w:w w:val="100"/>
          <w:position w:val="0"/>
        </w:rPr>
        <w:t>8</w:t>
      </w:r>
      <w:bookmarkEnd w:id="283"/>
      <w:r>
        <w:rPr>
          <w:color w:val="000000"/>
          <w:spacing w:val="0"/>
          <w:w w:val="100"/>
          <w:position w:val="0"/>
        </w:rPr>
        <w:t>、</w:t>
        <w:tab/>
        <w:t>人才流失的风险</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人才是企业发展的基石。公司之前的发展与公司建立起的高管团队、营销团队及研发团队有着密切的 关系。未来，随着公司发展战略的逐步实施，公司对生产、管理、技术、研发、销售等方面的人才的需求 将会逐步增加。如果公司无法制定行之有效的人力资源管理制度来留住人才、吸引人才，那么，公司将会 面临人才流失的风险和无法引进优秀人才的风险，从而影响公司的长远发展。</w:t>
      </w:r>
    </w:p>
    <w:p>
      <w:pPr>
        <w:pStyle w:val="Style3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应对措施：公司将密切关注可能出现的风险因素的动态变化，关注本行业、相关领域及上、下游行业 的变化趋势。若风险因素已经较明显显现，公司将采取调整规划、调整规划实施方案等措施，并采用多渠 道、多种灵活方式实现公司战略目标。</w:t>
      </w:r>
    </w:p>
    <w:p>
      <w:pPr>
        <w:pStyle w:val="Style23"/>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十、接待调研、沟通、采访等活动登记表</w:t>
      </w:r>
      <w:bookmarkEnd w:id="284"/>
      <w:bookmarkEnd w:id="285"/>
      <w:bookmarkEnd w:id="286"/>
    </w:p>
    <w:p>
      <w:pPr>
        <w:pStyle w:val="Style32"/>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2" w:right="1034" w:bottom="1440" w:left="1041"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2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23"/>
        <w:keepNext/>
        <w:keepLines/>
        <w:widowControl w:val="0"/>
        <w:shd w:val="clear" w:color="auto" w:fill="auto"/>
        <w:bidi w:val="0"/>
        <w:spacing w:before="0" w:after="38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一</w:t>
      </w:r>
      <w:bookmarkEnd w:id="296"/>
      <w:r>
        <w:rPr>
          <w:color w:val="000000"/>
          <w:spacing w:val="0"/>
          <w:w w:val="100"/>
          <w:position w:val="0"/>
          <w:sz w:val="24"/>
          <w:szCs w:val="24"/>
        </w:rPr>
        <w:t>、公司普通股利润分配及资本公积金转增股本情况</w:t>
      </w:r>
      <w:bookmarkEnd w:id="294"/>
      <w:bookmarkEnd w:id="295"/>
      <w:bookmarkEnd w:id="297"/>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line="315" w:lineRule="exact"/>
        <w:ind w:left="0" w:right="0" w:firstLine="440"/>
        <w:jc w:val="both"/>
      </w:pPr>
      <w:r>
        <w:rPr>
          <w:color w:val="000000"/>
          <w:spacing w:val="0"/>
          <w:w w:val="100"/>
          <w:position w:val="0"/>
        </w:rPr>
        <w:t>报告期内，公司严格按照《公司章程》、股利分配政策及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 议通过的《关于修订</w:t>
      </w:r>
      <w:r>
        <w:rPr>
          <w:color w:val="000000"/>
          <w:spacing w:val="0"/>
          <w:w w:val="100"/>
          <w:position w:val="0"/>
        </w:rPr>
        <w:t>〈</w:t>
      </w:r>
      <w:r>
        <w:rPr>
          <w:color w:val="000000"/>
          <w:spacing w:val="0"/>
          <w:w w:val="100"/>
          <w:position w:val="0"/>
        </w:rPr>
        <w:t>红相电力未来三年分红回报规划</w:t>
      </w:r>
      <w:r>
        <w:rPr>
          <w:color w:val="000000"/>
          <w:spacing w:val="0"/>
          <w:w w:val="100"/>
          <w:position w:val="0"/>
        </w:rPr>
        <w:t>（</w:t>
      </w:r>
      <w:r>
        <w:rPr>
          <w:rFonts w:ascii="Times New Roman" w:eastAsia="Times New Roman" w:hAnsi="Times New Roman" w:cs="Times New Roman"/>
          <w:color w:val="000000"/>
          <w:spacing w:val="0"/>
          <w:w w:val="100"/>
          <w:position w:val="0"/>
        </w:rPr>
        <w:t>2014-2016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的议案》，制定利润分配方案。《关 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年度利润分配预案的议案》经由公司董事会、监事会和股东大会审议通过，独立董事发表独立 意见，并在规定时间内实施，切实保证了全体股东的利益。</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日召开的第三届董事会第十五次会议、第三届监事会第九次会议及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8867 </w:t>
      </w:r>
      <w:r>
        <w:rPr>
          <w:color w:val="000000"/>
          <w:spacing w:val="0"/>
          <w:w w:val="100"/>
          <w:position w:val="0"/>
        </w:rPr>
        <w:t>万股为基数，以未分配利润向全体股东每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1.9</w:t>
      </w:r>
      <w:r>
        <w:rPr>
          <w:color w:val="000000"/>
          <w:spacing w:val="0"/>
          <w:w w:val="100"/>
          <w:position w:val="0"/>
        </w:rPr>
        <w:t>元（含税），共计派发股利人民币</w:t>
      </w:r>
      <w:r>
        <w:rPr>
          <w:rFonts w:ascii="Times New Roman" w:eastAsia="Times New Roman" w:hAnsi="Times New Roman" w:cs="Times New Roman"/>
          <w:color w:val="000000"/>
          <w:spacing w:val="0"/>
          <w:w w:val="100"/>
          <w:position w:val="0"/>
        </w:rPr>
        <w:t xml:space="preserve">16,847,300 </w:t>
      </w:r>
      <w:r>
        <w:rPr>
          <w:color w:val="000000"/>
          <w:spacing w:val="0"/>
          <w:w w:val="100"/>
          <w:position w:val="0"/>
        </w:rPr>
        <w:t>元；以资本公积向全体股东每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股，共计转增股份</w:t>
      </w:r>
      <w:r>
        <w:rPr>
          <w:rFonts w:ascii="Times New Roman" w:eastAsia="Times New Roman" w:hAnsi="Times New Roman" w:cs="Times New Roman"/>
          <w:color w:val="000000"/>
          <w:spacing w:val="0"/>
          <w:w w:val="100"/>
          <w:position w:val="0"/>
        </w:rPr>
        <w:t>195,074,000</w:t>
      </w:r>
      <w:r>
        <w:rPr>
          <w:color w:val="000000"/>
          <w:spacing w:val="0"/>
          <w:w w:val="100"/>
          <w:position w:val="0"/>
        </w:rPr>
        <w:t>股。</w:t>
      </w:r>
    </w:p>
    <w:p>
      <w:pPr>
        <w:pStyle w:val="Style35"/>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日，公司在中国证监会指定信息披露网站巨潮资讯网刊登了《红相电力</w:t>
      </w:r>
      <w:r>
        <w:rPr>
          <w:rFonts w:ascii="Times New Roman" w:eastAsia="Times New Roman" w:hAnsi="Times New Roman" w:cs="Times New Roman"/>
          <w:color w:val="000000"/>
          <w:spacing w:val="0"/>
          <w:w w:val="100"/>
          <w:position w:val="0"/>
        </w:rPr>
        <w:t>2015</w:t>
      </w:r>
      <w:r>
        <w:rPr>
          <w:color w:val="000000"/>
          <w:spacing w:val="0"/>
          <w:w w:val="100"/>
          <w:position w:val="0"/>
        </w:rPr>
        <w:t>年年度权益 分派实施公告》。本次权益分派股权登记日为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不适用（报告期内公司现金分红政策未进行任何调整及变更）</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283,744,000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60,578,604.14</w:t>
            </w:r>
          </w:p>
        </w:tc>
      </w:tr>
    </w:tbl>
    <w:p>
      <w:pPr>
        <w:pStyle w:val="Style2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8837" w:val="left"/>
        </w:tabs>
        <w:bidi w:val="0"/>
        <w:spacing w:before="0" w:after="200" w:line="240" w:lineRule="auto"/>
        <w:ind w:left="0" w:right="0" w:firstLine="0"/>
        <w:jc w:val="both"/>
        <w:rPr>
          <w:sz w:val="18"/>
          <w:szCs w:val="18"/>
        </w:rPr>
      </w:pPr>
      <w:r>
        <w:rPr>
          <w:color w:val="000000"/>
          <w:spacing w:val="0"/>
          <w:w w:val="100"/>
          <w:position w:val="0"/>
          <w:sz w:val="17"/>
          <w:szCs w:val="17"/>
        </w:rPr>
        <w:t>现金分红占利润分配总额的比例</w:t>
        <w:tab/>
      </w: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本次现金分红情况</w:t>
      </w:r>
    </w:p>
    <w:p>
      <w:pPr>
        <w:pStyle w:val="Style2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00" w:line="240" w:lineRule="auto"/>
        <w:ind w:left="0" w:right="0" w:firstLine="0"/>
        <w:jc w:val="both"/>
      </w:pPr>
      <w:r>
        <w:rPr>
          <w:color w:val="000000"/>
          <w:spacing w:val="0"/>
          <w:w w:val="100"/>
          <w:position w:val="0"/>
          <w:u w:val="single"/>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70" w:line="240" w:lineRule="auto"/>
        <w:ind w:left="0" w:right="0" w:firstLine="0"/>
        <w:jc w:val="center"/>
      </w:pPr>
      <w:r>
        <w:rPr>
          <w:color w:val="000000"/>
          <w:spacing w:val="0"/>
          <w:w w:val="100"/>
          <w:position w:val="0"/>
        </w:rPr>
        <w:t>利润分配或资本公积金转增预案的详细情况说明</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tabs>
          <w:tab w:pos="757" w:val="left"/>
        </w:tabs>
        <w:bidi w:val="0"/>
        <w:spacing w:before="0" w:after="100" w:line="313" w:lineRule="exact"/>
        <w:ind w:left="0" w:right="0" w:firstLine="440"/>
        <w:jc w:val="both"/>
      </w:pPr>
      <w:bookmarkStart w:id="298" w:name="bookmark298"/>
      <w:r>
        <w:rPr>
          <w:rFonts w:ascii="Times New Roman" w:eastAsia="Times New Roman" w:hAnsi="Times New Roman" w:cs="Times New Roman"/>
          <w:color w:val="000000"/>
          <w:spacing w:val="0"/>
          <w:w w:val="100"/>
          <w:position w:val="0"/>
        </w:rPr>
        <w:t>1</w:t>
      </w:r>
      <w:bookmarkEnd w:id="298"/>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年度，经致同会计师事务所（特殊普通合伙）审计，母公司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年实现净利润为人民币 </w:t>
      </w:r>
      <w:r>
        <w:rPr>
          <w:rFonts w:ascii="Times New Roman" w:eastAsia="Times New Roman" w:hAnsi="Times New Roman" w:cs="Times New Roman"/>
          <w:color w:val="000000"/>
          <w:spacing w:val="0"/>
          <w:w w:val="100"/>
          <w:position w:val="0"/>
        </w:rPr>
        <w:t>38,162,033.29</w:t>
      </w:r>
      <w:r>
        <w:rPr>
          <w:color w:val="000000"/>
          <w:spacing w:val="0"/>
          <w:w w:val="100"/>
          <w:position w:val="0"/>
        </w:rPr>
        <w:t>元，扣除应计提的法定盈余公积</w:t>
      </w:r>
      <w:r>
        <w:rPr>
          <w:rFonts w:ascii="Times New Roman" w:eastAsia="Times New Roman" w:hAnsi="Times New Roman" w:cs="Times New Roman"/>
          <w:color w:val="000000"/>
          <w:spacing w:val="0"/>
          <w:w w:val="100"/>
          <w:position w:val="0"/>
        </w:rPr>
        <w:t>10%</w:t>
      </w:r>
      <w:r>
        <w:rPr>
          <w:color w:val="000000"/>
          <w:spacing w:val="0"/>
          <w:w w:val="100"/>
          <w:position w:val="0"/>
        </w:rPr>
        <w:t>即人民币</w:t>
      </w:r>
      <w:r>
        <w:rPr>
          <w:rFonts w:ascii="Times New Roman" w:eastAsia="Times New Roman" w:hAnsi="Times New Roman" w:cs="Times New Roman"/>
          <w:color w:val="000000"/>
          <w:spacing w:val="0"/>
          <w:w w:val="100"/>
          <w:position w:val="0"/>
        </w:rPr>
        <w:t>3,816,203.33</w:t>
      </w:r>
      <w:r>
        <w:rPr>
          <w:color w:val="000000"/>
          <w:spacing w:val="0"/>
          <w:w w:val="100"/>
          <w:position w:val="0"/>
        </w:rPr>
        <w:t>元后，当年可供股东分配的利润为 人民币</w:t>
      </w:r>
      <w:r>
        <w:rPr>
          <w:rFonts w:ascii="Times New Roman" w:eastAsia="Times New Roman" w:hAnsi="Times New Roman" w:cs="Times New Roman"/>
          <w:color w:val="000000"/>
          <w:spacing w:val="0"/>
          <w:w w:val="100"/>
          <w:position w:val="0"/>
        </w:rPr>
        <w:t>34,345,829.96</w:t>
      </w:r>
      <w:r>
        <w:rPr>
          <w:color w:val="000000"/>
          <w:spacing w:val="0"/>
          <w:w w:val="100"/>
          <w:position w:val="0"/>
        </w:rPr>
        <w:t>元。鉴于公司正处于发展期，统筹考虑公司资金使用情况，</w:t>
      </w:r>
      <w:r>
        <w:rPr>
          <w:rFonts w:ascii="Times New Roman" w:eastAsia="Times New Roman" w:hAnsi="Times New Roman" w:cs="Times New Roman"/>
          <w:color w:val="000000"/>
          <w:spacing w:val="0"/>
          <w:w w:val="100"/>
          <w:position w:val="0"/>
        </w:rPr>
        <w:t>2014</w:t>
      </w:r>
      <w:r>
        <w:rPr>
          <w:color w:val="000000"/>
          <w:spacing w:val="0"/>
          <w:w w:val="100"/>
          <w:position w:val="0"/>
        </w:rPr>
        <w:t>年利润分配方案为： 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日的总股本</w:t>
      </w:r>
      <w:r>
        <w:rPr>
          <w:rFonts w:ascii="Times New Roman" w:eastAsia="Times New Roman" w:hAnsi="Times New Roman" w:cs="Times New Roman"/>
          <w:color w:val="000000"/>
          <w:spacing w:val="0"/>
          <w:w w:val="100"/>
          <w:position w:val="0"/>
        </w:rPr>
        <w:t>8867</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1.8</w:t>
      </w:r>
      <w:r>
        <w:rPr>
          <w:color w:val="000000"/>
          <w:spacing w:val="0"/>
          <w:w w:val="100"/>
          <w:position w:val="0"/>
        </w:rPr>
        <w:t>元（含税），共计派 发股利人民币</w:t>
      </w:r>
      <w:r>
        <w:rPr>
          <w:rFonts w:ascii="Times New Roman" w:eastAsia="Times New Roman" w:hAnsi="Times New Roman" w:cs="Times New Roman"/>
          <w:color w:val="000000"/>
          <w:spacing w:val="0"/>
          <w:w w:val="100"/>
          <w:position w:val="0"/>
        </w:rPr>
        <w:t>15,960,600.00</w:t>
      </w:r>
      <w:r>
        <w:rPr>
          <w:color w:val="000000"/>
          <w:spacing w:val="0"/>
          <w:w w:val="100"/>
          <w:position w:val="0"/>
        </w:rPr>
        <w:t>元。</w:t>
      </w:r>
    </w:p>
    <w:p>
      <w:pPr>
        <w:pStyle w:val="Style35"/>
        <w:keepNext w:val="0"/>
        <w:keepLines w:val="0"/>
        <w:widowControl w:val="0"/>
        <w:shd w:val="clear" w:color="auto" w:fill="auto"/>
        <w:tabs>
          <w:tab w:pos="757" w:val="left"/>
        </w:tabs>
        <w:bidi w:val="0"/>
        <w:spacing w:before="0" w:after="100" w:line="313" w:lineRule="exact"/>
        <w:ind w:left="0" w:right="0" w:firstLine="440"/>
        <w:jc w:val="both"/>
      </w:pPr>
      <w:bookmarkStart w:id="299" w:name="bookmark299"/>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年度，经致同会计师事务所（特殊普通合伙）审计，母公司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年实现净利润为人民币 </w:t>
      </w:r>
      <w:r>
        <w:rPr>
          <w:rFonts w:ascii="Times New Roman" w:eastAsia="Times New Roman" w:hAnsi="Times New Roman" w:cs="Times New Roman"/>
          <w:color w:val="000000"/>
          <w:spacing w:val="0"/>
          <w:w w:val="100"/>
          <w:position w:val="0"/>
        </w:rPr>
        <w:t>52,619,428.57</w:t>
      </w:r>
      <w:r>
        <w:rPr>
          <w:color w:val="000000"/>
          <w:spacing w:val="0"/>
          <w:w w:val="100"/>
          <w:position w:val="0"/>
        </w:rPr>
        <w:t>元，合并报表归属母公司所有者净利润为</w:t>
      </w:r>
      <w:r>
        <w:rPr>
          <w:rFonts w:ascii="Times New Roman" w:eastAsia="Times New Roman" w:hAnsi="Times New Roman" w:cs="Times New Roman"/>
          <w:color w:val="000000"/>
          <w:spacing w:val="0"/>
          <w:w w:val="100"/>
          <w:position w:val="0"/>
        </w:rPr>
        <w:t>70,937,874.33</w:t>
      </w:r>
      <w:r>
        <w:rPr>
          <w:color w:val="000000"/>
          <w:spacing w:val="0"/>
          <w:w w:val="100"/>
          <w:position w:val="0"/>
        </w:rPr>
        <w:t>元。根据《公司章程》等相关规定， 扣除应计提的法定盈余公积</w:t>
      </w:r>
      <w:r>
        <w:rPr>
          <w:rFonts w:ascii="Times New Roman" w:eastAsia="Times New Roman" w:hAnsi="Times New Roman" w:cs="Times New Roman"/>
          <w:color w:val="000000"/>
          <w:spacing w:val="0"/>
          <w:w w:val="100"/>
          <w:position w:val="0"/>
        </w:rPr>
        <w:t>10%</w:t>
      </w:r>
      <w:r>
        <w:rPr>
          <w:color w:val="000000"/>
          <w:spacing w:val="0"/>
          <w:w w:val="100"/>
          <w:position w:val="0"/>
        </w:rPr>
        <w:t>即人民币</w:t>
      </w:r>
      <w:r>
        <w:rPr>
          <w:rFonts w:ascii="Times New Roman" w:eastAsia="Times New Roman" w:hAnsi="Times New Roman" w:cs="Times New Roman"/>
          <w:color w:val="000000"/>
          <w:spacing w:val="0"/>
          <w:w w:val="100"/>
          <w:position w:val="0"/>
        </w:rPr>
        <w:t>5,261,942.86</w:t>
      </w:r>
      <w:r>
        <w:rPr>
          <w:color w:val="000000"/>
          <w:spacing w:val="0"/>
          <w:w w:val="100"/>
          <w:position w:val="0"/>
        </w:rPr>
        <w:t>元，当年可供股东分配的利润为</w:t>
      </w:r>
      <w:r>
        <w:rPr>
          <w:rFonts w:ascii="Times New Roman" w:eastAsia="Times New Roman" w:hAnsi="Times New Roman" w:cs="Times New Roman"/>
          <w:color w:val="000000"/>
          <w:spacing w:val="0"/>
          <w:w w:val="100"/>
          <w:position w:val="0"/>
        </w:rPr>
        <w:t>190,804,425.71</w:t>
      </w:r>
      <w:r>
        <w:rPr>
          <w:color w:val="000000"/>
          <w:spacing w:val="0"/>
          <w:w w:val="100"/>
          <w:position w:val="0"/>
        </w:rPr>
        <w:t>元，加 上以前年度累计可供分配利润，母公司累计可供股东分配的利润为</w:t>
      </w:r>
      <w:r>
        <w:rPr>
          <w:rFonts w:ascii="Times New Roman" w:eastAsia="Times New Roman" w:hAnsi="Times New Roman" w:cs="Times New Roman"/>
          <w:color w:val="000000"/>
          <w:spacing w:val="0"/>
          <w:w w:val="100"/>
          <w:position w:val="0"/>
        </w:rPr>
        <w:t>190,804,425.45</w:t>
      </w:r>
      <w:r>
        <w:rPr>
          <w:color w:val="000000"/>
          <w:spacing w:val="0"/>
          <w:w w:val="100"/>
          <w:position w:val="0"/>
        </w:rPr>
        <w:t xml:space="preserve">元，资本公积余额为 </w:t>
      </w:r>
      <w:r>
        <w:rPr>
          <w:rFonts w:ascii="Times New Roman" w:eastAsia="Times New Roman" w:hAnsi="Times New Roman" w:cs="Times New Roman"/>
          <w:color w:val="000000"/>
          <w:spacing w:val="0"/>
          <w:w w:val="100"/>
          <w:position w:val="0"/>
        </w:rPr>
        <w:t>199,524,557.81</w:t>
      </w:r>
      <w:r>
        <w:rPr>
          <w:color w:val="000000"/>
          <w:spacing w:val="0"/>
          <w:w w:val="100"/>
          <w:position w:val="0"/>
        </w:rPr>
        <w:t>元。鉴于公司正处于发展期，统筹考虑公司资金使用情况及公司控股股东、实际控制人的合 理提议，</w:t>
      </w:r>
      <w:r>
        <w:rPr>
          <w:rFonts w:ascii="Times New Roman" w:eastAsia="Times New Roman" w:hAnsi="Times New Roman" w:cs="Times New Roman"/>
          <w:color w:val="000000"/>
          <w:spacing w:val="0"/>
          <w:w w:val="100"/>
          <w:position w:val="0"/>
        </w:rPr>
        <w:t>2015</w:t>
      </w:r>
      <w:r>
        <w:rPr>
          <w:color w:val="000000"/>
          <w:spacing w:val="0"/>
          <w:w w:val="100"/>
          <w:position w:val="0"/>
        </w:rPr>
        <w:t>年利润分配预案为：以截止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8867</w:t>
      </w:r>
      <w:r>
        <w:rPr>
          <w:color w:val="000000"/>
          <w:spacing w:val="0"/>
          <w:w w:val="100"/>
          <w:position w:val="0"/>
        </w:rPr>
        <w:t>万股为基数，以未分配利润向全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w:t>
      </w:r>
      <w:r>
        <w:rPr>
          <w:color w:val="000000"/>
          <w:spacing w:val="0"/>
          <w:w w:val="100"/>
          <w:position w:val="0"/>
        </w:rPr>
        <w:t>元（含税），共计派发股利人民币</w:t>
      </w:r>
      <w:r>
        <w:rPr>
          <w:rFonts w:ascii="Times New Roman" w:eastAsia="Times New Roman" w:hAnsi="Times New Roman" w:cs="Times New Roman"/>
          <w:color w:val="000000"/>
          <w:spacing w:val="0"/>
          <w:w w:val="100"/>
          <w:position w:val="0"/>
        </w:rPr>
        <w:t>16,847,300</w:t>
      </w:r>
      <w:r>
        <w:rPr>
          <w:color w:val="000000"/>
          <w:spacing w:val="0"/>
          <w:w w:val="100"/>
          <w:position w:val="0"/>
        </w:rPr>
        <w:t xml:space="preserve">元；以资本公积向全体股东每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股，共计转增股份</w:t>
      </w:r>
      <w:r>
        <w:rPr>
          <w:rFonts w:ascii="Times New Roman" w:eastAsia="Times New Roman" w:hAnsi="Times New Roman" w:cs="Times New Roman"/>
          <w:color w:val="000000"/>
          <w:spacing w:val="0"/>
          <w:w w:val="100"/>
          <w:position w:val="0"/>
        </w:rPr>
        <w:t>195,074,000</w:t>
      </w:r>
      <w:r>
        <w:rPr>
          <w:color w:val="000000"/>
          <w:spacing w:val="0"/>
          <w:w w:val="100"/>
          <w:position w:val="0"/>
        </w:rPr>
        <w:t>股。</w:t>
      </w:r>
    </w:p>
    <w:p>
      <w:pPr>
        <w:pStyle w:val="Style35"/>
        <w:keepNext w:val="0"/>
        <w:keepLines w:val="0"/>
        <w:widowControl w:val="0"/>
        <w:shd w:val="clear" w:color="auto" w:fill="auto"/>
        <w:tabs>
          <w:tab w:pos="757" w:val="left"/>
        </w:tabs>
        <w:bidi w:val="0"/>
        <w:spacing w:before="0" w:after="200" w:line="313" w:lineRule="exact"/>
        <w:ind w:left="0" w:right="0" w:firstLine="440"/>
        <w:jc w:val="both"/>
      </w:pPr>
      <w:bookmarkStart w:id="300" w:name="bookmark300"/>
      <w:r>
        <w:rPr>
          <w:rFonts w:ascii="Times New Roman" w:eastAsia="Times New Roman" w:hAnsi="Times New Roman" w:cs="Times New Roman"/>
          <w:color w:val="000000"/>
          <w:spacing w:val="0"/>
          <w:w w:val="100"/>
          <w:position w:val="0"/>
        </w:rPr>
        <w:t>3</w:t>
      </w:r>
      <w:bookmarkEnd w:id="300"/>
      <w:r>
        <w:rPr>
          <w:color w:val="000000"/>
          <w:spacing w:val="0"/>
          <w:w w:val="100"/>
          <w:position w:val="0"/>
        </w:rPr>
        <w:t>、</w:t>
        <w:tab/>
        <w:t>公司第三届董事会第二十四次会议审议通过了《关于公司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年利润分配预案如下：经致同会计师事务所（特殊普通合伙）审计，母公司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年实现净利润为人民币 </w:t>
      </w:r>
      <w:r>
        <w:rPr>
          <w:rFonts w:ascii="Times New Roman" w:eastAsia="Times New Roman" w:hAnsi="Times New Roman" w:cs="Times New Roman"/>
          <w:color w:val="000000"/>
          <w:spacing w:val="0"/>
          <w:w w:val="100"/>
          <w:position w:val="0"/>
        </w:rPr>
        <w:t>67,309,560.16</w:t>
      </w:r>
      <w:r>
        <w:rPr>
          <w:color w:val="000000"/>
          <w:spacing w:val="0"/>
          <w:w w:val="100"/>
          <w:position w:val="0"/>
        </w:rPr>
        <w:t>元，合并报表归属母公司所有者净利润为</w:t>
      </w:r>
      <w:r>
        <w:rPr>
          <w:rFonts w:ascii="Times New Roman" w:eastAsia="Times New Roman" w:hAnsi="Times New Roman" w:cs="Times New Roman"/>
          <w:color w:val="000000"/>
          <w:spacing w:val="0"/>
          <w:w w:val="100"/>
          <w:position w:val="0"/>
        </w:rPr>
        <w:t>73,815,900.71</w:t>
      </w:r>
      <w:r>
        <w:rPr>
          <w:color w:val="000000"/>
          <w:spacing w:val="0"/>
          <w:w w:val="100"/>
          <w:position w:val="0"/>
        </w:rPr>
        <w:t>元。根据《公司章程》等相关规定， 扣除应计提的法定盈余公积</w:t>
      </w:r>
      <w:r>
        <w:rPr>
          <w:rFonts w:ascii="Times New Roman" w:eastAsia="Times New Roman" w:hAnsi="Times New Roman" w:cs="Times New Roman"/>
          <w:color w:val="000000"/>
          <w:spacing w:val="0"/>
          <w:w w:val="100"/>
          <w:position w:val="0"/>
        </w:rPr>
        <w:t>10%</w:t>
      </w:r>
      <w:r>
        <w:rPr>
          <w:color w:val="000000"/>
          <w:spacing w:val="0"/>
          <w:w w:val="100"/>
          <w:position w:val="0"/>
        </w:rPr>
        <w:t>即人民币</w:t>
      </w:r>
      <w:r>
        <w:rPr>
          <w:rFonts w:ascii="Times New Roman" w:eastAsia="Times New Roman" w:hAnsi="Times New Roman" w:cs="Times New Roman"/>
          <w:color w:val="000000"/>
          <w:spacing w:val="0"/>
          <w:w w:val="100"/>
          <w:position w:val="0"/>
        </w:rPr>
        <w:t>6,730,956.02</w:t>
      </w:r>
      <w:r>
        <w:rPr>
          <w:color w:val="000000"/>
          <w:spacing w:val="0"/>
          <w:w w:val="100"/>
          <w:position w:val="0"/>
        </w:rPr>
        <w:t xml:space="preserve">元后，当年可供股东分配的利润为人民币 </w:t>
      </w:r>
      <w:r>
        <w:rPr>
          <w:rFonts w:ascii="Times New Roman" w:eastAsia="Times New Roman" w:hAnsi="Times New Roman" w:cs="Times New Roman"/>
          <w:color w:val="000000"/>
          <w:spacing w:val="0"/>
          <w:w w:val="100"/>
          <w:position w:val="0"/>
        </w:rPr>
        <w:t>60,578,604.14</w:t>
      </w:r>
      <w:r>
        <w:rPr>
          <w:color w:val="000000"/>
          <w:spacing w:val="0"/>
          <w:w w:val="100"/>
          <w:position w:val="0"/>
        </w:rPr>
        <w:t>元，加上以前年度累计可供分配利润，母公司累计可供股东分配的利润为</w:t>
      </w:r>
      <w:r>
        <w:rPr>
          <w:rFonts w:ascii="Times New Roman" w:eastAsia="Times New Roman" w:hAnsi="Times New Roman" w:cs="Times New Roman"/>
          <w:color w:val="000000"/>
          <w:spacing w:val="0"/>
          <w:w w:val="100"/>
          <w:position w:val="0"/>
        </w:rPr>
        <w:t>234,535,729.59</w:t>
      </w:r>
      <w:r>
        <w:rPr>
          <w:color w:val="000000"/>
          <w:spacing w:val="0"/>
          <w:w w:val="100"/>
          <w:position w:val="0"/>
        </w:rPr>
        <w:t>元， 资本公积余额为</w:t>
      </w:r>
      <w:r>
        <w:rPr>
          <w:rFonts w:ascii="Times New Roman" w:eastAsia="Times New Roman" w:hAnsi="Times New Roman" w:cs="Times New Roman"/>
          <w:color w:val="000000"/>
          <w:spacing w:val="0"/>
          <w:w w:val="100"/>
          <w:position w:val="0"/>
        </w:rPr>
        <w:t>4,450,557.81</w:t>
      </w:r>
      <w:r>
        <w:rPr>
          <w:color w:val="000000"/>
          <w:spacing w:val="0"/>
          <w:w w:val="100"/>
          <w:position w:val="0"/>
        </w:rPr>
        <w:t>元。鉴于公司正处于发展期，统筹考虑公司资金使用情况及公司控股股东、实 际控制人的合理提议，</w:t>
      </w:r>
      <w:r>
        <w:rPr>
          <w:rFonts w:ascii="Times New Roman" w:eastAsia="Times New Roman" w:hAnsi="Times New Roman" w:cs="Times New Roman"/>
          <w:color w:val="000000"/>
          <w:spacing w:val="0"/>
          <w:w w:val="100"/>
          <w:position w:val="0"/>
        </w:rPr>
        <w:t>2016</w:t>
      </w:r>
      <w:r>
        <w:rPr>
          <w:color w:val="000000"/>
          <w:spacing w:val="0"/>
          <w:w w:val="100"/>
          <w:position w:val="0"/>
        </w:rPr>
        <w:t>年利润分配预案为：以截止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28374.4</w:t>
      </w:r>
      <w:r>
        <w:rPr>
          <w:color w:val="000000"/>
          <w:spacing w:val="0"/>
          <w:w w:val="100"/>
          <w:position w:val="0"/>
        </w:rPr>
        <w:t>万股为基数，以 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0.45</w:t>
      </w:r>
      <w:r>
        <w:rPr>
          <w:color w:val="000000"/>
          <w:spacing w:val="0"/>
          <w:w w:val="100"/>
          <w:position w:val="0"/>
        </w:rPr>
        <w:t>元（含税），共计派发股利人民币</w:t>
      </w:r>
      <w:r>
        <w:rPr>
          <w:rFonts w:ascii="Times New Roman" w:eastAsia="Times New Roman" w:hAnsi="Times New Roman" w:cs="Times New Roman"/>
          <w:color w:val="000000"/>
          <w:spacing w:val="0"/>
          <w:w w:val="100"/>
          <w:position w:val="0"/>
        </w:rPr>
        <w:t>12,768,480</w:t>
      </w:r>
      <w:r>
        <w:rPr>
          <w:color w:val="000000"/>
          <w:spacing w:val="0"/>
          <w:w w:val="100"/>
          <w:position w:val="0"/>
        </w:rPr>
        <w:t>元。</w:t>
      </w:r>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12,768,480.00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73,815,900.71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16,847,300.00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70,937,874.33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15,960,600.00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56,305,338.14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20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2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二</w:t>
      </w:r>
      <w:bookmarkEnd w:id="303"/>
      <w:r>
        <w:rPr>
          <w:color w:val="000000"/>
          <w:spacing w:val="0"/>
          <w:w w:val="100"/>
          <w:position w:val="0"/>
          <w:sz w:val="24"/>
          <w:szCs w:val="24"/>
        </w:rPr>
        <w:t>、承诺事项履行情况</w:t>
      </w:r>
      <w:bookmarkEnd w:id="301"/>
      <w:bookmarkEnd w:id="302"/>
      <w:bookmarkEnd w:id="304"/>
    </w:p>
    <w:p>
      <w:pPr>
        <w:pStyle w:val="Style32"/>
        <w:keepNext/>
        <w:keepLines/>
        <w:widowControl w:val="0"/>
        <w:shd w:val="clear" w:color="auto" w:fill="auto"/>
        <w:bidi w:val="0"/>
        <w:spacing w:before="0" w:after="360" w:line="317" w:lineRule="exact"/>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、公司实际控制人、股东、关联方、收购人以及公司等承诺相关方在报告期内履行完毕及截至报告期末 尚未履行完毕的承诺事项</w:t>
      </w:r>
      <w:bookmarkEnd w:id="305"/>
      <w:bookmarkEnd w:id="306"/>
      <w:bookmarkEnd w:id="30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不进行重大 资产重组承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根据《上市公 司重大资产 重组管理办 法》等法律、 法规及规范 性文件的规 定，公司承诺 在股票停牌 期限内终止 筹划发行股 份购买资产 并募集配套 资金事项的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公司将及时 披露终止筹 划事项相关 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并承诺 自复牌之日 起六个月内 不再筹划发 行股份购买 资产并募集 配套资金事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1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杨保田、杨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成、杨力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股份锁定的 承诺：除本次 公开发售的 股份，自公司 股票上市之 日起三十六 个月内，不转 让或者委托 他人管理所 持有的公司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公开发行股 票前已发行 的股份，也不 由公司回购 所持有的公 司公开发行 股票前已发 行的股份。若 本人未履行 上述承诺，所 转让公司股 份的收益应 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持股意向及 减持意向的 承诺：在公司 上市后将严 格遵守所做 出的股份锁 定及减持限 制措施承诺， 本人所持有 的公司股份 在锁定期满 后两年内减 持的，每年减 持数量不超 过本人持有 的公司股份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,且减 持价格不低 于发行价格； 如遇除权除 息事项，上述 发行价作相 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所持股票在 锁定期满后 两年内减持 的，其减持价 格不低于发 行价；公司上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如公司股票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价均低于发 行价，或者上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末收盘价低 于发行价，持 有公司股票 的锁定期限 自动延长至 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间公司如有 派发股利、送 股、转增股本 等除权除息 事项，上述价 格相应调整。 若本人未履 行上述承诺， 所转让公司 股份的收益 应归公司所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控股股东、实 际控制人杨 保田、杨成承 诺：招股说明 书有虚假记 载、误导性陈 述或者重大 遗漏，对判断 公司是否符 合法律规定 的发行条件 构成重大、实 质影响的，本 人将督促公 司依法回购 首次公开发 行的全部新 股，并且本人 将依法购回 公司首次公 开发行股票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时本人公开 发售的股份。 购回价格为 发行价格加 上同期银行 存款利息。公 司上市后发 生派发股利、 送股、转增股 本等除权除 息事项的，上 述购回价格 和购回股份 数量将进行 相应调整。本 人将在收到 中国证监会 等有权部门 有关违法事 实认定的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交易日内制 订股份购回 方案并予以 公告。因发 行人招股说 明书及其他 信息披露资 料有虚假记 载、误导性陈 述或者重大 遗漏，致使投 资者在证券 发行和交易 中遭受损失 的，将依法赔 偿投资者损 失。若本人违 反上述承诺， 则在违反上 述承诺发生 之日起停止 在公司领取 股东分红，且 所持的公司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股份不得转 让，直至其按 上述承诺采 取相应的购 回或赔偿措 施并实施完 毕时为止。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稳定股价的 承诺：公司自 股票上市之 日起三年内， 若出现连续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公司股票收 盘价均低于 公司上一个 会计年度末 经审计的每 股净资产（每 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并财务报表 中归属于母 公司普通股 股东的所有 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 公司股份总 数，下同）的 情形（若因除 权除息等事 项致使上述 股票收盘价 与公司上一 会计年度末 经审计的每 股净资产不 具可比性的， 上述股票收 盘价应做相 应调整）则立 即启动股价 稳定预案。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公司承诺：招 股说明书有 虚假记载、误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导性陈述或 者重大遗漏， 对判断公司 是否符合法 律规定的发 行条件构成 重大、实质影 响的，公司将 依法回购首 次公开发行 的全部新股。 回购价格为 发行价格加 上同期银行 存款利息。公 司上市后发 生派发股利、 送股、转增股 本等除权除 息事项的，上 述回购价格 和回购股份 数量将进行 相应调整。公 司将在收到 中国证监会 等有权部门 作出的有关 违法事实认 定的当日进 行公告，并在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 根据相关法 律、法规及公 司章程的规 定召开董事 会并发出召 开临时股东 大会的通知， 审议具体回 购方案；在股 东大会审议 通过回购公 司股票的方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案后，公司将 依法通知债 权人，并向中 国证监会、证 券交易所等 主管部门报 送相关材料， 办理审批或 备案手续，然 后启动并实 施股份回购 程序。如公司 招股说明书 有虚假记载、 误导性陈述 或者重大遗 漏，致使投资 者在证券交 易中遭受损 失的，公司将 依法赔偿投 资者损失。如 公司届时未 履行上述公 开承诺，公司 将在未履行 上述承诺的 事实得到确 认后的次一 交易日公告 相关情况，公 司法定代表 人将在证监 会指定的信 息披露媒体 上公开作出 解释并向投 资者道歉。同 时，公司将按 照法律法规 的规定及监 管部门的要 求承担相应 的责任。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利润分配政 策的承诺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填补被摊薄 即期回报的 措施及承诺： 若本次公开 发行并在创 业板上市成 功，将获取募 集资金并扩 大公司股本 规模，但募集 资金到位当 期无法立即 产生效益，因 此会影响公 司该期间的 每股收益及 净资产收益 率；同时，若 公司公开发 行并在创业 板上市后未 能实现募投 项目计划贡 献率，且公司 原有业务未 能获得相应 幅度的增长， 公司每股收 益和净资产 收益率等指 标有可能在 短期内会出 现下降，请投 资者注意公 司即期回报 被摊薄的风 险。填补被摊 薄即期回报 的措施如下：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、加快募投 项目实施，提 升投资回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报。本次募 集资金拟投 资于一次设 备状态检测、 监测产品生 产改造项目， 计量装置检 测、监测设备 生产改造项 目，研发中心 扩建项目以 及补充营运 资金，募投项 目的实施可 以有效解决 产能瓶颈，提 升销售规模。 公司已对上 述募投项目 进行可行性 研究论证，符 合行业发展 趋势，若募投 项目顺利实 施，将大幅提 高公司的盈 利能力。公司 将加快募投 项目实施，提 升投资回报， 降低上市后 即期回报被 摊薄的风险。</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、加强募集 资金管理。为 规范募集资 金的管理和 使用，确保本 次发行募集 资金专款专 用，公司将根 据相关法律、 法规和规范 性文件的规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定以及《厦门 红相电力设 备股份有限 公司募集资 金管理制度》 的要求，将募 集资金存放 于董事会指 定的专用账 户进行存储， 做到专款专 用。同时，公 司将严格按 照相关法律、 法规和规范 性文件的规 定以及《厦门 红相电力设 备股份有限 公司募集资 金管理制度》 的要求使用 募集资金，并 接受保荐机 构、开户银 行、证券交易 所和其他有 权部门的监 督。</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 持并发展公 司现有业务。 本公司主要 从事电力设 备状态检测、 监测产品和 电能表的研 发、生产和销 售，并提供相 关技术服务。 未来，公司将 充分利用智 能电网建设 所带来的机 遇，立足自己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的优势产品， 突出发展重 点，保持并进 一步发展公 司业务，提升 公司盈利能 力，以降低上 市后即期回 报被摊薄的 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杨保田、杨 成、杨力、吴 志阳、唐炎 钊、尹久远、 陈守德、陈耀 高、王新火、 林庆乙、罗 媛、马露萍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公司全体董 事、监事及高 级管理人员 承诺：因发行 人招股说明 书及其他信 息披露资料 有虚假记载、 误导性陈述 或者重大遗 漏，致使投资 者在证券发 行和交易中 遭受损失的， 将依法赔偿 投资者损失。 若本人违反 上述承诺，则 自愿接受以 下约束措施： 不得作为股 权激励对象， 或调整出已 开始实施的 股权激励方 案的行权名 单；视情节轻 重，可以对本 人采取扣减 绩效薪酬、降 薪、降职、停 职、撤职等处 罚措施；同时 本人所持有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的公司股份 将不得转让， 直至按承诺 采取相应的 赔偿措施并 实施完毕时 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长江成长资 本投资有限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除本次公开 发售的股份， 自公司股票 上市之日起 十八个月内， 不转让或者 委托他人管 理所持有的 公司公开发 行股票前已 发行的股份， 也不由公司 回购所持有 的公司公开 发行股票前 已发行的股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长江成长资 本投资有限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在公司上市 后将严格遵 守所做出的 股份锁定及 减持限制措 施承诺，长江 资本所持有 的公司股份 在锁定期满 后两年内减 持的，每年减 持数量不超 过长江资本 所持有的公 司股份的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杨成、杨保田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为维护公司 及公司其他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股东的合法 权益，避免未 来可能发生 的同业竞争， 公司控股股 东杨保田、实 际控制人杨 保田及杨成 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 公司提交了 书面承诺函。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杨成、杨保田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针对公司可 能面临的因 社会保险和 住房公积金 缴交不规范 而可能受到 有关主管部 门追缴或处 罚等情况，公 司实际控制 人杨保田和 杨成已作出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若厦门 红相电力设 备股份有限 公司因上市 前社会保险 和住房公积 金缴交不规 范而受到有 关主管部门 的追缴或处 罚，或任何利 益相关方以 此为由向公 司提出权利 要求，且该等 要求获得主 管部门支持， 则公司利益 受到的一切 损失均由杨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tbl>
      <w:tblPr>
        <w:tblOverlap w:val="never"/>
        <w:jc w:val="center"/>
        <w:tblLayout w:type="fixed"/>
      </w:tblPr>
      <w:tblGrid>
        <w:gridCol w:w="2837"/>
        <w:gridCol w:w="1123"/>
        <w:gridCol w:w="1128"/>
        <w:gridCol w:w="1128"/>
        <w:gridCol w:w="1123"/>
        <w:gridCol w:w="1123"/>
        <w:gridCol w:w="111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保田及杨成 全额承担，且 杨保田与杨 成之间互相 承担连带责 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2"/>
        <w:keepNext/>
        <w:keepLines/>
        <w:widowControl w:val="0"/>
        <w:shd w:val="clear" w:color="auto" w:fill="auto"/>
        <w:bidi w:val="0"/>
        <w:spacing w:before="0" w:after="360" w:line="317"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、公司资产或项目存在盈利预测，且报告期仍处在盈利预测期间，公司就资产或项目达到原盈利预测及 其原因做出说明</w:t>
      </w:r>
      <w:bookmarkEnd w:id="309"/>
      <w:bookmarkEnd w:id="310"/>
      <w:bookmarkEnd w:id="31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三</w:t>
      </w:r>
      <w:bookmarkEnd w:id="315"/>
      <w:r>
        <w:rPr>
          <w:color w:val="000000"/>
          <w:spacing w:val="0"/>
          <w:w w:val="100"/>
          <w:position w:val="0"/>
          <w:sz w:val="24"/>
          <w:szCs w:val="24"/>
        </w:rPr>
        <w:t>、</w:t>
        <w:tab/>
        <w:t>控股股东及其关联方对上市公司的非经营性占用资金情况</w:t>
      </w:r>
      <w:bookmarkEnd w:id="313"/>
      <w:bookmarkEnd w:id="314"/>
      <w:bookmarkEnd w:id="31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四</w:t>
      </w:r>
      <w:bookmarkEnd w:id="31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7"/>
      <w:bookmarkEnd w:id="318"/>
      <w:bookmarkEnd w:id="32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321" w:name="bookmark321"/>
      <w:bookmarkStart w:id="322" w:name="bookmark322"/>
      <w:bookmarkStart w:id="323" w:name="bookmark323"/>
      <w:bookmarkStart w:id="324" w:name="bookmark324"/>
      <w:r>
        <w:rPr>
          <w:color w:val="000000"/>
          <w:spacing w:val="0"/>
          <w:w w:val="100"/>
          <w:position w:val="0"/>
          <w:sz w:val="24"/>
          <w:szCs w:val="24"/>
        </w:rPr>
        <w:t>五</w:t>
      </w:r>
      <w:bookmarkEnd w:id="32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1"/>
      <w:bookmarkEnd w:id="322"/>
      <w:bookmarkEnd w:id="32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六</w:t>
      </w:r>
      <w:bookmarkEnd w:id="327"/>
      <w:r>
        <w:rPr>
          <w:color w:val="000000"/>
          <w:spacing w:val="0"/>
          <w:w w:val="100"/>
          <w:position w:val="0"/>
          <w:sz w:val="24"/>
          <w:szCs w:val="24"/>
        </w:rPr>
        <w:t>、</w:t>
        <w:tab/>
        <w:t>董事会关于报告期会计政策、会计估计变更或重大会计差错更正的说明</w:t>
      </w:r>
      <w:bookmarkEnd w:id="325"/>
      <w:bookmarkEnd w:id="326"/>
      <w:bookmarkEnd w:id="32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七</w:t>
      </w:r>
      <w:bookmarkEnd w:id="331"/>
      <w:r>
        <w:rPr>
          <w:color w:val="000000"/>
          <w:spacing w:val="0"/>
          <w:w w:val="100"/>
          <w:position w:val="0"/>
          <w:sz w:val="24"/>
          <w:szCs w:val="24"/>
        </w:rPr>
        <w:t>、与上年度财务报告相比，合并报表范围发生变化的情况说明</w:t>
      </w:r>
      <w:bookmarkEnd w:id="329"/>
      <w:bookmarkEnd w:id="330"/>
      <w:bookmarkEnd w:id="33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3"/>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八</w:t>
      </w:r>
      <w:bookmarkEnd w:id="335"/>
      <w:r>
        <w:rPr>
          <w:color w:val="000000"/>
          <w:spacing w:val="0"/>
          <w:w w:val="100"/>
          <w:position w:val="0"/>
          <w:sz w:val="24"/>
          <w:szCs w:val="24"/>
        </w:rPr>
        <w:t>、聘任、解聘会计师事务所情况</w:t>
      </w:r>
      <w:bookmarkEnd w:id="333"/>
      <w:bookmarkEnd w:id="334"/>
      <w:bookmarkEnd w:id="33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刘维、吴乐霖</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九</w:t>
      </w:r>
      <w:bookmarkEnd w:id="339"/>
      <w:r>
        <w:rPr>
          <w:color w:val="000000"/>
          <w:spacing w:val="0"/>
          <w:w w:val="100"/>
          <w:position w:val="0"/>
          <w:sz w:val="24"/>
          <w:szCs w:val="24"/>
        </w:rPr>
        <w:t>、年度报告披露后面临暂停上市和终止上市情况</w:t>
      </w:r>
      <w:bookmarkEnd w:id="337"/>
      <w:bookmarkEnd w:id="338"/>
      <w:bookmarkEnd w:id="34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十、破产重整相关事项</w:t>
      </w:r>
      <w:bookmarkEnd w:id="341"/>
      <w:bookmarkEnd w:id="342"/>
      <w:bookmarkEnd w:id="34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十一、重大诉讼、仲裁事项</w:t>
      </w:r>
      <w:bookmarkEnd w:id="344"/>
      <w:bookmarkEnd w:id="345"/>
      <w:bookmarkEnd w:id="34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十二、处罚及整改情况</w:t>
      </w:r>
      <w:bookmarkEnd w:id="347"/>
      <w:bookmarkEnd w:id="348"/>
      <w:bookmarkEnd w:id="34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十三、公司及其控股股东、实际控制人的诚信状况</w:t>
      </w:r>
      <w:bookmarkEnd w:id="350"/>
      <w:bookmarkEnd w:id="351"/>
      <w:bookmarkEnd w:id="35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十四、公司股权激励计划、员工持股计划或其他员工激励措施的实施情况</w:t>
      </w:r>
      <w:bookmarkEnd w:id="353"/>
      <w:bookmarkEnd w:id="354"/>
      <w:bookmarkEnd w:id="355"/>
    </w:p>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为进一步提升公司治理水平，完善员工与全体股东的利益共享和风险共担机制，提高公司的凝聚力和 竞争力，充分调动公司员工的积极性，有效实现公司股东利益、公司利益和员工个人利益有机统一，促进 公司可持续发展，公司根据相关法律法规的规定并结合公司的实际情况，设立厦门红相电力设备股份有限 公司第一期员工持股计划（以下简称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员工持股计划员工持股计划委托长江证券（上海）资产管理有 限公司作为公司第一期员工持股计划的管理机构，委托中信银行股份有限公司作为公司第一期员工持股计 划的托管人，并与长江证券（上海）资产管理有限公司和中信银行股份有限公司签订《长江资管红相电力 </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号定向资产管理计划资产管理合同》。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公司第三届董事会第二十一次会议、第三届监 事会第十三次会议审议通过《关于</w:t>
      </w:r>
      <w:r>
        <w:rPr>
          <w:color w:val="000000"/>
          <w:spacing w:val="0"/>
          <w:w w:val="100"/>
          <w:position w:val="0"/>
        </w:rPr>
        <w:t>〈</w:t>
      </w:r>
      <w:r>
        <w:rPr>
          <w:color w:val="000000"/>
          <w:spacing w:val="0"/>
          <w:w w:val="100"/>
          <w:position w:val="0"/>
        </w:rPr>
        <w:t>厦门红相电力设备股份有限公司第一期员工持股计划（草案）（非公 开发行方式认购）</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日，第三届董事会第二十二次会议、第三届监事会第 十四次会议审议通过了《关于</w:t>
      </w:r>
      <w:r>
        <w:rPr>
          <w:color w:val="000000"/>
          <w:spacing w:val="0"/>
          <w:w w:val="100"/>
          <w:position w:val="0"/>
        </w:rPr>
        <w:t>〈</w:t>
      </w:r>
      <w:r>
        <w:rPr>
          <w:color w:val="000000"/>
          <w:spacing w:val="0"/>
          <w:w w:val="100"/>
          <w:position w:val="0"/>
        </w:rPr>
        <w:t>厦门红相电力设备股份有限公司第一期员工持股计划管理办法（修订稿）</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的议案》，公司独立董事、监事会发表了明确的同意意见。因相关事项调整，经与中信银行股份有限公司 及长江证券（上海）资产管理有限公司一致协商，签署了《长江资管红相电力</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号定向资产管理计划资产 管理合同补充协议》，对管理人的权利义务、员工持股计划的锁定期、管理费的费率及支付方式、托管费 的支付方式等条款做了相关调整。具体内容详见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日刊登在中国证监会指定的</w:t>
      </w:r>
    </w:p>
    <w:p>
      <w:pPr>
        <w:pStyle w:val="Style3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创业板信息披露网站上的相关公告。</w:t>
      </w:r>
    </w:p>
    <w:p>
      <w:pPr>
        <w:pStyle w:val="Style23"/>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十五、重大关联交易</w:t>
      </w:r>
      <w:bookmarkEnd w:id="356"/>
      <w:bookmarkEnd w:id="357"/>
      <w:bookmarkEnd w:id="358"/>
    </w:p>
    <w:p>
      <w:pPr>
        <w:pStyle w:val="Style32"/>
        <w:keepNext/>
        <w:keepLines/>
        <w:widowControl w:val="0"/>
        <w:shd w:val="clear" w:color="auto" w:fill="auto"/>
        <w:tabs>
          <w:tab w:pos="36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w:t>
        <w:tab/>
        <w:t>与日常经营相关的关联交易</w:t>
      </w:r>
      <w:bookmarkEnd w:id="359"/>
      <w:bookmarkEnd w:id="360"/>
      <w:bookmarkEnd w:id="36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资产或股权收购、出售发生的关联交易</w:t>
      </w:r>
      <w:bookmarkEnd w:id="363"/>
      <w:bookmarkEnd w:id="364"/>
      <w:bookmarkEnd w:id="36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共同对外投资的关联交易</w:t>
      </w:r>
      <w:bookmarkEnd w:id="367"/>
      <w:bookmarkEnd w:id="368"/>
      <w:bookmarkEnd w:id="37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w:t>
        <w:tab/>
        <w:t>关联债权债务往来</w:t>
      </w:r>
      <w:bookmarkEnd w:id="371"/>
      <w:bookmarkEnd w:id="372"/>
      <w:bookmarkEnd w:id="37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w:t>
        <w:tab/>
        <w:t>其他重大关联交易</w:t>
      </w:r>
      <w:bookmarkEnd w:id="375"/>
      <w:bookmarkEnd w:id="376"/>
      <w:bookmarkEnd w:id="37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十六、重大合同及其履行情况</w:t>
      </w:r>
      <w:bookmarkEnd w:id="379"/>
      <w:bookmarkEnd w:id="380"/>
      <w:bookmarkEnd w:id="381"/>
    </w:p>
    <w:p>
      <w:pPr>
        <w:pStyle w:val="Style32"/>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、托管、承包、租赁事项情况</w:t>
      </w:r>
      <w:bookmarkEnd w:id="382"/>
      <w:bookmarkEnd w:id="383"/>
      <w:bookmarkEnd w:id="385"/>
    </w:p>
    <w:p>
      <w:pPr>
        <w:pStyle w:val="Style45"/>
        <w:keepNext/>
        <w:keepLines/>
        <w:widowControl w:val="0"/>
        <w:shd w:val="clear" w:color="auto" w:fill="auto"/>
        <w:tabs>
          <w:tab w:pos="493"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6"/>
      <w:bookmarkEnd w:id="387"/>
      <w:bookmarkEnd w:id="38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5"/>
        <w:keepNext/>
        <w:keepLines/>
        <w:widowControl w:val="0"/>
        <w:shd w:val="clear" w:color="auto" w:fill="auto"/>
        <w:tabs>
          <w:tab w:pos="493"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0"/>
      <w:bookmarkEnd w:id="391"/>
      <w:bookmarkEnd w:id="39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r>
        <w:br w:type="page"/>
      </w:r>
    </w:p>
    <w:p>
      <w:pPr>
        <w:pStyle w:val="Style45"/>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4"/>
      <w:bookmarkEnd w:id="395"/>
      <w:bookmarkEnd w:id="39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报告期内，公司及其子公司租赁的主要房产有</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处，用于公司及其子公司、联络处的生产经营。该等 租赁的房产的具体情况如下：</w:t>
      </w:r>
    </w:p>
    <w:tbl>
      <w:tblPr>
        <w:tblOverlap w:val="never"/>
        <w:jc w:val="center"/>
        <w:tblLayout w:type="fixed"/>
      </w:tblPr>
      <w:tblGrid>
        <w:gridCol w:w="336"/>
        <w:gridCol w:w="653"/>
        <w:gridCol w:w="701"/>
        <w:gridCol w:w="2002"/>
        <w:gridCol w:w="442"/>
        <w:gridCol w:w="725"/>
        <w:gridCol w:w="2333"/>
        <w:gridCol w:w="1176"/>
        <w:gridCol w:w="1435"/>
      </w:tblGrid>
      <w:tr>
        <w:trPr>
          <w:trHeight w:val="12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出租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承租方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房屋位置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b/>
                <w:bCs/>
                <w:color w:val="000000"/>
                <w:spacing w:val="0"/>
                <w:w w:val="100"/>
                <w:position w:val="0"/>
                <w:sz w:val="20"/>
                <w:szCs w:val="20"/>
              </w:rPr>
              <w:t>房 屋 用 途</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租赁面 积（平 方米）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房屋产权证号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租赁期限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租金</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叶德鸿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 xml:space="preserve">厦门市思明区水仙路 </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号海光大厦</w:t>
            </w:r>
            <w:r>
              <w:rPr>
                <w:rFonts w:ascii="Times New Roman" w:eastAsia="Times New Roman" w:hAnsi="Times New Roman" w:cs="Times New Roman"/>
                <w:color w:val="000000"/>
                <w:spacing w:val="0"/>
                <w:w w:val="100"/>
                <w:position w:val="0"/>
                <w:sz w:val="20"/>
                <w:szCs w:val="20"/>
              </w:rPr>
              <w:t xml:space="preserve">21 </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单 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厦地房证第</w:t>
            </w:r>
            <w:r>
              <w:rPr>
                <w:rFonts w:ascii="Times New Roman" w:eastAsia="Times New Roman" w:hAnsi="Times New Roman" w:cs="Times New Roman"/>
                <w:color w:val="000000"/>
                <w:spacing w:val="0"/>
                <w:w w:val="100"/>
                <w:position w:val="0"/>
                <w:sz w:val="20"/>
                <w:szCs w:val="20"/>
              </w:rPr>
              <w:t>00544216</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2015.12.26</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2016.06.25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月租金为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15,072</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郭木 源、李 秋明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 xml:space="preserve">厦门市思明区水仙路 </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号海光大厦</w:t>
            </w:r>
            <w:r>
              <w:rPr>
                <w:rFonts w:ascii="Times New Roman" w:eastAsia="Times New Roman" w:hAnsi="Times New Roman" w:cs="Times New Roman"/>
                <w:color w:val="000000"/>
                <w:spacing w:val="0"/>
                <w:w w:val="100"/>
                <w:position w:val="0"/>
                <w:sz w:val="20"/>
                <w:szCs w:val="20"/>
              </w:rPr>
              <w:t>21C</w:t>
            </w:r>
            <w:r>
              <w:rPr>
                <w:color w:val="000000"/>
                <w:spacing w:val="0"/>
                <w:w w:val="100"/>
                <w:position w:val="0"/>
                <w:sz w:val="20"/>
                <w:szCs w:val="20"/>
              </w:rPr>
              <w:t>单 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116.28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厦地房共证第</w:t>
            </w:r>
            <w:r>
              <w:rPr>
                <w:rFonts w:ascii="Times New Roman" w:eastAsia="Times New Roman" w:hAnsi="Times New Roman" w:cs="Times New Roman"/>
                <w:color w:val="000000"/>
                <w:spacing w:val="0"/>
                <w:w w:val="100"/>
                <w:position w:val="0"/>
                <w:sz w:val="20"/>
                <w:szCs w:val="20"/>
              </w:rPr>
              <w:t>00006090</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2015.12.16</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2016.06.15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月租金为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9302.4</w:t>
            </w:r>
            <w:r>
              <w:rPr>
                <w:color w:val="000000"/>
                <w:spacing w:val="0"/>
                <w:w w:val="100"/>
                <w:position w:val="0"/>
                <w:sz w:val="20"/>
                <w:szCs w:val="20"/>
              </w:rPr>
              <w:t>元</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张伯润</w:t>
            </w:r>
          </w:p>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（代理 人李碧 山代 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 xml:space="preserve">厦门市思明区水仙路 </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号海光大厦</w:t>
            </w:r>
            <w:r>
              <w:rPr>
                <w:rFonts w:ascii="Times New Roman" w:eastAsia="Times New Roman" w:hAnsi="Times New Roman" w:cs="Times New Roman"/>
                <w:color w:val="000000"/>
                <w:spacing w:val="0"/>
                <w:w w:val="100"/>
                <w:position w:val="0"/>
                <w:sz w:val="20"/>
                <w:szCs w:val="20"/>
              </w:rPr>
              <w:t>21D</w:t>
            </w:r>
            <w:r>
              <w:rPr>
                <w:color w:val="000000"/>
                <w:spacing w:val="0"/>
                <w:w w:val="100"/>
                <w:position w:val="0"/>
                <w:sz w:val="20"/>
                <w:szCs w:val="20"/>
              </w:rPr>
              <w:t>单 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厦国土房证第</w:t>
            </w:r>
            <w:r>
              <w:rPr>
                <w:rFonts w:ascii="Times New Roman" w:eastAsia="Times New Roman" w:hAnsi="Times New Roman" w:cs="Times New Roman"/>
                <w:color w:val="000000"/>
                <w:spacing w:val="0"/>
                <w:w w:val="100"/>
                <w:position w:val="0"/>
                <w:sz w:val="20"/>
                <w:szCs w:val="20"/>
              </w:rPr>
              <w:t>01149275</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2014.05.10</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月租金为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17,634.3</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汇嘉 （厦 门）物 业管理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海关大厦地下室</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 仓库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储存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2015.02.1-20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16.01.31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陈琳琳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寿山路</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136.52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厦地房证第</w:t>
            </w:r>
            <w:r>
              <w:rPr>
                <w:rFonts w:ascii="Times New Roman" w:eastAsia="Times New Roman" w:hAnsi="Times New Roman" w:cs="Times New Roman"/>
                <w:color w:val="000000"/>
                <w:spacing w:val="0"/>
                <w:w w:val="100"/>
                <w:position w:val="0"/>
                <w:sz w:val="20"/>
                <w:szCs w:val="20"/>
              </w:rPr>
              <w:t>00066429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2014.07.1-20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16.06.30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w:t>
            </w:r>
            <w:r>
              <w:rPr>
                <w:rFonts w:ascii="Times New Roman" w:eastAsia="Times New Roman" w:hAnsi="Times New Roman" w:cs="Times New Roman"/>
                <w:color w:val="000000"/>
                <w:spacing w:val="0"/>
                <w:w w:val="100"/>
                <w:position w:val="0"/>
                <w:sz w:val="20"/>
                <w:szCs w:val="20"/>
              </w:rPr>
              <w:t>3300</w:t>
            </w:r>
            <w:r>
              <w:rPr>
                <w:color w:val="000000"/>
                <w:spacing w:val="0"/>
                <w:w w:val="100"/>
                <w:position w:val="0"/>
                <w:sz w:val="20"/>
                <w:szCs w:val="20"/>
              </w:rPr>
              <w:t>元</w:t>
            </w:r>
          </w:p>
        </w:tc>
      </w:tr>
      <w:tr>
        <w:trPr>
          <w:trHeight w:val="25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厦门新 日精工 投资管 理有限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厦门市思明区南投路</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1002</w:t>
            </w:r>
            <w:r>
              <w:rPr>
                <w:color w:val="000000"/>
                <w:spacing w:val="0"/>
                <w:w w:val="100"/>
                <w:position w:val="0"/>
                <w:sz w:val="20"/>
                <w:szCs w:val="2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1858.04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厦国土房证</w:t>
            </w:r>
            <w:r>
              <w:rPr>
                <w:rFonts w:ascii="Times New Roman" w:eastAsia="Times New Roman" w:hAnsi="Times New Roman" w:cs="Times New Roman"/>
                <w:color w:val="000000"/>
                <w:spacing w:val="0"/>
                <w:w w:val="100"/>
                <w:position w:val="0"/>
                <w:sz w:val="20"/>
                <w:szCs w:val="20"/>
              </w:rPr>
              <w:t>01219634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2016.01.1-20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20.12.31</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1"/>
              </w:numPr>
              <w:shd w:val="clear" w:color="auto" w:fill="auto"/>
              <w:tabs>
                <w:tab w:pos="797" w:val="left"/>
              </w:tabs>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2016.2 .29</w:t>
            </w:r>
            <w:r>
              <w:rPr>
                <w:color w:val="000000"/>
                <w:spacing w:val="0"/>
                <w:w w:val="100"/>
                <w:position w:val="0"/>
                <w:sz w:val="20"/>
                <w:szCs w:val="20"/>
              </w:rPr>
              <w:t>为免租期，</w:t>
            </w:r>
          </w:p>
          <w:p>
            <w:pPr>
              <w:pStyle w:val="Style2"/>
              <w:keepNext w:val="0"/>
              <w:keepLines w:val="0"/>
              <w:widowControl w:val="0"/>
              <w:numPr>
                <w:ilvl w:val="0"/>
                <w:numId w:val="23"/>
              </w:numPr>
              <w:shd w:val="clear" w:color="auto" w:fill="auto"/>
              <w:tabs>
                <w:tab w:pos="797" w:val="left"/>
              </w:tabs>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2018.1 2.31</w:t>
            </w:r>
            <w:r>
              <w:rPr>
                <w:color w:val="000000"/>
                <w:spacing w:val="0"/>
                <w:w w:val="100"/>
                <w:position w:val="0"/>
                <w:sz w:val="20"/>
                <w:szCs w:val="20"/>
              </w:rPr>
              <w:t xml:space="preserve">月租金 </w:t>
            </w:r>
            <w:r>
              <w:rPr>
                <w:rFonts w:ascii="Times New Roman" w:eastAsia="Times New Roman" w:hAnsi="Times New Roman" w:cs="Times New Roman"/>
                <w:color w:val="000000"/>
                <w:spacing w:val="0"/>
                <w:w w:val="100"/>
                <w:position w:val="0"/>
                <w:sz w:val="20"/>
                <w:szCs w:val="20"/>
              </w:rPr>
              <w:t xml:space="preserve">74321.60 </w:t>
            </w:r>
            <w:r>
              <w:rPr>
                <w:color w:val="000000"/>
                <w:spacing w:val="0"/>
                <w:w w:val="100"/>
                <w:position w:val="0"/>
                <w:sz w:val="20"/>
                <w:szCs w:val="20"/>
              </w:rPr>
              <w:t>元，</w:t>
            </w:r>
          </w:p>
          <w:p>
            <w:pPr>
              <w:pStyle w:val="Style2"/>
              <w:keepNext w:val="0"/>
              <w:keepLines w:val="0"/>
              <w:widowControl w:val="0"/>
              <w:numPr>
                <w:ilvl w:val="0"/>
                <w:numId w:val="25"/>
              </w:numPr>
              <w:shd w:val="clear" w:color="auto" w:fill="auto"/>
              <w:tabs>
                <w:tab w:pos="797" w:val="left"/>
              </w:tabs>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2020.1 2.31</w:t>
            </w:r>
            <w:r>
              <w:rPr>
                <w:color w:val="000000"/>
                <w:spacing w:val="0"/>
                <w:w w:val="100"/>
                <w:position w:val="0"/>
                <w:sz w:val="20"/>
                <w:szCs w:val="20"/>
              </w:rPr>
              <w:t xml:space="preserve">月租金为 </w:t>
            </w:r>
            <w:r>
              <w:rPr>
                <w:rFonts w:ascii="Times New Roman" w:eastAsia="Times New Roman" w:hAnsi="Times New Roman" w:cs="Times New Roman"/>
                <w:color w:val="000000"/>
                <w:spacing w:val="0"/>
                <w:w w:val="100"/>
                <w:position w:val="0"/>
                <w:sz w:val="20"/>
                <w:szCs w:val="20"/>
              </w:rPr>
              <w:t>81753.76</w:t>
            </w:r>
            <w:r>
              <w:rPr>
                <w:color w:val="000000"/>
                <w:spacing w:val="0"/>
                <w:w w:val="100"/>
                <w:position w:val="0"/>
                <w:sz w:val="20"/>
                <w:szCs w:val="20"/>
              </w:rPr>
              <w:t>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窦同力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长宁区长宁路</w:t>
            </w:r>
            <w:r>
              <w:rPr>
                <w:rFonts w:ascii="Times New Roman" w:eastAsia="Times New Roman" w:hAnsi="Times New Roman" w:cs="Times New Roman"/>
                <w:color w:val="000000"/>
                <w:spacing w:val="0"/>
                <w:w w:val="100"/>
                <w:position w:val="0"/>
                <w:sz w:val="20"/>
                <w:szCs w:val="20"/>
              </w:rPr>
              <w:t>1661</w:t>
            </w:r>
            <w:r>
              <w:rPr>
                <w:color w:val="000000"/>
                <w:spacing w:val="0"/>
                <w:w w:val="100"/>
                <w:position w:val="0"/>
                <w:sz w:val="20"/>
                <w:szCs w:val="20"/>
              </w:rPr>
              <w:t>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204</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沪房地长字（</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000794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2015.12.10-2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9500 </w:t>
            </w:r>
            <w:r>
              <w:rPr>
                <w:color w:val="000000"/>
                <w:spacing w:val="0"/>
                <w:w w:val="100"/>
                <w:position w:val="0"/>
                <w:sz w:val="20"/>
                <w:szCs w:val="20"/>
              </w:rPr>
              <w:t>元</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北京瑞 聚德投 资有限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北京市西城区广安门</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南滨河路</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718</w:t>
            </w:r>
            <w:r>
              <w:rPr>
                <w:color w:val="000000"/>
                <w:spacing w:val="0"/>
                <w:w w:val="100"/>
                <w:position w:val="0"/>
                <w:sz w:val="20"/>
                <w:szCs w:val="20"/>
              </w:rPr>
              <w:t>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0"/>
              <w:jc w:val="left"/>
              <w:rPr>
                <w:sz w:val="20"/>
                <w:szCs w:val="20"/>
              </w:rPr>
            </w:pPr>
            <w:r>
              <w:rPr>
                <w:color w:val="000000"/>
                <w:spacing w:val="0"/>
                <w:w w:val="100"/>
                <w:position w:val="0"/>
                <w:sz w:val="20"/>
                <w:szCs w:val="20"/>
              </w:rPr>
              <w:t>京房权证宣其字第</w:t>
            </w:r>
            <w:r>
              <w:rPr>
                <w:rFonts w:ascii="Times New Roman" w:eastAsia="Times New Roman" w:hAnsi="Times New Roman" w:cs="Times New Roman"/>
                <w:color w:val="000000"/>
                <w:spacing w:val="0"/>
                <w:w w:val="100"/>
                <w:position w:val="0"/>
                <w:sz w:val="20"/>
                <w:szCs w:val="20"/>
              </w:rPr>
              <w:t xml:space="preserve">01803 </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2015.11.1-20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16.10.31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月租金为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11126.4 </w:t>
            </w:r>
            <w:r>
              <w:rPr>
                <w:color w:val="000000"/>
                <w:spacing w:val="0"/>
                <w:w w:val="100"/>
                <w:position w:val="0"/>
                <w:sz w:val="20"/>
                <w:szCs w:val="20"/>
              </w:rPr>
              <w:t>元</w:t>
            </w:r>
          </w:p>
        </w:tc>
      </w:tr>
    </w:tbl>
    <w:p>
      <w:pPr>
        <w:spacing w:lineRule="exact" w:line="1"/>
        <w:rPr>
          <w:sz w:val="2"/>
          <w:szCs w:val="2"/>
        </w:rPr>
      </w:pPr>
      <w:r>
        <w:br w:type="page"/>
      </w:r>
    </w:p>
    <w:tbl>
      <w:tblPr>
        <w:tblOverlap w:val="never"/>
        <w:jc w:val="center"/>
        <w:tblLayout w:type="fixed"/>
      </w:tblPr>
      <w:tblGrid>
        <w:gridCol w:w="336"/>
        <w:gridCol w:w="653"/>
        <w:gridCol w:w="701"/>
        <w:gridCol w:w="2002"/>
        <w:gridCol w:w="442"/>
        <w:gridCol w:w="725"/>
        <w:gridCol w:w="2333"/>
        <w:gridCol w:w="1176"/>
        <w:gridCol w:w="1435"/>
      </w:tblGrid>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北京瑞 聚德投 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北京市西城区广安门</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南滨河路</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718</w:t>
            </w:r>
            <w:r>
              <w:rPr>
                <w:color w:val="000000"/>
                <w:spacing w:val="0"/>
                <w:w w:val="100"/>
                <w:position w:val="0"/>
                <w:sz w:val="20"/>
                <w:szCs w:val="2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6" w:lineRule="exact"/>
              <w:ind w:left="0" w:right="0" w:firstLine="0"/>
              <w:jc w:val="both"/>
              <w:rPr>
                <w:sz w:val="20"/>
                <w:szCs w:val="20"/>
              </w:rPr>
            </w:pPr>
            <w:r>
              <w:rPr>
                <w:color w:val="000000"/>
                <w:spacing w:val="0"/>
                <w:w w:val="100"/>
                <w:position w:val="0"/>
                <w:sz w:val="20"/>
                <w:szCs w:val="20"/>
              </w:rPr>
              <w:t>京房权证宣其字第</w:t>
            </w:r>
            <w:r>
              <w:rPr>
                <w:rFonts w:ascii="Times New Roman" w:eastAsia="Times New Roman" w:hAnsi="Times New Roman" w:cs="Times New Roman"/>
                <w:color w:val="000000"/>
                <w:spacing w:val="0"/>
                <w:w w:val="100"/>
                <w:position w:val="0"/>
                <w:sz w:val="20"/>
                <w:szCs w:val="20"/>
              </w:rPr>
              <w:t xml:space="preserve">01803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17.10.31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月租金为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11126.4 </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李小瑜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重庆沙坪坝区小龙坎</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新街</w:t>
            </w:r>
            <w:r>
              <w:rPr>
                <w:rFonts w:ascii="Times New Roman" w:eastAsia="Times New Roman" w:hAnsi="Times New Roman" w:cs="Times New Roman"/>
                <w:color w:val="000000"/>
                <w:spacing w:val="0"/>
                <w:w w:val="100"/>
                <w:position w:val="0"/>
                <w:sz w:val="20"/>
                <w:szCs w:val="20"/>
              </w:rPr>
              <w:t>49-2-20-26</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2016.6.30-20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w:t>
            </w:r>
            <w:r>
              <w:rPr>
                <w:rFonts w:ascii="Times New Roman" w:eastAsia="Times New Roman" w:hAnsi="Times New Roman" w:cs="Times New Roman"/>
                <w:color w:val="000000"/>
                <w:spacing w:val="0"/>
                <w:w w:val="100"/>
                <w:position w:val="0"/>
                <w:sz w:val="20"/>
                <w:szCs w:val="20"/>
              </w:rPr>
              <w:t>1600</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刘靖华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重庆沙坪坝区大学城</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北路</w:t>
            </w:r>
            <w:r>
              <w:rPr>
                <w:rFonts w:ascii="Times New Roman" w:eastAsia="Times New Roman" w:hAnsi="Times New Roman" w:cs="Times New Roman"/>
                <w:color w:val="000000"/>
                <w:spacing w:val="0"/>
                <w:w w:val="100"/>
                <w:position w:val="0"/>
                <w:sz w:val="20"/>
                <w:szCs w:val="20"/>
              </w:rPr>
              <w:t>94</w:t>
            </w:r>
            <w:r>
              <w:rPr>
                <w:color w:val="000000"/>
                <w:spacing w:val="0"/>
                <w:w w:val="100"/>
                <w:position w:val="0"/>
                <w:sz w:val="20"/>
                <w:szCs w:val="20"/>
              </w:rPr>
              <w:t>号附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18-9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房地证</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字第</w:t>
            </w:r>
            <w:r>
              <w:rPr>
                <w:rFonts w:ascii="Times New Roman" w:eastAsia="Times New Roman" w:hAnsi="Times New Roman" w:cs="Times New Roman"/>
                <w:color w:val="000000"/>
                <w:spacing w:val="0"/>
                <w:w w:val="100"/>
                <w:position w:val="0"/>
                <w:sz w:val="20"/>
                <w:szCs w:val="20"/>
              </w:rPr>
              <w:t>30835</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2016.12.5-20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w:t>
            </w:r>
            <w:r>
              <w:rPr>
                <w:rFonts w:ascii="Times New Roman" w:eastAsia="Times New Roman" w:hAnsi="Times New Roman" w:cs="Times New Roman"/>
                <w:color w:val="000000"/>
                <w:spacing w:val="0"/>
                <w:w w:val="100"/>
                <w:position w:val="0"/>
                <w:sz w:val="20"/>
                <w:szCs w:val="20"/>
              </w:rPr>
              <w:t>1350</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张克芹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沈阳市和平区中兴街 南五马路</w:t>
            </w:r>
            <w:r>
              <w:rPr>
                <w:rFonts w:ascii="Times New Roman" w:eastAsia="Times New Roman" w:hAnsi="Times New Roman" w:cs="Times New Roman"/>
                <w:color w:val="000000"/>
                <w:spacing w:val="0"/>
                <w:w w:val="100"/>
                <w:position w:val="0"/>
                <w:sz w:val="20"/>
                <w:szCs w:val="20"/>
              </w:rPr>
              <w:t>121</w:t>
            </w:r>
            <w:r>
              <w:rPr>
                <w:color w:val="000000"/>
                <w:spacing w:val="0"/>
                <w:w w:val="100"/>
                <w:position w:val="0"/>
                <w:sz w:val="20"/>
                <w:szCs w:val="20"/>
              </w:rPr>
              <w:t>号万丽</w:t>
            </w:r>
          </w:p>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城</w:t>
            </w:r>
            <w:r>
              <w:rPr>
                <w:rFonts w:ascii="Times New Roman" w:eastAsia="Times New Roman" w:hAnsi="Times New Roman" w:cs="Times New Roman"/>
                <w:color w:val="000000"/>
                <w:spacing w:val="0"/>
                <w:w w:val="100"/>
                <w:position w:val="0"/>
                <w:sz w:val="20"/>
                <w:szCs w:val="20"/>
              </w:rPr>
              <w:t>1204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商品房买卖合同 编号：</w:t>
            </w:r>
            <w:r>
              <w:rPr>
                <w:rFonts w:ascii="Times New Roman" w:eastAsia="Times New Roman" w:hAnsi="Times New Roman" w:cs="Times New Roman"/>
                <w:color w:val="000000"/>
                <w:spacing w:val="0"/>
                <w:w w:val="100"/>
                <w:position w:val="0"/>
                <w:sz w:val="20"/>
                <w:szCs w:val="20"/>
              </w:rPr>
              <w:t>GF-2000-0171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2015.05.1</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2017.04.30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2,000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张丽 华、肖 天国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大理经济开发区苍山 路华兴商业城</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幢</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10-11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大理市房权证下关字第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20012619</w:t>
            </w:r>
            <w:r>
              <w:rPr>
                <w:color w:val="000000"/>
                <w:spacing w:val="0"/>
                <w:w w:val="100"/>
                <w:position w:val="0"/>
                <w:sz w:val="20"/>
                <w:szCs w:val="20"/>
              </w:rPr>
              <w:t>号和</w:t>
            </w:r>
            <w:r>
              <w:rPr>
                <w:rFonts w:ascii="Times New Roman" w:eastAsia="Times New Roman" w:hAnsi="Times New Roman" w:cs="Times New Roman"/>
                <w:color w:val="000000"/>
                <w:spacing w:val="0"/>
                <w:w w:val="100"/>
                <w:position w:val="0"/>
                <w:sz w:val="20"/>
                <w:szCs w:val="20"/>
              </w:rPr>
              <w:t>20012620</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2016.07.20-2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017.07.19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2,000 </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广州市海珠区艺景路</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锦豪街</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603</w:t>
            </w:r>
            <w:r>
              <w:rPr>
                <w:color w:val="000000"/>
                <w:spacing w:val="0"/>
                <w:w w:val="100"/>
                <w:position w:val="0"/>
                <w:sz w:val="20"/>
                <w:szCs w:val="20"/>
              </w:rPr>
              <w:t>房号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农村自建房无产权证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2015.01.20-2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016.01.20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月租金额</w:t>
            </w:r>
            <w:r>
              <w:rPr>
                <w:rFonts w:ascii="Times New Roman" w:eastAsia="Times New Roman" w:hAnsi="Times New Roman" w:cs="Times New Roman"/>
                <w:color w:val="000000"/>
                <w:spacing w:val="0"/>
                <w:w w:val="100"/>
                <w:position w:val="0"/>
                <w:sz w:val="20"/>
                <w:szCs w:val="20"/>
              </w:rPr>
              <w:t xml:space="preserve">6500 </w:t>
            </w:r>
            <w:r>
              <w:rPr>
                <w:color w:val="000000"/>
                <w:spacing w:val="0"/>
                <w:w w:val="100"/>
                <w:position w:val="0"/>
                <w:sz w:val="20"/>
                <w:szCs w:val="20"/>
              </w:rPr>
              <w:t>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广州市海珠区艺景路</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锦豪街</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603</w:t>
            </w:r>
            <w:r>
              <w:rPr>
                <w:color w:val="000000"/>
                <w:spacing w:val="0"/>
                <w:w w:val="100"/>
                <w:position w:val="0"/>
                <w:sz w:val="20"/>
                <w:szCs w:val="20"/>
              </w:rPr>
              <w:t>房号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农村自建房无产权证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2016.01.20</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6500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周爱萍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济南市槐萌区阳光新 路</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号阳光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国际 新城</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-70</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济房权证槐字第</w:t>
            </w:r>
            <w:r>
              <w:rPr>
                <w:rFonts w:ascii="Times New Roman" w:eastAsia="Times New Roman" w:hAnsi="Times New Roman" w:cs="Times New Roman"/>
                <w:color w:val="000000"/>
                <w:spacing w:val="0"/>
                <w:w w:val="100"/>
                <w:position w:val="0"/>
                <w:sz w:val="20"/>
                <w:szCs w:val="20"/>
              </w:rPr>
              <w:t>094884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2014.9.21-20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16.9.20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3,500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周爱萍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济南市槐萌区阳光新 路</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号阳光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国际 新城</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-70</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济房权证槐字第</w:t>
            </w:r>
            <w:r>
              <w:rPr>
                <w:rFonts w:ascii="Times New Roman" w:eastAsia="Times New Roman" w:hAnsi="Times New Roman" w:cs="Times New Roman"/>
                <w:color w:val="000000"/>
                <w:spacing w:val="0"/>
                <w:w w:val="100"/>
                <w:position w:val="0"/>
                <w:sz w:val="20"/>
                <w:szCs w:val="20"/>
              </w:rPr>
              <w:t>094884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2016-09.20-2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018.09.20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3,500 </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武海燕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 xml:space="preserve">海口市龙华区国贸路 </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号城市精英</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 xml:space="preserve">座 </w:t>
            </w:r>
            <w:r>
              <w:rPr>
                <w:rFonts w:ascii="Times New Roman" w:eastAsia="Times New Roman" w:hAnsi="Times New Roman" w:cs="Times New Roman"/>
                <w:color w:val="000000"/>
                <w:spacing w:val="0"/>
                <w:w w:val="100"/>
                <w:position w:val="0"/>
                <w:sz w:val="20"/>
                <w:szCs w:val="20"/>
              </w:rPr>
              <w:t>2806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海口市房权证海房字第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HK115569</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2015.3.1-201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3500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白莉萍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海口市龙华区国贸路</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号城市精英</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座第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 xml:space="preserve">层 </w:t>
            </w:r>
            <w:r>
              <w:rPr>
                <w:rFonts w:ascii="Times New Roman" w:eastAsia="Times New Roman" w:hAnsi="Times New Roman" w:cs="Times New Roman"/>
                <w:color w:val="000000"/>
                <w:spacing w:val="0"/>
                <w:w w:val="100"/>
                <w:position w:val="0"/>
                <w:sz w:val="20"/>
                <w:szCs w:val="20"/>
              </w:rPr>
              <w:t xml:space="preserve">B2205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海口市房权证海房字第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HK115590</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2016.03.1-20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17.02.28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3,500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谢洪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昆明市春城路</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号新 华商厦二期（米兰国 际）</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昆明市房权证官字第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200806063</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谢洪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昆明市春城路</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号新 华商厦二期（米兰国 际）</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昆明市房权证官字第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200806063</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宋倩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昆明市春城路</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号新 华商厦二期（米兰国 际）</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1503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昆明市房权证官字第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200802066</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2015.5.26-20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2,200 </w:t>
            </w:r>
            <w:r>
              <w:rPr>
                <w:color w:val="000000"/>
                <w:spacing w:val="0"/>
                <w:w w:val="100"/>
                <w:position w:val="0"/>
                <w:sz w:val="20"/>
                <w:szCs w:val="20"/>
              </w:rPr>
              <w:t>元</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宋倩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昆明市春城路</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号新 华商厦二期（米兰国 际）</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1503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昆明市房权证官字第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200802066</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2016.0.25-20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17.05.25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2,200 </w:t>
            </w:r>
            <w:r>
              <w:rPr>
                <w:color w:val="000000"/>
                <w:spacing w:val="0"/>
                <w:w w:val="100"/>
                <w:position w:val="0"/>
                <w:sz w:val="20"/>
                <w:szCs w:val="20"/>
              </w:rPr>
              <w:t>元</w:t>
            </w:r>
          </w:p>
        </w:tc>
      </w:tr>
    </w:tbl>
    <w:p>
      <w:pPr>
        <w:spacing w:lineRule="exact" w:line="1"/>
        <w:rPr>
          <w:sz w:val="2"/>
          <w:szCs w:val="2"/>
        </w:rPr>
      </w:pPr>
      <w:r>
        <w:br w:type="page"/>
      </w:r>
    </w:p>
    <w:tbl>
      <w:tblPr>
        <w:tblOverlap w:val="never"/>
        <w:jc w:val="center"/>
        <w:tblLayout w:type="fixed"/>
      </w:tblPr>
      <w:tblGrid>
        <w:gridCol w:w="336"/>
        <w:gridCol w:w="653"/>
        <w:gridCol w:w="701"/>
        <w:gridCol w:w="2002"/>
        <w:gridCol w:w="442"/>
        <w:gridCol w:w="725"/>
        <w:gridCol w:w="2333"/>
        <w:gridCol w:w="1176"/>
        <w:gridCol w:w="1435"/>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李荣刚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贵阳市南明区官井路</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5-19</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筑房权证南明字第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0010030794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2015.08.3</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1,580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武汉市中北路</w:t>
            </w:r>
            <w:r>
              <w:rPr>
                <w:rFonts w:ascii="Times New Roman" w:eastAsia="Times New Roman" w:hAnsi="Times New Roman" w:cs="Times New Roman"/>
                <w:color w:val="000000"/>
                <w:spacing w:val="0"/>
                <w:w w:val="100"/>
                <w:position w:val="0"/>
                <w:sz w:val="20"/>
                <w:szCs w:val="20"/>
              </w:rPr>
              <w:t>233</w:t>
            </w:r>
            <w:r>
              <w:rPr>
                <w:color w:val="000000"/>
                <w:spacing w:val="0"/>
                <w:w w:val="100"/>
                <w:position w:val="0"/>
                <w:sz w:val="20"/>
                <w:szCs w:val="20"/>
              </w:rPr>
              <w:t>号 彩城大厦</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号房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84.05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商品房买卖合同（合同编</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号：昌 </w:t>
            </w:r>
            <w:r>
              <w:rPr>
                <w:rFonts w:ascii="Times New Roman" w:eastAsia="Times New Roman" w:hAnsi="Times New Roman" w:cs="Times New Roman"/>
                <w:color w:val="000000"/>
                <w:spacing w:val="0"/>
                <w:w w:val="100"/>
                <w:position w:val="0"/>
                <w:sz w:val="20"/>
                <w:szCs w:val="20"/>
              </w:rPr>
              <w:t>080518826</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2014.05.20</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2017.05.19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2,400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黄艳丽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南宁市江南区星光大 道</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号江南馨园</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 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1102</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154.28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邕房权证字第</w:t>
            </w:r>
            <w:r>
              <w:rPr>
                <w:rFonts w:ascii="Times New Roman" w:eastAsia="Times New Roman" w:hAnsi="Times New Roman" w:cs="Times New Roman"/>
                <w:color w:val="000000"/>
                <w:spacing w:val="0"/>
                <w:w w:val="100"/>
                <w:position w:val="0"/>
                <w:sz w:val="20"/>
                <w:szCs w:val="20"/>
              </w:rPr>
              <w:t>02130763</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2014.1.11-20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3200 </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黄艳丽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南宁市江南区星光大 道</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号江南馨园</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 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1102</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154.28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邕房权证字第</w:t>
            </w:r>
            <w:r>
              <w:rPr>
                <w:rFonts w:ascii="Times New Roman" w:eastAsia="Times New Roman" w:hAnsi="Times New Roman" w:cs="Times New Roman"/>
                <w:color w:val="000000"/>
                <w:spacing w:val="0"/>
                <w:w w:val="100"/>
                <w:position w:val="0"/>
                <w:sz w:val="20"/>
                <w:szCs w:val="20"/>
              </w:rPr>
              <w:t>02130763</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18.01.10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3,500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李文芳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成都市武侯区成科东 路</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楼</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房产证号</w:t>
            </w:r>
            <w:r>
              <w:rPr>
                <w:rFonts w:ascii="Times New Roman" w:eastAsia="Times New Roman" w:hAnsi="Times New Roman" w:cs="Times New Roman"/>
                <w:color w:val="000000"/>
                <w:spacing w:val="0"/>
                <w:w w:val="100"/>
                <w:position w:val="0"/>
                <w:sz w:val="20"/>
                <w:szCs w:val="20"/>
              </w:rPr>
              <w:t>1453071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2015.10.15-2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016.02.14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1800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陈余丽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贵阳市南明区市南路</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号阳光</w:t>
            </w:r>
            <w:r>
              <w:rPr>
                <w:rFonts w:ascii="Times New Roman" w:eastAsia="Times New Roman" w:hAnsi="Times New Roman" w:cs="Times New Roman"/>
                <w:color w:val="000000"/>
                <w:spacing w:val="0"/>
                <w:w w:val="100"/>
                <w:position w:val="0"/>
                <w:sz w:val="20"/>
                <w:szCs w:val="20"/>
              </w:rPr>
              <w:t>100C</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单</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房产证号字地</w:t>
            </w:r>
            <w:r>
              <w:rPr>
                <w:rFonts w:ascii="Times New Roman" w:eastAsia="Times New Roman" w:hAnsi="Times New Roman" w:cs="Times New Roman"/>
                <w:color w:val="000000"/>
                <w:spacing w:val="0"/>
                <w:w w:val="100"/>
                <w:position w:val="0"/>
                <w:sz w:val="20"/>
                <w:szCs w:val="20"/>
              </w:rPr>
              <w:t>010303626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2015.7.10-20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4200 </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陈余丽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贵阳市南明区市南路</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号阳光</w:t>
            </w:r>
            <w:r>
              <w:rPr>
                <w:rFonts w:ascii="Times New Roman" w:eastAsia="Times New Roman" w:hAnsi="Times New Roman" w:cs="Times New Roman"/>
                <w:color w:val="000000"/>
                <w:spacing w:val="0"/>
                <w:w w:val="100"/>
                <w:position w:val="0"/>
                <w:sz w:val="20"/>
                <w:szCs w:val="20"/>
              </w:rPr>
              <w:t>100C</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单</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房产证号字地</w:t>
            </w:r>
            <w:r>
              <w:rPr>
                <w:rFonts w:ascii="Times New Roman" w:eastAsia="Times New Roman" w:hAnsi="Times New Roman" w:cs="Times New Roman"/>
                <w:color w:val="000000"/>
                <w:spacing w:val="0"/>
                <w:w w:val="100"/>
                <w:position w:val="0"/>
                <w:sz w:val="20"/>
                <w:szCs w:val="20"/>
              </w:rPr>
              <w:t>010303626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2016.07.10-2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017.7.10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4200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兰州市安宁区十里店 街道北滨河西路</w:t>
            </w:r>
            <w:r>
              <w:rPr>
                <w:rFonts w:ascii="Times New Roman" w:eastAsia="Times New Roman" w:hAnsi="Times New Roman" w:cs="Times New Roman"/>
                <w:color w:val="000000"/>
                <w:spacing w:val="0"/>
                <w:w w:val="100"/>
                <w:position w:val="0"/>
                <w:sz w:val="20"/>
                <w:szCs w:val="20"/>
              </w:rPr>
              <w:t xml:space="preserve">122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办 公、 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106.66</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96" w:val="left"/>
                <w:tab w:pos="1397" w:val="left"/>
                <w:tab w:pos="2102" w:val="left"/>
              </w:tabs>
              <w:bidi w:val="0"/>
              <w:spacing w:before="0" w:after="60" w:line="240" w:lineRule="auto"/>
              <w:ind w:left="0" w:right="0" w:firstLine="0"/>
              <w:jc w:val="left"/>
              <w:rPr>
                <w:sz w:val="20"/>
                <w:szCs w:val="20"/>
              </w:rPr>
            </w:pPr>
            <w:r>
              <w:rPr>
                <w:color w:val="000000"/>
                <w:spacing w:val="0"/>
                <w:w w:val="100"/>
                <w:position w:val="0"/>
                <w:sz w:val="20"/>
                <w:szCs w:val="20"/>
              </w:rPr>
              <w:t>房</w:t>
              <w:tab/>
              <w:t>产</w:t>
              <w:tab/>
              <w:t>证</w:t>
              <w:tab/>
              <w:t>号</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620105004R97001027011</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2015.10.01-2</w:t>
            </w:r>
          </w:p>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09.30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2800 </w:t>
            </w:r>
            <w:r>
              <w:rPr>
                <w:color w:val="000000"/>
                <w:spacing w:val="0"/>
                <w:w w:val="100"/>
                <w:position w:val="0"/>
                <w:sz w:val="20"/>
                <w:szCs w:val="20"/>
              </w:rPr>
              <w:t>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rPr>
                <w:sz w:val="20"/>
                <w:szCs w:val="20"/>
              </w:rPr>
            </w:pPr>
            <w:r>
              <w:rPr>
                <w:color w:val="000000"/>
                <w:spacing w:val="0"/>
                <w:w w:val="100"/>
                <w:position w:val="0"/>
                <w:sz w:val="20"/>
                <w:szCs w:val="20"/>
              </w:rPr>
              <w:t>太原市裕的东里</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 （东人盛世华庭）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w:t>
            </w:r>
          </w:p>
          <w:p>
            <w:pPr>
              <w:pStyle w:val="Style2"/>
              <w:keepNext w:val="0"/>
              <w:keepLines w:val="0"/>
              <w:widowControl w:val="0"/>
              <w:shd w:val="clear" w:color="auto" w:fill="auto"/>
              <w:bidi w:val="0"/>
              <w:spacing w:before="0" w:after="0" w:line="33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1520</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房产证号</w:t>
            </w:r>
            <w:r>
              <w:rPr>
                <w:rFonts w:ascii="Times New Roman" w:eastAsia="Times New Roman" w:hAnsi="Times New Roman" w:cs="Times New Roman"/>
                <w:color w:val="000000"/>
                <w:spacing w:val="0"/>
                <w:w w:val="100"/>
                <w:position w:val="0"/>
                <w:sz w:val="20"/>
                <w:szCs w:val="20"/>
              </w:rPr>
              <w:t>S201407216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2015.10.20-2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016.10.19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2500 </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红相电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rPr>
                <w:sz w:val="20"/>
                <w:szCs w:val="20"/>
              </w:rPr>
            </w:pPr>
            <w:r>
              <w:rPr>
                <w:color w:val="000000"/>
                <w:spacing w:val="0"/>
                <w:w w:val="100"/>
                <w:position w:val="0"/>
                <w:sz w:val="20"/>
                <w:szCs w:val="20"/>
              </w:rPr>
              <w:t>太原市裕的东里</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 （东人盛世华庭）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w:t>
            </w:r>
          </w:p>
          <w:p>
            <w:pPr>
              <w:pStyle w:val="Style2"/>
              <w:keepNext w:val="0"/>
              <w:keepLines w:val="0"/>
              <w:widowControl w:val="0"/>
              <w:shd w:val="clear" w:color="auto" w:fill="auto"/>
              <w:bidi w:val="0"/>
              <w:spacing w:before="0" w:after="0" w:line="33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1520</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房产证号</w:t>
            </w:r>
            <w:r>
              <w:rPr>
                <w:rFonts w:ascii="Times New Roman" w:eastAsia="Times New Roman" w:hAnsi="Times New Roman" w:cs="Times New Roman"/>
                <w:color w:val="000000"/>
                <w:spacing w:val="0"/>
                <w:w w:val="100"/>
                <w:position w:val="0"/>
                <w:sz w:val="20"/>
                <w:szCs w:val="20"/>
              </w:rPr>
              <w:t>S201407216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2016.10.20-2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017.10.19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2500 </w:t>
            </w:r>
            <w:r>
              <w:rPr>
                <w:color w:val="000000"/>
                <w:spacing w:val="0"/>
                <w:w w:val="100"/>
                <w:position w:val="0"/>
                <w:sz w:val="20"/>
                <w:szCs w:val="20"/>
              </w:rPr>
              <w:t>元</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Brett</w:t>
            </w:r>
          </w:p>
          <w:p>
            <w:pPr>
              <w:pStyle w:val="Style2"/>
              <w:keepNext w:val="0"/>
              <w:keepLines w:val="0"/>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Behme r</w:t>
            </w:r>
            <w:r>
              <w:rPr>
                <w:color w:val="000000"/>
                <w:spacing w:val="0"/>
                <w:w w:val="100"/>
                <w:position w:val="0"/>
                <w:sz w:val="20"/>
                <w:szCs w:val="20"/>
              </w:rPr>
              <w:t>和</w:t>
            </w:r>
          </w:p>
          <w:p>
            <w:pPr>
              <w:pStyle w:val="Style2"/>
              <w:keepNext w:val="0"/>
              <w:keepLines w:val="0"/>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Trevor</w:t>
            </w:r>
          </w:p>
          <w:p>
            <w:pPr>
              <w:pStyle w:val="Style2"/>
              <w:keepNext w:val="0"/>
              <w:keepLines w:val="0"/>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Wright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澳洲红 相</w:t>
            </w:r>
          </w:p>
        </w:tc>
        <w:tc>
          <w:tcPr>
            <w:tcBorders>
              <w:top w:val="single" w:sz="4"/>
              <w:left w:val="single" w:sz="4"/>
            </w:tcBorders>
            <w:shd w:val="clear" w:color="auto" w:fill="FFFFFF"/>
            <w:vAlign w:val="top"/>
          </w:tcPr>
          <w:p>
            <w:pPr>
              <w:pStyle w:val="Style2"/>
              <w:keepNext w:val="0"/>
              <w:keepLines w:val="0"/>
              <w:widowControl w:val="0"/>
              <w:shd w:val="clear" w:color="auto" w:fill="auto"/>
              <w:tabs>
                <w:tab w:pos="504" w:val="left"/>
                <w:tab w:pos="1426" w:val="left"/>
              </w:tabs>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tab/>
            </w:r>
            <w:r>
              <w:rPr>
                <w:rFonts w:ascii="Times New Roman" w:eastAsia="Times New Roman" w:hAnsi="Times New Roman" w:cs="Times New Roman"/>
                <w:color w:val="000000"/>
                <w:spacing w:val="0"/>
                <w:w w:val="100"/>
                <w:position w:val="0"/>
                <w:sz w:val="20"/>
                <w:szCs w:val="20"/>
              </w:rPr>
              <w:t>Ceylon</w:t>
              <w:tab/>
              <w:t>Street,</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Nunawading, Victoria 3131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办 公、 生产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2014.05.01</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 xml:space="preserve">前十二个月租 金合计为 </w:t>
            </w:r>
            <w:r>
              <w:rPr>
                <w:rFonts w:ascii="Times New Roman" w:eastAsia="Times New Roman" w:hAnsi="Times New Roman" w:cs="Times New Roman"/>
                <w:color w:val="000000"/>
                <w:spacing w:val="0"/>
                <w:w w:val="100"/>
                <w:position w:val="0"/>
                <w:sz w:val="20"/>
                <w:szCs w:val="20"/>
              </w:rPr>
              <w:t>94,705</w:t>
            </w:r>
            <w:r>
              <w:rPr>
                <w:color w:val="000000"/>
                <w:spacing w:val="0"/>
                <w:w w:val="100"/>
                <w:position w:val="0"/>
                <w:sz w:val="20"/>
                <w:szCs w:val="20"/>
              </w:rPr>
              <w:t xml:space="preserve">澳元加 上商品及服务 税，剩余租期的 租金每年增加 </w:t>
            </w:r>
            <w:r>
              <w:rPr>
                <w:rFonts w:ascii="Times New Roman" w:eastAsia="Times New Roman" w:hAnsi="Times New Roman" w:cs="Times New Roman"/>
                <w:color w:val="000000"/>
                <w:spacing w:val="0"/>
                <w:w w:val="100"/>
                <w:position w:val="0"/>
                <w:sz w:val="20"/>
                <w:szCs w:val="20"/>
              </w:rPr>
              <w:t>4%</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邓志群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浙江涵 普电力 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40" w:line="240" w:lineRule="auto"/>
              <w:ind w:left="0" w:right="0" w:firstLine="0"/>
              <w:jc w:val="both"/>
              <w:rPr>
                <w:sz w:val="20"/>
                <w:szCs w:val="20"/>
              </w:rPr>
            </w:pPr>
            <w:r>
              <w:rPr>
                <w:color w:val="000000"/>
                <w:spacing w:val="0"/>
                <w:w w:val="100"/>
                <w:position w:val="0"/>
                <w:sz w:val="20"/>
                <w:szCs w:val="20"/>
              </w:rPr>
              <w:t>苏州新区邓尉路</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润捷广场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502</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苏州 办事 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129.25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rPr>
                <w:sz w:val="20"/>
                <w:szCs w:val="20"/>
              </w:rPr>
            </w:pPr>
            <w:r>
              <w:rPr>
                <w:color w:val="000000"/>
                <w:spacing w:val="0"/>
                <w:w w:val="100"/>
                <w:position w:val="0"/>
                <w:sz w:val="20"/>
                <w:szCs w:val="20"/>
              </w:rPr>
              <w:t>苏房权证新区字第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00236036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2016.11.22-2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017.11.21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both"/>
              <w:rPr>
                <w:sz w:val="20"/>
                <w:szCs w:val="20"/>
              </w:rPr>
            </w:pPr>
            <w:r>
              <w:rPr>
                <w:color w:val="000000"/>
                <w:spacing w:val="0"/>
                <w:w w:val="100"/>
                <w:position w:val="0"/>
                <w:sz w:val="20"/>
                <w:szCs w:val="20"/>
              </w:rPr>
              <w:t>月租金为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6,462.50</w:t>
            </w:r>
            <w:r>
              <w:rPr>
                <w:color w:val="000000"/>
                <w:spacing w:val="0"/>
                <w:w w:val="100"/>
                <w:position w:val="0"/>
                <w:sz w:val="20"/>
                <w:szCs w:val="20"/>
              </w:rPr>
              <w:t>元</w:t>
            </w:r>
          </w:p>
        </w:tc>
      </w:tr>
      <w:tr>
        <w:trPr>
          <w:trHeight w:val="7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苏州正 普电力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浙江涵 普电力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苏州新区邓尉路</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 润捷广场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1903</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苏州 办事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532.68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2016.1.1-201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年租金为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388,856.4</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tc>
      </w:tr>
    </w:tbl>
    <w:p>
      <w:pPr>
        <w:spacing w:lineRule="exact" w:line="1"/>
        <w:rPr>
          <w:sz w:val="2"/>
          <w:szCs w:val="2"/>
        </w:rPr>
      </w:pPr>
      <w:r>
        <w:br w:type="page"/>
      </w:r>
    </w:p>
    <w:tbl>
      <w:tblPr>
        <w:tblOverlap w:val="never"/>
        <w:jc w:val="center"/>
        <w:tblLayout w:type="fixed"/>
      </w:tblPr>
      <w:tblGrid>
        <w:gridCol w:w="336"/>
        <w:gridCol w:w="653"/>
        <w:gridCol w:w="701"/>
        <w:gridCol w:w="2002"/>
        <w:gridCol w:w="442"/>
        <w:gridCol w:w="725"/>
        <w:gridCol w:w="2333"/>
        <w:gridCol w:w="1176"/>
        <w:gridCol w:w="1435"/>
      </w:tblGrid>
      <w:tr>
        <w:trPr>
          <w:trHeight w:val="7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tabs>
                <w:tab w:pos="629" w:val="left"/>
                <w:tab w:pos="1258"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1904</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1905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1906</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刘成城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杭州余杭区同城印象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余房权证余移字第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2016.2.24-20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2,700</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北区 </w:t>
            </w:r>
            <w:r>
              <w:rPr>
                <w:rFonts w:ascii="Times New Roman" w:eastAsia="Times New Roman" w:hAnsi="Times New Roman" w:cs="Times New Roman"/>
                <w:color w:val="000000"/>
                <w:spacing w:val="0"/>
                <w:w w:val="100"/>
                <w:position w:val="0"/>
                <w:sz w:val="20"/>
                <w:szCs w:val="20"/>
              </w:rPr>
              <w:t>4-2-501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15443656</w:t>
            </w:r>
            <w:r>
              <w:rPr>
                <w:color w:val="000000"/>
                <w:spacing w:val="0"/>
                <w:w w:val="100"/>
                <w:position w:val="0"/>
                <w:sz w:val="20"/>
                <w:szCs w:val="20"/>
              </w:rPr>
              <w:t>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17.2.23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w:t>
            </w:r>
          </w:p>
        </w:tc>
      </w:tr>
      <w:tr>
        <w:trPr>
          <w:trHeight w:val="6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科技有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长沙天心区韶山路华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2016.1.1-201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1,600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1805</w:t>
            </w:r>
            <w:r>
              <w:rPr>
                <w:color w:val="000000"/>
                <w:spacing w:val="0"/>
                <w:w w:val="100"/>
                <w:position w:val="0"/>
                <w:sz w:val="20"/>
                <w:szCs w:val="20"/>
              </w:rPr>
              <w:t>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6.12.31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6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科技有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丁珊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武汉市武昌区中南二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2,800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路</w:t>
            </w: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号阳光年华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6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科技有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1302</w:t>
            </w:r>
            <w:r>
              <w:rPr>
                <w:color w:val="000000"/>
                <w:spacing w:val="0"/>
                <w:w w:val="100"/>
                <w:position w:val="0"/>
                <w:sz w:val="20"/>
                <w:szCs w:val="20"/>
              </w:rPr>
              <w:t>房</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海盐县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海盐县新桥北路</w:t>
            </w:r>
            <w:r>
              <w:rPr>
                <w:rFonts w:ascii="Times New Roman" w:eastAsia="Times New Roman" w:hAnsi="Times New Roman" w:cs="Times New Roman"/>
                <w:color w:val="000000"/>
                <w:spacing w:val="0"/>
                <w:w w:val="100"/>
                <w:position w:val="0"/>
                <w:sz w:val="20"/>
                <w:szCs w:val="2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房权证盐字第</w:t>
            </w:r>
            <w:r>
              <w:rPr>
                <w:rFonts w:ascii="Times New Roman" w:eastAsia="Times New Roman" w:hAnsi="Times New Roman" w:cs="Times New Roman"/>
                <w:color w:val="000000"/>
                <w:spacing w:val="0"/>
                <w:w w:val="100"/>
                <w:position w:val="0"/>
                <w:sz w:val="20"/>
                <w:szCs w:val="20"/>
              </w:rPr>
              <w:t>017409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2016.1.1-201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年租金为</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国有工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厂房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7.12.31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元</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西安市碑林区大学南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2016.3.13-20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2,400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路边西街</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号黄金屋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17.3.12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6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科技有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2310 </w:t>
            </w:r>
            <w:r>
              <w:rPr>
                <w:color w:val="000000"/>
                <w:spacing w:val="0"/>
                <w:w w:val="100"/>
                <w:position w:val="0"/>
                <w:sz w:val="20"/>
                <w:szCs w:val="20"/>
              </w:rPr>
              <w:t>室</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北京丰台区右外东庄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两室一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5,060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如生活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601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17.10.8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理有限</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高彩琴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长兴县东润名邸</w:t>
            </w:r>
            <w:r>
              <w:rPr>
                <w:rFonts w:ascii="Times New Roman" w:eastAsia="Times New Roman" w:hAnsi="Times New Roman" w:cs="Times New Roman"/>
                <w:color w:val="000000"/>
                <w:spacing w:val="0"/>
                <w:w w:val="100"/>
                <w:position w:val="0"/>
                <w:sz w:val="20"/>
                <w:szCs w:val="20"/>
              </w:rPr>
              <w:t>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1,200</w:t>
            </w:r>
          </w:p>
        </w:tc>
      </w:tr>
      <w:tr>
        <w:trPr>
          <w:trHeight w:val="99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普电力 科技有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室</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017.10.9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嘉兴市佳源都市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1,200</w:t>
            </w:r>
          </w:p>
        </w:tc>
      </w:tr>
      <w:tr>
        <w:trPr>
          <w:trHeight w:val="98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普电力 科技有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32-601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017.5.14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杭州市文三路</w:t>
            </w:r>
            <w:r>
              <w:rPr>
                <w:rFonts w:ascii="Times New Roman" w:eastAsia="Times New Roman" w:hAnsi="Times New Roman" w:cs="Times New Roman"/>
                <w:color w:val="000000"/>
                <w:spacing w:val="0"/>
                <w:w w:val="100"/>
                <w:position w:val="0"/>
                <w:sz w:val="20"/>
                <w:szCs w:val="20"/>
              </w:rPr>
              <w:t>252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8,190</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普电力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桐商务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伟星大厦</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018.11.17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咨询有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6"/>
        <w:gridCol w:w="653"/>
        <w:gridCol w:w="701"/>
        <w:gridCol w:w="2002"/>
        <w:gridCol w:w="442"/>
        <w:gridCol w:w="725"/>
        <w:gridCol w:w="2333"/>
        <w:gridCol w:w="1176"/>
        <w:gridCol w:w="1435"/>
      </w:tblGrid>
      <w:tr>
        <w:trPr>
          <w:trHeight w:val="16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浙江涵 普电力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浙江舟 山颐生 堂农业 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杭州市文三路</w:t>
            </w:r>
            <w:r>
              <w:rPr>
                <w:rFonts w:ascii="Times New Roman" w:eastAsia="Times New Roman" w:hAnsi="Times New Roman" w:cs="Times New Roman"/>
                <w:color w:val="000000"/>
                <w:spacing w:val="0"/>
                <w:w w:val="100"/>
                <w:position w:val="0"/>
                <w:sz w:val="20"/>
                <w:szCs w:val="20"/>
              </w:rPr>
              <w:t>252</w:t>
            </w:r>
            <w:r>
              <w:rPr>
                <w:color w:val="000000"/>
                <w:spacing w:val="0"/>
                <w:w w:val="100"/>
                <w:position w:val="0"/>
                <w:sz w:val="20"/>
                <w:szCs w:val="20"/>
              </w:rPr>
              <w:t>号 伟星大厦</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C/D</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2016.11.18-2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017.11.17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20000</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王京丽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浙江涵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北京市昌平区回龙观 龙兴园东区</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301</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94.52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京房权证昌私字第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333361</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2016.04.10</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2017.04.09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元</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吴勤贤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海盐县核电南苑</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1003 </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嘉房权证盐字第</w:t>
            </w:r>
            <w:r>
              <w:rPr>
                <w:rFonts w:ascii="Times New Roman" w:eastAsia="Times New Roman" w:hAnsi="Times New Roman" w:cs="Times New Roman"/>
                <w:color w:val="000000"/>
                <w:spacing w:val="0"/>
                <w:w w:val="100"/>
                <w:position w:val="0"/>
                <w:sz w:val="20"/>
                <w:szCs w:val="20"/>
              </w:rPr>
              <w:t>142664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2015.01.01</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年租金为</w:t>
            </w:r>
            <w:r>
              <w:rPr>
                <w:rFonts w:ascii="Times New Roman" w:eastAsia="Times New Roman" w:hAnsi="Times New Roman" w:cs="Times New Roman"/>
                <w:color w:val="000000"/>
                <w:spacing w:val="0"/>
                <w:w w:val="100"/>
                <w:position w:val="0"/>
                <w:sz w:val="20"/>
                <w:szCs w:val="20"/>
              </w:rPr>
              <w:t>28000</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金雅凤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嘉兴市西马桥红枫苑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306</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嘉房权证禾字第</w:t>
            </w:r>
            <w:r>
              <w:rPr>
                <w:rFonts w:ascii="Times New Roman" w:eastAsia="Times New Roman" w:hAnsi="Times New Roman" w:cs="Times New Roman"/>
                <w:color w:val="000000"/>
                <w:spacing w:val="0"/>
                <w:w w:val="100"/>
                <w:position w:val="0"/>
                <w:sz w:val="20"/>
                <w:szCs w:val="20"/>
              </w:rPr>
              <w:t>00768123</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2015.04.03</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1300 </w:t>
            </w:r>
            <w:r>
              <w:rPr>
                <w:color w:val="000000"/>
                <w:spacing w:val="0"/>
                <w:w w:val="100"/>
                <w:position w:val="0"/>
                <w:sz w:val="20"/>
                <w:szCs w:val="20"/>
              </w:rPr>
              <w:t>元</w:t>
            </w:r>
          </w:p>
        </w:tc>
      </w:tr>
      <w:tr>
        <w:trPr>
          <w:trHeight w:val="79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沈春柳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浙江涵</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嘉兴市阳光小区南区</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206</w:t>
            </w:r>
            <w:r>
              <w:rPr>
                <w:color w:val="000000"/>
                <w:spacing w:val="0"/>
                <w:w w:val="100"/>
                <w:position w:val="0"/>
                <w:sz w:val="20"/>
                <w:szCs w:val="20"/>
              </w:rPr>
              <w:t>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嘉房权证禾字第</w:t>
            </w:r>
            <w:r>
              <w:rPr>
                <w:rFonts w:ascii="Times New Roman" w:eastAsia="Times New Roman" w:hAnsi="Times New Roman" w:cs="Times New Roman"/>
                <w:color w:val="000000"/>
                <w:spacing w:val="0"/>
                <w:w w:val="100"/>
                <w:position w:val="0"/>
                <w:sz w:val="20"/>
                <w:szCs w:val="20"/>
              </w:rPr>
              <w:t>00598666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2015.11.14</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月租金为</w:t>
            </w:r>
            <w:r>
              <w:rPr>
                <w:rFonts w:ascii="Times New Roman" w:eastAsia="Times New Roman" w:hAnsi="Times New Roman" w:cs="Times New Roman"/>
                <w:color w:val="000000"/>
                <w:spacing w:val="0"/>
                <w:w w:val="100"/>
                <w:position w:val="0"/>
                <w:sz w:val="20"/>
                <w:szCs w:val="20"/>
              </w:rPr>
              <w:t xml:space="preserve">1400 </w:t>
            </w:r>
            <w:r>
              <w:rPr>
                <w:color w:val="000000"/>
                <w:spacing w:val="0"/>
                <w:w w:val="100"/>
                <w:position w:val="0"/>
                <w:sz w:val="20"/>
                <w:szCs w:val="20"/>
              </w:rPr>
              <w:t>元</w:t>
            </w:r>
          </w:p>
        </w:tc>
      </w:tr>
    </w:tbl>
    <w:p>
      <w:pPr>
        <w:widowControl w:val="0"/>
        <w:spacing w:after="5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报告期内，公司上述租赁均不构成重大租赁。</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重大担保</w:t>
      </w:r>
      <w:bookmarkEnd w:id="398"/>
      <w:bookmarkEnd w:id="399"/>
      <w:bookmarkEnd w:id="40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委托他人进行现金资产管理情况</w:t>
      </w:r>
      <w:bookmarkEnd w:id="402"/>
      <w:bookmarkEnd w:id="403"/>
      <w:bookmarkEnd w:id="405"/>
    </w:p>
    <w:p>
      <w:pPr>
        <w:pStyle w:val="Style45"/>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6"/>
      <w:bookmarkEnd w:id="407"/>
      <w:bookmarkEnd w:id="40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长江证券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本金保障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年化利率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462.90</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2477"/>
        <w:gridCol w:w="7104"/>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尚无计划</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公司报告期不存在委托理财。</w:t>
      </w:r>
    </w:p>
    <w:p>
      <w:pPr>
        <w:widowControl w:val="0"/>
        <w:spacing w:after="299" w:line="1" w:lineRule="exact"/>
      </w:pPr>
    </w:p>
    <w:p>
      <w:pPr>
        <w:pStyle w:val="Style45"/>
        <w:keepNext/>
        <w:keepLines/>
        <w:widowControl w:val="0"/>
        <w:shd w:val="clear" w:color="auto" w:fill="auto"/>
        <w:bidi w:val="0"/>
        <w:spacing w:before="0" w:line="312"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0"/>
      <w:bookmarkEnd w:id="411"/>
      <w:bookmarkEnd w:id="41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00" w:line="326"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、其他重大合同</w:t>
      </w:r>
      <w:bookmarkEnd w:id="414"/>
      <w:bookmarkEnd w:id="415"/>
      <w:bookmarkEnd w:id="41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十七、社会责任情况</w:t>
      </w:r>
      <w:bookmarkEnd w:id="418"/>
      <w:bookmarkEnd w:id="419"/>
      <w:bookmarkEnd w:id="420"/>
    </w:p>
    <w:p>
      <w:pPr>
        <w:pStyle w:val="Style32"/>
        <w:keepNext/>
        <w:keepLines/>
        <w:widowControl w:val="0"/>
        <w:shd w:val="clear" w:color="auto" w:fill="auto"/>
        <w:tabs>
          <w:tab w:pos="368" w:val="left"/>
        </w:tabs>
        <w:bidi w:val="0"/>
        <w:spacing w:before="0" w:after="380" w:line="312"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履行精准扶贫社会责任情况</w:t>
      </w:r>
      <w:bookmarkEnd w:id="421"/>
      <w:bookmarkEnd w:id="422"/>
      <w:bookmarkEnd w:id="424"/>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312" w:lineRule="exact"/>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履行其他社会责任的情况</w:t>
      </w:r>
      <w:bookmarkEnd w:id="425"/>
      <w:bookmarkEnd w:id="426"/>
      <w:bookmarkEnd w:id="428"/>
    </w:p>
    <w:p>
      <w:pPr>
        <w:pStyle w:val="Style35"/>
        <w:keepNext w:val="0"/>
        <w:keepLines w:val="0"/>
        <w:widowControl w:val="0"/>
        <w:shd w:val="clear" w:color="auto" w:fill="auto"/>
        <w:tabs>
          <w:tab w:pos="794" w:val="left"/>
        </w:tabs>
        <w:bidi w:val="0"/>
        <w:spacing w:before="0" w:after="60" w:line="326" w:lineRule="auto"/>
        <w:ind w:left="0" w:right="0" w:firstLine="440"/>
        <w:jc w:val="both"/>
      </w:pPr>
      <w:bookmarkStart w:id="429" w:name="bookmark429"/>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t>公司治理方面</w:t>
      </w:r>
    </w:p>
    <w:p>
      <w:pPr>
        <w:pStyle w:val="Style35"/>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公司根据《公司法》、《证券法》、《上市公司治理准则》、《深圳证券交易所创业板股票上市规则》、 《上市公司信息披露管理办法》等法律、法规及规范性文件的要求，建立了由股东大会、董事会、监事会 和公司管理层组成的健全、完善的公司治理架构，形成了权利机构、决策机构、监督机构和管理层之间权 责明确、运作规范、相互协调、互相制衡的完整的议事、决策、授权、执行的公司治理体系。</w:t>
      </w:r>
    </w:p>
    <w:p>
      <w:pPr>
        <w:pStyle w:val="Style35"/>
        <w:keepNext w:val="0"/>
        <w:keepLines w:val="0"/>
        <w:widowControl w:val="0"/>
        <w:shd w:val="clear" w:color="auto" w:fill="auto"/>
        <w:tabs>
          <w:tab w:pos="813" w:val="left"/>
        </w:tabs>
        <w:bidi w:val="0"/>
        <w:spacing w:before="0" w:after="60" w:line="326" w:lineRule="auto"/>
        <w:ind w:left="0" w:right="0" w:firstLine="440"/>
        <w:jc w:val="both"/>
      </w:pPr>
      <w:bookmarkStart w:id="430" w:name="bookmark430"/>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股东权益保护</w:t>
      </w:r>
    </w:p>
    <w:p>
      <w:pPr>
        <w:pStyle w:val="Style35"/>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公司严格按照《公司法》、《证券法》、《深圳证券交易所创业板股票上市规则》、《上市公司信息 披露管理办法》等相关法律法规的要求，及时、准确、真实、完整地进行信息披露，通过投资者电话、电 子邮箱、公司网站和投资者关系互动平台等多种方式与投资者进行沟通交流，提高了公司的透明度和诚信 度。</w:t>
      </w:r>
    </w:p>
    <w:p>
      <w:pPr>
        <w:pStyle w:val="Style35"/>
        <w:keepNext w:val="0"/>
        <w:keepLines w:val="0"/>
        <w:widowControl w:val="0"/>
        <w:shd w:val="clear" w:color="auto" w:fill="auto"/>
        <w:bidi w:val="0"/>
        <w:spacing w:before="0" w:after="240" w:line="305" w:lineRule="exact"/>
        <w:ind w:left="0" w:right="0" w:firstLine="440"/>
        <w:jc w:val="both"/>
      </w:pPr>
      <w:r>
        <w:rPr>
          <w:color w:val="000000"/>
          <w:spacing w:val="0"/>
          <w:w w:val="100"/>
          <w:position w:val="0"/>
        </w:rPr>
        <w:t>在经济效益稳步增长的同时，公司十分重视对投资者的合理回报，制定了相对稳定的利润分配政策和 分红方案以回报股东，</w:t>
      </w:r>
      <w:r>
        <w:rPr>
          <w:rFonts w:ascii="Times New Roman" w:eastAsia="Times New Roman" w:hAnsi="Times New Roman" w:cs="Times New Roman"/>
          <w:color w:val="000000"/>
          <w:spacing w:val="0"/>
          <w:w w:val="100"/>
          <w:position w:val="0"/>
        </w:rPr>
        <w:t>2016</w:t>
      </w:r>
      <w:r>
        <w:rPr>
          <w:color w:val="000000"/>
          <w:spacing w:val="0"/>
          <w:w w:val="100"/>
          <w:position w:val="0"/>
        </w:rPr>
        <w:t>年公司向全体股东实施</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年度利润分配方案，分配现金股利人民币</w:t>
      </w:r>
      <w:r>
        <w:rPr>
          <w:rFonts w:ascii="Times New Roman" w:eastAsia="Times New Roman" w:hAnsi="Times New Roman" w:cs="Times New Roman"/>
          <w:color w:val="000000"/>
          <w:spacing w:val="0"/>
          <w:w w:val="100"/>
          <w:position w:val="0"/>
        </w:rPr>
        <w:t xml:space="preserve">16,847,300 </w:t>
      </w:r>
      <w:r>
        <w:rPr>
          <w:color w:val="000000"/>
          <w:spacing w:val="0"/>
          <w:w w:val="100"/>
          <w:position w:val="0"/>
        </w:rPr>
        <w:t>元，以资本公积金向全体股东每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w:t>
      </w:r>
      <w:r>
        <w:rPr>
          <w:rFonts w:ascii="Times New Roman" w:eastAsia="Times New Roman" w:hAnsi="Times New Roman" w:cs="Times New Roman"/>
          <w:color w:val="000000"/>
          <w:spacing w:val="0"/>
          <w:w w:val="100"/>
          <w:position w:val="0"/>
        </w:rPr>
        <w:t>195,074,000</w:t>
      </w:r>
      <w:r>
        <w:rPr>
          <w:color w:val="000000"/>
          <w:spacing w:val="0"/>
          <w:w w:val="100"/>
          <w:position w:val="0"/>
        </w:rPr>
        <w:t>股。</w:t>
      </w:r>
    </w:p>
    <w:p>
      <w:pPr>
        <w:pStyle w:val="Style35"/>
        <w:keepNext w:val="0"/>
        <w:keepLines w:val="0"/>
        <w:widowControl w:val="0"/>
        <w:shd w:val="clear" w:color="auto" w:fill="auto"/>
        <w:tabs>
          <w:tab w:pos="813" w:val="left"/>
        </w:tabs>
        <w:bidi w:val="0"/>
        <w:spacing w:before="0" w:after="300" w:line="326" w:lineRule="auto"/>
        <w:ind w:left="0" w:right="0" w:firstLine="440"/>
        <w:jc w:val="both"/>
      </w:pPr>
      <w:bookmarkStart w:id="431" w:name="bookmark431"/>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职工权益保护</w:t>
      </w:r>
    </w:p>
    <w:p>
      <w:pPr>
        <w:pStyle w:val="Style35"/>
        <w:keepNext w:val="0"/>
        <w:keepLines w:val="0"/>
        <w:widowControl w:val="0"/>
        <w:shd w:val="clear" w:color="auto" w:fill="auto"/>
        <w:bidi w:val="0"/>
        <w:spacing w:before="0" w:after="240" w:line="311" w:lineRule="exact"/>
        <w:ind w:left="0" w:right="0" w:firstLine="440"/>
        <w:jc w:val="both"/>
      </w:pPr>
      <w:r>
        <w:rPr>
          <w:color w:val="000000"/>
          <w:spacing w:val="0"/>
          <w:w w:val="100"/>
          <w:position w:val="0"/>
        </w:rPr>
        <w:t>公司一直坚持以人为本的人才理念，实施企业人才战略，严格遵守《劳动法》、《劳动合同法》等相 关法律法规，积极做好员工的健康管理工作，内部实行员工工作机会平等；在薪酬福利方面，建立较为完 善的薪酬考核体系，激励机制及人才选拔机制，提高员工的福利待遇，建立健全规范的员工社会保险管理 体系，促进劳资关系的和谐稳定；在培训管理方面，持续开展员工培训工作，通过培训提供员工技能，提 供组织和个人的应变、适应能力，提高工作绩效水平和工作能力。</w:t>
      </w:r>
    </w:p>
    <w:p>
      <w:pPr>
        <w:pStyle w:val="Style35"/>
        <w:keepNext w:val="0"/>
        <w:keepLines w:val="0"/>
        <w:widowControl w:val="0"/>
        <w:shd w:val="clear" w:color="auto" w:fill="auto"/>
        <w:bidi w:val="0"/>
        <w:spacing w:before="0" w:after="80" w:line="326" w:lineRule="auto"/>
        <w:ind w:left="0" w:right="0" w:firstLine="440"/>
        <w:jc w:val="both"/>
      </w:pPr>
      <w:bookmarkStart w:id="432" w:name="bookmark432"/>
      <w:r>
        <w:rPr>
          <w:rFonts w:ascii="Times New Roman" w:eastAsia="Times New Roman" w:hAnsi="Times New Roman" w:cs="Times New Roman"/>
          <w:color w:val="000000"/>
          <w:spacing w:val="0"/>
          <w:w w:val="100"/>
          <w:position w:val="0"/>
        </w:rPr>
        <w:t>4</w:t>
      </w:r>
      <w:bookmarkEnd w:id="432"/>
      <w:r>
        <w:rPr>
          <w:color w:val="000000"/>
          <w:spacing w:val="0"/>
          <w:w w:val="100"/>
          <w:position w:val="0"/>
        </w:rPr>
        <w:t>、依法经营</w:t>
      </w:r>
    </w:p>
    <w:p>
      <w:pPr>
        <w:pStyle w:val="Style35"/>
        <w:keepNext w:val="0"/>
        <w:keepLines w:val="0"/>
        <w:widowControl w:val="0"/>
        <w:shd w:val="clear" w:color="auto" w:fill="auto"/>
        <w:bidi w:val="0"/>
        <w:spacing w:before="0" w:after="60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依法纳税、合规经营</w:t>
      </w:r>
      <w:r>
        <w:rPr>
          <w:rFonts w:ascii="Times New Roman" w:eastAsia="Times New Roman" w:hAnsi="Times New Roman" w:cs="Times New Roman"/>
          <w:color w:val="000000"/>
          <w:spacing w:val="0"/>
          <w:w w:val="100"/>
          <w:position w:val="0"/>
        </w:rPr>
        <w:t>''</w:t>
      </w:r>
      <w:r>
        <w:rPr>
          <w:color w:val="000000"/>
          <w:spacing w:val="0"/>
          <w:w w:val="100"/>
          <w:position w:val="0"/>
        </w:rPr>
        <w:t>是公司践行社会责任的重要基石，也是公司诚信经营理念的重要体现。报告期 内，公司进一步加强税务基础管理、降低税务风险、提供全员纳税意识和税法遵从度，提升税务工作合法、 合规性。公司始终将依法经营作为公司运行的基本原则，注重企业经济效益和社会效益的同步共赢。</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十八、其他重大事项的说明</w:t>
      </w:r>
      <w:bookmarkEnd w:id="433"/>
      <w:bookmarkEnd w:id="434"/>
      <w:bookmarkEnd w:id="43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741" w:val="left"/>
        </w:tabs>
        <w:bidi w:val="0"/>
        <w:spacing w:before="0" w:after="140" w:line="317" w:lineRule="exact"/>
        <w:ind w:left="0" w:right="0" w:firstLine="440"/>
        <w:jc w:val="both"/>
      </w:pPr>
      <w:bookmarkStart w:id="436" w:name="bookmark436"/>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日，公司分别于第三届董事会第十四次会议以及</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 会审议通过了《关于终止</w:t>
      </w:r>
      <w:r>
        <w:rPr>
          <w:rFonts w:ascii="Times New Roman" w:eastAsia="Times New Roman" w:hAnsi="Times New Roman" w:cs="Times New Roman"/>
          <w:color w:val="000000"/>
          <w:spacing w:val="0"/>
          <w:w w:val="100"/>
          <w:position w:val="0"/>
        </w:rPr>
        <w:t>“</w:t>
      </w:r>
      <w:r>
        <w:rPr>
          <w:color w:val="000000"/>
          <w:spacing w:val="0"/>
          <w:w w:val="100"/>
          <w:position w:val="0"/>
        </w:rPr>
        <w:t>计量装置检测、监测设备生产改造项目</w:t>
      </w:r>
      <w:r>
        <w:rPr>
          <w:color w:val="000000"/>
          <w:spacing w:val="0"/>
          <w:w w:val="100"/>
          <w:position w:val="0"/>
        </w:rPr>
        <w:t>''</w:t>
      </w:r>
      <w:r>
        <w:rPr>
          <w:color w:val="000000"/>
          <w:spacing w:val="0"/>
          <w:w w:val="100"/>
          <w:position w:val="0"/>
        </w:rPr>
        <w:t>及变更募集资金投资项目的议案》终止</w:t>
      </w:r>
      <w:r>
        <w:rPr>
          <w:rFonts w:ascii="Times New Roman" w:eastAsia="Times New Roman" w:hAnsi="Times New Roman" w:cs="Times New Roman"/>
          <w:color w:val="000000"/>
          <w:spacing w:val="0"/>
          <w:w w:val="100"/>
          <w:position w:val="0"/>
        </w:rPr>
        <w:t>“</w:t>
      </w:r>
      <w:r>
        <w:rPr>
          <w:color w:val="000000"/>
          <w:spacing w:val="0"/>
          <w:w w:val="100"/>
          <w:position w:val="0"/>
        </w:rPr>
        <w:t>计 量装置检测、监测设备生产改造项目</w:t>
      </w:r>
      <w:r>
        <w:rPr>
          <w:color w:val="000000"/>
          <w:spacing w:val="0"/>
          <w:w w:val="100"/>
          <w:position w:val="0"/>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rPr>
        <w:t>“</w:t>
      </w:r>
      <w:r>
        <w:rPr>
          <w:color w:val="000000"/>
          <w:spacing w:val="0"/>
          <w:w w:val="100"/>
          <w:position w:val="0"/>
        </w:rPr>
        <w:t>高压电气设备故障仿真试验室建设项目</w:t>
      </w:r>
    </w:p>
    <w:p>
      <w:pPr>
        <w:pStyle w:val="Style35"/>
        <w:keepNext w:val="0"/>
        <w:keepLines w:val="0"/>
        <w:widowControl w:val="0"/>
        <w:shd w:val="clear" w:color="auto" w:fill="auto"/>
        <w:tabs>
          <w:tab w:pos="741" w:val="left"/>
        </w:tabs>
        <w:bidi w:val="0"/>
        <w:spacing w:before="0" w:after="140" w:line="317" w:lineRule="exact"/>
        <w:ind w:left="0" w:right="0" w:firstLine="440"/>
        <w:jc w:val="both"/>
      </w:pPr>
      <w:bookmarkStart w:id="437" w:name="bookmark437"/>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日，公司召开第三届董事会第十五次会议，审议通过了《关于公司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 配预案的议案》，并提交公司股东大会审议。公司于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年年度股东大会审议通过该 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日，公司于中国证监会指定信息披露网站巨潮资讯网披露《</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年年度权益分派实施 公告》（公告编号：</w:t>
      </w:r>
      <w:r>
        <w:rPr>
          <w:rFonts w:ascii="Times New Roman" w:eastAsia="Times New Roman" w:hAnsi="Times New Roman" w:cs="Times New Roman"/>
          <w:color w:val="000000"/>
          <w:spacing w:val="0"/>
          <w:w w:val="100"/>
          <w:position w:val="0"/>
        </w:rPr>
        <w:t>2016-034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日，公司完成除权除息，分红后总股本由</w:t>
      </w:r>
      <w:r>
        <w:rPr>
          <w:rFonts w:ascii="Times New Roman" w:eastAsia="Times New Roman" w:hAnsi="Times New Roman" w:cs="Times New Roman"/>
          <w:color w:val="000000"/>
          <w:spacing w:val="0"/>
          <w:w w:val="100"/>
          <w:position w:val="0"/>
        </w:rPr>
        <w:t>8867</w:t>
      </w:r>
      <w:r>
        <w:rPr>
          <w:color w:val="000000"/>
          <w:spacing w:val="0"/>
          <w:w w:val="100"/>
          <w:position w:val="0"/>
        </w:rPr>
        <w:t>万股增至</w:t>
      </w:r>
      <w:r>
        <w:rPr>
          <w:rFonts w:ascii="Times New Roman" w:eastAsia="Times New Roman" w:hAnsi="Times New Roman" w:cs="Times New Roman"/>
          <w:color w:val="000000"/>
          <w:spacing w:val="0"/>
          <w:w w:val="100"/>
          <w:position w:val="0"/>
        </w:rPr>
        <w:t xml:space="preserve">28374.4 </w:t>
      </w:r>
      <w:r>
        <w:rPr>
          <w:color w:val="000000"/>
          <w:spacing w:val="0"/>
          <w:w w:val="100"/>
          <w:position w:val="0"/>
        </w:rPr>
        <w:t>万股。</w:t>
      </w:r>
    </w:p>
    <w:p>
      <w:pPr>
        <w:pStyle w:val="Style35"/>
        <w:keepNext w:val="0"/>
        <w:keepLines w:val="0"/>
        <w:widowControl w:val="0"/>
        <w:shd w:val="clear" w:color="auto" w:fill="auto"/>
        <w:tabs>
          <w:tab w:pos="746" w:val="left"/>
        </w:tabs>
        <w:bidi w:val="0"/>
        <w:spacing w:before="0" w:after="140" w:line="313" w:lineRule="exact"/>
        <w:ind w:left="0" w:right="0" w:firstLine="440"/>
        <w:jc w:val="both"/>
      </w:pPr>
      <w:bookmarkStart w:id="438" w:name="bookmark438"/>
      <w:r>
        <w:rPr>
          <w:rFonts w:ascii="Times New Roman" w:eastAsia="Times New Roman" w:hAnsi="Times New Roman" w:cs="Times New Roman"/>
          <w:color w:val="000000"/>
          <w:spacing w:val="0"/>
          <w:w w:val="100"/>
          <w:position w:val="0"/>
        </w:rPr>
        <w:t>3</w:t>
      </w:r>
      <w:bookmarkEnd w:id="43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日，公司召开第三届董事会第十七次会议，审议通过《关于变更公司住所及经营场所 的议案》、《关于变更公司注册资本的议案》、《关于变更公司经营范围的议案》、《关于修订</w:t>
      </w:r>
      <w:r>
        <w:rPr>
          <w:color w:val="000000"/>
          <w:spacing w:val="0"/>
          <w:w w:val="100"/>
          <w:position w:val="0"/>
        </w:rPr>
        <w:t>〈</w:t>
      </w:r>
      <w:r>
        <w:rPr>
          <w:color w:val="000000"/>
          <w:spacing w:val="0"/>
          <w:w w:val="100"/>
          <w:position w:val="0"/>
        </w:rPr>
        <w:t>公司章 程</w:t>
      </w:r>
      <w:r>
        <w:rPr>
          <w:color w:val="000000"/>
          <w:spacing w:val="0"/>
          <w:w w:val="100"/>
          <w:position w:val="0"/>
        </w:rPr>
        <w:t>〉</w:t>
      </w:r>
      <w:r>
        <w:rPr>
          <w:color w:val="000000"/>
          <w:spacing w:val="0"/>
          <w:w w:val="100"/>
          <w:position w:val="0"/>
        </w:rPr>
        <w:t>并授权董事会办理工商变更登记手续的议案》，并提交公司股东大会审议；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日，公司召开 </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年第三次临时股东大会审议通过上述议案，并于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日在证监会指定信息披露网站巨潮资讯 网上披露《关于完成工商变更登记暨</w:t>
      </w:r>
      <w:r>
        <w:rPr>
          <w:rFonts w:ascii="Times New Roman" w:eastAsia="Times New Roman" w:hAnsi="Times New Roman" w:cs="Times New Roman"/>
          <w:color w:val="000000"/>
          <w:spacing w:val="0"/>
          <w:w w:val="100"/>
          <w:position w:val="0"/>
        </w:rPr>
        <w:t>“</w:t>
      </w:r>
      <w:r>
        <w:rPr>
          <w:color w:val="000000"/>
          <w:spacing w:val="0"/>
          <w:w w:val="100"/>
          <w:position w:val="0"/>
        </w:rPr>
        <w:t>三证合一''的公告》（公告编号：</w:t>
      </w:r>
      <w:r>
        <w:rPr>
          <w:rFonts w:ascii="Times New Roman" w:eastAsia="Times New Roman" w:hAnsi="Times New Roman" w:cs="Times New Roman"/>
          <w:color w:val="000000"/>
          <w:spacing w:val="0"/>
          <w:w w:val="100"/>
          <w:position w:val="0"/>
        </w:rPr>
        <w:t>2016-045</w:t>
      </w:r>
      <w:r>
        <w:rPr>
          <w:color w:val="000000"/>
          <w:spacing w:val="0"/>
          <w:w w:val="100"/>
          <w:position w:val="0"/>
        </w:rPr>
        <w:t>）。</w:t>
      </w:r>
    </w:p>
    <w:p>
      <w:pPr>
        <w:pStyle w:val="Style35"/>
        <w:keepNext w:val="0"/>
        <w:keepLines w:val="0"/>
        <w:widowControl w:val="0"/>
        <w:shd w:val="clear" w:color="auto" w:fill="auto"/>
        <w:tabs>
          <w:tab w:pos="741" w:val="left"/>
        </w:tabs>
        <w:bidi w:val="0"/>
        <w:spacing w:before="0" w:after="0" w:line="312" w:lineRule="exact"/>
        <w:ind w:left="0" w:right="0" w:firstLine="440"/>
        <w:jc w:val="both"/>
      </w:pPr>
      <w:bookmarkStart w:id="439" w:name="bookmark439"/>
      <w:r>
        <w:rPr>
          <w:rFonts w:ascii="Times New Roman" w:eastAsia="Times New Roman" w:hAnsi="Times New Roman" w:cs="Times New Roman"/>
          <w:color w:val="000000"/>
          <w:spacing w:val="0"/>
          <w:w w:val="100"/>
          <w:position w:val="0"/>
        </w:rPr>
        <w:t>4</w:t>
      </w:r>
      <w:bookmarkEnd w:id="439"/>
      <w:r>
        <w:rPr>
          <w:color w:val="000000"/>
          <w:spacing w:val="0"/>
          <w:w w:val="100"/>
          <w:position w:val="0"/>
        </w:rPr>
        <w:t>、</w:t>
        <w:tab/>
        <w:t>因筹划重大资产重组事项，经向深圳证券交易所申请，公司股票（股票简称：红相电力；股票代 码：</w:t>
      </w:r>
      <w:r>
        <w:rPr>
          <w:rFonts w:ascii="Times New Roman" w:eastAsia="Times New Roman" w:hAnsi="Times New Roman" w:cs="Times New Roman"/>
          <w:color w:val="000000"/>
          <w:spacing w:val="0"/>
          <w:w w:val="100"/>
          <w:position w:val="0"/>
        </w:rPr>
        <w:t>300427</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日开市起停牌，并于同日在中国证监会指定信息披露网站巨潮资讯网发布了</w:t>
      </w:r>
    </w:p>
    <w:p>
      <w:pPr>
        <w:pStyle w:val="Style3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《关于重大事项停牌公告》（公告编号：</w:t>
      </w:r>
      <w:r>
        <w:rPr>
          <w:rFonts w:ascii="Times New Roman" w:eastAsia="Times New Roman" w:hAnsi="Times New Roman" w:cs="Times New Roman"/>
          <w:color w:val="000000"/>
          <w:spacing w:val="0"/>
          <w:w w:val="100"/>
          <w:position w:val="0"/>
        </w:rPr>
        <w:t>2016-042</w:t>
      </w:r>
      <w:r>
        <w:rPr>
          <w:color w:val="000000"/>
          <w:spacing w:val="0"/>
          <w:w w:val="100"/>
          <w:position w:val="0"/>
        </w:rPr>
        <w:t>）。</w:t>
      </w:r>
    </w:p>
    <w:p>
      <w:pPr>
        <w:pStyle w:val="Style35"/>
        <w:keepNext w:val="0"/>
        <w:keepLines w:val="0"/>
        <w:widowControl w:val="0"/>
        <w:shd w:val="clear" w:color="auto" w:fill="auto"/>
        <w:bidi w:val="0"/>
        <w:spacing w:before="0" w:after="140" w:line="312" w:lineRule="exact"/>
        <w:ind w:left="0" w:right="0" w:firstLine="440"/>
        <w:jc w:val="both"/>
      </w:pPr>
      <w:bookmarkStart w:id="440" w:name="bookmark440"/>
      <w:r>
        <w:rPr>
          <w:rFonts w:ascii="Times New Roman" w:eastAsia="Times New Roman" w:hAnsi="Times New Roman" w:cs="Times New Roman"/>
          <w:color w:val="000000"/>
          <w:spacing w:val="0"/>
          <w:w w:val="100"/>
          <w:position w:val="0"/>
        </w:rPr>
        <w:t>5</w:t>
      </w:r>
      <w:bookmarkEnd w:id="440"/>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日，公司召开第三届董事会第十八次会议审议通过了《关于筹划重大资产重组事项申 请继续停牌的议案》，公司申请再次延期复牌。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日，公司发布了《关于重大资产重组进展暨 延期复牌的公告》（公告编号：</w:t>
      </w:r>
      <w:r>
        <w:rPr>
          <w:rFonts w:ascii="Times New Roman" w:eastAsia="Times New Roman" w:hAnsi="Times New Roman" w:cs="Times New Roman"/>
          <w:color w:val="000000"/>
          <w:spacing w:val="0"/>
          <w:w w:val="100"/>
          <w:position w:val="0"/>
        </w:rPr>
        <w:t>2016-059</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日，公司召开第三届董事会第十九次会议审议通 过了《关于筹划重大资产重组事项申请继续停牌的议案》，公司申请再次延期复牌。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 司与各交易方签署了框架协议。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日，公司于证监会指定信息披露网站巨潮资讯网披露了《关 于签署框架协议的公告》（公告编号：</w:t>
      </w:r>
      <w:r>
        <w:rPr>
          <w:rFonts w:ascii="Times New Roman" w:eastAsia="Times New Roman" w:hAnsi="Times New Roman" w:cs="Times New Roman"/>
          <w:color w:val="000000"/>
          <w:spacing w:val="0"/>
          <w:w w:val="100"/>
          <w:position w:val="0"/>
        </w:rPr>
        <w:t>2016-069</w:t>
      </w:r>
      <w:r>
        <w:rPr>
          <w:color w:val="000000"/>
          <w:spacing w:val="0"/>
          <w:w w:val="100"/>
          <w:position w:val="0"/>
        </w:rPr>
        <w:t>）。</w:t>
      </w:r>
    </w:p>
    <w:p>
      <w:pPr>
        <w:pStyle w:val="Style35"/>
        <w:keepNext w:val="0"/>
        <w:keepLines w:val="0"/>
        <w:widowControl w:val="0"/>
        <w:shd w:val="clear" w:color="auto" w:fill="auto"/>
        <w:tabs>
          <w:tab w:pos="750" w:val="left"/>
        </w:tabs>
        <w:bidi w:val="0"/>
        <w:spacing w:before="0" w:after="140" w:line="317" w:lineRule="exact"/>
        <w:ind w:left="0" w:right="0" w:firstLine="460"/>
        <w:jc w:val="both"/>
      </w:pPr>
      <w:bookmarkStart w:id="441" w:name="bookmark441"/>
      <w:r>
        <w:rPr>
          <w:rFonts w:ascii="Times New Roman" w:eastAsia="Times New Roman" w:hAnsi="Times New Roman" w:cs="Times New Roman"/>
          <w:color w:val="000000"/>
          <w:spacing w:val="0"/>
          <w:w w:val="100"/>
          <w:position w:val="0"/>
        </w:rPr>
        <w:t>6</w:t>
      </w:r>
      <w:bookmarkEnd w:id="44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年第四次临时股东大会，审议通过了《关于筹划重大资产重组事项 申请继续停牌的议案》，并于中国证监会指定信息披露网站巨潮资讯网上发布了《关于重大资产重组延期 复牌的公告》（公告编号：</w:t>
      </w:r>
      <w:r>
        <w:rPr>
          <w:rFonts w:ascii="Times New Roman" w:eastAsia="Times New Roman" w:hAnsi="Times New Roman" w:cs="Times New Roman"/>
          <w:color w:val="000000"/>
          <w:spacing w:val="0"/>
          <w:w w:val="100"/>
          <w:position w:val="0"/>
        </w:rPr>
        <w:t>2016-074</w:t>
      </w:r>
      <w:r>
        <w:rPr>
          <w:color w:val="000000"/>
          <w:spacing w:val="0"/>
          <w:w w:val="100"/>
          <w:position w:val="0"/>
        </w:rPr>
        <w:t>）。</w:t>
      </w:r>
    </w:p>
    <w:p>
      <w:pPr>
        <w:pStyle w:val="Style35"/>
        <w:keepNext w:val="0"/>
        <w:keepLines w:val="0"/>
        <w:widowControl w:val="0"/>
        <w:shd w:val="clear" w:color="auto" w:fill="auto"/>
        <w:tabs>
          <w:tab w:pos="750" w:val="left"/>
        </w:tabs>
        <w:bidi w:val="0"/>
        <w:spacing w:before="0" w:after="140" w:line="312" w:lineRule="exact"/>
        <w:ind w:left="0" w:right="0" w:firstLine="460"/>
        <w:jc w:val="both"/>
      </w:pPr>
      <w:bookmarkStart w:id="442" w:name="bookmark442"/>
      <w:r>
        <w:rPr>
          <w:rFonts w:ascii="Times New Roman" w:eastAsia="Times New Roman" w:hAnsi="Times New Roman" w:cs="Times New Roman"/>
          <w:color w:val="000000"/>
          <w:spacing w:val="0"/>
          <w:w w:val="100"/>
          <w:position w:val="0"/>
        </w:rPr>
        <w:t>7</w:t>
      </w:r>
      <w:bookmarkEnd w:id="44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日，公司召开第三届董事会第二十一次会议，审议通过了《关于公司发行股份及支 付现金购买资产并募集配套资金的议案》等与本次重大资产重组事项相关的议案，并于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日在 中国证监会指定信息披露网站巨潮资讯网披露《第三届董事会第二十一次会议决议公告》（公告编号： </w:t>
      </w:r>
      <w:r>
        <w:rPr>
          <w:rFonts w:ascii="Times New Roman" w:eastAsia="Times New Roman" w:hAnsi="Times New Roman" w:cs="Times New Roman"/>
          <w:color w:val="000000"/>
          <w:spacing w:val="0"/>
          <w:w w:val="100"/>
          <w:position w:val="0"/>
        </w:rPr>
        <w:t xml:space="preserve">2016-089 </w:t>
      </w:r>
      <w:r>
        <w:rPr>
          <w:color w:val="000000"/>
          <w:spacing w:val="0"/>
          <w:w w:val="100"/>
          <w:position w:val="0"/>
        </w:rPr>
        <w:t>）、《发行股份及支付现金购买资产并募集配套资金暨关联交易预案》等相关公告。</w:t>
      </w:r>
    </w:p>
    <w:p>
      <w:pPr>
        <w:pStyle w:val="Style35"/>
        <w:keepNext w:val="0"/>
        <w:keepLines w:val="0"/>
        <w:widowControl w:val="0"/>
        <w:shd w:val="clear" w:color="auto" w:fill="auto"/>
        <w:bidi w:val="0"/>
        <w:spacing w:before="0" w:after="140" w:line="313" w:lineRule="exact"/>
        <w:ind w:left="0" w:right="0" w:firstLine="460"/>
        <w:jc w:val="both"/>
      </w:pPr>
      <w:bookmarkStart w:id="443" w:name="bookmark443"/>
      <w:r>
        <w:rPr>
          <w:rFonts w:ascii="Times New Roman" w:eastAsia="Times New Roman" w:hAnsi="Times New Roman" w:cs="Times New Roman"/>
          <w:color w:val="000000"/>
          <w:spacing w:val="0"/>
          <w:w w:val="100"/>
          <w:position w:val="0"/>
        </w:rPr>
        <w:t>8</w:t>
      </w:r>
      <w:bookmarkEnd w:id="443"/>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日，公司召开第三届董事会第二十一次会议，审议通过了《关于</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厦门红相电力设备 股份有限公司第一期员工持股计划管理办法</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的议案》、《关于</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厦门红相电力设备股份有限公司第一期员 工持股计划（草案）（非公开发行方式认购）</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及其摘要的议案》、《关于签署员工持股计划资产管理合 同的议案》、《关于提请股东大会授权董事会办理公司第一期员工持股计划相关事宜的议案》，并于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日于中国证监会指定信息披露网站巨潮资讯网上披露了《厦门红相电力设备股份有限公司第一期 员工持股计划管理办法》、《厦门红相电力设备股份有限公司第一期员工持股计划（草案）（非公开发行 方式认购）》。</w:t>
      </w:r>
    </w:p>
    <w:p>
      <w:pPr>
        <w:pStyle w:val="Style35"/>
        <w:keepNext w:val="0"/>
        <w:keepLines w:val="0"/>
        <w:widowControl w:val="0"/>
        <w:shd w:val="clear" w:color="auto" w:fill="auto"/>
        <w:tabs>
          <w:tab w:pos="750" w:val="left"/>
        </w:tabs>
        <w:bidi w:val="0"/>
        <w:spacing w:before="0" w:after="140" w:line="311" w:lineRule="exact"/>
        <w:ind w:left="0" w:right="0" w:firstLine="460"/>
        <w:jc w:val="both"/>
      </w:pPr>
      <w:bookmarkStart w:id="444" w:name="bookmark444"/>
      <w:r>
        <w:rPr>
          <w:rFonts w:ascii="Times New Roman" w:eastAsia="Times New Roman" w:hAnsi="Times New Roman" w:cs="Times New Roman"/>
          <w:color w:val="000000"/>
          <w:spacing w:val="0"/>
          <w:w w:val="100"/>
          <w:position w:val="0"/>
        </w:rPr>
        <w:t>9</w:t>
      </w:r>
      <w:bookmarkEnd w:id="44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日，公司收到深圳证券交易所创业板公司管理部发出的《关于厦门红相电力设备股份 有限公司的重组问询函》（创业板许可类重组问询函【</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99</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《问询函》</w:t>
      </w:r>
      <w:r>
        <w:rPr>
          <w:color w:val="000000"/>
          <w:spacing w:val="0"/>
          <w:w w:val="100"/>
          <w:position w:val="0"/>
        </w:rPr>
        <w:t>’'）</w:t>
      </w:r>
      <w:r>
        <w:rPr>
          <w:color w:val="000000"/>
          <w:spacing w:val="0"/>
          <w:w w:val="100"/>
          <w:position w:val="0"/>
        </w:rPr>
        <w:t>；公司 与各方中介机构按照《问询函》的要求对有关问题进行回复，并对《红相电力发行股份及支付现金购买资 产并募集配套资金暨关联交易预案》等文件进行了补充和完善，并向深交所提交了相关书面说明。公司关 于《问询函》的回复等相关文件于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日披露于中国证监会指定信息披露网站巨潮资讯网。</w:t>
      </w:r>
    </w:p>
    <w:p>
      <w:pPr>
        <w:pStyle w:val="Style35"/>
        <w:keepNext w:val="0"/>
        <w:keepLines w:val="0"/>
        <w:widowControl w:val="0"/>
        <w:shd w:val="clear" w:color="auto" w:fill="auto"/>
        <w:tabs>
          <w:tab w:pos="826" w:val="left"/>
        </w:tabs>
        <w:bidi w:val="0"/>
        <w:spacing w:before="0" w:after="360" w:line="312" w:lineRule="exact"/>
        <w:ind w:left="0" w:right="0" w:firstLine="460"/>
        <w:jc w:val="both"/>
      </w:pPr>
      <w:bookmarkStart w:id="445" w:name="bookmark445"/>
      <w:r>
        <w:rPr>
          <w:rFonts w:ascii="Times New Roman" w:eastAsia="Times New Roman" w:hAnsi="Times New Roman" w:cs="Times New Roman"/>
          <w:color w:val="000000"/>
          <w:spacing w:val="0"/>
          <w:w w:val="100"/>
          <w:position w:val="0"/>
        </w:rPr>
        <w:t>1</w:t>
      </w:r>
      <w:bookmarkEnd w:id="445"/>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日，经公司向交易所申请，公司股票（证券简称：红相电力，证券代码</w:t>
      </w:r>
      <w:r>
        <w:rPr>
          <w:rFonts w:ascii="Times New Roman" w:eastAsia="Times New Roman" w:hAnsi="Times New Roman" w:cs="Times New Roman"/>
          <w:color w:val="000000"/>
          <w:spacing w:val="0"/>
          <w:w w:val="100"/>
          <w:position w:val="0"/>
        </w:rPr>
        <w:t>:300427</w:t>
      </w:r>
      <w:r>
        <w:rPr>
          <w:color w:val="000000"/>
          <w:spacing w:val="0"/>
          <w:w w:val="100"/>
          <w:position w:val="0"/>
        </w:rPr>
        <w:t>）于 当日复牌，并在中国证监会指定信息披露网站巨潮资讯网披露了《关于公司股票复牌的提示性公告》（公 告编号</w:t>
      </w:r>
      <w:r>
        <w:rPr>
          <w:rFonts w:ascii="Times New Roman" w:eastAsia="Times New Roman" w:hAnsi="Times New Roman" w:cs="Times New Roman"/>
          <w:color w:val="000000"/>
          <w:spacing w:val="0"/>
          <w:w w:val="100"/>
          <w:position w:val="0"/>
        </w:rPr>
        <w:t>:2016-097</w:t>
      </w:r>
      <w:r>
        <w:rPr>
          <w:color w:val="000000"/>
          <w:spacing w:val="0"/>
          <w:w w:val="100"/>
          <w:position w:val="0"/>
        </w:rPr>
        <w:t>）。</w:t>
      </w:r>
    </w:p>
    <w:p>
      <w:pPr>
        <w:pStyle w:val="Style23"/>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十九、公司子公司重大事项</w:t>
      </w:r>
      <w:bookmarkEnd w:id="446"/>
      <w:bookmarkEnd w:id="447"/>
      <w:bookmarkEnd w:id="44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49" w:name="bookmark449"/>
      <w:bookmarkStart w:id="450" w:name="bookmark450"/>
      <w:bookmarkStart w:id="451" w:name="bookmark451"/>
      <w:r>
        <w:rPr>
          <w:color w:val="000000"/>
          <w:spacing w:val="0"/>
          <w:w w:val="100"/>
          <w:position w:val="0"/>
        </w:rPr>
        <w:t>第六节股份变动及股东情况</w:t>
      </w:r>
      <w:bookmarkEnd w:id="449"/>
      <w:bookmarkEnd w:id="450"/>
      <w:bookmarkEnd w:id="451"/>
    </w:p>
    <w:p>
      <w:pPr>
        <w:pStyle w:val="Style23"/>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、股份变动情况</w:t>
      </w:r>
      <w:bookmarkEnd w:id="452"/>
      <w:bookmarkEnd w:id="453"/>
      <w:bookmarkEnd w:id="455"/>
    </w:p>
    <w:p>
      <w:pPr>
        <w:pStyle w:val="Style32"/>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、股份变动情况</w:t>
      </w:r>
      <w:bookmarkEnd w:id="456"/>
      <w:bookmarkEnd w:id="457"/>
      <w:bookmarkEnd w:id="4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195,662,2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134,517,7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195,662,2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88,081,77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60,556,22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65,911,77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88,081,77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283,744,0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6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60" w:line="317"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日，公司总股本数量为</w:t>
      </w:r>
      <w:r>
        <w:rPr>
          <w:rFonts w:ascii="Times New Roman" w:eastAsia="Times New Roman" w:hAnsi="Times New Roman" w:cs="Times New Roman"/>
          <w:color w:val="000000"/>
          <w:spacing w:val="0"/>
          <w:w w:val="100"/>
          <w:position w:val="0"/>
        </w:rPr>
        <w:t>8,867</w:t>
      </w:r>
      <w:r>
        <w:rPr>
          <w:color w:val="000000"/>
          <w:spacing w:val="0"/>
          <w:w w:val="100"/>
          <w:position w:val="0"/>
        </w:rPr>
        <w:t>万股，其中限售流通股股份数量为</w:t>
      </w:r>
      <w:r>
        <w:rPr>
          <w:rFonts w:ascii="Times New Roman" w:eastAsia="Times New Roman" w:hAnsi="Times New Roman" w:cs="Times New Roman"/>
          <w:color w:val="000000"/>
          <w:spacing w:val="0"/>
          <w:w w:val="100"/>
          <w:position w:val="0"/>
        </w:rPr>
        <w:t>6,650</w:t>
      </w:r>
      <w:r>
        <w:rPr>
          <w:color w:val="000000"/>
          <w:spacing w:val="0"/>
          <w:w w:val="100"/>
          <w:position w:val="0"/>
        </w:rPr>
        <w:t>万股，无限 售流通股股份数量为</w:t>
      </w:r>
      <w:r>
        <w:rPr>
          <w:rFonts w:ascii="Times New Roman" w:eastAsia="Times New Roman" w:hAnsi="Times New Roman" w:cs="Times New Roman"/>
          <w:color w:val="000000"/>
          <w:spacing w:val="0"/>
          <w:w w:val="100"/>
          <w:position w:val="0"/>
        </w:rPr>
        <w:t>2,217</w:t>
      </w:r>
      <w:r>
        <w:rPr>
          <w:color w:val="000000"/>
          <w:spacing w:val="0"/>
          <w:w w:val="100"/>
          <w:position w:val="0"/>
        </w:rPr>
        <w:t>万股。</w:t>
      </w:r>
    </w:p>
    <w:p>
      <w:pPr>
        <w:pStyle w:val="Style35"/>
        <w:keepNext w:val="0"/>
        <w:keepLines w:val="0"/>
        <w:widowControl w:val="0"/>
        <w:shd w:val="clear" w:color="auto" w:fill="auto"/>
        <w:tabs>
          <w:tab w:pos="795" w:val="left"/>
        </w:tabs>
        <w:bidi w:val="0"/>
        <w:spacing w:before="0" w:after="140" w:line="312" w:lineRule="exact"/>
        <w:ind w:left="0" w:right="0" w:firstLine="440"/>
        <w:jc w:val="both"/>
      </w:pPr>
      <w:bookmarkStart w:id="460" w:name="bookmark460"/>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日，公司部分首发限售股限售期满，解除限售，共解除限售流通股</w:t>
      </w:r>
      <w:r>
        <w:rPr>
          <w:rFonts w:ascii="Times New Roman" w:eastAsia="Times New Roman" w:hAnsi="Times New Roman" w:cs="Times New Roman"/>
          <w:color w:val="000000"/>
          <w:spacing w:val="0"/>
          <w:w w:val="100"/>
          <w:position w:val="0"/>
        </w:rPr>
        <w:t>5,307,684</w:t>
      </w:r>
      <w:r>
        <w:rPr>
          <w:color w:val="000000"/>
          <w:spacing w:val="0"/>
          <w:w w:val="100"/>
          <w:position w:val="0"/>
        </w:rPr>
        <w:t xml:space="preserve">股。截至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日，公司限售流通股股份数量为</w:t>
      </w:r>
      <w:r>
        <w:rPr>
          <w:rFonts w:ascii="Times New Roman" w:eastAsia="Times New Roman" w:hAnsi="Times New Roman" w:cs="Times New Roman"/>
          <w:color w:val="000000"/>
          <w:spacing w:val="0"/>
          <w:w w:val="100"/>
          <w:position w:val="0"/>
        </w:rPr>
        <w:t>61,192,316</w:t>
      </w:r>
      <w:r>
        <w:rPr>
          <w:color w:val="000000"/>
          <w:spacing w:val="0"/>
          <w:w w:val="100"/>
          <w:position w:val="0"/>
        </w:rPr>
        <w:t>股。无限售流通股股份数量为</w:t>
      </w:r>
      <w:r>
        <w:rPr>
          <w:rFonts w:ascii="Times New Roman" w:eastAsia="Times New Roman" w:hAnsi="Times New Roman" w:cs="Times New Roman"/>
          <w:color w:val="000000"/>
          <w:spacing w:val="0"/>
          <w:w w:val="100"/>
          <w:position w:val="0"/>
        </w:rPr>
        <w:t>27,477,684</w:t>
      </w:r>
      <w:r>
        <w:rPr>
          <w:color w:val="000000"/>
          <w:spacing w:val="0"/>
          <w:w w:val="100"/>
          <w:position w:val="0"/>
        </w:rPr>
        <w:t>股。其中， 罗媛女士为公司现任董事会秘书、副总经理，本次解除限售的股份数量为</w:t>
      </w:r>
      <w:r>
        <w:rPr>
          <w:rFonts w:ascii="Times New Roman" w:eastAsia="Times New Roman" w:hAnsi="Times New Roman" w:cs="Times New Roman"/>
          <w:color w:val="000000"/>
          <w:spacing w:val="0"/>
          <w:w w:val="100"/>
          <w:position w:val="0"/>
        </w:rPr>
        <w:t>191,489</w:t>
      </w:r>
      <w:r>
        <w:rPr>
          <w:color w:val="000000"/>
          <w:spacing w:val="0"/>
          <w:w w:val="100"/>
          <w:position w:val="0"/>
        </w:rPr>
        <w:t>股，其中</w:t>
      </w:r>
      <w:r>
        <w:rPr>
          <w:rFonts w:ascii="Times New Roman" w:eastAsia="Times New Roman" w:hAnsi="Times New Roman" w:cs="Times New Roman"/>
          <w:color w:val="000000"/>
          <w:spacing w:val="0"/>
          <w:w w:val="100"/>
          <w:position w:val="0"/>
        </w:rPr>
        <w:t>191,489</w:t>
      </w:r>
      <w:r>
        <w:rPr>
          <w:color w:val="000000"/>
          <w:spacing w:val="0"/>
          <w:w w:val="100"/>
          <w:position w:val="0"/>
        </w:rPr>
        <w:t>股处于 质押状态，该部分股份解除质押后即可流通上市。作为公司高级管理人员，罗媛女士任职期间每年减持不 得超过本人所持有公司股份总数的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日，罗媛女士解除质押股数</w:t>
      </w:r>
      <w:r>
        <w:rPr>
          <w:rFonts w:ascii="Times New Roman" w:eastAsia="Times New Roman" w:hAnsi="Times New Roman" w:cs="Times New Roman"/>
          <w:color w:val="000000"/>
          <w:spacing w:val="0"/>
          <w:w w:val="100"/>
          <w:position w:val="0"/>
        </w:rPr>
        <w:t>48,000</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日，罗媛女士解除限售股数共</w:t>
      </w:r>
      <w:r>
        <w:rPr>
          <w:rFonts w:ascii="Times New Roman" w:eastAsia="Times New Roman" w:hAnsi="Times New Roman" w:cs="Times New Roman"/>
          <w:color w:val="000000"/>
          <w:spacing w:val="0"/>
          <w:w w:val="100"/>
          <w:position w:val="0"/>
        </w:rPr>
        <w:t>47,872</w:t>
      </w:r>
      <w:r>
        <w:rPr>
          <w:color w:val="000000"/>
          <w:spacing w:val="0"/>
          <w:w w:val="100"/>
          <w:position w:val="0"/>
        </w:rPr>
        <w:t>股，公司共解除限售股</w:t>
      </w:r>
      <w:r>
        <w:rPr>
          <w:rFonts w:ascii="Times New Roman" w:eastAsia="Times New Roman" w:hAnsi="Times New Roman" w:cs="Times New Roman"/>
          <w:color w:val="000000"/>
          <w:spacing w:val="0"/>
          <w:w w:val="100"/>
          <w:position w:val="0"/>
        </w:rPr>
        <w:t>5,355,556</w:t>
      </w:r>
      <w:r>
        <w:rPr>
          <w:color w:val="000000"/>
          <w:spacing w:val="0"/>
          <w:w w:val="100"/>
          <w:position w:val="0"/>
        </w:rPr>
        <w:t>股。</w:t>
      </w:r>
    </w:p>
    <w:p>
      <w:pPr>
        <w:pStyle w:val="Style35"/>
        <w:keepNext w:val="0"/>
        <w:keepLines w:val="0"/>
        <w:widowControl w:val="0"/>
        <w:shd w:val="clear" w:color="auto" w:fill="auto"/>
        <w:tabs>
          <w:tab w:pos="790" w:val="left"/>
        </w:tabs>
        <w:bidi w:val="0"/>
        <w:spacing w:before="0" w:after="140" w:line="317" w:lineRule="exact"/>
        <w:ind w:left="0" w:right="0" w:firstLine="440"/>
        <w:jc w:val="both"/>
      </w:pPr>
      <w:bookmarkStart w:id="461" w:name="bookmark461"/>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公司限售流通股股份数量为</w:t>
      </w:r>
      <w:r>
        <w:rPr>
          <w:rFonts w:ascii="Times New Roman" w:eastAsia="Times New Roman" w:hAnsi="Times New Roman" w:cs="Times New Roman"/>
          <w:color w:val="000000"/>
          <w:spacing w:val="0"/>
          <w:w w:val="100"/>
          <w:position w:val="0"/>
        </w:rPr>
        <w:t>61,144,444</w:t>
      </w:r>
      <w:r>
        <w:rPr>
          <w:color w:val="000000"/>
          <w:spacing w:val="0"/>
          <w:w w:val="100"/>
          <w:position w:val="0"/>
        </w:rPr>
        <w:t>股，无限售流通股股份数量为</w:t>
      </w:r>
      <w:r>
        <w:rPr>
          <w:rFonts w:ascii="Times New Roman" w:eastAsia="Times New Roman" w:hAnsi="Times New Roman" w:cs="Times New Roman"/>
          <w:color w:val="000000"/>
          <w:spacing w:val="0"/>
          <w:w w:val="100"/>
          <w:position w:val="0"/>
        </w:rPr>
        <w:t xml:space="preserve">27,525,556 </w:t>
      </w:r>
      <w:r>
        <w:rPr>
          <w:color w:val="000000"/>
          <w:spacing w:val="0"/>
          <w:w w:val="100"/>
          <w:position w:val="0"/>
        </w:rPr>
        <w:t>股，公司总股本数量为</w:t>
      </w:r>
      <w:r>
        <w:rPr>
          <w:rFonts w:ascii="Times New Roman" w:eastAsia="Times New Roman" w:hAnsi="Times New Roman" w:cs="Times New Roman"/>
          <w:color w:val="000000"/>
          <w:spacing w:val="0"/>
          <w:w w:val="100"/>
          <w:position w:val="0"/>
        </w:rPr>
        <w:t>8,867</w:t>
      </w:r>
      <w:r>
        <w:rPr>
          <w:color w:val="000000"/>
          <w:spacing w:val="0"/>
          <w:w w:val="100"/>
          <w:position w:val="0"/>
        </w:rPr>
        <w:t>万股。</w:t>
      </w:r>
    </w:p>
    <w:p>
      <w:pPr>
        <w:pStyle w:val="Style35"/>
        <w:keepNext w:val="0"/>
        <w:keepLines w:val="0"/>
        <w:widowControl w:val="0"/>
        <w:shd w:val="clear" w:color="auto" w:fill="auto"/>
        <w:bidi w:val="0"/>
        <w:spacing w:before="0" w:after="140" w:line="312" w:lineRule="exact"/>
        <w:ind w:left="0" w:right="0" w:firstLine="440"/>
        <w:jc w:val="both"/>
      </w:pPr>
      <w:bookmarkStart w:id="462" w:name="bookmark462"/>
      <w:r>
        <w:rPr>
          <w:rFonts w:ascii="Times New Roman" w:eastAsia="Times New Roman" w:hAnsi="Times New Roman" w:cs="Times New Roman"/>
          <w:color w:val="000000"/>
          <w:spacing w:val="0"/>
          <w:w w:val="100"/>
          <w:position w:val="0"/>
        </w:rPr>
        <w:t>4</w:t>
      </w:r>
      <w:bookmarkEnd w:id="462"/>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 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8,867</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 股份</w:t>
      </w:r>
      <w:r>
        <w:rPr>
          <w:rFonts w:ascii="Times New Roman" w:eastAsia="Times New Roman" w:hAnsi="Times New Roman" w:cs="Times New Roman"/>
          <w:color w:val="000000"/>
          <w:spacing w:val="0"/>
          <w:w w:val="100"/>
          <w:position w:val="0"/>
        </w:rPr>
        <w:t>19,5074,000</w:t>
      </w:r>
      <w:r>
        <w:rPr>
          <w:color w:val="000000"/>
          <w:spacing w:val="0"/>
          <w:w w:val="100"/>
          <w:position w:val="0"/>
        </w:rPr>
        <w:t>股。公司本次权益分派股权登记日为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35"/>
        <w:keepNext w:val="0"/>
        <w:keepLines w:val="0"/>
        <w:widowControl w:val="0"/>
        <w:shd w:val="clear" w:color="auto" w:fill="auto"/>
        <w:bidi w:val="0"/>
        <w:spacing w:before="0" w:after="260" w:line="317" w:lineRule="exact"/>
        <w:ind w:left="0" w:right="0" w:firstLine="440"/>
        <w:jc w:val="both"/>
      </w:pPr>
      <w:bookmarkStart w:id="463" w:name="bookmark463"/>
      <w:r>
        <w:rPr>
          <w:rFonts w:ascii="Times New Roman" w:eastAsia="Times New Roman" w:hAnsi="Times New Roman" w:cs="Times New Roman"/>
          <w:color w:val="000000"/>
          <w:spacing w:val="0"/>
          <w:w w:val="100"/>
          <w:position w:val="0"/>
        </w:rPr>
        <w:t>5</w:t>
      </w:r>
      <w:bookmarkEnd w:id="463"/>
      <w:r>
        <w:rPr>
          <w:color w:val="000000"/>
          <w:spacing w:val="0"/>
          <w:w w:val="100"/>
          <w:position w:val="0"/>
        </w:rPr>
        <w:t>、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日，公司总股本数量为</w:t>
      </w:r>
      <w:r>
        <w:rPr>
          <w:rFonts w:ascii="Times New Roman" w:eastAsia="Times New Roman" w:hAnsi="Times New Roman" w:cs="Times New Roman"/>
          <w:color w:val="000000"/>
          <w:spacing w:val="0"/>
          <w:w w:val="100"/>
          <w:position w:val="0"/>
        </w:rPr>
        <w:t>283,744,000</w:t>
      </w:r>
      <w:r>
        <w:rPr>
          <w:color w:val="000000"/>
          <w:spacing w:val="0"/>
          <w:w w:val="100"/>
          <w:position w:val="0"/>
        </w:rPr>
        <w:t>股，其中限售流通股股份数量为</w:t>
      </w:r>
      <w:r>
        <w:rPr>
          <w:rFonts w:ascii="Times New Roman" w:eastAsia="Times New Roman" w:hAnsi="Times New Roman" w:cs="Times New Roman"/>
          <w:color w:val="000000"/>
          <w:spacing w:val="0"/>
          <w:w w:val="100"/>
          <w:position w:val="0"/>
        </w:rPr>
        <w:t xml:space="preserve">195,662,221 </w:t>
      </w:r>
      <w:r>
        <w:rPr>
          <w:color w:val="000000"/>
          <w:spacing w:val="0"/>
          <w:w w:val="100"/>
          <w:position w:val="0"/>
        </w:rPr>
        <w:t>股，无限售流通股股份数量为</w:t>
      </w:r>
      <w:r>
        <w:rPr>
          <w:rFonts w:ascii="Times New Roman" w:eastAsia="Times New Roman" w:hAnsi="Times New Roman" w:cs="Times New Roman"/>
          <w:color w:val="000000"/>
          <w:spacing w:val="0"/>
          <w:w w:val="100"/>
          <w:position w:val="0"/>
        </w:rPr>
        <w:t>88,081,779</w:t>
      </w:r>
      <w:r>
        <w:rPr>
          <w:color w:val="000000"/>
          <w:spacing w:val="0"/>
          <w:w w:val="100"/>
          <w:position w:val="0"/>
        </w:rPr>
        <w:t>股。</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480" w:line="314"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日公司第三届董事第十五次会议、第三届监事会第九次会议以及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年年度股东大会，审议通过的公司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8867 </w:t>
      </w:r>
      <w:r>
        <w:rPr>
          <w:color w:val="000000"/>
          <w:spacing w:val="0"/>
          <w:w w:val="100"/>
          <w:position w:val="0"/>
        </w:rPr>
        <w:t>万股为基数，以未分配利润向全体股东每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1.9</w:t>
      </w:r>
      <w:r>
        <w:rPr>
          <w:color w:val="000000"/>
          <w:spacing w:val="0"/>
          <w:w w:val="100"/>
          <w:position w:val="0"/>
        </w:rPr>
        <w:t>元（含税），共计派发股利人民币</w:t>
      </w:r>
      <w:r>
        <w:rPr>
          <w:rFonts w:ascii="Times New Roman" w:eastAsia="Times New Roman" w:hAnsi="Times New Roman" w:cs="Times New Roman"/>
          <w:color w:val="000000"/>
          <w:spacing w:val="0"/>
          <w:w w:val="100"/>
          <w:position w:val="0"/>
        </w:rPr>
        <w:t xml:space="preserve">16,847,300 </w:t>
      </w:r>
      <w:r>
        <w:rPr>
          <w:color w:val="000000"/>
          <w:spacing w:val="0"/>
          <w:w w:val="100"/>
          <w:position w:val="0"/>
        </w:rPr>
        <w:t>元；以资本公积向全体股东每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股，共计转增股份</w:t>
      </w:r>
      <w:r>
        <w:rPr>
          <w:rFonts w:ascii="Times New Roman" w:eastAsia="Times New Roman" w:hAnsi="Times New Roman" w:cs="Times New Roman"/>
          <w:color w:val="000000"/>
          <w:spacing w:val="0"/>
          <w:w w:val="100"/>
          <w:position w:val="0"/>
        </w:rPr>
        <w:t>195,074,000</w:t>
      </w:r>
      <w:r>
        <w:rPr>
          <w:color w:val="000000"/>
          <w:spacing w:val="0"/>
          <w:w w:val="100"/>
          <w:position w:val="0"/>
        </w:rPr>
        <w:t>股。</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480" w:line="322" w:lineRule="exact"/>
        <w:ind w:left="0" w:right="0" w:firstLine="440"/>
        <w:jc w:val="left"/>
      </w:pPr>
      <w:r>
        <w:rPr>
          <w:color w:val="000000"/>
          <w:spacing w:val="0"/>
          <w:w w:val="100"/>
          <w:position w:val="0"/>
        </w:rPr>
        <w:t>截止报告期末，公司总股本为</w:t>
      </w:r>
      <w:r>
        <w:rPr>
          <w:rFonts w:ascii="Times New Roman" w:eastAsia="Times New Roman" w:hAnsi="Times New Roman" w:cs="Times New Roman"/>
          <w:color w:val="000000"/>
          <w:spacing w:val="0"/>
          <w:w w:val="100"/>
          <w:position w:val="0"/>
        </w:rPr>
        <w:t>28,374.4</w:t>
      </w:r>
      <w:r>
        <w:rPr>
          <w:color w:val="000000"/>
          <w:spacing w:val="0"/>
          <w:w w:val="100"/>
          <w:position w:val="0"/>
        </w:rPr>
        <w:t>万股，基本每股收益为</w:t>
      </w:r>
      <w:r>
        <w:rPr>
          <w:rFonts w:ascii="Times New Roman" w:eastAsia="Times New Roman" w:hAnsi="Times New Roman" w:cs="Times New Roman"/>
          <w:color w:val="000000"/>
          <w:spacing w:val="0"/>
          <w:w w:val="100"/>
          <w:position w:val="0"/>
        </w:rPr>
        <w:t>0.26</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.26</w:t>
      </w:r>
      <w:r>
        <w:rPr>
          <w:color w:val="000000"/>
          <w:spacing w:val="0"/>
          <w:w w:val="100"/>
          <w:position w:val="0"/>
        </w:rPr>
        <w:t>元，归属于 公司普通股股东的每股净资产为</w:t>
      </w:r>
      <w:r>
        <w:rPr>
          <w:rFonts w:ascii="Times New Roman" w:eastAsia="Times New Roman" w:hAnsi="Times New Roman" w:cs="Times New Roman"/>
          <w:color w:val="000000"/>
          <w:spacing w:val="0"/>
          <w:w w:val="100"/>
          <w:position w:val="0"/>
        </w:rPr>
        <w:t>2.19</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314" w:lineRule="exact"/>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、限售股份变动情况</w:t>
      </w:r>
      <w:bookmarkEnd w:id="464"/>
      <w:bookmarkEnd w:id="465"/>
      <w:bookmarkEnd w:id="467"/>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39,030,638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124,898,042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首发前个人限售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股，限售股数量 相应增加。</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首发前个人限售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股，限售股数量 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承诺限售期限已 满，基于高管身 份部分股份解除 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股，解除限售股 数量相应增加。</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长江成长资本投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首发前机构类限 售股；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日，限售期届满；</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2,553,191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首发前个人限售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股，限售股数量 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马露萍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承诺限售期限已 满，基于高管身 份部分股份解除 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股，解除限售股 数量相应增加。</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承诺限售期限已 满，基于高管身 份部分股份解除 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股，解除限售股 数量相应增加。</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承诺限售期限已 满，基于高管身 份部分股份解除 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股，解除限售股 数量相应增加。</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承诺限售期限已 满，基于高管身 份部分股份解除 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股，解除限售股 数量相应增加。</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承诺限售期限已 满，基于高管身 份部分股份解除 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日因公司实 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年度利润 分配每十股转增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股，限售股数 量相应增加。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日因公司实施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配每十股转增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股，解除限售股 数量相应增加。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62,417,448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137,318,388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195,662,221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二</w:t>
      </w:r>
      <w:bookmarkEnd w:id="470"/>
      <w:r>
        <w:rPr>
          <w:color w:val="000000"/>
          <w:spacing w:val="0"/>
          <w:w w:val="100"/>
          <w:position w:val="0"/>
          <w:sz w:val="24"/>
          <w:szCs w:val="24"/>
        </w:rPr>
        <w:t>、证券发行与上市情况</w:t>
      </w:r>
      <w:bookmarkEnd w:id="468"/>
      <w:bookmarkEnd w:id="469"/>
      <w:bookmarkEnd w:id="471"/>
    </w:p>
    <w:p>
      <w:pPr>
        <w:pStyle w:val="Style32"/>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、报告期内证券发行（不含优先股）情况</w:t>
      </w:r>
      <w:bookmarkEnd w:id="472"/>
      <w:bookmarkEnd w:id="473"/>
      <w:bookmarkEnd w:id="47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公司股份总数及股东结构的变动、公司资产和负债结构的变动情况说明</w:t>
      </w:r>
      <w:bookmarkEnd w:id="476"/>
      <w:bookmarkEnd w:id="477"/>
      <w:bookmarkEnd w:id="47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现存的内部职工股情况</w:t>
      </w:r>
      <w:bookmarkEnd w:id="480"/>
      <w:bookmarkEnd w:id="481"/>
      <w:bookmarkEnd w:id="48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三</w:t>
      </w:r>
      <w:bookmarkEnd w:id="486"/>
      <w:r>
        <w:rPr>
          <w:color w:val="000000"/>
          <w:spacing w:val="0"/>
          <w:w w:val="100"/>
          <w:position w:val="0"/>
          <w:sz w:val="24"/>
          <w:szCs w:val="24"/>
        </w:rPr>
        <w:t>、股东和实际控制人情况</w:t>
      </w:r>
      <w:bookmarkEnd w:id="484"/>
      <w:bookmarkEnd w:id="485"/>
      <w:bookmarkEnd w:id="487"/>
    </w:p>
    <w:p>
      <w:pPr>
        <w:pStyle w:val="Style32"/>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、公司股东数量及持股情况</w:t>
      </w:r>
      <w:bookmarkEnd w:id="488"/>
      <w:bookmarkEnd w:id="489"/>
      <w:bookmarkEnd w:id="4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2"/>
        <w:gridCol w:w="82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15,638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50,680,000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38,853,11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38,853,11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27,520,000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3,299,319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长江成长资本投 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8,170,211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兴业银行股份有 限公司一工银瑞 信新材料新能源 行业股票型证券 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3,599,979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3,599,979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 限公司一盛锦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集合资金信托计 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云南国际信托有</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1,555,234</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1,555,234</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限公司一云南信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聚鑫</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号集合 资金信托计划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马露萍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、杨保田与杨成系父子，杨成与杨力系兄弟关系。杨保田、杨成两人合计持有公司 </w:t>
            </w:r>
            <w:r>
              <w:rPr>
                <w:rFonts w:ascii="Times New Roman" w:eastAsia="Times New Roman" w:hAnsi="Times New Roman" w:cs="Times New Roman"/>
                <w:color w:val="000000"/>
                <w:spacing w:val="0"/>
                <w:w w:val="100"/>
                <w:position w:val="0"/>
                <w:sz w:val="18"/>
                <w:szCs w:val="18"/>
              </w:rPr>
              <w:t>163,751,155</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sz w:val="18"/>
                <w:szCs w:val="18"/>
              </w:rPr>
              <w:t>57.71%</w:t>
            </w:r>
            <w:r>
              <w:rPr>
                <w:color w:val="000000"/>
                <w:spacing w:val="0"/>
                <w:w w:val="100"/>
                <w:position w:val="0"/>
              </w:rPr>
              <w:t>,是公司的实际控制人。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、除前述股 东外，公司未知前十名股东之间是否存在关联关系或是属于《上市公司股东持股变动 信息披露管理办法》规定的一致行动人。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兴业银行股份有限公司一工银瑞信 新材料新能源行业股票型证券投资 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3,599,979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3,299,319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云南国际信托有限公司一盛锦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集合资金信托计划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云南国际信托有限公司一云南信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聚鑫</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号集合资金信托计划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1,555,234</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唐温纯</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774,300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何肖军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770,840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上海慧眼投资管理有限公司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740,160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672,088</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张韵东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558,616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510,100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、公司前十名无限售流通股股东与公司两名控股股东、实际控制人杨成、杨保田及 关联方杨力，不存在任何关联关系。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、除前述情况外，公司未知前十名无限售流通 股股东之间，以及前十名无限售流通股股东和其他前十名股东之间是否存在关联关系 或是属于《上市公司股东持股变动信息披露管理办法》规定的一致行动人。</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、公司控股股东情况</w:t>
      </w:r>
      <w:bookmarkEnd w:id="492"/>
      <w:bookmarkEnd w:id="493"/>
      <w:bookmarkEnd w:id="49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控股股东性质：自然人控股</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控股股东类型：自然人</w:t>
      </w:r>
      <w:r>
        <w:br w:type="page"/>
      </w:r>
    </w:p>
    <w:tbl>
      <w:tblPr>
        <w:tblOverlap w:val="never"/>
        <w:jc w:val="center"/>
        <w:tblLayout w:type="fixed"/>
      </w:tblPr>
      <w:tblGrid>
        <w:gridCol w:w="3422"/>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1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杨成先生：公司董事长、总经理及法定代表人；中国籍，无境外居留权，</w:t>
            </w:r>
            <w:r>
              <w:rPr>
                <w:rFonts w:ascii="Times New Roman" w:eastAsia="Times New Roman" w:hAnsi="Times New Roman" w:cs="Times New Roman"/>
                <w:color w:val="000000"/>
                <w:spacing w:val="0"/>
                <w:w w:val="100"/>
                <w:position w:val="0"/>
                <w:sz w:val="18"/>
                <w:szCs w:val="18"/>
              </w:rPr>
              <w:t xml:space="preserve">1961 </w:t>
            </w:r>
            <w:r>
              <w:rPr>
                <w:color w:val="000000"/>
                <w:spacing w:val="0"/>
                <w:w w:val="100"/>
                <w:position w:val="0"/>
              </w:rPr>
              <w:t>年出生，厦门大学统计学硕士。</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年前，杨成先生曾先后在安徽省淮南发电 总厂、中国土产畜产进出口总公司厦门公司工作，</w:t>
            </w:r>
            <w:r>
              <w:rPr>
                <w:rFonts w:ascii="Times New Roman" w:eastAsia="Times New Roman" w:hAnsi="Times New Roman" w:cs="Times New Roman"/>
                <w:color w:val="000000"/>
                <w:spacing w:val="0"/>
                <w:w w:val="100"/>
                <w:position w:val="0"/>
                <w:sz w:val="18"/>
                <w:szCs w:val="18"/>
              </w:rPr>
              <w:t>1991~1993</w:t>
            </w:r>
            <w:r>
              <w:rPr>
                <w:color w:val="000000"/>
                <w:spacing w:val="0"/>
                <w:w w:val="100"/>
                <w:position w:val="0"/>
              </w:rPr>
              <w:t>年就读于澳大利 亚皇家理工学院会计专业，</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年起进入澳洲红相的前身</w:t>
            </w:r>
            <w:r>
              <w:rPr>
                <w:rFonts w:ascii="Times New Roman" w:eastAsia="Times New Roman" w:hAnsi="Times New Roman" w:cs="Times New Roman"/>
                <w:color w:val="000000"/>
                <w:spacing w:val="0"/>
                <w:w w:val="100"/>
                <w:position w:val="0"/>
                <w:sz w:val="18"/>
                <w:szCs w:val="18"/>
              </w:rPr>
              <w:t>R.M.D Electronics Pty Ltd</w:t>
            </w:r>
            <w:r>
              <w:rPr>
                <w:color w:val="000000"/>
                <w:spacing w:val="0"/>
                <w:w w:val="100"/>
                <w:position w:val="0"/>
              </w:rPr>
              <w:t>生产营销部工作，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 xml:space="preserve">年起任厦门红相电力设备有限公司副总经理，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月起任红相有限副总经理，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月至今任红相有限和红相电力 董事长、总经理及法定代表人，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月起，兼任红相软件执行董事及法定 代表人，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月起兼任红相信息执行董事及法定代表人。杨成先生于</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日取得澳大利亚永久居留权；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日，杨成先生放弃澳大 利亚永久居留权；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日，厦门市公安局出入境管理处恢复杨成先 生的常住户口。</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杨保田先生：公司董事；中国籍，无境外居留权，</w:t>
            </w: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年出生，厦门大学计划 统计专业本科。杨保田先生于</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年退休，退休前一直任教于厦门大学；</w:t>
            </w: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年起任厦门红相电力设备有限公司执行董事、总经理、法定代表人，</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月任红相有限法定代表人、执行董事兼总经理，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月任红相有限董事、副总经理，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公司控股股东、实际控制人杨保田、杨成先生目前未控股或参股其他境内上市 公司。</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、公司实际控制人情况</w:t>
      </w:r>
      <w:bookmarkEnd w:id="496"/>
      <w:bookmarkEnd w:id="497"/>
      <w:bookmarkEnd w:id="499"/>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杨保田先生担任公司及其子公司上海红相董事；杨成先生担任公司董事长、法 定代表人、总经理，同时兼任子公司澳洲红相董事，子公司上海红相法定代表 人及董事长，子公司红相软件、红相信息法定代表人、执行董事。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杨保田、杨成先生除控股红相电力外，不存在曾控股其他境内外上市公司的情 况。</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1819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181985"/>
                    </a:xfrm>
                    <a:prstGeom prst="rect"/>
                  </pic:spPr>
                </pic:pic>
              </a:graphicData>
            </a:graphic>
          </wp:inline>
        </w:drawing>
      </w:r>
    </w:p>
    <w:p>
      <w:pPr>
        <w:widowControl w:val="0"/>
        <w:spacing w:after="379" w:line="1" w:lineRule="exact"/>
      </w:pPr>
    </w:p>
    <w:p>
      <w:pPr>
        <w:pStyle w:val="Style35"/>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4</w:t>
      </w:r>
      <w:bookmarkEnd w:id="50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0"/>
      <w:bookmarkEnd w:id="501"/>
      <w:bookmarkEnd w:id="50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5</w:t>
      </w:r>
      <w:bookmarkEnd w:id="506"/>
      <w:r>
        <w:rPr>
          <w:color w:val="000000"/>
          <w:spacing w:val="0"/>
          <w:w w:val="100"/>
          <w:position w:val="0"/>
        </w:rPr>
        <w:t>、</w:t>
        <w:tab/>
        <w:t>控股股东、实际控制人、重组方及其他承诺主体股份限制减持情况</w:t>
      </w:r>
      <w:bookmarkEnd w:id="504"/>
      <w:bookmarkEnd w:id="505"/>
      <w:bookmarkEnd w:id="507"/>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8" w:right="1047" w:bottom="1470" w:left="10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pgSz w:w="11900" w:h="16840"/>
          <w:pgMar w:top="1398" w:right="1062" w:bottom="1441" w:left="105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2721610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08" w:name="bookmark508"/>
                            <w:bookmarkStart w:id="509" w:name="bookmark509"/>
                            <w:bookmarkStart w:id="510" w:name="bookmark510"/>
                            <w:r>
                              <w:rPr>
                                <w:color w:val="000000"/>
                                <w:spacing w:val="0"/>
                                <w:w w:val="100"/>
                                <w:position w:val="0"/>
                              </w:rPr>
                              <w:t>第七节优先股相关情况</w:t>
                            </w:r>
                            <w:bookmarkEnd w:id="508"/>
                            <w:bookmarkEnd w:id="509"/>
                            <w:bookmarkEnd w:id="510"/>
                          </w:p>
                        </w:txbxContent>
                      </wps:txbx>
                      <wps:bodyPr wrap="none" lIns="0" tIns="0" rIns="0" bIns="0">
                        <a:noAutoFit/>
                      </wps:bodyPr>
                    </wps:wsp>
                  </a:graphicData>
                </a:graphic>
              </wp:anchor>
            </w:drawing>
          </mc:Choice>
          <mc:Fallback>
            <w:pict>
              <v:shape id="_x0000_s1038" type="#_x0000_t202" style="position:absolute;margin-left:214.30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08" w:name="bookmark508"/>
                      <w:bookmarkStart w:id="509" w:name="bookmark509"/>
                      <w:bookmarkStart w:id="510" w:name="bookmark510"/>
                      <w:r>
                        <w:rPr>
                          <w:color w:val="000000"/>
                          <w:spacing w:val="0"/>
                          <w:w w:val="100"/>
                          <w:position w:val="0"/>
                        </w:rPr>
                        <w:t>第七节优先股相关情况</w:t>
                      </w:r>
                      <w:bookmarkEnd w:id="508"/>
                      <w:bookmarkEnd w:id="509"/>
                      <w:bookmarkEnd w:id="510"/>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511" w:name="bookmark511"/>
      <w:bookmarkStart w:id="512" w:name="bookmark512"/>
      <w:bookmarkStart w:id="513" w:name="bookmark513"/>
      <w:r>
        <w:rPr>
          <w:color w:val="000000"/>
          <w:spacing w:val="0"/>
          <w:w w:val="100"/>
          <w:position w:val="0"/>
        </w:rPr>
        <w:t>第八节董事、监事、高级管理人员和员工情况</w:t>
      </w:r>
      <w:bookmarkEnd w:id="511"/>
      <w:bookmarkEnd w:id="512"/>
      <w:bookmarkEnd w:id="513"/>
    </w:p>
    <w:p>
      <w:pPr>
        <w:pStyle w:val="Style23"/>
        <w:keepNext/>
        <w:keepLines/>
        <w:widowControl w:val="0"/>
        <w:shd w:val="clear" w:color="auto" w:fill="auto"/>
        <w:bidi w:val="0"/>
        <w:spacing w:before="0" w:after="32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一</w:t>
      </w:r>
      <w:bookmarkEnd w:id="516"/>
      <w:r>
        <w:rPr>
          <w:color w:val="000000"/>
          <w:spacing w:val="0"/>
          <w:w w:val="100"/>
          <w:position w:val="0"/>
          <w:sz w:val="24"/>
          <w:szCs w:val="24"/>
        </w:rPr>
        <w:t>、董事、监事和高级管理人员持股变动</w:t>
      </w:r>
      <w:bookmarkEnd w:id="514"/>
      <w:bookmarkEnd w:id="515"/>
      <w:bookmarkEnd w:id="51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26,711,51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85,867,40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8,170,211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尹久远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786,384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马露萍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702,129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1,021,278</w:t>
            </w: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书兼副总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二</w:t>
      </w:r>
      <w:bookmarkEnd w:id="520"/>
      <w:r>
        <w:rPr>
          <w:color w:val="000000"/>
          <w:spacing w:val="0"/>
          <w:w w:val="100"/>
          <w:position w:val="0"/>
          <w:sz w:val="24"/>
          <w:szCs w:val="24"/>
        </w:rPr>
        <w:t>、公司董事、监事、高级管理人员变动情况</w:t>
      </w:r>
      <w:bookmarkEnd w:id="518"/>
      <w:bookmarkEnd w:id="519"/>
      <w:bookmarkEnd w:id="521"/>
    </w:p>
    <w:tbl>
      <w:tblPr>
        <w:tblOverlap w:val="never"/>
        <w:jc w:val="center"/>
        <w:tblLayout w:type="fixed"/>
      </w:tblPr>
      <w:tblGrid>
        <w:gridCol w:w="1334"/>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三</w:t>
      </w:r>
      <w:bookmarkEnd w:id="524"/>
      <w:r>
        <w:rPr>
          <w:color w:val="000000"/>
          <w:spacing w:val="0"/>
          <w:w w:val="100"/>
          <w:position w:val="0"/>
          <w:sz w:val="24"/>
          <w:szCs w:val="24"/>
        </w:rPr>
        <w:t>、任职情况</w:t>
      </w:r>
      <w:bookmarkEnd w:id="522"/>
      <w:bookmarkEnd w:id="523"/>
      <w:bookmarkEnd w:id="52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tabs>
          <w:tab w:pos="745" w:val="left"/>
        </w:tabs>
        <w:bidi w:val="0"/>
        <w:spacing w:before="0" w:line="310" w:lineRule="exact"/>
        <w:ind w:left="0" w:right="0" w:firstLine="440"/>
        <w:jc w:val="both"/>
      </w:pPr>
      <w:bookmarkStart w:id="526" w:name="bookmark526"/>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杨成先生：公司董事长、总经理及法定代表人；中国籍，无境外居留权，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年出生，厦门大学 统计学硕士。</w:t>
      </w:r>
      <w:r>
        <w:rPr>
          <w:rFonts w:ascii="Times New Roman" w:eastAsia="Times New Roman" w:hAnsi="Times New Roman" w:cs="Times New Roman"/>
          <w:color w:val="000000"/>
          <w:spacing w:val="0"/>
          <w:w w:val="100"/>
          <w:position w:val="0"/>
        </w:rPr>
        <w:t>1991</w:t>
      </w:r>
      <w:r>
        <w:rPr>
          <w:color w:val="000000"/>
          <w:spacing w:val="0"/>
          <w:w w:val="100"/>
          <w:position w:val="0"/>
        </w:rPr>
        <w:t>年前，杨成先生曾先后在安徽省淮南发电总厂、中国土产畜产进出口总公司厦门公司工 作，</w:t>
      </w:r>
      <w:r>
        <w:rPr>
          <w:rFonts w:ascii="Times New Roman" w:eastAsia="Times New Roman" w:hAnsi="Times New Roman" w:cs="Times New Roman"/>
          <w:color w:val="000000"/>
          <w:spacing w:val="0"/>
          <w:w w:val="100"/>
          <w:position w:val="0"/>
        </w:rPr>
        <w:t>1991</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1993</w:t>
      </w:r>
      <w:r>
        <w:rPr>
          <w:color w:val="000000"/>
          <w:spacing w:val="0"/>
          <w:w w:val="100"/>
          <w:position w:val="0"/>
        </w:rPr>
        <w:t>年就读于澳大利亚皇家理工学院会计专业，</w:t>
      </w:r>
      <w:r>
        <w:rPr>
          <w:rFonts w:ascii="Times New Roman" w:eastAsia="Times New Roman" w:hAnsi="Times New Roman" w:cs="Times New Roman"/>
          <w:color w:val="000000"/>
          <w:spacing w:val="0"/>
          <w:w w:val="100"/>
          <w:position w:val="0"/>
        </w:rPr>
        <w:t>1993</w:t>
      </w:r>
      <w:r>
        <w:rPr>
          <w:color w:val="000000"/>
          <w:spacing w:val="0"/>
          <w:w w:val="100"/>
          <w:position w:val="0"/>
        </w:rPr>
        <w:t>年起进入澳洲红相的前身</w:t>
      </w:r>
      <w:r>
        <w:rPr>
          <w:rFonts w:ascii="Times New Roman" w:eastAsia="Times New Roman" w:hAnsi="Times New Roman" w:cs="Times New Roman"/>
          <w:color w:val="000000"/>
          <w:spacing w:val="0"/>
          <w:w w:val="100"/>
          <w:position w:val="0"/>
        </w:rPr>
        <w:t>R.M.D Electronics Pty Ltd</w:t>
      </w:r>
      <w:r>
        <w:rPr>
          <w:color w:val="000000"/>
          <w:spacing w:val="0"/>
          <w:w w:val="100"/>
          <w:position w:val="0"/>
        </w:rPr>
        <w:t>生产营销部工作，</w:t>
      </w:r>
      <w:r>
        <w:rPr>
          <w:rFonts w:ascii="Times New Roman" w:eastAsia="Times New Roman" w:hAnsi="Times New Roman" w:cs="Times New Roman"/>
          <w:color w:val="000000"/>
          <w:spacing w:val="0"/>
          <w:w w:val="100"/>
          <w:position w:val="0"/>
        </w:rPr>
        <w:t>1997</w:t>
      </w:r>
      <w:r>
        <w:rPr>
          <w:color w:val="000000"/>
          <w:spacing w:val="0"/>
          <w:w w:val="100"/>
          <w:position w:val="0"/>
        </w:rPr>
        <w:t>年起任厦门红相电力设备有限公司副总经理，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月起任红相有限副总 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月至今任红相有限和红相电力董事长、总经理及法定代表人，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月起，兼任红相软件 执行董事及法定代表人。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月起，兼任厦门红相信息科技有限公司执行董事兼法定代表人。杨成先 生于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日取得澳大利亚永久居留权；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杨成先生放弃澳大利亚永久居留权；</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日，厦门市公安局出入境管理处恢复杨成先生的常住户口。</w:t>
      </w:r>
    </w:p>
    <w:p>
      <w:pPr>
        <w:pStyle w:val="Style35"/>
        <w:keepNext w:val="0"/>
        <w:keepLines w:val="0"/>
        <w:widowControl w:val="0"/>
        <w:shd w:val="clear" w:color="auto" w:fill="auto"/>
        <w:bidi w:val="0"/>
        <w:spacing w:before="0" w:line="312" w:lineRule="exact"/>
        <w:ind w:left="0" w:right="0" w:firstLine="440"/>
        <w:jc w:val="both"/>
      </w:pPr>
      <w:bookmarkStart w:id="527" w:name="bookmark527"/>
      <w:r>
        <w:rPr>
          <w:rFonts w:ascii="Times New Roman" w:eastAsia="Times New Roman" w:hAnsi="Times New Roman" w:cs="Times New Roman"/>
          <w:color w:val="000000"/>
          <w:spacing w:val="0"/>
          <w:w w:val="100"/>
          <w:position w:val="0"/>
        </w:rPr>
        <w:t>2</w:t>
      </w:r>
      <w:bookmarkEnd w:id="527"/>
      <w:r>
        <w:rPr>
          <w:color w:val="000000"/>
          <w:spacing w:val="0"/>
          <w:w w:val="100"/>
          <w:position w:val="0"/>
        </w:rPr>
        <w:t>、 杨保田先生：公司董事；中国籍，无境外居留权，</w:t>
      </w:r>
      <w:r>
        <w:rPr>
          <w:rFonts w:ascii="Times New Roman" w:eastAsia="Times New Roman" w:hAnsi="Times New Roman" w:cs="Times New Roman"/>
          <w:color w:val="000000"/>
          <w:spacing w:val="0"/>
          <w:w w:val="100"/>
          <w:position w:val="0"/>
        </w:rPr>
        <w:t>1930</w:t>
      </w:r>
      <w:r>
        <w:rPr>
          <w:color w:val="000000"/>
          <w:spacing w:val="0"/>
          <w:w w:val="100"/>
          <w:position w:val="0"/>
        </w:rPr>
        <w:t>年出生，厦门大学计划统计专业本科。杨 保田先生于</w:t>
      </w:r>
      <w:r>
        <w:rPr>
          <w:rFonts w:ascii="Times New Roman" w:eastAsia="Times New Roman" w:hAnsi="Times New Roman" w:cs="Times New Roman"/>
          <w:color w:val="000000"/>
          <w:spacing w:val="0"/>
          <w:w w:val="100"/>
          <w:position w:val="0"/>
        </w:rPr>
        <w:t>1990</w:t>
      </w:r>
      <w:r>
        <w:rPr>
          <w:color w:val="000000"/>
          <w:spacing w:val="0"/>
          <w:w w:val="100"/>
          <w:position w:val="0"/>
        </w:rPr>
        <w:t>年退休，退休前一直任教于厦门大学；</w:t>
      </w:r>
      <w:r>
        <w:rPr>
          <w:rFonts w:ascii="Times New Roman" w:eastAsia="Times New Roman" w:hAnsi="Times New Roman" w:cs="Times New Roman"/>
          <w:color w:val="000000"/>
          <w:spacing w:val="0"/>
          <w:w w:val="100"/>
          <w:position w:val="0"/>
        </w:rPr>
        <w:t>1997</w:t>
      </w:r>
      <w:r>
        <w:rPr>
          <w:color w:val="000000"/>
          <w:spacing w:val="0"/>
          <w:w w:val="100"/>
          <w:position w:val="0"/>
        </w:rPr>
        <w:t>年起任厦门红相电力设备有限公司执行董事、 总经理、法定代表人，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月任红相有限法定代表人、执行董事兼总经理，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月任红相有限董事、副总经理，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w:t>
      </w:r>
    </w:p>
    <w:p>
      <w:pPr>
        <w:pStyle w:val="Style35"/>
        <w:keepNext w:val="0"/>
        <w:keepLines w:val="0"/>
        <w:widowControl w:val="0"/>
        <w:shd w:val="clear" w:color="auto" w:fill="auto"/>
        <w:tabs>
          <w:tab w:pos="745" w:val="left"/>
        </w:tabs>
        <w:bidi w:val="0"/>
        <w:spacing w:before="0" w:line="314" w:lineRule="exact"/>
        <w:ind w:left="0" w:right="0" w:firstLine="440"/>
        <w:jc w:val="both"/>
      </w:pPr>
      <w:bookmarkStart w:id="528" w:name="bookmark528"/>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t>杨力先生：公司董事；中国籍，无境外居留权，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年出生，厦门大学计算机应用专业毕业。</w:t>
      </w:r>
      <w:r>
        <w:rPr>
          <w:rFonts w:ascii="Times New Roman" w:eastAsia="Times New Roman" w:hAnsi="Times New Roman" w:cs="Times New Roman"/>
          <w:color w:val="000000"/>
          <w:spacing w:val="0"/>
          <w:w w:val="100"/>
          <w:position w:val="0"/>
        </w:rPr>
        <w:t xml:space="preserve">1989 </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1998</w:t>
      </w:r>
      <w:r>
        <w:rPr>
          <w:color w:val="000000"/>
          <w:spacing w:val="0"/>
          <w:w w:val="100"/>
          <w:position w:val="0"/>
        </w:rPr>
        <w:t>年，曾先后任职于厦门建发股份有限公司和厦门海外旅游公司，</w:t>
      </w:r>
      <w:r>
        <w:rPr>
          <w:rFonts w:ascii="Times New Roman" w:eastAsia="Times New Roman" w:hAnsi="Times New Roman" w:cs="Times New Roman"/>
          <w:color w:val="000000"/>
          <w:spacing w:val="0"/>
          <w:w w:val="100"/>
          <w:position w:val="0"/>
        </w:rPr>
        <w:t>1997</w:t>
      </w:r>
      <w:r>
        <w:rPr>
          <w:color w:val="000000"/>
          <w:spacing w:val="0"/>
          <w:w w:val="100"/>
          <w:position w:val="0"/>
        </w:rPr>
        <w:t>年起任厦门红相电力设备有 限公司监事，</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月任红相有限监事、部门经理，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月任红相有限和红 相电力董事、部门经理，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月至今任公司董事、红相塑胶执行董事、总经理及法定代表人。</w:t>
      </w:r>
    </w:p>
    <w:p>
      <w:pPr>
        <w:pStyle w:val="Style35"/>
        <w:keepNext w:val="0"/>
        <w:keepLines w:val="0"/>
        <w:widowControl w:val="0"/>
        <w:shd w:val="clear" w:color="auto" w:fill="auto"/>
        <w:tabs>
          <w:tab w:pos="745" w:val="left"/>
        </w:tabs>
        <w:bidi w:val="0"/>
        <w:spacing w:before="0" w:line="312" w:lineRule="exact"/>
        <w:ind w:left="0" w:right="0" w:firstLine="440"/>
        <w:jc w:val="both"/>
      </w:pPr>
      <w:bookmarkStart w:id="529" w:name="bookmark529"/>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吴志阳先生：公司董事、副总经理、澳洲红相总经理；中国籍，拥有澳大利亚永久居留权，</w:t>
      </w:r>
      <w:r>
        <w:rPr>
          <w:rFonts w:ascii="Times New Roman" w:eastAsia="Times New Roman" w:hAnsi="Times New Roman" w:cs="Times New Roman"/>
          <w:color w:val="000000"/>
          <w:spacing w:val="0"/>
          <w:w w:val="100"/>
          <w:position w:val="0"/>
        </w:rPr>
        <w:t xml:space="preserve">1967 </w:t>
      </w:r>
      <w:r>
        <w:rPr>
          <w:color w:val="000000"/>
          <w:spacing w:val="0"/>
          <w:w w:val="100"/>
          <w:position w:val="0"/>
        </w:rPr>
        <w:t>年出生，厦门大学无线电技术专业本科。</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月担任厦门华侨电子企业有限公司工程师， </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月担任南非大宇电子公司总工程师，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月任厦门红相电力设备有限公 司副总经理，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月任红相有限副总经理，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月至今任公司董事、副总经理，</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月兼任红相软件总经理，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月起兼任澳洲红相总经理。</w:t>
      </w:r>
    </w:p>
    <w:p>
      <w:pPr>
        <w:pStyle w:val="Style35"/>
        <w:keepNext w:val="0"/>
        <w:keepLines w:val="0"/>
        <w:widowControl w:val="0"/>
        <w:shd w:val="clear" w:color="auto" w:fill="auto"/>
        <w:tabs>
          <w:tab w:pos="745" w:val="left"/>
        </w:tabs>
        <w:bidi w:val="0"/>
        <w:spacing w:before="0" w:line="315" w:lineRule="exact"/>
        <w:ind w:left="0" w:right="0" w:firstLine="440"/>
        <w:jc w:val="both"/>
      </w:pPr>
      <w:bookmarkStart w:id="530" w:name="bookmark530"/>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t>尹久远先生：公司独立董事；中国籍，无境外居留权，</w:t>
      </w:r>
      <w:r>
        <w:rPr>
          <w:rFonts w:ascii="Times New Roman" w:eastAsia="Times New Roman" w:hAnsi="Times New Roman" w:cs="Times New Roman"/>
          <w:color w:val="000000"/>
          <w:spacing w:val="0"/>
          <w:w w:val="100"/>
          <w:position w:val="0"/>
        </w:rPr>
        <w:t>1946</w:t>
      </w:r>
      <w:r>
        <w:rPr>
          <w:color w:val="000000"/>
          <w:spacing w:val="0"/>
          <w:w w:val="100"/>
          <w:position w:val="0"/>
        </w:rPr>
        <w:t>年出生，东北电力学院电力系统自动 化专业本科；</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1988</w:t>
      </w:r>
      <w:r>
        <w:rPr>
          <w:color w:val="000000"/>
          <w:spacing w:val="0"/>
          <w:w w:val="100"/>
          <w:position w:val="0"/>
        </w:rPr>
        <w:t>年任辽宁清河发电厂专责工程师，</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1998</w:t>
      </w:r>
      <w:r>
        <w:rPr>
          <w:color w:val="000000"/>
          <w:spacing w:val="0"/>
          <w:w w:val="100"/>
          <w:position w:val="0"/>
        </w:rPr>
        <w:t>年任东北电力集团公司营销部营 业处处长，</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2006</w:t>
      </w:r>
      <w:r>
        <w:rPr>
          <w:color w:val="000000"/>
          <w:spacing w:val="0"/>
          <w:w w:val="100"/>
          <w:position w:val="0"/>
        </w:rPr>
        <w:t>年任辽宁省电力公司营销部主任经济师，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月退休。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月起担任红相 电力独立董事。</w:t>
      </w:r>
    </w:p>
    <w:p>
      <w:pPr>
        <w:pStyle w:val="Style35"/>
        <w:keepNext w:val="0"/>
        <w:keepLines w:val="0"/>
        <w:widowControl w:val="0"/>
        <w:shd w:val="clear" w:color="auto" w:fill="auto"/>
        <w:tabs>
          <w:tab w:pos="313" w:val="left"/>
        </w:tabs>
        <w:bidi w:val="0"/>
        <w:spacing w:before="0" w:line="312" w:lineRule="exact"/>
        <w:ind w:left="0" w:right="0" w:firstLine="440"/>
        <w:jc w:val="both"/>
      </w:pPr>
      <w:bookmarkStart w:id="531" w:name="bookmark531"/>
      <w:r>
        <w:rPr>
          <w:rFonts w:ascii="Times New Roman" w:eastAsia="Times New Roman" w:hAnsi="Times New Roman" w:cs="Times New Roman"/>
          <w:color w:val="000000"/>
          <w:spacing w:val="0"/>
          <w:w w:val="100"/>
          <w:position w:val="0"/>
        </w:rPr>
        <w:t>6</w:t>
      </w:r>
      <w:bookmarkEnd w:id="531"/>
      <w:r>
        <w:rPr>
          <w:color w:val="000000"/>
          <w:spacing w:val="0"/>
          <w:w w:val="100"/>
          <w:position w:val="0"/>
        </w:rPr>
        <w:t>、</w:t>
        <w:tab/>
        <w:t>陈守德先生：公司独立董事；中国籍，无境外居留权，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年出生，厦门大学会计学博士。</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年起至今任教于厦门大学会计系，</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年受聘成为财政部财务会计准则委员会咨询专家，</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月兼任厦门大学管理学院高层管理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EDP</w:t>
      </w:r>
      <w:r>
        <w:rPr>
          <w:rFonts w:ascii="Times New Roman" w:eastAsia="Times New Roman" w:hAnsi="Times New Roman" w:cs="Times New Roman"/>
          <w:color w:val="000000"/>
          <w:spacing w:val="0"/>
          <w:w w:val="100"/>
          <w:position w:val="0"/>
        </w:rPr>
        <w:t>)</w:t>
      </w:r>
      <w:r>
        <w:rPr>
          <w:color w:val="000000"/>
          <w:spacing w:val="0"/>
          <w:w w:val="100"/>
          <w:position w:val="0"/>
        </w:rPr>
        <w:t>培训中心副主任，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9</w:t>
      </w:r>
      <w:r>
        <w:rPr>
          <w:color w:val="000000"/>
          <w:spacing w:val="0"/>
          <w:w w:val="100"/>
          <w:position w:val="0"/>
        </w:rPr>
        <w:t>月在美国哈佛商学 院从事案例教学研究,</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月起兼任厦门大学管理学院</w:t>
      </w:r>
      <w:r>
        <w:rPr>
          <w:rFonts w:ascii="Times New Roman" w:eastAsia="Times New Roman" w:hAnsi="Times New Roman" w:cs="Times New Roman"/>
          <w:color w:val="000000"/>
          <w:spacing w:val="0"/>
          <w:w w:val="100"/>
          <w:position w:val="0"/>
        </w:rPr>
        <w:t>EMBA</w:t>
      </w:r>
      <w:r>
        <w:rPr>
          <w:color w:val="000000"/>
          <w:spacing w:val="0"/>
          <w:w w:val="100"/>
          <w:position w:val="0"/>
        </w:rPr>
        <w:t>中心主任。陈守德先生长期从事会计准则、 财务报表分析、资本运作的教学和科研工作，已在核心期刊上发表论文十余篇。陈守德先生自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起担任公司独立董事，同时兼任厦门金达威集团股份有限公司、当代东方投资股份有限公司、厦门万里石 股份有限公司及福建圣农发展股份有限公司的独立董事。</w:t>
      </w:r>
    </w:p>
    <w:p>
      <w:pPr>
        <w:pStyle w:val="Style35"/>
        <w:keepNext w:val="0"/>
        <w:keepLines w:val="0"/>
        <w:widowControl w:val="0"/>
        <w:shd w:val="clear" w:color="auto" w:fill="auto"/>
        <w:bidi w:val="0"/>
        <w:spacing w:before="0" w:line="312" w:lineRule="exact"/>
        <w:ind w:left="0" w:right="0" w:firstLine="440"/>
        <w:jc w:val="both"/>
      </w:pPr>
      <w:bookmarkStart w:id="532" w:name="bookmark532"/>
      <w:r>
        <w:rPr>
          <w:rFonts w:ascii="Times New Roman" w:eastAsia="Times New Roman" w:hAnsi="Times New Roman" w:cs="Times New Roman"/>
          <w:color w:val="000000"/>
          <w:spacing w:val="0"/>
          <w:w w:val="100"/>
          <w:position w:val="0"/>
        </w:rPr>
        <w:t>7</w:t>
      </w:r>
      <w:bookmarkEnd w:id="532"/>
      <w:r>
        <w:rPr>
          <w:color w:val="000000"/>
          <w:spacing w:val="0"/>
          <w:w w:val="100"/>
          <w:position w:val="0"/>
        </w:rPr>
        <w:t>、 唐炎钊先生：公司独立董事；中国籍，无境外居留权，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年出生，华中科技大学管理科学与工 程专业博士，厦门大学企业管理系主任、教授、博士生导师。</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月于武汉冶金设备制造 公司党委组织部及车间从事组织管理、基层管理工作，</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月于中国科技开发院医药科技 开发所从事风险投资的理论研究及评估工作，</w:t>
      </w:r>
      <w:r>
        <w:rPr>
          <w:rFonts w:ascii="Times New Roman" w:eastAsia="Times New Roman" w:hAnsi="Times New Roman" w:cs="Times New Roman"/>
          <w:color w:val="000000"/>
          <w:spacing w:val="0"/>
          <w:w w:val="100"/>
          <w:position w:val="0"/>
        </w:rPr>
        <w:t>2000</w:t>
      </w:r>
      <w:r>
        <w:rPr>
          <w:color w:val="000000"/>
          <w:spacing w:val="0"/>
          <w:w w:val="100"/>
          <w:position w:val="0"/>
        </w:rPr>
        <w:t>年至今任教于厦门大学，期间赴纽卡斯尔大学学习，并 于曼切斯特大学、巴布森学院作访问学者，并于</w:t>
      </w:r>
      <w:r>
        <w:rPr>
          <w:rFonts w:ascii="Times New Roman" w:eastAsia="Times New Roman" w:hAnsi="Times New Roman" w:cs="Times New Roman"/>
          <w:color w:val="000000"/>
          <w:spacing w:val="0"/>
          <w:w w:val="100"/>
          <w:position w:val="0"/>
        </w:rPr>
        <w:t>2011</w:t>
      </w:r>
      <w:r>
        <w:rPr>
          <w:color w:val="000000"/>
          <w:spacing w:val="0"/>
          <w:w w:val="100"/>
          <w:position w:val="0"/>
        </w:rPr>
        <w:t>年担任厦门大学埃塞克斯创业教育中心主任。唐炎钊 先生自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月起担任红相电力独立董事，同时兼任厦门华侨电子股份有限公司的独立董事。</w:t>
      </w:r>
    </w:p>
    <w:p>
      <w:pPr>
        <w:pStyle w:val="Style35"/>
        <w:keepNext w:val="0"/>
        <w:keepLines w:val="0"/>
        <w:widowControl w:val="0"/>
        <w:shd w:val="clear" w:color="auto" w:fill="auto"/>
        <w:tabs>
          <w:tab w:pos="811" w:val="left"/>
        </w:tabs>
        <w:bidi w:val="0"/>
        <w:spacing w:before="0" w:line="316" w:lineRule="exact"/>
        <w:ind w:left="0" w:right="0" w:firstLine="440"/>
        <w:jc w:val="both"/>
      </w:pPr>
      <w:bookmarkStart w:id="533" w:name="bookmark533"/>
      <w:r>
        <w:rPr>
          <w:rFonts w:ascii="Times New Roman" w:eastAsia="Times New Roman" w:hAnsi="Times New Roman" w:cs="Times New Roman"/>
          <w:color w:val="000000"/>
          <w:spacing w:val="0"/>
          <w:w w:val="100"/>
          <w:position w:val="0"/>
        </w:rPr>
        <w:t>8</w:t>
      </w:r>
      <w:bookmarkEnd w:id="533"/>
      <w:r>
        <w:rPr>
          <w:color w:val="000000"/>
          <w:spacing w:val="0"/>
          <w:w w:val="100"/>
          <w:position w:val="0"/>
        </w:rPr>
        <w:t>、</w:t>
        <w:tab/>
        <w:t>王新火先生：公司监事、营销总监；中国籍，无境外居留权，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年出生，厦门大学工商管理硕 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 xml:space="preserve">)； </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月就职于厦门华侨电子企业有限公司，</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月就职于深 圳天音通信发展有限公司，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月就职于厦门亿力天龙科技有限公司，</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月就职于厦门红相电力设备有限公司，</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月任红相有限市场部经理，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 任红相有限及红相电力监事、营销总监。</w:t>
      </w:r>
    </w:p>
    <w:p>
      <w:pPr>
        <w:pStyle w:val="Style35"/>
        <w:keepNext w:val="0"/>
        <w:keepLines w:val="0"/>
        <w:widowControl w:val="0"/>
        <w:shd w:val="clear" w:color="auto" w:fill="auto"/>
        <w:bidi w:val="0"/>
        <w:spacing w:before="0" w:line="314" w:lineRule="exact"/>
        <w:ind w:left="0" w:right="0" w:firstLine="440"/>
        <w:jc w:val="both"/>
      </w:pPr>
      <w:bookmarkStart w:id="534" w:name="bookmark534"/>
      <w:r>
        <w:rPr>
          <w:rFonts w:ascii="Times New Roman" w:eastAsia="Times New Roman" w:hAnsi="Times New Roman" w:cs="Times New Roman"/>
          <w:color w:val="000000"/>
          <w:spacing w:val="0"/>
          <w:w w:val="100"/>
          <w:position w:val="0"/>
        </w:rPr>
        <w:t>9</w:t>
      </w:r>
      <w:bookmarkEnd w:id="534"/>
      <w:r>
        <w:rPr>
          <w:color w:val="000000"/>
          <w:spacing w:val="0"/>
          <w:w w:val="100"/>
          <w:position w:val="0"/>
        </w:rPr>
        <w:t>、 陈耀高先生：公司监事会主席、职工监事、技术总监；中国籍，无境外居留权，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年出生，厦 门大学电子工程专业工学士。</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月任职于厦门华鸿通信设备有限公司，</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月任厦门红相电力设备有限公司技术部经理，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月任红相有限技术副总监兼技术部 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月任红相有限及红相电力监事会主席、技术副总监兼技术部经理，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 今任公司监事会主席、技术总监。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月起，兼任浙江涵普电力科技有限公司、浙江涵普三维电力科 技有限公司董事长兼法定代表人。</w:t>
      </w:r>
    </w:p>
    <w:p>
      <w:pPr>
        <w:pStyle w:val="Style35"/>
        <w:keepNext w:val="0"/>
        <w:keepLines w:val="0"/>
        <w:widowControl w:val="0"/>
        <w:shd w:val="clear" w:color="auto" w:fill="auto"/>
        <w:tabs>
          <w:tab w:pos="836" w:val="left"/>
        </w:tabs>
        <w:bidi w:val="0"/>
        <w:spacing w:before="0" w:line="317" w:lineRule="exact"/>
        <w:ind w:left="0" w:right="0" w:firstLine="440"/>
        <w:jc w:val="both"/>
      </w:pPr>
      <w:bookmarkStart w:id="535" w:name="bookmark535"/>
      <w:r>
        <w:rPr>
          <w:rFonts w:ascii="Times New Roman" w:eastAsia="Times New Roman" w:hAnsi="Times New Roman" w:cs="Times New Roman"/>
          <w:color w:val="000000"/>
          <w:spacing w:val="0"/>
          <w:w w:val="100"/>
          <w:position w:val="0"/>
        </w:rPr>
        <w:t>1</w:t>
      </w:r>
      <w:bookmarkEnd w:id="535"/>
      <w:r>
        <w:rPr>
          <w:rFonts w:ascii="Times New Roman" w:eastAsia="Times New Roman" w:hAnsi="Times New Roman" w:cs="Times New Roman"/>
          <w:color w:val="000000"/>
          <w:spacing w:val="0"/>
          <w:w w:val="100"/>
          <w:position w:val="0"/>
        </w:rPr>
        <w:t>0</w:t>
      </w:r>
      <w:r>
        <w:rPr>
          <w:color w:val="000000"/>
          <w:spacing w:val="0"/>
          <w:w w:val="100"/>
          <w:position w:val="0"/>
        </w:rPr>
        <w:t>、</w:t>
        <w:tab/>
        <w:t>林庆乙先生：公司监事、市场策划部经理；中国籍，无境外居留权，</w:t>
      </w:r>
      <w:r>
        <w:rPr>
          <w:rFonts w:ascii="Times New Roman" w:eastAsia="Times New Roman" w:hAnsi="Times New Roman" w:cs="Times New Roman"/>
          <w:color w:val="000000"/>
          <w:spacing w:val="0"/>
          <w:w w:val="100"/>
          <w:position w:val="0"/>
        </w:rPr>
        <w:t>1981</w:t>
      </w:r>
      <w:r>
        <w:rPr>
          <w:color w:val="000000"/>
          <w:spacing w:val="0"/>
          <w:w w:val="100"/>
          <w:position w:val="0"/>
        </w:rPr>
        <w:t>年出生，华北电力大学 热能工程专业硕士研究生。进入本公司前曾任职于福建投资开发总公司规划发展部，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月任红相有限及红相电力市场部、市场策划部策划专员，</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月任红相电力市场策划部副 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月至今任市场策划部经理，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月至今任红相电力监事。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月起，兼任浙江涵普 电力科技有限公司董事。</w:t>
      </w:r>
    </w:p>
    <w:p>
      <w:pPr>
        <w:pStyle w:val="Style35"/>
        <w:keepNext w:val="0"/>
        <w:keepLines w:val="0"/>
        <w:widowControl w:val="0"/>
        <w:shd w:val="clear" w:color="auto" w:fill="auto"/>
        <w:tabs>
          <w:tab w:pos="836" w:val="left"/>
        </w:tabs>
        <w:bidi w:val="0"/>
        <w:spacing w:before="0" w:line="313" w:lineRule="exact"/>
        <w:ind w:left="0" w:right="0" w:firstLine="440"/>
        <w:jc w:val="both"/>
      </w:pPr>
      <w:bookmarkStart w:id="536" w:name="bookmark536"/>
      <w:r>
        <w:rPr>
          <w:rFonts w:ascii="Times New Roman" w:eastAsia="Times New Roman" w:hAnsi="Times New Roman" w:cs="Times New Roman"/>
          <w:color w:val="000000"/>
          <w:spacing w:val="0"/>
          <w:w w:val="100"/>
          <w:position w:val="0"/>
        </w:rPr>
        <w:t>1</w:t>
      </w:r>
      <w:bookmarkEnd w:id="536"/>
      <w:r>
        <w:rPr>
          <w:rFonts w:ascii="Times New Roman" w:eastAsia="Times New Roman" w:hAnsi="Times New Roman" w:cs="Times New Roman"/>
          <w:color w:val="000000"/>
          <w:spacing w:val="0"/>
          <w:w w:val="100"/>
          <w:position w:val="0"/>
        </w:rPr>
        <w:t>1</w:t>
      </w:r>
      <w:r>
        <w:rPr>
          <w:color w:val="000000"/>
          <w:spacing w:val="0"/>
          <w:w w:val="100"/>
          <w:position w:val="0"/>
        </w:rPr>
        <w:t>、</w:t>
        <w:tab/>
        <w:t>罗媛女士：公司副总经理兼董事会秘书；中国籍，无境外居留权，</w:t>
      </w:r>
      <w:r>
        <w:rPr>
          <w:rFonts w:ascii="Times New Roman" w:eastAsia="Times New Roman" w:hAnsi="Times New Roman" w:cs="Times New Roman"/>
          <w:color w:val="000000"/>
          <w:spacing w:val="0"/>
          <w:w w:val="100"/>
          <w:position w:val="0"/>
        </w:rPr>
        <w:t>1977</w:t>
      </w:r>
      <w:r>
        <w:rPr>
          <w:color w:val="000000"/>
          <w:spacing w:val="0"/>
          <w:w w:val="100"/>
          <w:position w:val="0"/>
        </w:rPr>
        <w:t>年出生，厦门大学民商法 学硕士。</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月任职于厦门爱达印务企划有限公司，</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月任职于厦门红 相电力设备有限公司，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月任红相有限行政人事部经理，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月在红相有 限及红相电力任董事会秘书兼行政人事部经理，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月任红相电力董事会秘书兼证券部经 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月，兼任红相电力证券部经理。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月至今，任红相电力副总经理、董事会 秘书。</w:t>
      </w:r>
    </w:p>
    <w:p>
      <w:pPr>
        <w:pStyle w:val="Style35"/>
        <w:keepNext w:val="0"/>
        <w:keepLines w:val="0"/>
        <w:widowControl w:val="0"/>
        <w:shd w:val="clear" w:color="auto" w:fill="auto"/>
        <w:tabs>
          <w:tab w:pos="836" w:val="left"/>
        </w:tabs>
        <w:bidi w:val="0"/>
        <w:spacing w:before="0" w:after="220" w:line="313" w:lineRule="exact"/>
        <w:ind w:left="0" w:right="0" w:firstLine="440"/>
        <w:jc w:val="both"/>
      </w:pPr>
      <w:bookmarkStart w:id="537" w:name="bookmark537"/>
      <w:r>
        <w:rPr>
          <w:rFonts w:ascii="Times New Roman" w:eastAsia="Times New Roman" w:hAnsi="Times New Roman" w:cs="Times New Roman"/>
          <w:color w:val="000000"/>
          <w:spacing w:val="0"/>
          <w:w w:val="100"/>
          <w:position w:val="0"/>
        </w:rPr>
        <w:t>1</w:t>
      </w:r>
      <w:bookmarkEnd w:id="537"/>
      <w:r>
        <w:rPr>
          <w:rFonts w:ascii="Times New Roman" w:eastAsia="Times New Roman" w:hAnsi="Times New Roman" w:cs="Times New Roman"/>
          <w:color w:val="000000"/>
          <w:spacing w:val="0"/>
          <w:w w:val="100"/>
          <w:position w:val="0"/>
        </w:rPr>
        <w:t>2</w:t>
      </w:r>
      <w:r>
        <w:rPr>
          <w:color w:val="000000"/>
          <w:spacing w:val="0"/>
          <w:w w:val="100"/>
          <w:position w:val="0"/>
        </w:rPr>
        <w:t>、</w:t>
        <w:tab/>
        <w:t>马露萍女士：公司财务总监；中国籍，无境外居留权，</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年出生，中国矿业大学会计专业本科。 </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1998</w:t>
      </w:r>
      <w:r>
        <w:rPr>
          <w:color w:val="000000"/>
          <w:spacing w:val="0"/>
          <w:w w:val="100"/>
          <w:position w:val="0"/>
        </w:rPr>
        <w:t>年在厦门百货纺织品公司任会计，</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月在厦门红相电力设备有限公司任会 计，</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月任红相有限财务部经理，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月任红相有限和红相电力财务副总 监兼财务部经理，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月任红相电力代理财务总监兼财务部经理，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任红相电力财务总监、财务部经理，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月兼任投融资管理部经理。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月至今任红 相电力财务总监。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月起，兼任浙江涵普电力科技有限公司董事。</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红相电力澳大利亚有限公司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红相电力澳大利亚有限公司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董事长兼法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浙江涵普三维电力科技有限公司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董事长兼法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林庆乙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马露萍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厦门华侨电力股份有限公司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福建龙马环卫装备股份有限公司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当代东方投资股份有限公司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陈守德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厦门万里石股份有限公司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福建圣农发展股份有限公司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九牧王股份有限公司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陈守德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厦门金达威集团股份有限股份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四</w:t>
      </w:r>
      <w:bookmarkEnd w:id="540"/>
      <w:r>
        <w:rPr>
          <w:color w:val="000000"/>
          <w:spacing w:val="0"/>
          <w:w w:val="100"/>
          <w:position w:val="0"/>
          <w:sz w:val="24"/>
          <w:szCs w:val="24"/>
        </w:rPr>
        <w:t>、董事、监事、高级管理人员报酬情况</w:t>
      </w:r>
      <w:bookmarkEnd w:id="538"/>
      <w:bookmarkEnd w:id="539"/>
      <w:bookmarkEnd w:id="541"/>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公司董事、监事在公司领取津贴，高级管理人员及其他核心人员的薪酬由基本工资和绩效奖金组成。 公司董事、监事的津贴经过股东大会审议，高级管理人员的薪酬经过董事会审议。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尹久远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马露萍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4,256,648.35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五</w:t>
      </w:r>
      <w:bookmarkEnd w:id="544"/>
      <w:r>
        <w:rPr>
          <w:color w:val="000000"/>
          <w:spacing w:val="0"/>
          <w:w w:val="100"/>
          <w:position w:val="0"/>
          <w:sz w:val="24"/>
          <w:szCs w:val="24"/>
        </w:rPr>
        <w:t>、公司员工情况</w:t>
      </w:r>
      <w:bookmarkEnd w:id="542"/>
      <w:bookmarkEnd w:id="543"/>
      <w:bookmarkEnd w:id="545"/>
    </w:p>
    <w:p>
      <w:pPr>
        <w:pStyle w:val="Style32"/>
        <w:keepNext/>
        <w:keepLines/>
        <w:widowControl w:val="0"/>
        <w:shd w:val="clear" w:color="auto" w:fill="auto"/>
        <w:bidi w:val="0"/>
        <w:spacing w:before="0" w:after="32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、员工数量、专业构成及教育程度</w:t>
      </w:r>
      <w:bookmarkEnd w:id="546"/>
      <w:bookmarkEnd w:id="547"/>
      <w:bookmarkEnd w:id="54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550" w:name="bookmark55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50"/>
    </w:p>
    <w:p>
      <w:pPr>
        <w:widowControl w:val="0"/>
        <w:spacing w:after="259" w:line="1" w:lineRule="exact"/>
      </w:pPr>
    </w:p>
    <w:p>
      <w:pPr>
        <w:pStyle w:val="Style35"/>
        <w:keepNext w:val="0"/>
        <w:keepLines w:val="0"/>
        <w:widowControl w:val="0"/>
        <w:shd w:val="clear" w:color="auto" w:fill="auto"/>
        <w:bidi w:val="0"/>
        <w:spacing w:before="0" w:after="680" w:line="313" w:lineRule="exact"/>
        <w:ind w:left="0" w:right="0" w:firstLine="320"/>
        <w:jc w:val="both"/>
      </w:pPr>
      <w:bookmarkStart w:id="551" w:name="bookmark551"/>
      <w:r>
        <w:rPr>
          <w:color w:val="000000"/>
          <w:spacing w:val="0"/>
          <w:w w:val="100"/>
          <w:position w:val="0"/>
        </w:rPr>
        <w:t>为</w:t>
      </w:r>
      <w:bookmarkEnd w:id="551"/>
      <w:r>
        <w:rPr>
          <w:color w:val="000000"/>
          <w:spacing w:val="0"/>
          <w:w w:val="100"/>
          <w:position w:val="0"/>
        </w:rPr>
        <w:t>充分调动员工的工作积极性、主动性和创造性，根据相关规定，结合具体情况，公司制定了《薪酬 管理制度》，实行结构性薪酬体系。薪酬构成包括固定工资、浮动工资、保险与福利三部分，并实行绩效 考核机制。公司在实践的基础上，对考核指标不断进行优化，加强对考核员工存在问题的反馈，提出解决 和改进方法，对一些关键岗位和重大问题，做到二次或多次考核，多次反馈。将员工的收入与公司的发展 和员工的绩效以及员工价值创造紧密联系，更加有效调动全体员工的积极性和创造力。</w:t>
      </w:r>
    </w:p>
    <w:p>
      <w:pPr>
        <w:pStyle w:val="Style32"/>
        <w:keepNext/>
        <w:keepLines/>
        <w:widowControl w:val="0"/>
        <w:shd w:val="clear" w:color="auto" w:fill="auto"/>
        <w:bidi w:val="0"/>
        <w:spacing w:before="0" w:after="3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、培训计划</w:t>
      </w:r>
      <w:bookmarkEnd w:id="552"/>
      <w:bookmarkEnd w:id="553"/>
      <w:bookmarkEnd w:id="555"/>
    </w:p>
    <w:p>
      <w:pPr>
        <w:pStyle w:val="Style35"/>
        <w:keepNext w:val="0"/>
        <w:keepLines w:val="0"/>
        <w:widowControl w:val="0"/>
        <w:shd w:val="clear" w:color="auto" w:fill="auto"/>
        <w:bidi w:val="0"/>
        <w:spacing w:before="0" w:after="680" w:line="240" w:lineRule="auto"/>
        <w:ind w:left="0" w:right="0" w:firstLine="320"/>
        <w:jc w:val="both"/>
      </w:pPr>
      <w:r>
        <w:rPr>
          <w:color w:val="000000"/>
          <w:spacing w:val="0"/>
          <w:w w:val="100"/>
          <w:position w:val="0"/>
        </w:rPr>
        <w:t xml:space="preserve">公司针对不同的群体制定针对性的培训计划。人力资源部门将根据各个部门的需求，制定一系列的培 </w:t>
      </w:r>
      <w:r>
        <w:rPr>
          <w:color w:val="000000"/>
          <w:spacing w:val="0"/>
          <w:w w:val="100"/>
          <w:position w:val="0"/>
        </w:rPr>
        <w:t>训计划，并根据实践中的效果对计划进行完善，开展应需式培训。进一步加强中高层领导干部职业能力培 训，通过内外培训相结合的方式，重点提高技术部门的专业水平；市场和采购部门的前瞻性思维、风险控 制意识、产品技术水平和市场敏感度；生产部门成本控制、计划制定、安全生产、提高劳动效率、工艺改 进等方面的能力；财务部门成本核算水平，对税务和外汇结算等政策的掌握能力。</w:t>
      </w:r>
    </w:p>
    <w:p>
      <w:pPr>
        <w:pStyle w:val="Style32"/>
        <w:keepNext/>
        <w:keepLines/>
        <w:widowControl w:val="0"/>
        <w:shd w:val="clear" w:color="auto" w:fill="auto"/>
        <w:bidi w:val="0"/>
        <w:spacing w:before="0" w:after="38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4</w:t>
      </w:r>
      <w:bookmarkEnd w:id="558"/>
      <w:r>
        <w:rPr>
          <w:color w:val="000000"/>
          <w:spacing w:val="0"/>
          <w:w w:val="100"/>
          <w:position w:val="0"/>
        </w:rPr>
        <w:t>、劳务外包情况</w:t>
      </w:r>
      <w:bookmarkEnd w:id="556"/>
      <w:bookmarkEnd w:id="557"/>
      <w:bookmarkEnd w:id="559"/>
    </w:p>
    <w:p>
      <w:pPr>
        <w:pStyle w:val="Style2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398" w:right="1062" w:bottom="1441"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line="240" w:lineRule="auto"/>
        <w:ind w:left="0" w:right="0" w:firstLine="0"/>
        <w:jc w:val="center"/>
      </w:pPr>
      <w:bookmarkStart w:id="560" w:name="bookmark560"/>
      <w:bookmarkStart w:id="561" w:name="bookmark561"/>
      <w:bookmarkStart w:id="562" w:name="bookmark562"/>
      <w:r>
        <w:rPr>
          <w:color w:val="000000"/>
          <w:spacing w:val="0"/>
          <w:w w:val="100"/>
          <w:position w:val="0"/>
        </w:rPr>
        <w:t>第九节公司治理</w:t>
      </w:r>
      <w:bookmarkEnd w:id="560"/>
      <w:bookmarkEnd w:id="561"/>
      <w:bookmarkEnd w:id="562"/>
    </w:p>
    <w:p>
      <w:pPr>
        <w:pStyle w:val="Style23"/>
        <w:keepNext/>
        <w:keepLines/>
        <w:widowControl w:val="0"/>
        <w:shd w:val="clear" w:color="auto" w:fill="auto"/>
        <w:bidi w:val="0"/>
        <w:spacing w:before="0" w:after="24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、公司治理的基本状况</w:t>
      </w:r>
      <w:bookmarkEnd w:id="563"/>
      <w:bookmarkEnd w:id="564"/>
      <w:bookmarkEnd w:id="566"/>
    </w:p>
    <w:p>
      <w:pPr>
        <w:pStyle w:val="Style35"/>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报告期内，公司严格按照《公司法》、《证券法》、《上市公司治理准则》、《深圳证券交易所创业 板上市公司规范运作指引》、《深圳证券交易所创业板股票上市规则》等法律、法规和中国证监会有关法 律、法规等的要求，不断完善公司的法人治理结构，建立健全公司内部管理和控制制度，持续深入开展公 司治理活动，促进了公司规范运作，提高了公司治理水平。截至报告期末，公司治理的实际状况符合《上 市公司治理准则》和《深圳证券交易所创业板上市公司规范运作指引》等相关规定的要求。</w:t>
      </w:r>
    </w:p>
    <w:p>
      <w:pPr>
        <w:pStyle w:val="Style35"/>
        <w:keepNext w:val="0"/>
        <w:keepLines w:val="0"/>
        <w:widowControl w:val="0"/>
        <w:shd w:val="clear" w:color="auto" w:fill="auto"/>
        <w:tabs>
          <w:tab w:pos="784" w:val="left"/>
        </w:tabs>
        <w:bidi w:val="0"/>
        <w:spacing w:before="0" w:after="140" w:line="314" w:lineRule="exact"/>
        <w:ind w:left="0" w:right="0" w:firstLine="440"/>
        <w:jc w:val="both"/>
      </w:pPr>
      <w:bookmarkStart w:id="567" w:name="bookmark567"/>
      <w:r>
        <w:rPr>
          <w:rFonts w:ascii="Times New Roman" w:eastAsia="Times New Roman" w:hAnsi="Times New Roman" w:cs="Times New Roman"/>
          <w:b/>
          <w:bCs/>
          <w:color w:val="000000"/>
          <w:spacing w:val="0"/>
          <w:w w:val="100"/>
          <w:position w:val="0"/>
        </w:rPr>
        <w:t>1</w:t>
      </w:r>
      <w:bookmarkEnd w:id="567"/>
      <w:r>
        <w:rPr>
          <w:b/>
          <w:bCs/>
          <w:color w:val="000000"/>
          <w:spacing w:val="0"/>
          <w:w w:val="100"/>
          <w:position w:val="0"/>
        </w:rPr>
        <w:t>、</w:t>
        <w:tab/>
        <w:t>关于股东及股东大会</w:t>
      </w:r>
    </w:p>
    <w:p>
      <w:pPr>
        <w:pStyle w:val="Style35"/>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 xml:space="preserve">公司严格按照《上市公司股东大会规则》、《公司章程》和《股东大会议事规则》等相关规定和要求, 规范股东大会召集、召开、表决程序，确保所有股东享有平等地位、平等权利，充分行使自己的权利，并 承担相应的义务。报告期内，公司共召开了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5</w:t>
      </w:r>
      <w:r>
        <w:rPr>
          <w:color w:val="000000"/>
          <w:spacing w:val="0"/>
          <w:w w:val="100"/>
          <w:position w:val="0"/>
        </w:rPr>
        <w:t>次临时股东大会，会议均由董事会召集、 召开。</w:t>
      </w:r>
    </w:p>
    <w:p>
      <w:pPr>
        <w:pStyle w:val="Style35"/>
        <w:keepNext w:val="0"/>
        <w:keepLines w:val="0"/>
        <w:widowControl w:val="0"/>
        <w:shd w:val="clear" w:color="auto" w:fill="auto"/>
        <w:tabs>
          <w:tab w:pos="793" w:val="left"/>
        </w:tabs>
        <w:bidi w:val="0"/>
        <w:spacing w:before="0" w:after="140" w:line="314" w:lineRule="exact"/>
        <w:ind w:left="0" w:right="0" w:firstLine="440"/>
        <w:jc w:val="both"/>
      </w:pPr>
      <w:bookmarkStart w:id="568" w:name="bookmark568"/>
      <w:r>
        <w:rPr>
          <w:rFonts w:ascii="Times New Roman" w:eastAsia="Times New Roman" w:hAnsi="Times New Roman" w:cs="Times New Roman"/>
          <w:b/>
          <w:bCs/>
          <w:color w:val="000000"/>
          <w:spacing w:val="0"/>
          <w:w w:val="100"/>
          <w:position w:val="0"/>
        </w:rPr>
        <w:t>2</w:t>
      </w:r>
      <w:bookmarkEnd w:id="568"/>
      <w:r>
        <w:rPr>
          <w:b/>
          <w:bCs/>
          <w:color w:val="000000"/>
          <w:spacing w:val="0"/>
          <w:w w:val="100"/>
          <w:position w:val="0"/>
        </w:rPr>
        <w:t>、</w:t>
        <w:tab/>
        <w:t>关于公司与控股股东</w:t>
      </w:r>
    </w:p>
    <w:p>
      <w:pPr>
        <w:pStyle w:val="Style35"/>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公司控股股东严格规范自己的行为，没有超越股东大会直接或间接干预公司的决策和经营活动。公司 拥有独立完整的业务和自主经营能力，在业务、人员、资产、机构、财务上独立于控股股东，公司董事会、 监事会和内部机构独立运作。</w:t>
      </w:r>
    </w:p>
    <w:p>
      <w:pPr>
        <w:pStyle w:val="Style35"/>
        <w:keepNext w:val="0"/>
        <w:keepLines w:val="0"/>
        <w:widowControl w:val="0"/>
        <w:shd w:val="clear" w:color="auto" w:fill="auto"/>
        <w:tabs>
          <w:tab w:pos="793" w:val="left"/>
        </w:tabs>
        <w:bidi w:val="0"/>
        <w:spacing w:before="0" w:after="40"/>
        <w:ind w:left="0" w:right="0" w:firstLine="440"/>
        <w:jc w:val="both"/>
      </w:pPr>
      <w:bookmarkStart w:id="569" w:name="bookmark569"/>
      <w:r>
        <w:rPr>
          <w:rFonts w:ascii="Times New Roman" w:eastAsia="Times New Roman" w:hAnsi="Times New Roman" w:cs="Times New Roman"/>
          <w:b/>
          <w:bCs/>
          <w:color w:val="000000"/>
          <w:spacing w:val="0"/>
          <w:w w:val="100"/>
          <w:position w:val="0"/>
        </w:rPr>
        <w:t>3</w:t>
      </w:r>
      <w:bookmarkEnd w:id="569"/>
      <w:r>
        <w:rPr>
          <w:b/>
          <w:bCs/>
          <w:color w:val="000000"/>
          <w:spacing w:val="0"/>
          <w:w w:val="100"/>
          <w:position w:val="0"/>
        </w:rPr>
        <w:t>、</w:t>
        <w:tab/>
        <w:t>关于董事和董事会</w:t>
      </w:r>
    </w:p>
    <w:p>
      <w:pPr>
        <w:pStyle w:val="Style3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名，董事会人数及人员构成符合法律、法规和《公 司章程》的要求。各位董事能够依据《深圳证券交易所上市公司规范运作指引》、《公司董事会议事规则》 和《公司独立董事工作细则》等开展工作，诚信、勤勉地履行职责和义务，同时积极参加有关培训，熟悉 有关法律法规。报告期内，公司共召开了 </w:t>
      </w:r>
      <w:r>
        <w:rPr>
          <w:rFonts w:ascii="Times New Roman" w:eastAsia="Times New Roman" w:hAnsi="Times New Roman" w:cs="Times New Roman"/>
          <w:color w:val="000000"/>
          <w:spacing w:val="0"/>
          <w:w w:val="100"/>
          <w:position w:val="0"/>
        </w:rPr>
        <w:t>8</w:t>
      </w:r>
      <w:r>
        <w:rPr>
          <w:color w:val="000000"/>
          <w:spacing w:val="0"/>
          <w:w w:val="100"/>
          <w:position w:val="0"/>
        </w:rPr>
        <w:t>次董事会，均由董事长召集、召开。</w:t>
      </w:r>
    </w:p>
    <w:p>
      <w:pPr>
        <w:pStyle w:val="Style35"/>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董事会下设战略委员会、提名委员会、审计委员会和薪酬与考核委员会，除战略委员会外其他委员会 中独立董事占比均超过</w:t>
      </w:r>
      <w:r>
        <w:rPr>
          <w:rFonts w:ascii="Times New Roman" w:eastAsia="Times New Roman" w:hAnsi="Times New Roman" w:cs="Times New Roman"/>
          <w:color w:val="000000"/>
          <w:spacing w:val="0"/>
          <w:w w:val="100"/>
          <w:position w:val="0"/>
        </w:rPr>
        <w:t>1/2</w:t>
      </w:r>
      <w:r>
        <w:rPr>
          <w:color w:val="000000"/>
          <w:spacing w:val="0"/>
          <w:w w:val="100"/>
          <w:position w:val="0"/>
        </w:rPr>
        <w:t>,为董事会的决策提供了科学和专业的意见和参考。各个委员会依据《公司章程》 和各委员会议事细则等相关规定履行职权，不受公司其他部门和个人的干预。</w:t>
      </w:r>
    </w:p>
    <w:p>
      <w:pPr>
        <w:pStyle w:val="Style35"/>
        <w:keepNext w:val="0"/>
        <w:keepLines w:val="0"/>
        <w:widowControl w:val="0"/>
        <w:shd w:val="clear" w:color="auto" w:fill="auto"/>
        <w:tabs>
          <w:tab w:pos="793" w:val="left"/>
        </w:tabs>
        <w:bidi w:val="0"/>
        <w:spacing w:before="0" w:after="40"/>
        <w:ind w:left="0" w:right="0" w:firstLine="440"/>
        <w:jc w:val="both"/>
      </w:pPr>
      <w:bookmarkStart w:id="570" w:name="bookmark570"/>
      <w:r>
        <w:rPr>
          <w:rFonts w:ascii="Times New Roman" w:eastAsia="Times New Roman" w:hAnsi="Times New Roman" w:cs="Times New Roman"/>
          <w:b/>
          <w:bCs/>
          <w:color w:val="000000"/>
          <w:spacing w:val="0"/>
          <w:w w:val="100"/>
          <w:position w:val="0"/>
        </w:rPr>
        <w:t>4</w:t>
      </w:r>
      <w:bookmarkEnd w:id="570"/>
      <w:r>
        <w:rPr>
          <w:b/>
          <w:bCs/>
          <w:color w:val="000000"/>
          <w:spacing w:val="0"/>
          <w:w w:val="100"/>
          <w:position w:val="0"/>
        </w:rPr>
        <w:t>、</w:t>
        <w:tab/>
        <w:t>关于监事和监事会</w:t>
      </w:r>
    </w:p>
    <w:p>
      <w:pPr>
        <w:pStyle w:val="Style35"/>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名，监事会的人数和构成符合法律、法规的要求。各位监事能 够按照《监事会议事规则》等相关规定，认真履行自己的职责、对公司重大事项、关联交易、财务状况以 及董事、高管人员履行职责的合法合规性进行监督。报告期内，公司共召开了</w:t>
      </w:r>
      <w:r>
        <w:rPr>
          <w:rFonts w:ascii="Times New Roman" w:eastAsia="Times New Roman" w:hAnsi="Times New Roman" w:cs="Times New Roman"/>
          <w:color w:val="000000"/>
          <w:spacing w:val="0"/>
          <w:w w:val="100"/>
          <w:position w:val="0"/>
        </w:rPr>
        <w:t>6</w:t>
      </w:r>
      <w:r>
        <w:rPr>
          <w:color w:val="000000"/>
          <w:spacing w:val="0"/>
          <w:w w:val="100"/>
          <w:position w:val="0"/>
        </w:rPr>
        <w:t>次监事，均由监事会主席 召集、召开。</w:t>
      </w:r>
    </w:p>
    <w:p>
      <w:pPr>
        <w:pStyle w:val="Style35"/>
        <w:keepNext w:val="0"/>
        <w:keepLines w:val="0"/>
        <w:widowControl w:val="0"/>
        <w:shd w:val="clear" w:color="auto" w:fill="auto"/>
        <w:tabs>
          <w:tab w:pos="793" w:val="left"/>
        </w:tabs>
        <w:bidi w:val="0"/>
        <w:spacing w:before="0" w:after="40"/>
        <w:ind w:left="0" w:right="0" w:firstLine="440"/>
        <w:jc w:val="both"/>
      </w:pPr>
      <w:bookmarkStart w:id="571" w:name="bookmark571"/>
      <w:r>
        <w:rPr>
          <w:rFonts w:ascii="Times New Roman" w:eastAsia="Times New Roman" w:hAnsi="Times New Roman" w:cs="Times New Roman"/>
          <w:b/>
          <w:bCs/>
          <w:color w:val="000000"/>
          <w:spacing w:val="0"/>
          <w:w w:val="100"/>
          <w:position w:val="0"/>
        </w:rPr>
        <w:t>5</w:t>
      </w:r>
      <w:bookmarkEnd w:id="571"/>
      <w:r>
        <w:rPr>
          <w:b/>
          <w:bCs/>
          <w:color w:val="000000"/>
          <w:spacing w:val="0"/>
          <w:w w:val="100"/>
          <w:position w:val="0"/>
        </w:rPr>
        <w:t>、</w:t>
        <w:tab/>
        <w:t>关于信息披露</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公司严格按照有关法律法规及《信息披露事务管理制度》、《投资者关系管理制度》等相关规定，真 实、准确、完整、及时、公平地披露有关信息，并指定公司董事会秘书负责信息披露工作，协调公司与投 资者的关系，接待股东来访，回答投资者咨询，向投资者提供公司已披露的资料。同时，指定《证券时报》、</w:t>
      </w:r>
    </w:p>
    <w:p>
      <w:pPr>
        <w:pStyle w:val="Style35"/>
        <w:keepNext w:val="0"/>
        <w:keepLines w:val="0"/>
        <w:widowControl w:val="0"/>
        <w:shd w:val="clear" w:color="auto" w:fill="auto"/>
        <w:bidi w:val="0"/>
        <w:spacing w:before="0" w:after="260" w:line="310" w:lineRule="exact"/>
        <w:ind w:left="0" w:right="0" w:firstLine="0"/>
        <w:jc w:val="both"/>
      </w:pPr>
      <w:r>
        <w:rPr>
          <w:color w:val="000000"/>
          <w:spacing w:val="0"/>
          <w:w w:val="100"/>
          <w:position w:val="0"/>
        </w:rPr>
        <w:t>《中国证券报》、《上海证券报》、《证券日报》和巨潮资讯网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为公司信息披露的 </w:t>
      </w:r>
      <w:r>
        <w:rPr>
          <w:color w:val="000000"/>
          <w:spacing w:val="0"/>
          <w:w w:val="100"/>
          <w:position w:val="0"/>
        </w:rPr>
        <w:t>指定报纸和网站，确保公司所有股东能够以平等的机会获取信息。</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二</w:t>
      </w:r>
      <w:bookmarkEnd w:id="574"/>
      <w:r>
        <w:rPr>
          <w:color w:val="000000"/>
          <w:spacing w:val="0"/>
          <w:w w:val="100"/>
          <w:position w:val="0"/>
          <w:sz w:val="24"/>
          <w:szCs w:val="24"/>
        </w:rPr>
        <w:t>、公司相对于控股股东在业务、人员、资产、机构、财务等方面的独立情况</w:t>
      </w:r>
      <w:bookmarkEnd w:id="572"/>
      <w:bookmarkEnd w:id="573"/>
      <w:bookmarkEnd w:id="575"/>
    </w:p>
    <w:p>
      <w:pPr>
        <w:pStyle w:val="Style35"/>
        <w:keepNext w:val="0"/>
        <w:keepLines w:val="0"/>
        <w:widowControl w:val="0"/>
        <w:shd w:val="clear" w:color="auto" w:fill="auto"/>
        <w:bidi w:val="0"/>
        <w:spacing w:before="0" w:after="1120" w:line="312" w:lineRule="exact"/>
        <w:ind w:left="0" w:right="0" w:firstLine="440"/>
        <w:jc w:val="left"/>
      </w:pPr>
      <w:r>
        <w:rPr>
          <w:color w:val="000000"/>
          <w:spacing w:val="0"/>
          <w:w w:val="100"/>
          <w:position w:val="0"/>
        </w:rPr>
        <w:t>公司控股股东、实际控制人为自然人。公司与控股股东实行了业务、人员、资产、机构、财务独立, 各自独立核算、独立承担责任和风险，公司具有独立完整的业务和自主经营的能力。</w:t>
      </w:r>
    </w:p>
    <w:p>
      <w:pPr>
        <w:pStyle w:val="Style23"/>
        <w:keepNext/>
        <w:keepLines/>
        <w:widowControl w:val="0"/>
        <w:shd w:val="clear" w:color="auto" w:fill="auto"/>
        <w:tabs>
          <w:tab w:pos="517" w:val="left"/>
        </w:tabs>
        <w:bidi w:val="0"/>
        <w:spacing w:before="0" w:after="34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w:t>
        <w:tab/>
        <w:t>同业竞争情况</w:t>
      </w:r>
      <w:bookmarkEnd w:id="576"/>
      <w:bookmarkEnd w:id="577"/>
      <w:bookmarkEnd w:id="57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四</w:t>
      </w:r>
      <w:bookmarkEnd w:id="582"/>
      <w:r>
        <w:rPr>
          <w:color w:val="000000"/>
          <w:spacing w:val="0"/>
          <w:w w:val="100"/>
          <w:position w:val="0"/>
          <w:sz w:val="24"/>
          <w:szCs w:val="24"/>
        </w:rPr>
        <w:t>、</w:t>
        <w:tab/>
        <w:t>报告期内召开的年度股东大会和临时股东大会的有关情况</w:t>
      </w:r>
      <w:bookmarkEnd w:id="580"/>
      <w:bookmarkEnd w:id="581"/>
      <w:bookmarkEnd w:id="583"/>
    </w:p>
    <w:p>
      <w:pPr>
        <w:pStyle w:val="Style32"/>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、本报告期股东大会情况</w:t>
      </w:r>
      <w:bookmarkEnd w:id="584"/>
      <w:bookmarkEnd w:id="585"/>
      <w:bookmarkEnd w:id="587"/>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2016-007 </w:t>
            </w:r>
            <w:r>
              <w:rPr>
                <w:color w:val="000000"/>
                <w:spacing w:val="0"/>
                <w:w w:val="100"/>
                <w:position w:val="0"/>
              </w:rPr>
              <w:t>；公告名 称：红相电力</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年第一次临时股东 大会决议；网站名 称：巨潮资讯网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2016-009 </w:t>
            </w:r>
            <w:r>
              <w:rPr>
                <w:color w:val="000000"/>
                <w:spacing w:val="0"/>
                <w:w w:val="100"/>
                <w:position w:val="0"/>
              </w:rPr>
              <w:t>；公告名 称：红相电力</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年第二次临时股东 大会决议；网站名 称：巨潮资讯网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2016-033 </w:t>
            </w:r>
            <w:r>
              <w:rPr>
                <w:color w:val="000000"/>
                <w:spacing w:val="0"/>
                <w:w w:val="100"/>
                <w:position w:val="0"/>
              </w:rPr>
              <w:t>；公告名 称：红相电力</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年年度股东大会决 议；网站名称：巨潮 资讯网</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2016-043 </w:t>
            </w:r>
            <w:r>
              <w:rPr>
                <w:color w:val="000000"/>
                <w:spacing w:val="0"/>
                <w:w w:val="100"/>
                <w:position w:val="0"/>
              </w:rPr>
              <w:t>；公告名</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称：红相电力</w:t>
            </w:r>
            <w:r>
              <w:rPr>
                <w:rFonts w:ascii="Times New Roman" w:eastAsia="Times New Roman" w:hAnsi="Times New Roman" w:cs="Times New Roman"/>
                <w:color w:val="000000"/>
                <w:spacing w:val="0"/>
                <w:w w:val="100"/>
                <w:position w:val="0"/>
                <w:sz w:val="18"/>
                <w:szCs w:val="18"/>
              </w:rPr>
              <w:t>2016</w:t>
            </w:r>
          </w:p>
        </w:tc>
      </w:tr>
    </w:tbl>
    <w:tbl>
      <w:tblPr>
        <w:tblOverlap w:val="never"/>
        <w:jc w:val="center"/>
        <w:tblLayout w:type="fixed"/>
      </w:tblPr>
      <w:tblGrid>
        <w:gridCol w:w="1598"/>
        <w:gridCol w:w="1594"/>
        <w:gridCol w:w="1598"/>
        <w:gridCol w:w="1594"/>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年第三次临时股东 大会决议；网站名 称：巨潮资讯网</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w:t>
            </w:r>
            <w:r>
              <w:rPr>
                <w:color w:val="000000"/>
                <w:spacing w:val="0"/>
                <w:w w:val="100"/>
                <w:position w:val="0"/>
              </w:rPr>
              <w:t>公告名 称：红相电力</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年第四次临时股东 大会决议；网站名 称：巨潮资讯网</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、表决权恢复的优先股股东请求召开临时股东大会</w:t>
      </w:r>
      <w:bookmarkEnd w:id="588"/>
      <w:bookmarkEnd w:id="589"/>
      <w:bookmarkEnd w:id="591"/>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五</w:t>
      </w:r>
      <w:bookmarkEnd w:id="594"/>
      <w:r>
        <w:rPr>
          <w:color w:val="000000"/>
          <w:spacing w:val="0"/>
          <w:w w:val="100"/>
          <w:position w:val="0"/>
          <w:sz w:val="24"/>
          <w:szCs w:val="24"/>
        </w:rPr>
        <w:t>、报告期内独立董事履行职责的情况</w:t>
      </w:r>
      <w:bookmarkEnd w:id="592"/>
      <w:bookmarkEnd w:id="593"/>
      <w:bookmarkEnd w:id="595"/>
    </w:p>
    <w:p>
      <w:pPr>
        <w:pStyle w:val="Style32"/>
        <w:keepNext/>
        <w:keepLines/>
        <w:widowControl w:val="0"/>
        <w:shd w:val="clear" w:color="auto" w:fill="auto"/>
        <w:bidi w:val="0"/>
        <w:spacing w:before="0" w:after="300" w:line="240"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、独立董事出席董事会及股东大会的情况</w:t>
      </w:r>
      <w:bookmarkEnd w:id="596"/>
      <w:bookmarkEnd w:id="597"/>
      <w:bookmarkEnd w:id="59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尹久远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陈守德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2"/>
        <w:keepNext/>
        <w:keepLines/>
        <w:widowControl w:val="0"/>
        <w:shd w:val="clear" w:color="auto" w:fill="auto"/>
        <w:tabs>
          <w:tab w:pos="378" w:val="left"/>
        </w:tabs>
        <w:bidi w:val="0"/>
        <w:spacing w:before="0" w:after="380" w:line="312" w:lineRule="exact"/>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独立董事对公司有关事项提出异议的情况</w:t>
      </w:r>
      <w:bookmarkEnd w:id="600"/>
      <w:bookmarkEnd w:id="601"/>
      <w:bookmarkEnd w:id="60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80" w:line="312" w:lineRule="exact"/>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独立董事履行职责的其他说明</w:t>
      </w:r>
      <w:bookmarkEnd w:id="604"/>
      <w:bookmarkEnd w:id="605"/>
      <w:bookmarkEnd w:id="60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780" w:line="312" w:lineRule="exact"/>
        <w:ind w:left="0" w:right="0" w:firstLine="440"/>
        <w:jc w:val="both"/>
      </w:pPr>
      <w:r>
        <w:rPr>
          <w:color w:val="000000"/>
          <w:spacing w:val="0"/>
          <w:w w:val="100"/>
          <w:position w:val="0"/>
        </w:rPr>
        <w:t xml:space="preserve">公司独立董事根据《公司法》、《证券法》、《创业板股票上市规则》及《公司章程》等相关规定， 关注公司运作，独立履行职责，对公司的制度完善和日常经营决策等方面提出了很多宝贵的专业性建议， 公司结合自身实际情况予以采纳。独立董事对报告期内年度利润分配预案、募集资金使用等事项提出了独 </w:t>
      </w:r>
      <w:r>
        <w:rPr>
          <w:color w:val="000000"/>
          <w:spacing w:val="0"/>
          <w:w w:val="100"/>
          <w:position w:val="0"/>
        </w:rPr>
        <w:t>立、客观的意见，为完善公司监督机制，维护公司和全体股东的合法权益发挥了应有的作用。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六</w:t>
      </w:r>
      <w:bookmarkEnd w:id="610"/>
      <w:r>
        <w:rPr>
          <w:color w:val="000000"/>
          <w:spacing w:val="0"/>
          <w:w w:val="100"/>
          <w:position w:val="0"/>
          <w:sz w:val="24"/>
          <w:szCs w:val="24"/>
        </w:rPr>
        <w:t>、</w:t>
        <w:tab/>
        <w:t>董事会下设专门委员会在报告期内履行职责情况</w:t>
      </w:r>
      <w:bookmarkEnd w:id="608"/>
      <w:bookmarkEnd w:id="609"/>
      <w:bookmarkEnd w:id="611"/>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公司董事会下设审计委员会、战略委员会、提名委员会、薪酬与考核委员会。各专门委员会在报告期 内的履职情况如下：</w:t>
      </w:r>
    </w:p>
    <w:p>
      <w:pPr>
        <w:pStyle w:val="Style35"/>
        <w:keepNext w:val="0"/>
        <w:keepLines w:val="0"/>
        <w:widowControl w:val="0"/>
        <w:shd w:val="clear" w:color="auto" w:fill="auto"/>
        <w:tabs>
          <w:tab w:pos="1038" w:val="left"/>
        </w:tabs>
        <w:bidi w:val="0"/>
        <w:spacing w:before="0" w:line="312" w:lineRule="exact"/>
        <w:ind w:left="0" w:right="0" w:firstLine="440"/>
        <w:jc w:val="both"/>
      </w:pPr>
      <w:bookmarkStart w:id="612" w:name="bookmark612"/>
      <w:r>
        <w:rPr>
          <w:b/>
          <w:bCs/>
          <w:color w:val="000000"/>
          <w:spacing w:val="0"/>
          <w:w w:val="100"/>
          <w:position w:val="0"/>
        </w:rPr>
        <w:t>（</w:t>
      </w:r>
      <w:bookmarkEnd w:id="612"/>
      <w:r>
        <w:rPr>
          <w:b/>
          <w:bCs/>
          <w:color w:val="000000"/>
          <w:spacing w:val="0"/>
          <w:w w:val="100"/>
          <w:position w:val="0"/>
        </w:rPr>
        <w:t>一）</w:t>
        <w:tab/>
        <w:t>审计委员的履职情况</w:t>
      </w:r>
    </w:p>
    <w:p>
      <w:pPr>
        <w:pStyle w:val="Style35"/>
        <w:keepNext w:val="0"/>
        <w:keepLines w:val="0"/>
        <w:widowControl w:val="0"/>
        <w:shd w:val="clear" w:color="auto" w:fill="auto"/>
        <w:bidi w:val="0"/>
        <w:spacing w:before="0" w:line="317" w:lineRule="exact"/>
        <w:ind w:left="0" w:right="0" w:firstLine="440"/>
        <w:jc w:val="both"/>
      </w:pPr>
      <w:r>
        <w:rPr>
          <w:color w:val="000000"/>
          <w:spacing w:val="0"/>
          <w:w w:val="100"/>
          <w:position w:val="0"/>
        </w:rPr>
        <w:t>报告期内，公司审计委员会严格按照公司《审计委员会工作细则》等相关要求，积极履行职责，报告 期内共召开了</w:t>
      </w:r>
      <w:r>
        <w:rPr>
          <w:rFonts w:ascii="Times New Roman" w:eastAsia="Times New Roman" w:hAnsi="Times New Roman" w:cs="Times New Roman"/>
          <w:color w:val="000000"/>
          <w:spacing w:val="0"/>
          <w:w w:val="100"/>
          <w:position w:val="0"/>
        </w:rPr>
        <w:t>4</w:t>
      </w:r>
      <w:r>
        <w:rPr>
          <w:color w:val="000000"/>
          <w:spacing w:val="0"/>
          <w:w w:val="100"/>
          <w:position w:val="0"/>
        </w:rPr>
        <w:t>次会议，对公司定期报告进行审议并形成决议；及时审阅内部审计部门定期工作计划和报 告，并向董事会报告。</w:t>
      </w:r>
    </w:p>
    <w:p>
      <w:pPr>
        <w:pStyle w:val="Style35"/>
        <w:keepNext w:val="0"/>
        <w:keepLines w:val="0"/>
        <w:widowControl w:val="0"/>
        <w:shd w:val="clear" w:color="auto" w:fill="auto"/>
        <w:tabs>
          <w:tab w:pos="1038" w:val="left"/>
        </w:tabs>
        <w:bidi w:val="0"/>
        <w:spacing w:before="0" w:line="312" w:lineRule="exact"/>
        <w:ind w:left="0" w:right="0" w:firstLine="440"/>
        <w:jc w:val="both"/>
      </w:pPr>
      <w:bookmarkStart w:id="613" w:name="bookmark613"/>
      <w:r>
        <w:rPr>
          <w:b/>
          <w:bCs/>
          <w:color w:val="000000"/>
          <w:spacing w:val="0"/>
          <w:w w:val="100"/>
          <w:position w:val="0"/>
        </w:rPr>
        <w:t>（</w:t>
      </w:r>
      <w:bookmarkEnd w:id="613"/>
      <w:r>
        <w:rPr>
          <w:b/>
          <w:bCs/>
          <w:color w:val="000000"/>
          <w:spacing w:val="0"/>
          <w:w w:val="100"/>
          <w:position w:val="0"/>
        </w:rPr>
        <w:t>二）</w:t>
        <w:tab/>
        <w:t>提名委员会履职情况</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报告期内，提名委员会根据公司《提名委员会工作细则》等相关规定，积极履行职责，报告期内共召 开了一次会议，对公司董事会规模及高级管理人员任职资格进行了审核，并发表审核意见。</w:t>
      </w:r>
    </w:p>
    <w:p>
      <w:pPr>
        <w:pStyle w:val="Style35"/>
        <w:keepNext w:val="0"/>
        <w:keepLines w:val="0"/>
        <w:widowControl w:val="0"/>
        <w:shd w:val="clear" w:color="auto" w:fill="auto"/>
        <w:tabs>
          <w:tab w:pos="1038" w:val="left"/>
        </w:tabs>
        <w:bidi w:val="0"/>
        <w:spacing w:before="0" w:line="312" w:lineRule="exact"/>
        <w:ind w:left="0" w:right="0" w:firstLine="440"/>
        <w:jc w:val="both"/>
      </w:pPr>
      <w:bookmarkStart w:id="614" w:name="bookmark614"/>
      <w:r>
        <w:rPr>
          <w:b/>
          <w:bCs/>
          <w:color w:val="000000"/>
          <w:spacing w:val="0"/>
          <w:w w:val="100"/>
          <w:position w:val="0"/>
        </w:rPr>
        <w:t>（</w:t>
      </w:r>
      <w:bookmarkEnd w:id="614"/>
      <w:r>
        <w:rPr>
          <w:b/>
          <w:bCs/>
          <w:color w:val="000000"/>
          <w:spacing w:val="0"/>
          <w:w w:val="100"/>
          <w:position w:val="0"/>
        </w:rPr>
        <w:t>三）</w:t>
        <w:tab/>
        <w:t>薪酬与考核委员会履职情况</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报告期内，薪酬与考核委员会根据公司章程及《薪酬与考核委员会工作细则》等相关规定，召开一次 会议，对公司董事和高级管理人员工作及薪酬情况进行考核和检查；对公司董事和高级管理人员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年薪 酬方案发表意见；并就上述事项形成报告。</w:t>
      </w:r>
    </w:p>
    <w:p>
      <w:pPr>
        <w:pStyle w:val="Style35"/>
        <w:keepNext w:val="0"/>
        <w:keepLines w:val="0"/>
        <w:widowControl w:val="0"/>
        <w:shd w:val="clear" w:color="auto" w:fill="auto"/>
        <w:tabs>
          <w:tab w:pos="1038" w:val="left"/>
        </w:tabs>
        <w:bidi w:val="0"/>
        <w:spacing w:before="0" w:line="312" w:lineRule="exact"/>
        <w:ind w:left="0" w:right="0" w:firstLine="440"/>
        <w:jc w:val="both"/>
      </w:pPr>
      <w:bookmarkStart w:id="615" w:name="bookmark615"/>
      <w:r>
        <w:rPr>
          <w:b/>
          <w:bCs/>
          <w:color w:val="000000"/>
          <w:spacing w:val="0"/>
          <w:w w:val="100"/>
          <w:position w:val="0"/>
        </w:rPr>
        <w:t>（</w:t>
      </w:r>
      <w:bookmarkEnd w:id="615"/>
      <w:r>
        <w:rPr>
          <w:b/>
          <w:bCs/>
          <w:color w:val="000000"/>
          <w:spacing w:val="0"/>
          <w:w w:val="100"/>
          <w:position w:val="0"/>
        </w:rPr>
        <w:t>四）</w:t>
        <w:tab/>
        <w:t>战略委员会履职情况</w:t>
      </w:r>
    </w:p>
    <w:p>
      <w:pPr>
        <w:pStyle w:val="Style35"/>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报告期内，战略委员会根据公司《战略委员会工作细则》等相关规定，结合公司实际发展战略需要， 共召开了二次会议，审议并通过了《关于终止</w:t>
      </w:r>
      <w:r>
        <w:rPr>
          <w:rFonts w:ascii="Times New Roman" w:eastAsia="Times New Roman" w:hAnsi="Times New Roman" w:cs="Times New Roman"/>
          <w:color w:val="000000"/>
          <w:spacing w:val="0"/>
          <w:w w:val="100"/>
          <w:position w:val="0"/>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rPr>
        <w:t>''</w:t>
      </w:r>
      <w:r>
        <w:rPr>
          <w:color w:val="000000"/>
          <w:spacing w:val="0"/>
          <w:w w:val="100"/>
          <w:position w:val="0"/>
        </w:rPr>
        <w:t>及变更募集资金投 资项目的议案》、《厦门红相电力设备股份有限公司发行股份及支付现金购买资产并募集配套资金暨关联 交易预案》。</w:t>
      </w:r>
    </w:p>
    <w:p>
      <w:pPr>
        <w:pStyle w:val="Style23"/>
        <w:keepNext/>
        <w:keepLines/>
        <w:widowControl w:val="0"/>
        <w:shd w:val="clear" w:color="auto" w:fill="auto"/>
        <w:tabs>
          <w:tab w:pos="517"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七</w:t>
      </w:r>
      <w:bookmarkEnd w:id="618"/>
      <w:r>
        <w:rPr>
          <w:color w:val="000000"/>
          <w:spacing w:val="0"/>
          <w:w w:val="100"/>
          <w:position w:val="0"/>
          <w:sz w:val="24"/>
          <w:szCs w:val="24"/>
        </w:rPr>
        <w:t>、</w:t>
        <w:tab/>
        <w:t>监事会工作情况</w:t>
      </w:r>
      <w:bookmarkEnd w:id="616"/>
      <w:bookmarkEnd w:id="617"/>
      <w:bookmarkEnd w:id="61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八</w:t>
      </w:r>
      <w:bookmarkEnd w:id="622"/>
      <w:r>
        <w:rPr>
          <w:color w:val="000000"/>
          <w:spacing w:val="0"/>
          <w:w w:val="100"/>
          <w:position w:val="0"/>
          <w:sz w:val="24"/>
          <w:szCs w:val="24"/>
        </w:rPr>
        <w:t>、</w:t>
        <w:tab/>
        <w:t>高级管理人员的考评及激励情况</w:t>
      </w:r>
      <w:bookmarkEnd w:id="620"/>
      <w:bookmarkEnd w:id="621"/>
      <w:bookmarkEnd w:id="623"/>
    </w:p>
    <w:p>
      <w:pPr>
        <w:pStyle w:val="Style35"/>
        <w:keepNext w:val="0"/>
        <w:keepLines w:val="0"/>
        <w:widowControl w:val="0"/>
        <w:shd w:val="clear" w:color="auto" w:fill="auto"/>
        <w:bidi w:val="0"/>
        <w:spacing w:before="0" w:line="313" w:lineRule="exact"/>
        <w:ind w:left="0" w:right="0" w:firstLine="340"/>
        <w:jc w:val="left"/>
      </w:pPr>
      <w:r>
        <w:rPr>
          <w:color w:val="000000"/>
          <w:spacing w:val="0"/>
          <w:w w:val="100"/>
          <w:position w:val="0"/>
        </w:rPr>
        <w:t>公司根据薪酬管理制度，建立了高级管理人员的薪酬与公司业绩挂钩的绩效考核与激励约束机制，公 司高级管理人员实行岗位薪酬与年终绩效考核相结合的薪酬制度。根据公司年度经营目标完成情况及高级 管理人员的工作业绩，由公司董事会薪酬与考核委员会对高级管理人员进行年度绩效考核，并监督薪酬制 度执行情况。公司则根据绩效考核结果兑现其绩效年薪，并进行奖惩。公司董事会薪酬与考核委员会根据 实际情况对公司高级管理人员进行考核后，一致认为：</w:t>
      </w:r>
      <w:r>
        <w:rPr>
          <w:rFonts w:ascii="Times New Roman" w:eastAsia="Times New Roman" w:hAnsi="Times New Roman" w:cs="Times New Roman"/>
          <w:color w:val="000000"/>
          <w:spacing w:val="0"/>
          <w:w w:val="100"/>
          <w:position w:val="0"/>
        </w:rPr>
        <w:t>2016</w:t>
      </w:r>
      <w:r>
        <w:rPr>
          <w:color w:val="000000"/>
          <w:spacing w:val="0"/>
          <w:w w:val="100"/>
          <w:position w:val="0"/>
        </w:rPr>
        <w:t>年度公司高级管理人员薪酬方案严格执行了公 司薪酬管理制度。</w:t>
      </w:r>
      <w:r>
        <w:br w:type="page"/>
      </w:r>
    </w:p>
    <w:p>
      <w:pPr>
        <w:pStyle w:val="Style23"/>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九</w:t>
      </w:r>
      <w:bookmarkEnd w:id="626"/>
      <w:r>
        <w:rPr>
          <w:color w:val="000000"/>
          <w:spacing w:val="0"/>
          <w:w w:val="100"/>
          <w:position w:val="0"/>
          <w:sz w:val="24"/>
          <w:szCs w:val="24"/>
        </w:rPr>
        <w:t>、内部控制评价报告</w:t>
      </w:r>
      <w:bookmarkEnd w:id="624"/>
      <w:bookmarkEnd w:id="625"/>
      <w:bookmarkEnd w:id="627"/>
    </w:p>
    <w:p>
      <w:pPr>
        <w:pStyle w:val="Style32"/>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、报告期内发现的内部控制重大缺陷的具体情况</w:t>
      </w:r>
      <w:bookmarkEnd w:id="628"/>
      <w:bookmarkEnd w:id="629"/>
      <w:bookmarkEnd w:id="63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、内控自我评价报告</w:t>
      </w:r>
      <w:bookmarkEnd w:id="632"/>
      <w:bookmarkEnd w:id="633"/>
      <w:bookmarkEnd w:id="635"/>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、具有以下特征的缺陷，认定为重大缺陷：</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）审计委员会和审计部门对公司财务报 告的内部控制监督无效；（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 监事和高级管理人员舞弊；（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）外部审计 师发现当期财务报表存在重大错报，而内 部控制运行过程中未能发现该错报；（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其他可能导致公司严重偏离控制目标的缺 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、具有以下特征的缺陷，为重要缺陷：</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）未依照公认会计准则选择和应用会计 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）未建立反舞弊程序和控制措施；</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）对于非常规或特殊交易的账务处理没 有建立相应的控制程序；（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）对于期末的 财务报告过程的控制存在一项或多项缺 陷，虽未达到重大缺陷标准，但影响财务 报告达到合理、准确的目标。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、除上述重 大缺陷、重要缺陷之外的其他控制缺陷， 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、具有下列特征的缺陷，为重大缺陷：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）公司决策程序导致重大失误；（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重要业务缺乏制度控制或制度系统性 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）缺陷发生的可能性高，会严 重降低工作效率或效果，或严重偏离预 期目标。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、具有下列特征的缺陷，为 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）公司决策程序导致一 般性失误；（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）重要业务制度或系统存 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）缺陷发生的可能性较高， 会显著降低工作效率或效果，或显著偏 离预期目标。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、具有下列特征的缺陷， 为一般缺陷：（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）公司决策程序效率不 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）一般业务制度或系统存在缺陷；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）缺陷发生的可能性较小，会降低 工作效率或</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财务报告内部控制缺陷定量标准以合并会 计报表营业收入为衡量指标。内部控制缺 陷单独或连同其他缺陷可能导致的财务报 告错报金额大于或等于营业收入的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则认定为重大缺陷；小于营业收入的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大于或等于营业收入的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 要缺陷；小于营业收入的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 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如果某项内部控制缺陷单独或连同其 他缺陷可能导致的损失金额大于或等 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 损失金额小于营业收入的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，大于或 等于营业收入的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 陷；损失金额小于营业收入的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 认定为一般缺陷。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r>
        <w:rPr>
          <w:color w:val="000000"/>
          <w:spacing w:val="0"/>
          <w:w w:val="100"/>
          <w:position w:val="0"/>
          <w:sz w:val="24"/>
          <w:szCs w:val="24"/>
        </w:rPr>
        <w:t>十、内部控制审计报告或鉴证报告</w:t>
      </w:r>
      <w:bookmarkEnd w:id="636"/>
      <w:bookmarkEnd w:id="637"/>
      <w:bookmarkEnd w:id="638"/>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02" w:right="1060" w:bottom="1517" w:left="1058"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39" w:name="bookmark639"/>
      <w:bookmarkStart w:id="640" w:name="bookmark640"/>
      <w:bookmarkStart w:id="641" w:name="bookmark641"/>
      <w:r>
        <w:rPr>
          <w:color w:val="000000"/>
          <w:spacing w:val="0"/>
          <w:w w:val="100"/>
          <w:position w:val="0"/>
        </w:rPr>
        <w:t>第十节公司债券相关情况</w:t>
      </w:r>
      <w:bookmarkEnd w:id="639"/>
      <w:bookmarkEnd w:id="640"/>
      <w:bookmarkEnd w:id="64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after="520" w:line="240" w:lineRule="auto"/>
        <w:ind w:left="0" w:right="0" w:firstLine="0"/>
        <w:jc w:val="center"/>
      </w:pPr>
      <w:bookmarkStart w:id="642" w:name="bookmark642"/>
      <w:bookmarkStart w:id="643" w:name="bookmark643"/>
      <w:bookmarkStart w:id="644" w:name="bookmark644"/>
      <w:r>
        <w:rPr>
          <w:color w:val="000000"/>
          <w:spacing w:val="0"/>
          <w:w w:val="100"/>
          <w:position w:val="0"/>
        </w:rPr>
        <w:t>第十一节财务报告</w:t>
      </w:r>
      <w:bookmarkEnd w:id="642"/>
      <w:bookmarkEnd w:id="643"/>
      <w:bookmarkEnd w:id="644"/>
    </w:p>
    <w:p>
      <w:pPr>
        <w:pStyle w:val="Style23"/>
        <w:keepNext/>
        <w:keepLines/>
        <w:widowControl w:val="0"/>
        <w:shd w:val="clear" w:color="auto" w:fill="auto"/>
        <w:bidi w:val="0"/>
        <w:spacing w:before="0" w:after="320" w:line="240" w:lineRule="auto"/>
        <w:ind w:left="0" w:right="0" w:firstLine="0"/>
        <w:jc w:val="both"/>
      </w:pPr>
      <w:bookmarkStart w:id="645" w:name="bookmark645"/>
      <w:bookmarkStart w:id="646" w:name="bookmark646"/>
      <w:bookmarkStart w:id="647" w:name="bookmark647"/>
      <w:bookmarkStart w:id="648" w:name="bookmark648"/>
      <w:r>
        <w:rPr>
          <w:color w:val="000000"/>
          <w:spacing w:val="0"/>
          <w:w w:val="100"/>
          <w:position w:val="0"/>
          <w:sz w:val="24"/>
          <w:szCs w:val="24"/>
        </w:rPr>
        <w:t>一</w:t>
      </w:r>
      <w:bookmarkEnd w:id="647"/>
      <w:r>
        <w:rPr>
          <w:color w:val="000000"/>
          <w:spacing w:val="0"/>
          <w:w w:val="100"/>
          <w:position w:val="0"/>
          <w:sz w:val="24"/>
          <w:szCs w:val="24"/>
        </w:rPr>
        <w:t>、审计报告</w:t>
      </w:r>
      <w:bookmarkEnd w:id="645"/>
      <w:bookmarkEnd w:id="646"/>
      <w:bookmarkEnd w:id="64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350ZA0020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刘维、吴乐霖</w:t>
            </w:r>
          </w:p>
        </w:tc>
      </w:tr>
    </w:tbl>
    <w:p>
      <w:pPr>
        <w:pStyle w:val="Style2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w:t>
      </w:r>
    </w:p>
    <w:p>
      <w:pPr>
        <w:pStyle w:val="Style35"/>
        <w:keepNext w:val="0"/>
        <w:keepLines w:val="0"/>
        <w:widowControl w:val="0"/>
        <w:shd w:val="clear" w:color="auto" w:fill="auto"/>
        <w:bidi w:val="0"/>
        <w:spacing w:before="0" w:line="451" w:lineRule="exact"/>
        <w:ind w:left="0" w:right="0" w:firstLine="6540"/>
        <w:jc w:val="both"/>
      </w:pPr>
      <w:r>
        <w:rPr>
          <w:color w:val="000000"/>
          <w:spacing w:val="0"/>
          <w:w w:val="100"/>
          <w:position w:val="0"/>
        </w:rPr>
        <w:t>致同审字（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350ZA0020</w:t>
      </w:r>
      <w:r>
        <w:rPr>
          <w:color w:val="000000"/>
          <w:spacing w:val="0"/>
          <w:w w:val="100"/>
          <w:position w:val="0"/>
        </w:rPr>
        <w:t xml:space="preserve">号 </w:t>
      </w:r>
      <w:r>
        <w:rPr>
          <w:b/>
          <w:bCs/>
          <w:color w:val="000000"/>
          <w:spacing w:val="0"/>
          <w:w w:val="100"/>
          <w:position w:val="0"/>
        </w:rPr>
        <w:t>厦门红相电力设备股份有限公司全体股东：</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我们审计了后附的厦门红相电力设备股份有限公司（以下简称红相电力公司）财务报表，包括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 股东权益变动表以及财务报表附注。</w:t>
      </w:r>
    </w:p>
    <w:p>
      <w:pPr>
        <w:pStyle w:val="Style35"/>
        <w:keepNext w:val="0"/>
        <w:keepLines w:val="0"/>
        <w:widowControl w:val="0"/>
        <w:shd w:val="clear" w:color="auto" w:fill="auto"/>
        <w:tabs>
          <w:tab w:pos="918" w:val="left"/>
        </w:tabs>
        <w:bidi w:val="0"/>
        <w:spacing w:before="0" w:line="313" w:lineRule="exact"/>
        <w:ind w:left="0" w:right="0" w:firstLine="440"/>
        <w:jc w:val="both"/>
      </w:pPr>
      <w:bookmarkStart w:id="649" w:name="bookmark649"/>
      <w:r>
        <w:rPr>
          <w:b/>
          <w:bCs/>
          <w:color w:val="000000"/>
          <w:spacing w:val="0"/>
          <w:w w:val="100"/>
          <w:position w:val="0"/>
        </w:rPr>
        <w:t>一</w:t>
      </w:r>
      <w:bookmarkEnd w:id="649"/>
      <w:r>
        <w:rPr>
          <w:b/>
          <w:bCs/>
          <w:color w:val="000000"/>
          <w:spacing w:val="0"/>
          <w:w w:val="100"/>
          <w:position w:val="0"/>
        </w:rPr>
        <w:t>、</w:t>
        <w:tab/>
        <w:t>管理层对财务报表的责任</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编制和公允列报财务报表是红相电力公司管理层的责任，这种责任包括：（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5"/>
        <w:keepNext w:val="0"/>
        <w:keepLines w:val="0"/>
        <w:widowControl w:val="0"/>
        <w:shd w:val="clear" w:color="auto" w:fill="auto"/>
        <w:tabs>
          <w:tab w:pos="918" w:val="left"/>
        </w:tabs>
        <w:bidi w:val="0"/>
        <w:spacing w:before="0" w:line="313" w:lineRule="exact"/>
        <w:ind w:left="0" w:right="0" w:firstLine="440"/>
        <w:jc w:val="both"/>
      </w:pPr>
      <w:bookmarkStart w:id="650" w:name="bookmark650"/>
      <w:r>
        <w:rPr>
          <w:b/>
          <w:bCs/>
          <w:color w:val="000000"/>
          <w:spacing w:val="0"/>
          <w:w w:val="100"/>
          <w:position w:val="0"/>
        </w:rPr>
        <w:t>二</w:t>
      </w:r>
      <w:bookmarkEnd w:id="650"/>
      <w:r>
        <w:rPr>
          <w:b/>
          <w:bCs/>
          <w:color w:val="000000"/>
          <w:spacing w:val="0"/>
          <w:w w:val="100"/>
          <w:position w:val="0"/>
        </w:rPr>
        <w:t>、</w:t>
        <w:tab/>
        <w:t>注册会计师的责任</w:t>
      </w:r>
    </w:p>
    <w:p>
      <w:pPr>
        <w:pStyle w:val="Style35"/>
        <w:keepNext w:val="0"/>
        <w:keepLines w:val="0"/>
        <w:widowControl w:val="0"/>
        <w:shd w:val="clear" w:color="auto" w:fill="auto"/>
        <w:bidi w:val="0"/>
        <w:spacing w:before="0" w:line="293"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我们相信，我们获取的审计证据是充分、适当的，为发表审计意见提供了基础。</w:t>
      </w:r>
    </w:p>
    <w:p>
      <w:pPr>
        <w:pStyle w:val="Style35"/>
        <w:keepNext w:val="0"/>
        <w:keepLines w:val="0"/>
        <w:widowControl w:val="0"/>
        <w:shd w:val="clear" w:color="auto" w:fill="auto"/>
        <w:bidi w:val="0"/>
        <w:spacing w:before="0" w:line="313" w:lineRule="exact"/>
        <w:ind w:left="0" w:right="0" w:firstLine="520"/>
        <w:jc w:val="both"/>
      </w:pPr>
      <w:bookmarkStart w:id="651" w:name="bookmark651"/>
      <w:r>
        <w:rPr>
          <w:b/>
          <w:bCs/>
          <w:color w:val="000000"/>
          <w:spacing w:val="0"/>
          <w:w w:val="100"/>
          <w:position w:val="0"/>
        </w:rPr>
        <w:t>三</w:t>
      </w:r>
      <w:bookmarkEnd w:id="651"/>
      <w:r>
        <w:rPr>
          <w:b/>
          <w:bCs/>
          <w:color w:val="000000"/>
          <w:spacing w:val="0"/>
          <w:w w:val="100"/>
          <w:position w:val="0"/>
        </w:rPr>
        <w:t>、审计意见</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我们认为，红相电力公司财务报表在所有重大方面按照企业会计准则的规定编制，公允反映了红相电 力公司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 量。</w:t>
      </w:r>
      <w:r>
        <w:br w:type="page"/>
      </w:r>
    </w:p>
    <w:p>
      <w:pPr>
        <w:widowControl w:val="0"/>
        <w:spacing w:line="1" w:lineRule="exact"/>
      </w:pPr>
      <w:r>
        <mc:AlternateContent>
          <mc:Choice Requires="wps">
            <w:drawing>
              <wp:anchor distT="0" distB="312420" distL="0" distR="0" simplePos="0" relativeHeight="125829380" behindDoc="0" locked="0" layoutInCell="1" allowOverlap="1">
                <wp:simplePos x="0" y="0"/>
                <wp:positionH relativeFrom="page">
                  <wp:posOffset>732790</wp:posOffset>
                </wp:positionH>
                <wp:positionV relativeFrom="paragraph">
                  <wp:posOffset>0</wp:posOffset>
                </wp:positionV>
                <wp:extent cx="1090930" cy="167640"/>
                <wp:wrapTopAndBottom/>
                <wp:docPr id="14" name="Shape 14"/>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w:t>
                            </w:r>
                          </w:p>
                        </w:txbxContent>
                      </wps:txbx>
                      <wps:bodyPr wrap="none" lIns="0" tIns="0" rIns="0" bIns="0">
                        <a:noAutoFit/>
                      </wps:bodyPr>
                    </wps:wsp>
                  </a:graphicData>
                </a:graphic>
              </wp:anchor>
            </w:drawing>
          </mc:Choice>
          <mc:Fallback>
            <w:pict>
              <v:shape id="_x0000_s1040" type="#_x0000_t202" style="position:absolute;margin-left:57.700000000000003pt;margin-top:0;width:85.900000000000006pt;height:13.200000000000001pt;z-index:-125829373;mso-wrap-distance-left:0;mso-wrap-distance-right:0;mso-wrap-distance-bottom:24.6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w:t>
                      </w:r>
                    </w:p>
                  </w:txbxContent>
                </v:textbox>
                <w10:wrap type="topAndBottom" anchorx="page"/>
              </v:shape>
            </w:pict>
          </mc:Fallback>
        </mc:AlternateContent>
      </w:r>
      <w:r>
        <mc:AlternateContent>
          <mc:Choice Requires="wps">
            <w:drawing>
              <wp:anchor distT="0" distB="312420" distL="0" distR="0" simplePos="0" relativeHeight="125829382" behindDoc="0" locked="0" layoutInCell="1" allowOverlap="1">
                <wp:simplePos x="0" y="0"/>
                <wp:positionH relativeFrom="page">
                  <wp:posOffset>3521710</wp:posOffset>
                </wp:positionH>
                <wp:positionV relativeFrom="paragraph">
                  <wp:posOffset>0</wp:posOffset>
                </wp:positionV>
                <wp:extent cx="948055" cy="167640"/>
                <wp:wrapTopAndBottom/>
                <wp:docPr id="16" name="Shape 16"/>
                <a:graphic xmlns:a="http://schemas.openxmlformats.org/drawingml/2006/main">
                  <a:graphicData uri="http://schemas.microsoft.com/office/word/2010/wordprocessingShape">
                    <wps:wsp>
                      <wps:cNvSpPr txBox="1"/>
                      <wps:spPr>
                        <a:xfrm>
                          <a:ext cx="94805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2" type="#_x0000_t202" style="position:absolute;margin-left:277.30000000000001pt;margin-top:0;width:74.650000000000006pt;height:13.200000000000001pt;z-index:-125829371;mso-wrap-distance-left:0;mso-wrap-distance-right:0;mso-wrap-distance-bottom:24.6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274320" distB="38100" distL="0" distR="0" simplePos="0" relativeHeight="125829384" behindDoc="0" locked="0" layoutInCell="1" allowOverlap="1">
                <wp:simplePos x="0" y="0"/>
                <wp:positionH relativeFrom="page">
                  <wp:posOffset>802640</wp:posOffset>
                </wp:positionH>
                <wp:positionV relativeFrom="paragraph">
                  <wp:posOffset>274320</wp:posOffset>
                </wp:positionV>
                <wp:extent cx="1021080" cy="167640"/>
                <wp:wrapTopAndBottom/>
                <wp:docPr id="18" name="Shape 18"/>
                <a:graphic xmlns:a="http://schemas.openxmlformats.org/drawingml/2006/main">
                  <a:graphicData uri="http://schemas.microsoft.com/office/word/2010/wordprocessingShape">
                    <wps:wsp>
                      <wps:cNvSpPr txBox="1"/>
                      <wps:spPr>
                        <a:xfrm>
                          <a:ext cx="102108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44" type="#_x0000_t202" style="position:absolute;margin-left:63.200000000000003pt;margin-top:21.600000000000001pt;width:80.400000000000006pt;height:13.200000000000001pt;z-index:-125829369;mso-wrap-distance-left:0;mso-wrap-distance-top:21.600000000000001pt;mso-wrap-distance-right:0;mso-wrap-distance-bottom: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p>
    <w:p>
      <w:pPr>
        <w:pStyle w:val="Style35"/>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中国注册会计师</w:t>
      </w:r>
    </w:p>
    <w:p>
      <w:pPr>
        <w:pStyle w:val="Style35"/>
        <w:keepNext w:val="0"/>
        <w:keepLines w:val="0"/>
        <w:widowControl w:val="0"/>
        <w:shd w:val="clear" w:color="auto" w:fill="auto"/>
        <w:bidi w:val="0"/>
        <w:spacing w:before="0" w:after="2040" w:line="240" w:lineRule="auto"/>
        <w:ind w:left="0" w:right="0" w:firstLine="0"/>
        <w:jc w:val="center"/>
      </w:pPr>
      <w:r>
        <mc:AlternateContent>
          <mc:Choice Requires="wps">
            <w:drawing>
              <wp:anchor distT="0" distB="0" distL="114300" distR="114300" simplePos="0" relativeHeight="125829386" behindDoc="0" locked="0" layoutInCell="1" allowOverlap="1">
                <wp:simplePos x="0" y="0"/>
                <wp:positionH relativeFrom="page">
                  <wp:posOffset>745490</wp:posOffset>
                </wp:positionH>
                <wp:positionV relativeFrom="paragraph">
                  <wp:posOffset>12700</wp:posOffset>
                </wp:positionV>
                <wp:extent cx="591185" cy="176530"/>
                <wp:wrapSquare wrapText="right"/>
                <wp:docPr id="20" name="Shape 20"/>
                <a:graphic xmlns:a="http://schemas.openxmlformats.org/drawingml/2006/main">
                  <a:graphicData uri="http://schemas.microsoft.com/office/word/2010/wordprocessingShape">
                    <wps:wsp>
                      <wps:cNvSpPr txBox="1"/>
                      <wps:spPr>
                        <a:xfrm>
                          <a:ext cx="591185" cy="1765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6" type="#_x0000_t202" style="position:absolute;margin-left:58.700000000000003pt;margin-top:1.pt;width:46.550000000000004pt;height:13.9pt;z-index:-125829367;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一七年三 月二十二日</w:t>
      </w:r>
    </w:p>
    <w:p>
      <w:pPr>
        <w:pStyle w:val="Style23"/>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二</w:t>
      </w:r>
      <w:bookmarkEnd w:id="654"/>
      <w:r>
        <w:rPr>
          <w:color w:val="000000"/>
          <w:spacing w:val="0"/>
          <w:w w:val="100"/>
          <w:position w:val="0"/>
          <w:sz w:val="24"/>
          <w:szCs w:val="24"/>
        </w:rPr>
        <w:t>、财务报表</w:t>
      </w:r>
      <w:bookmarkEnd w:id="652"/>
      <w:bookmarkEnd w:id="653"/>
      <w:bookmarkEnd w:id="6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、合并资产负债表</w:t>
      </w:r>
      <w:bookmarkEnd w:id="656"/>
      <w:bookmarkEnd w:id="657"/>
      <w:bookmarkEnd w:id="659"/>
    </w:p>
    <w:p>
      <w:pPr>
        <w:pStyle w:val="Style2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6399530</wp:posOffset>
                </wp:positionH>
                <wp:positionV relativeFrom="paragraph">
                  <wp:posOffset>444500</wp:posOffset>
                </wp:positionV>
                <wp:extent cx="481330" cy="146050"/>
                <wp:wrapSquare wrapText="bothSides"/>
                <wp:docPr id="22" name="Shape 22"/>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8" type="#_x0000_t202" style="position:absolute;margin-left:503.90000000000003pt;margin-top:35.pt;width:37.899999999999999pt;height:11.5pt;z-index:-125829365;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编制单位：厦门红相电力设备股份有限公司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D3D3D3"/>
            <w:vAlign w:val="top"/>
          </w:tcPr>
          <w:p>
            <w:pPr>
              <w:framePr w:w="9581" w:h="6758" w:hSpace="14" w:vSpace="629" w:wrap="notBeside" w:vAnchor="text" w:hAnchor="text" w:x="12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439,661,227.56</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287,993,878.47</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11,635,332.25</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11,296,779.54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263,613,715.56</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268,835,560.78</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10,953,724.02</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23,258,600.47</w:t>
            </w:r>
          </w:p>
        </w:tc>
      </w:tr>
      <w:tr>
        <w:trPr>
          <w:trHeight w:val="39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746,391.67</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6758"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28"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10,527,825.68</w:t>
            </w:r>
          </w:p>
        </w:tc>
        <w:tc>
          <w:tcPr>
            <w:tcBorders>
              <w:top w:val="single" w:sz="4"/>
              <w:left w:val="single" w:sz="4"/>
              <w:bottom w:val="single" w:sz="4"/>
              <w:right w:val="single" w:sz="4"/>
            </w:tcBorders>
            <w:shd w:val="clear" w:color="auto" w:fill="FFFFFF"/>
            <w:vAlign w:val="center"/>
          </w:tcPr>
          <w:p>
            <w:pPr>
              <w:pStyle w:val="Style2"/>
              <w:keepNext w:val="0"/>
              <w:keepLines w:val="0"/>
              <w:framePr w:w="9581" w:h="6758"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7,969,726.60</w:t>
            </w:r>
          </w:p>
        </w:tc>
      </w:tr>
    </w:tbl>
    <w:p>
      <w:pPr>
        <w:pStyle w:val="Style25"/>
        <w:keepNext w:val="0"/>
        <w:keepLines w:val="0"/>
        <w:framePr w:w="5602" w:h="206" w:hSpace="113" w:wrap="notBeside" w:vAnchor="text" w:hAnchor="text" w:x="114"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60,545,001.23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58,646,760.30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18,986,321.03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797,003,994.21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677,734,018.86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4,969,524.26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15,028,928.51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58,306,052.63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58,668,020.10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1,076,174.36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2,958,849.79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4,099,176.90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1,433,689.30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636,068.46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6,720,701.56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5,804,495.18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2,872,583.49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3,781,712.00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97,112,367.59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81,994,021.05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894,116,361.80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759,728,039.91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61,723,000.70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51,088,156.10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15,090,977.52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11,923,775.53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16,423,675.14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14,817,942.23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29,948,620.93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23,780,030.89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4,701,978.77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67,302,496.48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2,511,443.46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2,874,999.96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2,874,999.96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201,096,030.71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123,128,265.58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3,354,166.82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2,524,650.43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2,724,253.31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3,003,817.17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6,078,420.13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204,099,847.88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129,206,685.71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199,524,557.81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-771,701.06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36,889,847.76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30,158,891.74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296,665,870.36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246,428,225.67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620,940,854.04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564,009,974.16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69,075,659.88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66,511,380.04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690,016,513.92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630,521,354.20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894,116,361.80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759,728,039.91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90" behindDoc="0" locked="0" layoutInCell="1" allowOverlap="1">
                <wp:simplePos x="0" y="0"/>
                <wp:positionH relativeFrom="page">
                  <wp:posOffset>707390</wp:posOffset>
                </wp:positionH>
                <wp:positionV relativeFrom="margin">
                  <wp:posOffset>4087495</wp:posOffset>
                </wp:positionV>
                <wp:extent cx="941705" cy="149225"/>
                <wp:wrapTopAndBottom/>
                <wp:docPr id="24" name="Shape 2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法定代表人：杨成</w:t>
                            </w:r>
                          </w:p>
                        </w:txbxContent>
                      </wps:txbx>
                      <wps:bodyPr wrap="none" lIns="0" tIns="0" rIns="0" bIns="0">
                        <a:noAutoFit/>
                      </wps:bodyPr>
                    </wps:wsp>
                  </a:graphicData>
                </a:graphic>
              </wp:anchor>
            </w:drawing>
          </mc:Choice>
          <mc:Fallback>
            <w:pict>
              <v:shape id="_x0000_s1050" type="#_x0000_t202" style="position:absolute;margin-left:55.700000000000003pt;margin-top:321.85000000000002pt;width:74.150000000000006pt;height:11.75pt;z-index:-125829363;mso-wrap-distance-left:9.pt;mso-wrap-distance-top:12.pt;mso-wrap-distance-right:413.9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法定代表人：杨成</w:t>
                      </w:r>
                    </w:p>
                  </w:txbxContent>
                </v:textbox>
                <w10:wrap type="topAndBottom" anchorx="page" anchory="margin"/>
              </v:shape>
            </w:pict>
          </mc:Fallback>
        </mc:AlternateContent>
      </w:r>
      <w:r>
        <mc:AlternateContent>
          <mc:Choice Requires="wps">
            <w:drawing>
              <wp:anchor distT="152400" distB="3175" distL="2232660" distR="2571115" simplePos="0" relativeHeight="125829392" behindDoc="0" locked="0" layoutInCell="1" allowOverlap="1">
                <wp:simplePos x="0" y="0"/>
                <wp:positionH relativeFrom="page">
                  <wp:posOffset>2825750</wp:posOffset>
                </wp:positionH>
                <wp:positionV relativeFrom="margin">
                  <wp:posOffset>4087495</wp:posOffset>
                </wp:positionV>
                <wp:extent cx="1508760" cy="146050"/>
                <wp:wrapTopAndBottom/>
                <wp:docPr id="26" name="Shape 2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主管会计工作负责人：马露萍</w:t>
                            </w:r>
                          </w:p>
                        </w:txbxContent>
                      </wps:txbx>
                      <wps:bodyPr wrap="none" lIns="0" tIns="0" rIns="0" bIns="0">
                        <a:noAutoFit/>
                      </wps:bodyPr>
                    </wps:wsp>
                  </a:graphicData>
                </a:graphic>
              </wp:anchor>
            </w:drawing>
          </mc:Choice>
          <mc:Fallback>
            <w:pict>
              <v:shape id="_x0000_s1052" type="#_x0000_t202" style="position:absolute;margin-left:222.5pt;margin-top:321.85000000000002pt;width:118.8pt;height:11.5pt;z-index:-125829361;mso-wrap-distance-left:175.80000000000001pt;mso-wrap-distance-top:12.pt;mso-wrap-distance-right:202.4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主管会计工作负责人：马露萍</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5504815</wp:posOffset>
                </wp:positionH>
                <wp:positionV relativeFrom="margin">
                  <wp:posOffset>4087495</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会计机构负责人：黄雅琼</w:t>
                            </w:r>
                          </w:p>
                        </w:txbxContent>
                      </wps:txbx>
                      <wps:bodyPr wrap="none" lIns="0" tIns="0" rIns="0" bIns="0">
                        <a:noAutoFit/>
                      </wps:bodyPr>
                    </wps:wsp>
                  </a:graphicData>
                </a:graphic>
              </wp:anchor>
            </w:drawing>
          </mc:Choice>
          <mc:Fallback>
            <w:pict>
              <v:shape id="_x0000_s1054" type="#_x0000_t202" style="position:absolute;margin-left:433.44999999999999pt;margin-top:321.85000000000002pt;width:101.3pt;height:11.75pt;z-index:-12582935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会计机构负责人：黄雅琼</w:t>
                      </w:r>
                    </w:p>
                  </w:txbxContent>
                </v:textbox>
                <w10:wrap type="topAndBottom" anchorx="page" anchory="margin"/>
              </v:shape>
            </w:pict>
          </mc:Fallback>
        </mc:AlternateContent>
      </w: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、母公司资产负债表</w:t>
      </w:r>
      <w:bookmarkEnd w:id="660"/>
      <w:bookmarkEnd w:id="661"/>
      <w:bookmarkEnd w:id="6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365,681,919.09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206,937,198.65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5,785,882.25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5,847,690.50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214,644,731.76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225,926,516.26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11,208,930.74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19,947,982.46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746,391.67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5,206,272.62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7,763,998.76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6,328,213.78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18,027,572.20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22,068,920.12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628,319,307.42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506,742,913.44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73,628,064.26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15,028,928.51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38,765,230.66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37,694,677.63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1,076,174.36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4,486,113.43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3,616,062.81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2,872,583.49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136,860,984.35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119,912,171.69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765,180,291.77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626,655,085.13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105,499,379.90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86,405,510.99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4,424,297.54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1,300,223.29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4,978,779.45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4,213,234.15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21,725,463.31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18,263,459.05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65,575,193.51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979,878.46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2,874,999.96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205,080,989.87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114,143,043.31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3,354,166.82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3,354,166.82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205,560,156.61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117,497,210.13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199,524,557.81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36,889,847.76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30,158,891.74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234,535,729.59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190,804,425.45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559,620,135.16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509,157,875.00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765,180,291.77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626,655,085.13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、合并利润表</w:t>
      </w:r>
      <w:bookmarkEnd w:id="664"/>
      <w:bookmarkEnd w:id="665"/>
      <w:bookmarkEnd w:id="66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305,254,632.75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305,254,632.75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321,360,943.29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238,351,576.09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195,527,303.98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152,204,330.76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5,261,579.68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2,431,975.98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54,776,807.46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40,788,485.15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61,119,519.14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39,102,665.41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-632,829.63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5,750,943.77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4,456,948.42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89,901,139.84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71,649,575.60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10,972,838.32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16,479,478.54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204,175.32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189,764.87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100,787,412.17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87,924,878.82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16,070,389.83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12,379,952.73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84,717,022.34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75,544,926.09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73,815,900.71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70,937,874.33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10,901,121.63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4,607,051.76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84,679,301.51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75,494,304.86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73,778,179.88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70,887,253.10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10,901,121.63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4,607,051.76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r>
    </w:tbl>
    <w:p>
      <w:pPr>
        <w:spacing w:lineRule="exact" w:line="1"/>
        <w:rPr>
          <w:sz w:val="2"/>
          <w:szCs w:val="2"/>
        </w:rPr>
      </w:pPr>
      <w:r>
        <w:br w:type="page"/>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331" w:val="left"/>
          <w:tab w:pos="7536" w:val="left"/>
        </w:tabs>
        <w:bidi w:val="0"/>
        <w:spacing w:before="0" w:after="400" w:line="240" w:lineRule="auto"/>
        <w:ind w:left="0" w:right="0" w:firstLine="0"/>
        <w:jc w:val="left"/>
      </w:pPr>
      <w:r>
        <w:rPr>
          <w:color w:val="000000"/>
          <w:spacing w:val="0"/>
          <w:w w:val="100"/>
          <w:position w:val="0"/>
        </w:rPr>
        <w:t>法定代表人：杨成</w:t>
        <w:tab/>
        <w:t>主管会计工作负责人：马露萍</w:t>
        <w:tab/>
        <w:t>会计机构负责人：黄雅琼</w:t>
      </w:r>
    </w:p>
    <w:p>
      <w:pPr>
        <w:pStyle w:val="Style32"/>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280,941,931.31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264,189,261.61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148,875,112.88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143,268,720.40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3,474,577.43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1,897,350.69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30,909,610.34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37,006,786.36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31,732,688.51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24,191,094.67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-754,660.56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2,658,666.15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3,938,234.07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73,739,959.41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59,388,254.92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4,173,478.19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3,023,742.44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126,247.91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77,895,482.85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62,284,887.31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10,585,922.69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9,665,458.74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52,619,428.57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52,619,428.57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480,425,395.85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320,586,950.17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5,908,246.52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5,307,864.94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39,649,372.48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41,526,043.43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525,983,014.85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367,420,858.54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186,472,963.06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156,451,249.13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68,360,452.53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40,974,476.29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56,379,725.43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44,242,771.34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84,230,112.56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83,279,234.41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395,443,253.58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324,947,731.17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130,539,761.27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42,473,127.37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1,450,993.97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4,000,127.27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146,740,047.47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20,397,870.54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150,887,174.74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24,956,085.81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10,561,136.23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27,956,085.81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150,561,136.23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-7,558,215.27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326,038.51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206,398,200.00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64,832,069.30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67,832,069.30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206,398,200.00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18,875,000.08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20,999,685.66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47,620,600.72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3,634,863.02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31,090,190.95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13,027,357.54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40,174,685.74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63,522,958.34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27,657,383.56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142,875,241.66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-338,026.32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150,494,320.29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185,336,381.22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287,729,724.84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102,393,343.62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438,224,045.13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287,729,724.84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338,898,102.72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275,890,160.06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26,390,622.34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39,626,889.30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365,288,725.06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315,517,049.36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133,531,035.10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165,414,632.07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28,698,541.86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28,704,361.52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37,006,944.79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31,958,154.83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49,655,124.89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74,236,566.50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248,891,646.64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300,313,714.92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116,397,078.42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15,203,334.44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4,629,042.39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4,000,127.27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23,571,042.39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125,207,127.27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23,810,304.20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10,307,850.11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56,925,589.52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26,810,304.20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207,233,439.63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-3,239,261.81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-82,026,312.36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206,398,200.00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64,832,069.30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64,832,069.30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206,398,200.00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2,875,000.08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17,065,258.04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16,392,217.54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13,027,357.54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20,240,258.12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32,294,575.16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44,591,811.18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174,103,624.84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157,645,959.94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107,110,840.04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206,777,955.65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99,667,115.61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364,423,915.59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206,777,955.65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66,511,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630,521</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380.04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66,511,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630,521</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380.04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,354.20</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59,495,</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644.69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79.84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159.72</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84,679,</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121.63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-25,184,</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41.79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141.79</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49,715,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70,937,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-21,222,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43,731,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195,074,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283,744,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36,889,84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234,535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34,925,14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34,925,14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164,599,4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164,599,4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164,599,4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-21,222,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三</w:t>
      </w:r>
      <w:bookmarkEnd w:id="690"/>
      <w:r>
        <w:rPr>
          <w:color w:val="000000"/>
          <w:spacing w:val="0"/>
          <w:w w:val="100"/>
          <w:position w:val="0"/>
          <w:sz w:val="24"/>
          <w:szCs w:val="24"/>
        </w:rPr>
        <w:t>、公司基本情况</w:t>
      </w:r>
      <w:bookmarkEnd w:id="688"/>
      <w:bookmarkEnd w:id="689"/>
      <w:bookmarkEnd w:id="691"/>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厦门红相电力设备股份有限公司（以下简称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红相电力</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前身为于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月设立的厦门红 相电力设备进出口有限公司（以下简称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厦门红相进出口公司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，初始注册资本为人民币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5"/>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月，根据厦门红相进出口公司股东会决议的规定，以该公司原全体股东作为发起人，采取发 起设立方式，将厦门红相进出口公司依法整体变更为股份有限公司。变更基准日为</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变更 后的注册资本为人民币</w:t>
      </w:r>
      <w:r>
        <w:rPr>
          <w:rFonts w:ascii="Times New Roman" w:eastAsia="Times New Roman" w:hAnsi="Times New Roman" w:cs="Times New Roman"/>
          <w:color w:val="000000"/>
          <w:spacing w:val="0"/>
          <w:w w:val="100"/>
          <w:position w:val="0"/>
        </w:rPr>
        <w:t>6,000</w:t>
      </w:r>
      <w:r>
        <w:rPr>
          <w:color w:val="000000"/>
          <w:spacing w:val="0"/>
          <w:w w:val="100"/>
          <w:position w:val="0"/>
        </w:rPr>
        <w:t>万元，全体股东同意以截至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日止厦门红相进出口公司的账面净资 产折股，股份总数</w:t>
      </w:r>
      <w:r>
        <w:rPr>
          <w:rFonts w:ascii="Times New Roman" w:eastAsia="Times New Roman" w:hAnsi="Times New Roman" w:cs="Times New Roman"/>
          <w:color w:val="000000"/>
          <w:spacing w:val="0"/>
          <w:w w:val="100"/>
          <w:position w:val="0"/>
        </w:rPr>
        <w:t>6,000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元，剩余净资产列入资本公积。发起人按照各自持有厦门 红相进出口公司的股权比例，持有本公司相应数额的股份。本公司于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日取得厦门市工商行政 管理局核发的《企业法人营业执照》。</w:t>
      </w:r>
    </w:p>
    <w:p>
      <w:pPr>
        <w:pStyle w:val="Style35"/>
        <w:keepNext w:val="0"/>
        <w:keepLines w:val="0"/>
        <w:widowControl w:val="0"/>
        <w:shd w:val="clear" w:color="auto" w:fill="auto"/>
        <w:bidi w:val="0"/>
        <w:spacing w:before="0" w:after="100" w:line="317"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年第二次临时股东会决议、本公司与新增股东签订的增资扩股协议及修 改后的章程规定，本公司申请新增股东及新增注册资本人民币</w:t>
      </w:r>
      <w:r>
        <w:rPr>
          <w:rFonts w:ascii="Times New Roman" w:eastAsia="Times New Roman" w:hAnsi="Times New Roman" w:cs="Times New Roman"/>
          <w:color w:val="000000"/>
          <w:spacing w:val="0"/>
          <w:w w:val="100"/>
          <w:position w:val="0"/>
        </w:rPr>
        <w:t>510</w:t>
      </w:r>
      <w:r>
        <w:rPr>
          <w:color w:val="000000"/>
          <w:spacing w:val="0"/>
          <w:w w:val="100"/>
          <w:position w:val="0"/>
        </w:rPr>
        <w:t>万元，由长江成长资本投资有限公司和 深圳市中科宏易创业投资有限公司以货币方式出资，变更后的注册资本为人民币</w:t>
      </w:r>
      <w:r>
        <w:rPr>
          <w:rFonts w:ascii="Times New Roman" w:eastAsia="Times New Roman" w:hAnsi="Times New Roman" w:cs="Times New Roman"/>
          <w:color w:val="000000"/>
          <w:spacing w:val="0"/>
          <w:w w:val="100"/>
          <w:position w:val="0"/>
        </w:rPr>
        <w:t>6,510</w:t>
      </w:r>
      <w:r>
        <w:rPr>
          <w:color w:val="000000"/>
          <w:spacing w:val="0"/>
          <w:w w:val="100"/>
          <w:position w:val="0"/>
        </w:rPr>
        <w:t>万元。</w:t>
      </w:r>
    </w:p>
    <w:p>
      <w:pPr>
        <w:pStyle w:val="Style35"/>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年第一次临时股东会决议、本公司与新增股东签订的增资扩股协议及修 改后的章程规定，申请新增股东及新增注册资本人民币</w:t>
      </w:r>
      <w:r>
        <w:rPr>
          <w:rFonts w:ascii="Times New Roman" w:eastAsia="Times New Roman" w:hAnsi="Times New Roman" w:cs="Times New Roman"/>
          <w:color w:val="000000"/>
          <w:spacing w:val="0"/>
          <w:w w:val="100"/>
          <w:position w:val="0"/>
        </w:rPr>
        <w:t>140</w:t>
      </w:r>
      <w:r>
        <w:rPr>
          <w:color w:val="000000"/>
          <w:spacing w:val="0"/>
          <w:w w:val="100"/>
          <w:position w:val="0"/>
        </w:rPr>
        <w:t>万元，由吴志阳、陈奕锋等</w:t>
      </w:r>
      <w:r>
        <w:rPr>
          <w:rFonts w:ascii="Times New Roman" w:eastAsia="Times New Roman" w:hAnsi="Times New Roman" w:cs="Times New Roman"/>
          <w:color w:val="000000"/>
          <w:spacing w:val="0"/>
          <w:w w:val="100"/>
          <w:position w:val="0"/>
        </w:rPr>
        <w:t>59</w:t>
      </w:r>
      <w:r>
        <w:rPr>
          <w:color w:val="000000"/>
          <w:spacing w:val="0"/>
          <w:w w:val="100"/>
          <w:position w:val="0"/>
        </w:rPr>
        <w:t>名自然人股东以 货币方式出资，变更后的注册资本为人民币</w:t>
      </w:r>
      <w:r>
        <w:rPr>
          <w:rFonts w:ascii="Times New Roman" w:eastAsia="Times New Roman" w:hAnsi="Times New Roman" w:cs="Times New Roman"/>
          <w:color w:val="000000"/>
          <w:spacing w:val="0"/>
          <w:w w:val="100"/>
          <w:position w:val="0"/>
        </w:rPr>
        <w:t>6,650</w:t>
      </w:r>
      <w:r>
        <w:rPr>
          <w:color w:val="000000"/>
          <w:spacing w:val="0"/>
          <w:w w:val="100"/>
          <w:position w:val="0"/>
        </w:rPr>
        <w:t>万元。</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179</w:t>
      </w:r>
      <w:r>
        <w:rPr>
          <w:color w:val="000000"/>
          <w:spacing w:val="0"/>
          <w:w w:val="100"/>
          <w:position w:val="0"/>
        </w:rPr>
        <w:t>号文核准，红相电力首次公开发行不超过股票</w:t>
      </w:r>
      <w:r>
        <w:rPr>
          <w:rFonts w:ascii="Times New Roman" w:eastAsia="Times New Roman" w:hAnsi="Times New Roman" w:cs="Times New Roman"/>
          <w:color w:val="000000"/>
          <w:spacing w:val="0"/>
          <w:w w:val="100"/>
          <w:position w:val="0"/>
        </w:rPr>
        <w:t xml:space="preserve">2,217 </w:t>
      </w:r>
      <w:r>
        <w:rPr>
          <w:color w:val="000000"/>
          <w:spacing w:val="0"/>
          <w:w w:val="100"/>
          <w:position w:val="0"/>
        </w:rPr>
        <w:t>万股人民币普通股。经深圳证券交易所《关于厦门红相电力设备股份有限公司人民币普通股股票在创业板 上市的通知》（深证上【</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81</w:t>
      </w:r>
      <w:r>
        <w:rPr>
          <w:color w:val="000000"/>
          <w:spacing w:val="0"/>
          <w:w w:val="100"/>
          <w:position w:val="0"/>
        </w:rPr>
        <w:t>号）同意，公司发行的人民币普通股股票在深圳证券交易所创业板上市, 股票简称</w:t>
      </w:r>
      <w:r>
        <w:rPr>
          <w:rFonts w:ascii="Times New Roman" w:eastAsia="Times New Roman" w:hAnsi="Times New Roman" w:cs="Times New Roman"/>
          <w:color w:val="000000"/>
          <w:spacing w:val="0"/>
          <w:w w:val="100"/>
          <w:position w:val="0"/>
        </w:rPr>
        <w:t>“</w:t>
      </w:r>
      <w:r>
        <w:rPr>
          <w:color w:val="000000"/>
          <w:spacing w:val="0"/>
          <w:w w:val="100"/>
          <w:position w:val="0"/>
        </w:rPr>
        <w:t>红相电力</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“300427”</w:t>
      </w:r>
      <w:r>
        <w:rPr>
          <w:color w:val="000000"/>
          <w:spacing w:val="0"/>
          <w:w w:val="100"/>
          <w:position w:val="0"/>
        </w:rPr>
        <w:t>；其中本次发行的</w:t>
      </w:r>
      <w:r>
        <w:rPr>
          <w:rFonts w:ascii="Times New Roman" w:eastAsia="Times New Roman" w:hAnsi="Times New Roman" w:cs="Times New Roman"/>
          <w:color w:val="000000"/>
          <w:spacing w:val="0"/>
          <w:w w:val="100"/>
          <w:position w:val="0"/>
        </w:rPr>
        <w:t>2,217</w:t>
      </w:r>
      <w:r>
        <w:rPr>
          <w:color w:val="000000"/>
          <w:spacing w:val="0"/>
          <w:w w:val="100"/>
          <w:position w:val="0"/>
        </w:rPr>
        <w:t>万股股票于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起上市交易。 首次公开发行后公司总股本为</w:t>
      </w:r>
      <w:r>
        <w:rPr>
          <w:rFonts w:ascii="Times New Roman" w:eastAsia="Times New Roman" w:hAnsi="Times New Roman" w:cs="Times New Roman"/>
          <w:color w:val="000000"/>
          <w:spacing w:val="0"/>
          <w:w w:val="100"/>
          <w:position w:val="0"/>
        </w:rPr>
        <w:t>8,867</w:t>
      </w:r>
      <w:r>
        <w:rPr>
          <w:color w:val="000000"/>
          <w:spacing w:val="0"/>
          <w:w w:val="100"/>
          <w:position w:val="0"/>
        </w:rPr>
        <w:t>万股。</w:t>
      </w:r>
    </w:p>
    <w:p>
      <w:pPr>
        <w:pStyle w:val="Style35"/>
        <w:keepNext w:val="0"/>
        <w:keepLines w:val="0"/>
        <w:widowControl w:val="0"/>
        <w:shd w:val="clear" w:color="auto" w:fill="auto"/>
        <w:bidi w:val="0"/>
        <w:spacing w:before="0" w:after="180" w:line="31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日，红相电力召开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年度利润分配及资本公积金 转增股本方案，本次转增后公司股本总额变更为</w:t>
      </w:r>
      <w:r>
        <w:rPr>
          <w:rFonts w:ascii="Times New Roman" w:eastAsia="Times New Roman" w:hAnsi="Times New Roman" w:cs="Times New Roman"/>
          <w:color w:val="000000"/>
          <w:spacing w:val="0"/>
          <w:w w:val="100"/>
          <w:position w:val="0"/>
        </w:rPr>
        <w:t>283,744,000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日，致同会计师出具致同验 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350ZA0045</w:t>
      </w:r>
      <w:r>
        <w:rPr>
          <w:color w:val="000000"/>
          <w:spacing w:val="0"/>
          <w:w w:val="100"/>
          <w:position w:val="0"/>
        </w:rPr>
        <w:t>号《验资报告》，确认截至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日止，变更后的注册资本人民币</w:t>
      </w:r>
      <w:r>
        <w:rPr>
          <w:rFonts w:ascii="Times New Roman" w:eastAsia="Times New Roman" w:hAnsi="Times New Roman" w:cs="Times New Roman"/>
          <w:color w:val="000000"/>
          <w:spacing w:val="0"/>
          <w:w w:val="100"/>
          <w:position w:val="0"/>
        </w:rPr>
        <w:t xml:space="preserve">283,744,000 </w:t>
      </w:r>
      <w:r>
        <w:rPr>
          <w:color w:val="000000"/>
          <w:spacing w:val="0"/>
          <w:w w:val="100"/>
          <w:position w:val="0"/>
        </w:rPr>
        <w:t>元，累计实收资本（股本）人民币</w:t>
      </w:r>
      <w:r>
        <w:rPr>
          <w:rFonts w:ascii="Times New Roman" w:eastAsia="Times New Roman" w:hAnsi="Times New Roman" w:cs="Times New Roman"/>
          <w:color w:val="000000"/>
          <w:spacing w:val="0"/>
          <w:w w:val="100"/>
          <w:position w:val="0"/>
        </w:rPr>
        <w:t>283,744,000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日，公司取得了厦门市市场监督管理局换 发的营业执照。</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公司资本公积金转增股本完成后，公司的股权结构如下:</w:t>
      </w:r>
    </w:p>
    <w:tbl>
      <w:tblPr>
        <w:tblOverlap w:val="never"/>
        <w:jc w:val="left"/>
        <w:tblLayout w:type="fixed"/>
      </w:tblPr>
      <w:tblGrid>
        <w:gridCol w:w="2851"/>
        <w:gridCol w:w="2842"/>
        <w:gridCol w:w="2856"/>
      </w:tblGrid>
      <w:tr>
        <w:trPr>
          <w:trHeight w:val="365"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股份类别</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持股数（股）</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195,662,221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68.9573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88,081,779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31.0427</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283,744,000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100.0000</w:t>
            </w:r>
          </w:p>
        </w:tc>
      </w:tr>
    </w:tbl>
    <w:p>
      <w:pPr>
        <w:widowControl w:val="0"/>
        <w:spacing w:after="99" w:line="1" w:lineRule="exact"/>
      </w:pPr>
    </w:p>
    <w:p>
      <w:pPr>
        <w:pStyle w:val="Style35"/>
        <w:keepNext w:val="0"/>
        <w:keepLines w:val="0"/>
        <w:widowControl w:val="0"/>
        <w:shd w:val="clear" w:color="auto" w:fill="auto"/>
        <w:bidi w:val="0"/>
        <w:spacing w:before="0" w:after="100" w:line="326" w:lineRule="exact"/>
        <w:ind w:left="0" w:right="0" w:firstLine="340"/>
        <w:jc w:val="both"/>
      </w:pPr>
      <w:r>
        <w:rPr>
          <w:color w:val="000000"/>
          <w:spacing w:val="0"/>
          <w:w w:val="100"/>
          <w:position w:val="0"/>
        </w:rPr>
        <w:t>本公司《营业执照》统一社会信用代码：</w:t>
      </w:r>
      <w:r>
        <w:rPr>
          <w:rFonts w:ascii="Times New Roman" w:eastAsia="Times New Roman" w:hAnsi="Times New Roman" w:cs="Times New Roman"/>
          <w:color w:val="000000"/>
          <w:spacing w:val="0"/>
          <w:w w:val="100"/>
          <w:position w:val="0"/>
        </w:rPr>
        <w:t>91350200776007963Y</w:t>
      </w:r>
      <w:r>
        <w:rPr>
          <w:color w:val="000000"/>
          <w:spacing w:val="0"/>
          <w:w w:val="100"/>
          <w:position w:val="0"/>
        </w:rPr>
        <w:t>；住所：厦门市思明区南投路</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 xml:space="preserve">1002 </w:t>
      </w:r>
      <w:r>
        <w:rPr>
          <w:color w:val="000000"/>
          <w:spacing w:val="0"/>
          <w:w w:val="100"/>
          <w:position w:val="0"/>
        </w:rPr>
        <w:t>单元之一；法定代表人：杨成。</w:t>
      </w:r>
    </w:p>
    <w:p>
      <w:pPr>
        <w:pStyle w:val="Style35"/>
        <w:keepNext w:val="0"/>
        <w:keepLines w:val="0"/>
        <w:widowControl w:val="0"/>
        <w:shd w:val="clear" w:color="auto" w:fill="auto"/>
        <w:bidi w:val="0"/>
        <w:spacing w:before="0" w:after="100" w:line="326" w:lineRule="exact"/>
        <w:ind w:left="0" w:right="0" w:firstLine="440"/>
        <w:jc w:val="left"/>
      </w:pPr>
      <w:r>
        <w:rPr>
          <w:color w:val="000000"/>
          <w:spacing w:val="0"/>
          <w:w w:val="100"/>
          <w:position w:val="0"/>
        </w:rPr>
        <w:t>本公司实际控制人为杨保田、杨成。</w:t>
      </w:r>
    </w:p>
    <w:p>
      <w:pPr>
        <w:pStyle w:val="Style35"/>
        <w:keepNext w:val="0"/>
        <w:keepLines w:val="0"/>
        <w:widowControl w:val="0"/>
        <w:shd w:val="clear" w:color="auto" w:fill="auto"/>
        <w:bidi w:val="0"/>
        <w:spacing w:before="0" w:line="326" w:lineRule="exact"/>
        <w:ind w:left="0" w:right="0" w:firstLine="44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 xml:space="preserve">）属电力设备制造行业，主要生产和销售电力设备相关产品， </w:t>
      </w:r>
      <w:r>
        <w:rPr>
          <w:color w:val="000000"/>
          <w:spacing w:val="0"/>
          <w:w w:val="100"/>
          <w:position w:val="0"/>
        </w:rPr>
        <w:t>包括电能表及用电管理系统、电力设备状态检测、监测产品、配网终端产品和其他电力设备产品，并提供 与电力设备产品相关的技术服务。</w:t>
      </w:r>
    </w:p>
    <w:p>
      <w:pPr>
        <w:pStyle w:val="Style35"/>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本公司建立了股东大会、董事会、监事会的法人治理结构，目前设有轨道事业部、发电事业部、工厂、 新品管理部、电能计量部、状态检修一部、状态检修二部、市场策划部、销售管理一部、销售管理二部、 招投标部、研发中心、人力资源部、行政管理部、财务部、证券部、投资中心、财务管理中心等部门，并 拥有五家子公司。</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本财务报告经本公司第三届董事会第二十四次会议于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日止，本公司拥有红相电力（上海）有限公司（以下简称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上海红相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RED PHASE INSTRUMENTS AUSTRALIA PTY LTD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澳洲红相</w:t>
      </w:r>
      <w:r>
        <w:rPr>
          <w:rFonts w:ascii="Times New Roman" w:eastAsia="Times New Roman" w:hAnsi="Times New Roman" w:cs="Times New Roman"/>
          <w:color w:val="000000"/>
          <w:spacing w:val="0"/>
          <w:w w:val="100"/>
          <w:position w:val="0"/>
        </w:rPr>
        <w:t>”</w:t>
      </w:r>
      <w:r>
        <w:rPr>
          <w:color w:val="000000"/>
          <w:spacing w:val="0"/>
          <w:w w:val="100"/>
          <w:position w:val="0"/>
        </w:rPr>
        <w:t>）、厦门红相软件有限公司（以下简称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红 相软件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、厦门红相信息科技有限公司（以下简称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红相信息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和浙江涵普电力科技有限公司（以下简称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浙江涵普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五家子公司；并且拥有浙江涵普三维电力科技有限公司（以下简称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涵普三维</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一家孙公司。 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本报告期内，本公司合并财务报表范围未发生变化，详见</w:t>
      </w:r>
      <w:r>
        <w:rPr>
          <w:rFonts w:ascii="Times New Roman" w:eastAsia="Times New Roman" w:hAnsi="Times New Roman" w:cs="Times New Roman"/>
          <w:color w:val="000000"/>
          <w:spacing w:val="0"/>
          <w:w w:val="100"/>
          <w:position w:val="0"/>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本附注九、 在其他主体中的权益</w:t>
      </w:r>
    </w:p>
    <w:p>
      <w:pPr>
        <w:pStyle w:val="Style23"/>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、财务报表的编制基础</w:t>
      </w:r>
      <w:bookmarkEnd w:id="692"/>
      <w:bookmarkEnd w:id="693"/>
      <w:bookmarkEnd w:id="695"/>
    </w:p>
    <w:p>
      <w:pPr>
        <w:pStyle w:val="Style32"/>
        <w:keepNext/>
        <w:keepLines/>
        <w:widowControl w:val="0"/>
        <w:shd w:val="clear" w:color="auto" w:fill="auto"/>
        <w:tabs>
          <w:tab w:pos="368" w:val="left"/>
        </w:tabs>
        <w:bidi w:val="0"/>
        <w:spacing w:before="0" w:after="180" w:line="326"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编制基础</w:t>
      </w:r>
      <w:bookmarkEnd w:id="696"/>
      <w:bookmarkEnd w:id="697"/>
      <w:bookmarkEnd w:id="699"/>
    </w:p>
    <w:p>
      <w:pPr>
        <w:pStyle w:val="Style35"/>
        <w:keepNext w:val="0"/>
        <w:keepLines w:val="0"/>
        <w:widowControl w:val="0"/>
        <w:shd w:val="clear" w:color="auto" w:fill="auto"/>
        <w:bidi w:val="0"/>
        <w:spacing w:before="0" w:line="310" w:lineRule="exact"/>
        <w:ind w:left="0" w:right="0" w:firstLine="440"/>
        <w:jc w:val="both"/>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 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编制。此外，本集团还按照中国证监会《公开发行证券的公司信息披露编报规则第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本财务报表以持续经营为基础列报。</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本公司会计核算以权责发生制为基础。除某些金融工具外，本财务报表均以历史成本为计量基础。资 产如果发生减值，则按照相关规定计提相应的减值准备。</w:t>
      </w:r>
    </w:p>
    <w:p>
      <w:pPr>
        <w:pStyle w:val="Style32"/>
        <w:keepNext/>
        <w:keepLines/>
        <w:widowControl w:val="0"/>
        <w:shd w:val="clear" w:color="auto" w:fill="auto"/>
        <w:tabs>
          <w:tab w:pos="378" w:val="left"/>
        </w:tabs>
        <w:bidi w:val="0"/>
        <w:spacing w:before="0" w:after="180" w:line="326"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持续经营</w:t>
      </w:r>
      <w:bookmarkEnd w:id="700"/>
      <w:bookmarkEnd w:id="701"/>
      <w:bookmarkEnd w:id="703"/>
    </w:p>
    <w:p>
      <w:pPr>
        <w:pStyle w:val="Style35"/>
        <w:keepNext w:val="0"/>
        <w:keepLines w:val="0"/>
        <w:widowControl w:val="0"/>
        <w:shd w:val="clear" w:color="auto" w:fill="auto"/>
        <w:bidi w:val="0"/>
        <w:spacing w:before="0" w:after="1100" w:line="326" w:lineRule="exact"/>
        <w:ind w:left="0" w:right="0" w:firstLine="440"/>
        <w:jc w:val="both"/>
      </w:pPr>
      <w:r>
        <w:rPr>
          <w:color w:val="000000"/>
          <w:spacing w:val="0"/>
          <w:w w:val="100"/>
          <w:position w:val="0"/>
        </w:rPr>
        <w:t>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 公司以持续经营为基础编制报表是合理的。</w:t>
      </w:r>
    </w:p>
    <w:p>
      <w:pPr>
        <w:pStyle w:val="Style23"/>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五</w:t>
      </w:r>
      <w:bookmarkEnd w:id="706"/>
      <w:r>
        <w:rPr>
          <w:color w:val="000000"/>
          <w:spacing w:val="0"/>
          <w:w w:val="100"/>
          <w:position w:val="0"/>
          <w:sz w:val="24"/>
          <w:szCs w:val="24"/>
        </w:rPr>
        <w:t>、重要会计政策及会计估计</w:t>
      </w:r>
      <w:bookmarkEnd w:id="704"/>
      <w:bookmarkEnd w:id="705"/>
      <w:bookmarkEnd w:id="70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line="307" w:lineRule="exact"/>
        <w:ind w:left="0" w:right="0" w:firstLine="440"/>
        <w:jc w:val="both"/>
      </w:pPr>
      <w:r>
        <w:rPr>
          <w:color w:val="000000"/>
          <w:spacing w:val="0"/>
          <w:w w:val="100"/>
          <w:position w:val="0"/>
        </w:rPr>
        <w:t>公司根据自身生产经营特点，制定了具体的会计政策和会计估计。以下披露的内容已涵盖了公司重要 的会计政策和会计估计。</w:t>
      </w:r>
    </w:p>
    <w:p>
      <w:pPr>
        <w:pStyle w:val="Style32"/>
        <w:keepNext/>
        <w:keepLines/>
        <w:widowControl w:val="0"/>
        <w:shd w:val="clear" w:color="auto" w:fill="auto"/>
        <w:bidi w:val="0"/>
        <w:spacing w:before="0" w:after="280" w:line="312" w:lineRule="exact"/>
        <w:ind w:left="0" w:right="0" w:firstLine="0"/>
        <w:jc w:val="left"/>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8"/>
      <w:bookmarkEnd w:id="709"/>
      <w:bookmarkEnd w:id="710"/>
    </w:p>
    <w:p>
      <w:pPr>
        <w:pStyle w:val="Style35"/>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 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年度的合并及公司经营成果和合并及公司现金流量等有关信息。</w:t>
      </w:r>
    </w:p>
    <w:p>
      <w:pPr>
        <w:pStyle w:val="Style32"/>
        <w:keepNext/>
        <w:keepLines/>
        <w:widowControl w:val="0"/>
        <w:shd w:val="clear" w:color="auto" w:fill="auto"/>
        <w:bidi w:val="0"/>
        <w:spacing w:before="0" w:after="3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、会计期间</w:t>
      </w:r>
      <w:bookmarkEnd w:id="711"/>
      <w:bookmarkEnd w:id="712"/>
      <w:bookmarkEnd w:id="714"/>
    </w:p>
    <w:p>
      <w:pPr>
        <w:pStyle w:val="Style35"/>
        <w:keepNext w:val="0"/>
        <w:keepLines w:val="0"/>
        <w:widowControl w:val="0"/>
        <w:shd w:val="clear" w:color="auto" w:fill="auto"/>
        <w:bidi w:val="0"/>
        <w:spacing w:before="0" w:after="800" w:line="240" w:lineRule="auto"/>
        <w:ind w:left="0" w:right="0" w:firstLine="440"/>
        <w:jc w:val="both"/>
      </w:pPr>
      <w:r>
        <w:rPr>
          <w:color w:val="000000"/>
          <w:spacing w:val="0"/>
          <w:w w:val="100"/>
          <w:position w:val="0"/>
        </w:rPr>
        <w:t>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、营业周期</w:t>
      </w:r>
      <w:bookmarkEnd w:id="715"/>
      <w:bookmarkEnd w:id="716"/>
      <w:bookmarkEnd w:id="718"/>
    </w:p>
    <w:p>
      <w:pPr>
        <w:pStyle w:val="Style35"/>
        <w:keepNext w:val="0"/>
        <w:keepLines w:val="0"/>
        <w:widowControl w:val="0"/>
        <w:shd w:val="clear" w:color="auto" w:fill="auto"/>
        <w:bidi w:val="0"/>
        <w:spacing w:before="0" w:after="720" w:line="240" w:lineRule="auto"/>
        <w:ind w:left="0" w:right="0" w:firstLine="440"/>
        <w:jc w:val="both"/>
      </w:pPr>
      <w:r>
        <w:rPr>
          <w:color w:val="000000"/>
          <w:spacing w:val="0"/>
          <w:w w:val="100"/>
          <w:position w:val="0"/>
        </w:rPr>
        <w:t>本公司的营业周期为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280" w:line="314" w:lineRule="exact"/>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4</w:t>
      </w:r>
      <w:bookmarkEnd w:id="721"/>
      <w:r>
        <w:rPr>
          <w:color w:val="000000"/>
          <w:spacing w:val="0"/>
          <w:w w:val="100"/>
          <w:position w:val="0"/>
        </w:rPr>
        <w:t>、</w:t>
        <w:tab/>
        <w:t>记账本位币</w:t>
      </w:r>
      <w:bookmarkEnd w:id="719"/>
      <w:bookmarkEnd w:id="720"/>
      <w:bookmarkEnd w:id="722"/>
    </w:p>
    <w:p>
      <w:pPr>
        <w:pStyle w:val="Style3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本公司及境内子公司以人民币为记账本位币。本公司之境外子公司澳洲红相根据其经营所处的主要经 济环境中的货币确定澳元作为记账本位币。本集团编制本财务报表时所采用的货币为人民币。</w:t>
      </w:r>
    </w:p>
    <w:p>
      <w:pPr>
        <w:pStyle w:val="Style32"/>
        <w:keepNext/>
        <w:keepLines/>
        <w:widowControl w:val="0"/>
        <w:shd w:val="clear" w:color="auto" w:fill="auto"/>
        <w:tabs>
          <w:tab w:pos="378" w:val="left"/>
        </w:tabs>
        <w:bidi w:val="0"/>
        <w:spacing w:before="0" w:after="280" w:line="314" w:lineRule="exact"/>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5</w:t>
      </w:r>
      <w:bookmarkEnd w:id="725"/>
      <w:r>
        <w:rPr>
          <w:color w:val="000000"/>
          <w:spacing w:val="0"/>
          <w:w w:val="100"/>
          <w:position w:val="0"/>
        </w:rPr>
        <w:t>、</w:t>
        <w:tab/>
        <w:t>同一控制下和非同一控制下企业合并的会计处理方法</w:t>
      </w:r>
      <w:bookmarkEnd w:id="723"/>
      <w:bookmarkEnd w:id="724"/>
      <w:bookmarkEnd w:id="726"/>
    </w:p>
    <w:p>
      <w:pPr>
        <w:pStyle w:val="Style35"/>
        <w:keepNext w:val="0"/>
        <w:keepLines w:val="0"/>
        <w:widowControl w:val="0"/>
        <w:numPr>
          <w:ilvl w:val="0"/>
          <w:numId w:val="27"/>
        </w:numPr>
        <w:shd w:val="clear" w:color="auto" w:fill="auto"/>
        <w:tabs>
          <w:tab w:pos="928" w:val="left"/>
        </w:tabs>
        <w:bidi w:val="0"/>
        <w:spacing w:before="0" w:after="100" w:line="314" w:lineRule="exact"/>
        <w:ind w:left="0" w:right="0" w:firstLine="440"/>
        <w:jc w:val="both"/>
      </w:pPr>
      <w:bookmarkStart w:id="727" w:name="bookmark727"/>
      <w:bookmarkEnd w:id="727"/>
      <w:r>
        <w:rPr>
          <w:color w:val="000000"/>
          <w:spacing w:val="0"/>
          <w:w w:val="100"/>
          <w:position w:val="0"/>
        </w:rPr>
        <w:t>同一控制下的企业合并</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合并中取得的净资产账面价值的差额调整资本公积，资本公积不足冲减的，调整留存收益。</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通过多次交易分步实现同一控制下的企业合并</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并日新支付对价的账面价值之和的差额，调整资本公积，资本公积不足冲减的，调整留存收益。</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w:t>
      </w:r>
    </w:p>
    <w:p>
      <w:pPr>
        <w:pStyle w:val="Style35"/>
        <w:keepNext w:val="0"/>
        <w:keepLines w:val="0"/>
        <w:widowControl w:val="0"/>
        <w:numPr>
          <w:ilvl w:val="0"/>
          <w:numId w:val="27"/>
        </w:numPr>
        <w:shd w:val="clear" w:color="auto" w:fill="auto"/>
        <w:tabs>
          <w:tab w:pos="928" w:val="left"/>
        </w:tabs>
        <w:bidi w:val="0"/>
        <w:spacing w:before="0" w:after="100" w:line="314" w:lineRule="exact"/>
        <w:ind w:left="0" w:right="0" w:firstLine="440"/>
        <w:jc w:val="both"/>
      </w:pPr>
      <w:bookmarkStart w:id="728" w:name="bookmark728"/>
      <w:bookmarkEnd w:id="728"/>
      <w:r>
        <w:rPr>
          <w:color w:val="000000"/>
          <w:spacing w:val="0"/>
          <w:w w:val="100"/>
          <w:position w:val="0"/>
        </w:rPr>
        <w:t>非同一控制下的企业合并</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对于非同一控制下的企业合并，合并成本为购买日为取得对被购买方的控制权而付出的资产、发生或 </w:t>
      </w:r>
      <w:r>
        <w:rPr>
          <w:color w:val="000000"/>
          <w:spacing w:val="0"/>
          <w:w w:val="100"/>
          <w:position w:val="0"/>
        </w:rPr>
        <w:t>承担的负债以及发行的权益性证券的公允价值。在购买日，取得的被购买方的资产、负债及或有负债按公 允价值确认。</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通过多次交易分步实现非同一控制下的企业合并</w:t>
      </w:r>
    </w:p>
    <w:p>
      <w:pPr>
        <w:pStyle w:val="Style3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量的，原计入其他综合收益的累计公允价值变动在改按成本法核算时转入当期损益。</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35"/>
        <w:keepNext w:val="0"/>
        <w:keepLines w:val="0"/>
        <w:widowControl w:val="0"/>
        <w:shd w:val="clear" w:color="auto" w:fill="auto"/>
        <w:bidi w:val="0"/>
        <w:spacing w:before="0" w:after="100" w:line="313" w:lineRule="exact"/>
        <w:ind w:left="0" w:right="0" w:firstLine="44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）企业合并中有关交易费用的处理</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2"/>
        <w:keepNext/>
        <w:keepLines/>
        <w:widowControl w:val="0"/>
        <w:shd w:val="clear" w:color="auto" w:fill="auto"/>
        <w:bidi w:val="0"/>
        <w:spacing w:before="0" w:after="200" w:line="326"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6</w:t>
      </w:r>
      <w:bookmarkEnd w:id="732"/>
      <w:r>
        <w:rPr>
          <w:color w:val="000000"/>
          <w:spacing w:val="0"/>
          <w:w w:val="100"/>
          <w:position w:val="0"/>
        </w:rPr>
        <w:t>、合并财务报表的编制方法</w:t>
      </w:r>
      <w:bookmarkEnd w:id="730"/>
      <w:bookmarkEnd w:id="731"/>
      <w:bookmarkEnd w:id="733"/>
    </w:p>
    <w:p>
      <w:pPr>
        <w:pStyle w:val="Style35"/>
        <w:keepNext w:val="0"/>
        <w:keepLines w:val="0"/>
        <w:widowControl w:val="0"/>
        <w:shd w:val="clear" w:color="auto" w:fill="auto"/>
        <w:tabs>
          <w:tab w:pos="880" w:val="left"/>
        </w:tabs>
        <w:bidi w:val="0"/>
        <w:spacing w:before="0" w:after="100" w:line="313" w:lineRule="exact"/>
        <w:ind w:left="0" w:right="0" w:firstLine="44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35"/>
        <w:keepNext w:val="0"/>
        <w:keepLines w:val="0"/>
        <w:widowControl w:val="0"/>
        <w:shd w:val="clear" w:color="auto" w:fill="auto"/>
        <w:tabs>
          <w:tab w:pos="880" w:val="left"/>
        </w:tabs>
        <w:bidi w:val="0"/>
        <w:spacing w:before="0" w:after="100" w:line="313" w:lineRule="exact"/>
        <w:ind w:left="0" w:right="0" w:firstLine="44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 xml:space="preserve">少数股东 损益''项目列示。少数股东分担的子公司的亏损超过了少数股东在该子公司期初所有者权益中所享有的份 </w:t>
      </w:r>
      <w:r>
        <w:rPr>
          <w:color w:val="000000"/>
          <w:spacing w:val="0"/>
          <w:w w:val="100"/>
          <w:position w:val="0"/>
        </w:rPr>
        <w:t>额，其余额仍冲减少数股东权益。</w:t>
      </w:r>
    </w:p>
    <w:p>
      <w:pPr>
        <w:pStyle w:val="Style35"/>
        <w:keepNext w:val="0"/>
        <w:keepLines w:val="0"/>
        <w:widowControl w:val="0"/>
        <w:numPr>
          <w:ilvl w:val="0"/>
          <w:numId w:val="27"/>
        </w:numPr>
        <w:shd w:val="clear" w:color="auto" w:fill="auto"/>
        <w:tabs>
          <w:tab w:pos="928" w:val="left"/>
        </w:tabs>
        <w:bidi w:val="0"/>
        <w:spacing w:before="0" w:after="100" w:line="315" w:lineRule="exact"/>
        <w:ind w:left="0" w:right="0" w:firstLine="440"/>
        <w:jc w:val="both"/>
      </w:pPr>
      <w:bookmarkStart w:id="736" w:name="bookmark736"/>
      <w:bookmarkEnd w:id="736"/>
      <w:r>
        <w:rPr>
          <w:color w:val="000000"/>
          <w:spacing w:val="0"/>
          <w:w w:val="100"/>
          <w:position w:val="0"/>
        </w:rPr>
        <w:t>购买子公司少数股东股权</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之间的差额，均调整合并资产负债表中的资本公积，资本公积不足冲减的，调整留存收益。</w:t>
      </w:r>
    </w:p>
    <w:p>
      <w:pPr>
        <w:pStyle w:val="Style35"/>
        <w:keepNext w:val="0"/>
        <w:keepLines w:val="0"/>
        <w:widowControl w:val="0"/>
        <w:numPr>
          <w:ilvl w:val="0"/>
          <w:numId w:val="27"/>
        </w:numPr>
        <w:shd w:val="clear" w:color="auto" w:fill="auto"/>
        <w:tabs>
          <w:tab w:pos="928" w:val="left"/>
        </w:tabs>
        <w:bidi w:val="0"/>
        <w:spacing w:before="0" w:after="100" w:line="315" w:lineRule="exact"/>
        <w:ind w:left="0" w:right="0" w:firstLine="440"/>
        <w:jc w:val="both"/>
      </w:pPr>
      <w:bookmarkStart w:id="737" w:name="bookmark737"/>
      <w:bookmarkEnd w:id="737"/>
      <w:r>
        <w:rPr>
          <w:color w:val="000000"/>
          <w:spacing w:val="0"/>
          <w:w w:val="100"/>
          <w:position w:val="0"/>
        </w:rPr>
        <w:t>丧失子公司控制权的处理</w:t>
      </w:r>
    </w:p>
    <w:p>
      <w:pPr>
        <w:pStyle w:val="Style35"/>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35"/>
        <w:keepNext w:val="0"/>
        <w:keepLines w:val="0"/>
        <w:widowControl w:val="0"/>
        <w:shd w:val="clear" w:color="auto" w:fill="auto"/>
        <w:bidi w:val="0"/>
        <w:spacing w:before="0" w:after="1260" w:line="322"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2"/>
        <w:keepNext/>
        <w:keepLines/>
        <w:widowControl w:val="0"/>
        <w:shd w:val="clear" w:color="auto" w:fill="auto"/>
        <w:bidi w:val="0"/>
        <w:spacing w:before="0" w:after="280" w:line="312"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7</w:t>
      </w:r>
      <w:bookmarkEnd w:id="740"/>
      <w:r>
        <w:rPr>
          <w:color w:val="000000"/>
          <w:spacing w:val="0"/>
          <w:w w:val="100"/>
          <w:position w:val="0"/>
        </w:rPr>
        <w:t>、现金及现金等价物的确定标准</w:t>
      </w:r>
      <w:bookmarkEnd w:id="738"/>
      <w:bookmarkEnd w:id="739"/>
      <w:bookmarkEnd w:id="741"/>
    </w:p>
    <w:p>
      <w:pPr>
        <w:pStyle w:val="Style35"/>
        <w:keepNext w:val="0"/>
        <w:keepLines w:val="0"/>
        <w:widowControl w:val="0"/>
        <w:shd w:val="clear" w:color="auto" w:fill="auto"/>
        <w:bidi w:val="0"/>
        <w:spacing w:before="0" w:after="1260" w:line="312" w:lineRule="exact"/>
        <w:ind w:left="0" w:right="0" w:firstLine="440"/>
        <w:jc w:val="left"/>
      </w:pPr>
      <w:r>
        <w:rPr>
          <w:color w:val="000000"/>
          <w:spacing w:val="0"/>
          <w:w w:val="100"/>
          <w:position w:val="0"/>
        </w:rPr>
        <w:t>现金是指库存现金以及可以随时用于支付的存款。现金等价物，是指本集团持有的期限短、流动性强、 易于转换为已知金额现金、价值变动风险很小的投资。</w:t>
      </w:r>
    </w:p>
    <w:p>
      <w:pPr>
        <w:pStyle w:val="Style32"/>
        <w:keepNext/>
        <w:keepLines/>
        <w:widowControl w:val="0"/>
        <w:shd w:val="clear" w:color="auto" w:fill="auto"/>
        <w:bidi w:val="0"/>
        <w:spacing w:before="0" w:after="280" w:line="312" w:lineRule="exact"/>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8</w:t>
      </w:r>
      <w:bookmarkEnd w:id="744"/>
      <w:r>
        <w:rPr>
          <w:color w:val="000000"/>
          <w:spacing w:val="0"/>
          <w:w w:val="100"/>
          <w:position w:val="0"/>
        </w:rPr>
        <w:t>、外币业务和外币报表折算</w:t>
      </w:r>
      <w:bookmarkEnd w:id="742"/>
      <w:bookmarkEnd w:id="743"/>
      <w:bookmarkEnd w:id="745"/>
    </w:p>
    <w:p>
      <w:pPr>
        <w:pStyle w:val="Style35"/>
        <w:keepNext w:val="0"/>
        <w:keepLines w:val="0"/>
        <w:widowControl w:val="0"/>
        <w:numPr>
          <w:ilvl w:val="0"/>
          <w:numId w:val="29"/>
        </w:numPr>
        <w:shd w:val="clear" w:color="auto" w:fill="auto"/>
        <w:tabs>
          <w:tab w:pos="928" w:val="left"/>
        </w:tabs>
        <w:bidi w:val="0"/>
        <w:spacing w:before="0" w:after="100" w:line="312" w:lineRule="exact"/>
        <w:ind w:left="0" w:right="0" w:firstLine="440"/>
        <w:jc w:val="left"/>
      </w:pPr>
      <w:bookmarkStart w:id="746" w:name="bookmark746"/>
      <w:bookmarkEnd w:id="746"/>
      <w:r>
        <w:rPr>
          <w:color w:val="000000"/>
          <w:spacing w:val="0"/>
          <w:w w:val="100"/>
          <w:position w:val="0"/>
        </w:rPr>
        <w:t>外币业务</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本公司发生外币业务，按交易发生日的即期汇率折算为记账本位币金额。</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35"/>
        <w:keepNext w:val="0"/>
        <w:keepLines w:val="0"/>
        <w:widowControl w:val="0"/>
        <w:numPr>
          <w:ilvl w:val="0"/>
          <w:numId w:val="29"/>
        </w:numPr>
        <w:shd w:val="clear" w:color="auto" w:fill="auto"/>
        <w:tabs>
          <w:tab w:pos="928" w:val="left"/>
        </w:tabs>
        <w:bidi w:val="0"/>
        <w:spacing w:before="0" w:after="100" w:line="312" w:lineRule="exact"/>
        <w:ind w:left="0" w:right="0" w:firstLine="440"/>
        <w:jc w:val="both"/>
      </w:pPr>
      <w:bookmarkStart w:id="747" w:name="bookmark747"/>
      <w:bookmarkEnd w:id="747"/>
      <w:r>
        <w:rPr>
          <w:color w:val="000000"/>
          <w:spacing w:val="0"/>
          <w:w w:val="100"/>
          <w:position w:val="0"/>
        </w:rPr>
        <w:t>外币财务报表的折算</w:t>
      </w:r>
    </w:p>
    <w:p>
      <w:pPr>
        <w:pStyle w:val="Style3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资产负债表日，对境外子公司外币财务报表进行折算时，资产负债表中的资产和负债项目，采用资产 负债表日的即期汇率折算，股东权益项目除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外，其他项目采用发生日的即期汇率折算。</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利润表中的收入和费用项目，采用会计期间的平均汇率折算。</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现金流量表所有项目均按照会计期间的平均汇率汇率折算。汇率变动对现金的影响额作为调节项目， 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汇率变动对现金及现金等价物的影响项目反映。</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其他综合收益''项目反映。</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32"/>
        <w:keepNext/>
        <w:keepLines/>
        <w:widowControl w:val="0"/>
        <w:shd w:val="clear" w:color="auto" w:fill="auto"/>
        <w:bidi w:val="0"/>
        <w:spacing w:before="0" w:after="200" w:line="326"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9</w:t>
      </w:r>
      <w:bookmarkEnd w:id="750"/>
      <w:r>
        <w:rPr>
          <w:color w:val="000000"/>
          <w:spacing w:val="0"/>
          <w:w w:val="100"/>
          <w:position w:val="0"/>
        </w:rPr>
        <w:t>、金融工具</w:t>
      </w:r>
      <w:bookmarkEnd w:id="748"/>
      <w:bookmarkEnd w:id="749"/>
      <w:bookmarkEnd w:id="751"/>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金融工具是指形成一个企业的金融资产，并形成其他单位的金融负债或权益工具的合同。</w:t>
      </w:r>
    </w:p>
    <w:p>
      <w:pPr>
        <w:pStyle w:val="Style35"/>
        <w:keepNext w:val="0"/>
        <w:keepLines w:val="0"/>
        <w:widowControl w:val="0"/>
        <w:shd w:val="clear" w:color="auto" w:fill="auto"/>
        <w:tabs>
          <w:tab w:pos="928" w:val="left"/>
        </w:tabs>
        <w:bidi w:val="0"/>
        <w:spacing w:before="0" w:after="100" w:line="312" w:lineRule="exact"/>
        <w:ind w:left="0" w:right="0" w:firstLine="44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本集团于成为金融工具合同的一方时确认一项金融资产或金融负债。</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金融资产满足下列条件之一的，终止确认：</w:t>
      </w:r>
    </w:p>
    <w:p>
      <w:pPr>
        <w:pStyle w:val="Style35"/>
        <w:keepNext w:val="0"/>
        <w:keepLines w:val="0"/>
        <w:widowControl w:val="0"/>
        <w:numPr>
          <w:ilvl w:val="0"/>
          <w:numId w:val="31"/>
        </w:numPr>
        <w:shd w:val="clear" w:color="auto" w:fill="auto"/>
        <w:tabs>
          <w:tab w:pos="832" w:val="left"/>
        </w:tabs>
        <w:bidi w:val="0"/>
        <w:spacing w:before="0" w:after="100" w:line="312" w:lineRule="exact"/>
        <w:ind w:left="0" w:right="0" w:firstLine="440"/>
        <w:jc w:val="left"/>
      </w:pPr>
      <w:bookmarkStart w:id="753" w:name="bookmark753"/>
      <w:bookmarkEnd w:id="753"/>
      <w:r>
        <w:rPr>
          <w:color w:val="000000"/>
          <w:spacing w:val="0"/>
          <w:w w:val="100"/>
          <w:position w:val="0"/>
        </w:rPr>
        <w:t>收取该金融资产现金流量的合同权利终止；</w:t>
      </w:r>
    </w:p>
    <w:p>
      <w:pPr>
        <w:pStyle w:val="Style35"/>
        <w:keepNext w:val="0"/>
        <w:keepLines w:val="0"/>
        <w:widowControl w:val="0"/>
        <w:numPr>
          <w:ilvl w:val="0"/>
          <w:numId w:val="31"/>
        </w:numPr>
        <w:shd w:val="clear" w:color="auto" w:fill="auto"/>
        <w:tabs>
          <w:tab w:pos="837" w:val="left"/>
        </w:tabs>
        <w:bidi w:val="0"/>
        <w:spacing w:before="0" w:after="100" w:line="312" w:lineRule="exact"/>
        <w:ind w:left="0" w:right="0" w:firstLine="440"/>
        <w:jc w:val="left"/>
      </w:pPr>
      <w:bookmarkStart w:id="754" w:name="bookmark754"/>
      <w:bookmarkEnd w:id="754"/>
      <w:r>
        <w:rPr>
          <w:color w:val="000000"/>
          <w:spacing w:val="0"/>
          <w:w w:val="100"/>
          <w:position w:val="0"/>
        </w:rPr>
        <w:t>该金融资产已转移，且符合下述金融资产转移的终止确认条件。</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金融负债的现时义务全部或部分已经解除的，终止确认该金融负债或其一部分。本集团（债务人）与 债权人之间签订协议，以承担新金融负债方式替换现存金融负债，且新金融负债与现存金融负债的合同条 款实质上不同的，终止确认现存金融负债，并同时确认新金融负债。</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以常规方式买卖金融资产，按交易日进行会计确认和终止确认。</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本集团的金融资产于初始确认时分为以下四类：以公允价值计量且其变动计入当期损益的金融资产、 持有至到期投资、贷款和应收款项、可供出售金融资产。金融资产在初始确认时以公允价值计量。对于以 公允价值计量且其变动计入当期损益的金融资产，相关交易费用直接计入当期损益，其他类别的金融资产 相关交易费用计入其初始确认金额。</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本集团的金融资产包括应收款项、可供出售金融资产。</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应收款项</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应收款项，是指在活跃市场中没有报价、回收金额固定或可确定的非衍生金融资产，包括应收账款和 其他应收款等（本附注五、</w:t>
      </w:r>
      <w:r>
        <w:rPr>
          <w:rFonts w:ascii="Times New Roman" w:eastAsia="Times New Roman" w:hAnsi="Times New Roman" w:cs="Times New Roman"/>
          <w:color w:val="000000"/>
          <w:spacing w:val="0"/>
          <w:w w:val="100"/>
          <w:position w:val="0"/>
        </w:rPr>
        <w:t>11</w:t>
      </w:r>
      <w:r>
        <w:rPr>
          <w:color w:val="000000"/>
          <w:spacing w:val="0"/>
          <w:w w:val="100"/>
          <w:position w:val="0"/>
        </w:rPr>
        <w:t>）。应收款项采用实际利率法，按摊余成本进行后续计量，在终止确认、发 生减值或摊销时产生的利得或损失，计入当期损益。</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可供出售金融资产</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可供出售金融资产，是指初始确认时即指定为可供出售的非衍生金融资产，以及除上述金融资产类别 以外的金融资产。可供出售金融资产采用公允价值进行后续计量，其折溢价采用实际利率法摊销并确认为 利息收入。除减值损失及外币货币性金融资产的汇兑差额确认为当期损益外，可供出售金融资产的公允价 值变动确认为其他综合收益，在该金融资产终止确认时转出，计入当期损益。与可供出售金融资产相关的 股利或利息收入，计入当期损益。</w:t>
      </w:r>
    </w:p>
    <w:p>
      <w:pPr>
        <w:pStyle w:val="Style35"/>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对于在活跃市场中没有报价且其公允价值不能可靠计量的权益工具投资，以及与该权益工具挂钩并须 通过交付该权益工具结算的衍生金融资产，按成本计量。</w:t>
      </w:r>
    </w:p>
    <w:p>
      <w:pPr>
        <w:pStyle w:val="Style35"/>
        <w:keepNext w:val="0"/>
        <w:keepLines w:val="0"/>
        <w:widowControl w:val="0"/>
        <w:shd w:val="clear" w:color="auto" w:fill="auto"/>
        <w:tabs>
          <w:tab w:pos="928" w:val="left"/>
        </w:tabs>
        <w:bidi w:val="0"/>
        <w:spacing w:before="0" w:after="100" w:line="312" w:lineRule="exact"/>
        <w:ind w:left="0" w:right="0" w:firstLine="44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3</w:t>
      </w:r>
      <w:r>
        <w:rPr>
          <w:color w:val="000000"/>
          <w:spacing w:val="0"/>
          <w:w w:val="100"/>
          <w:position w:val="0"/>
        </w:rPr>
        <w:t>）</w:t>
        <w:tab/>
        <w:t>金融负债分类和计量</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本集团的金融负债于初始确认时分类为：以公允价值计量且其变动计入当期损益的金融负债、其他金 融负债。对于未划分为以公允价值计量且其变动计入当期损益的金融负债的，相关交易费用计入其初始确 认金额。本集团的金融负债为其他金融负债。</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其他金融负债</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金融负债与权益工具的区分</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金融负债，是指符合下列条件之一的负债：</w:t>
      </w:r>
    </w:p>
    <w:p>
      <w:pPr>
        <w:pStyle w:val="Style35"/>
        <w:keepNext w:val="0"/>
        <w:keepLines w:val="0"/>
        <w:widowControl w:val="0"/>
        <w:numPr>
          <w:ilvl w:val="0"/>
          <w:numId w:val="33"/>
        </w:numPr>
        <w:shd w:val="clear" w:color="auto" w:fill="auto"/>
        <w:tabs>
          <w:tab w:pos="832" w:val="left"/>
        </w:tabs>
        <w:bidi w:val="0"/>
        <w:spacing w:before="0" w:after="100" w:line="313" w:lineRule="exact"/>
        <w:ind w:left="0" w:right="0" w:firstLine="440"/>
        <w:jc w:val="both"/>
      </w:pPr>
      <w:bookmarkStart w:id="757" w:name="bookmark757"/>
      <w:bookmarkEnd w:id="757"/>
      <w:r>
        <w:rPr>
          <w:color w:val="000000"/>
          <w:spacing w:val="0"/>
          <w:w w:val="100"/>
          <w:position w:val="0"/>
        </w:rPr>
        <w:t>向其他方交付现金或其他金融资产的合同义务。</w:t>
      </w:r>
    </w:p>
    <w:p>
      <w:pPr>
        <w:pStyle w:val="Style35"/>
        <w:keepNext w:val="0"/>
        <w:keepLines w:val="0"/>
        <w:widowControl w:val="0"/>
        <w:numPr>
          <w:ilvl w:val="0"/>
          <w:numId w:val="33"/>
        </w:numPr>
        <w:shd w:val="clear" w:color="auto" w:fill="auto"/>
        <w:tabs>
          <w:tab w:pos="837" w:val="left"/>
        </w:tabs>
        <w:bidi w:val="0"/>
        <w:spacing w:before="0" w:after="100" w:line="313" w:lineRule="exact"/>
        <w:ind w:left="0" w:right="0" w:firstLine="440"/>
        <w:jc w:val="left"/>
      </w:pPr>
      <w:bookmarkStart w:id="758" w:name="bookmark758"/>
      <w:bookmarkEnd w:id="758"/>
      <w:r>
        <w:rPr>
          <w:color w:val="000000"/>
          <w:spacing w:val="0"/>
          <w:w w:val="100"/>
          <w:position w:val="0"/>
        </w:rPr>
        <w:t>在潜在不利条件下，与其他方交换金融资产或金融负债的合同义务。</w:t>
      </w:r>
    </w:p>
    <w:p>
      <w:pPr>
        <w:pStyle w:val="Style35"/>
        <w:keepNext w:val="0"/>
        <w:keepLines w:val="0"/>
        <w:widowControl w:val="0"/>
        <w:numPr>
          <w:ilvl w:val="0"/>
          <w:numId w:val="33"/>
        </w:numPr>
        <w:shd w:val="clear" w:color="auto" w:fill="auto"/>
        <w:tabs>
          <w:tab w:pos="800" w:val="left"/>
        </w:tabs>
        <w:bidi w:val="0"/>
        <w:spacing w:before="0" w:after="100" w:line="312" w:lineRule="exact"/>
        <w:ind w:left="0" w:right="0" w:firstLine="440"/>
        <w:jc w:val="both"/>
      </w:pPr>
      <w:bookmarkStart w:id="759" w:name="bookmark759"/>
      <w:bookmarkEnd w:id="759"/>
      <w:r>
        <w:rPr>
          <w:color w:val="000000"/>
          <w:spacing w:val="0"/>
          <w:w w:val="100"/>
          <w:position w:val="0"/>
        </w:rPr>
        <w:t>将来须用或可用企业自身权益工具进行结算的非衍生工具合同，且企业根据该合同将交付可变数量 的自身权益工具。</w:t>
      </w:r>
    </w:p>
    <w:p>
      <w:pPr>
        <w:pStyle w:val="Style35"/>
        <w:keepNext w:val="0"/>
        <w:keepLines w:val="0"/>
        <w:widowControl w:val="0"/>
        <w:numPr>
          <w:ilvl w:val="0"/>
          <w:numId w:val="33"/>
        </w:numPr>
        <w:shd w:val="clear" w:color="auto" w:fill="auto"/>
        <w:tabs>
          <w:tab w:pos="810" w:val="left"/>
        </w:tabs>
        <w:bidi w:val="0"/>
        <w:spacing w:before="0" w:after="100" w:line="312" w:lineRule="exact"/>
        <w:ind w:left="0" w:right="0" w:firstLine="440"/>
        <w:jc w:val="both"/>
      </w:pPr>
      <w:bookmarkStart w:id="760" w:name="bookmark760"/>
      <w:bookmarkEnd w:id="760"/>
      <w:r>
        <w:rPr>
          <w:color w:val="000000"/>
          <w:spacing w:val="0"/>
          <w:w w:val="100"/>
          <w:position w:val="0"/>
        </w:rPr>
        <w:t>将来须用或可用企业自身权益工具进行结算的衍生工具合同，但以固定数量的自身权益工具交换固 定金额的现金或其他金融资产的衍生工具合同除外。</w:t>
      </w:r>
    </w:p>
    <w:p>
      <w:pPr>
        <w:pStyle w:val="Style35"/>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权益工具，是指能证明拥有某个企业在扣除所有负债后的资产中剩余权益的合同。</w:t>
      </w:r>
    </w:p>
    <w:p>
      <w:pPr>
        <w:pStyle w:val="Style3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如果本集团不能无条件地避免以交付现金或其他金融资产来履行一项合同义务，则该合同义务符合金 融负债的定义。</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如果一项金融工具须用或可用本集团自身权益工具进行结算，需要考虑用于结算该工具的本集团自身 权益工具，是作为现金或其他金融资产的替代品，还是为了使该工具持有方享有在发行方扣除所有负债后 的资产中的剩余权益。如果是前者，该工具是本集团的金融负债；如果是后者，该工具是本集团的权益工 具。</w:t>
      </w:r>
    </w:p>
    <w:p>
      <w:pPr>
        <w:pStyle w:val="Style35"/>
        <w:keepNext w:val="0"/>
        <w:keepLines w:val="0"/>
        <w:widowControl w:val="0"/>
        <w:numPr>
          <w:ilvl w:val="0"/>
          <w:numId w:val="35"/>
        </w:numPr>
        <w:shd w:val="clear" w:color="auto" w:fill="auto"/>
        <w:tabs>
          <w:tab w:pos="928" w:val="left"/>
        </w:tabs>
        <w:bidi w:val="0"/>
        <w:spacing w:before="0" w:after="100" w:line="313" w:lineRule="exact"/>
        <w:ind w:left="0" w:right="0" w:firstLine="440"/>
        <w:jc w:val="both"/>
      </w:pPr>
      <w:bookmarkStart w:id="761" w:name="bookmark761"/>
      <w:bookmarkEnd w:id="761"/>
      <w:r>
        <w:rPr>
          <w:color w:val="000000"/>
          <w:spacing w:val="0"/>
          <w:w w:val="100"/>
          <w:position w:val="0"/>
        </w:rPr>
        <w:t>金融工具的公允价值</w:t>
      </w:r>
    </w:p>
    <w:p>
      <w:pPr>
        <w:pStyle w:val="Style35"/>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val="0"/>
        <w:keepLines w:val="0"/>
        <w:widowControl w:val="0"/>
        <w:numPr>
          <w:ilvl w:val="0"/>
          <w:numId w:val="35"/>
        </w:numPr>
        <w:shd w:val="clear" w:color="auto" w:fill="auto"/>
        <w:tabs>
          <w:tab w:pos="928" w:val="left"/>
        </w:tabs>
        <w:bidi w:val="0"/>
        <w:spacing w:before="0" w:after="100" w:line="313" w:lineRule="exact"/>
        <w:ind w:left="0" w:right="0" w:firstLine="440"/>
        <w:jc w:val="left"/>
      </w:pPr>
      <w:bookmarkStart w:id="762" w:name="bookmark762"/>
      <w:bookmarkEnd w:id="762"/>
      <w:r>
        <w:rPr>
          <w:color w:val="000000"/>
          <w:spacing w:val="0"/>
          <w:w w:val="100"/>
          <w:position w:val="0"/>
        </w:rPr>
        <w:t>金融资产减值</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除了以公允价值计量且其变动计入当期损益的金融资产外，本集团于资产负债表日对其他金融资产的 账面价值进行检查，有客观证据表明该金融资产发生减值的，计提减值准备。表明金融资产发生减值的客 观证据，是指金融资产初始确认后实际发生的、对该金融资产的预计未来现金流量有影响，且企业能够对 该影响进行可靠计量的事项。</w:t>
      </w:r>
    </w:p>
    <w:p>
      <w:pPr>
        <w:pStyle w:val="Style35"/>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金融资产发生减值的客观证据，包括下列可观察到的情形：</w:t>
      </w:r>
    </w:p>
    <w:p>
      <w:pPr>
        <w:pStyle w:val="Style35"/>
        <w:keepNext w:val="0"/>
        <w:keepLines w:val="0"/>
        <w:widowControl w:val="0"/>
        <w:numPr>
          <w:ilvl w:val="0"/>
          <w:numId w:val="37"/>
        </w:numPr>
        <w:shd w:val="clear" w:color="auto" w:fill="auto"/>
        <w:tabs>
          <w:tab w:pos="832" w:val="left"/>
        </w:tabs>
        <w:bidi w:val="0"/>
        <w:spacing w:before="0" w:after="100" w:line="313" w:lineRule="exact"/>
        <w:ind w:left="0" w:right="0" w:firstLine="440"/>
        <w:jc w:val="left"/>
      </w:pPr>
      <w:bookmarkStart w:id="763" w:name="bookmark763"/>
      <w:bookmarkEnd w:id="763"/>
      <w:r>
        <w:rPr>
          <w:color w:val="000000"/>
          <w:spacing w:val="0"/>
          <w:w w:val="100"/>
          <w:position w:val="0"/>
        </w:rPr>
        <w:t>发行方或债务人发生严重财务困难；</w:t>
      </w:r>
    </w:p>
    <w:p>
      <w:pPr>
        <w:pStyle w:val="Style35"/>
        <w:keepNext w:val="0"/>
        <w:keepLines w:val="0"/>
        <w:widowControl w:val="0"/>
        <w:numPr>
          <w:ilvl w:val="0"/>
          <w:numId w:val="37"/>
        </w:numPr>
        <w:shd w:val="clear" w:color="auto" w:fill="auto"/>
        <w:tabs>
          <w:tab w:pos="837" w:val="left"/>
        </w:tabs>
        <w:bidi w:val="0"/>
        <w:spacing w:before="0" w:after="100" w:line="313" w:lineRule="exact"/>
        <w:ind w:left="0" w:right="0" w:firstLine="440"/>
        <w:jc w:val="left"/>
      </w:pPr>
      <w:bookmarkStart w:id="764" w:name="bookmark764"/>
      <w:bookmarkEnd w:id="764"/>
      <w:r>
        <w:rPr>
          <w:color w:val="000000"/>
          <w:spacing w:val="0"/>
          <w:w w:val="100"/>
          <w:position w:val="0"/>
        </w:rPr>
        <w:t>债务人违反了合同条款，如偿付利息或本金发生违约或逾期等；</w:t>
      </w:r>
    </w:p>
    <w:p>
      <w:pPr>
        <w:pStyle w:val="Style35"/>
        <w:keepNext w:val="0"/>
        <w:keepLines w:val="0"/>
        <w:widowControl w:val="0"/>
        <w:numPr>
          <w:ilvl w:val="0"/>
          <w:numId w:val="37"/>
        </w:numPr>
        <w:shd w:val="clear" w:color="auto" w:fill="auto"/>
        <w:tabs>
          <w:tab w:pos="837" w:val="left"/>
        </w:tabs>
        <w:bidi w:val="0"/>
        <w:spacing w:before="0" w:after="100" w:line="313" w:lineRule="exact"/>
        <w:ind w:left="0" w:right="0" w:firstLine="440"/>
        <w:jc w:val="left"/>
      </w:pPr>
      <w:bookmarkStart w:id="765" w:name="bookmark765"/>
      <w:bookmarkEnd w:id="765"/>
      <w:r>
        <w:rPr>
          <w:color w:val="000000"/>
          <w:spacing w:val="0"/>
          <w:w w:val="100"/>
          <w:position w:val="0"/>
        </w:rPr>
        <w:t>本集团出于经济或法律等方面因素的考虑，对发生财务困难的债务人作出让步；</w:t>
      </w:r>
    </w:p>
    <w:p>
      <w:pPr>
        <w:pStyle w:val="Style35"/>
        <w:keepNext w:val="0"/>
        <w:keepLines w:val="0"/>
        <w:widowControl w:val="0"/>
        <w:numPr>
          <w:ilvl w:val="0"/>
          <w:numId w:val="37"/>
        </w:numPr>
        <w:shd w:val="clear" w:color="auto" w:fill="auto"/>
        <w:tabs>
          <w:tab w:pos="837" w:val="left"/>
        </w:tabs>
        <w:bidi w:val="0"/>
        <w:spacing w:before="0" w:after="100" w:line="313" w:lineRule="exact"/>
        <w:ind w:left="0" w:right="0" w:firstLine="440"/>
        <w:jc w:val="left"/>
      </w:pPr>
      <w:bookmarkStart w:id="766" w:name="bookmark766"/>
      <w:bookmarkEnd w:id="766"/>
      <w:r>
        <w:rPr>
          <w:color w:val="000000"/>
          <w:spacing w:val="0"/>
          <w:w w:val="100"/>
          <w:position w:val="0"/>
        </w:rPr>
        <w:t>债务人很可能倒闭或者进行其他财务重组；</w:t>
      </w:r>
    </w:p>
    <w:p>
      <w:pPr>
        <w:pStyle w:val="Style35"/>
        <w:keepNext w:val="0"/>
        <w:keepLines w:val="0"/>
        <w:widowControl w:val="0"/>
        <w:numPr>
          <w:ilvl w:val="0"/>
          <w:numId w:val="37"/>
        </w:numPr>
        <w:shd w:val="clear" w:color="auto" w:fill="auto"/>
        <w:tabs>
          <w:tab w:pos="837" w:val="left"/>
        </w:tabs>
        <w:bidi w:val="0"/>
        <w:spacing w:before="0" w:after="100" w:line="313" w:lineRule="exact"/>
        <w:ind w:left="0" w:right="0" w:firstLine="440"/>
        <w:jc w:val="left"/>
      </w:pPr>
      <w:bookmarkStart w:id="767" w:name="bookmark767"/>
      <w:bookmarkEnd w:id="767"/>
      <w:r>
        <w:rPr>
          <w:color w:val="000000"/>
          <w:spacing w:val="0"/>
          <w:w w:val="100"/>
          <w:position w:val="0"/>
        </w:rPr>
        <w:t>因发行方发生重大财务困难，导致金融资产无法在活跃市场继续交易；</w:t>
      </w:r>
    </w:p>
    <w:p>
      <w:pPr>
        <w:pStyle w:val="Style35"/>
        <w:keepNext w:val="0"/>
        <w:keepLines w:val="0"/>
        <w:widowControl w:val="0"/>
        <w:numPr>
          <w:ilvl w:val="0"/>
          <w:numId w:val="37"/>
        </w:numPr>
        <w:shd w:val="clear" w:color="auto" w:fill="auto"/>
        <w:tabs>
          <w:tab w:pos="814" w:val="left"/>
        </w:tabs>
        <w:bidi w:val="0"/>
        <w:spacing w:before="0" w:after="200" w:line="322" w:lineRule="exact"/>
        <w:ind w:left="0" w:right="0" w:firstLine="440"/>
        <w:jc w:val="both"/>
      </w:pPr>
      <w:bookmarkStart w:id="768" w:name="bookmark768"/>
      <w:bookmarkEnd w:id="768"/>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价后发现，该组金融资产自初始确认以来的预计未来现金流量确已减少且可计量，包括：</w:t>
      </w:r>
    </w:p>
    <w:p>
      <w:pPr>
        <w:pStyle w:val="Style35"/>
        <w:keepNext w:val="0"/>
        <w:keepLines w:val="0"/>
        <w:widowControl w:val="0"/>
        <w:shd w:val="clear" w:color="auto" w:fill="auto"/>
        <w:bidi w:val="0"/>
        <w:spacing w:before="0" w:after="100" w:line="326"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该组金融资产的债务人支付能力逐步恶化；</w:t>
      </w:r>
    </w:p>
    <w:p>
      <w:pPr>
        <w:pStyle w:val="Style35"/>
        <w:keepNext w:val="0"/>
        <w:keepLines w:val="0"/>
        <w:widowControl w:val="0"/>
        <w:shd w:val="clear" w:color="auto" w:fill="auto"/>
        <w:bidi w:val="0"/>
        <w:spacing w:before="0" w:after="100" w:line="314"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债务人所在国家或地区经济出现了可能导致该组金融资产无法支付的状况；</w:t>
      </w:r>
    </w:p>
    <w:p>
      <w:pPr>
        <w:pStyle w:val="Style35"/>
        <w:keepNext w:val="0"/>
        <w:keepLines w:val="0"/>
        <w:widowControl w:val="0"/>
        <w:numPr>
          <w:ilvl w:val="0"/>
          <w:numId w:val="37"/>
        </w:numPr>
        <w:shd w:val="clear" w:color="auto" w:fill="auto"/>
        <w:tabs>
          <w:tab w:pos="792" w:val="left"/>
        </w:tabs>
        <w:bidi w:val="0"/>
        <w:spacing w:before="0" w:after="100" w:line="312" w:lineRule="exact"/>
        <w:ind w:left="0" w:right="0" w:firstLine="440"/>
        <w:jc w:val="both"/>
      </w:pPr>
      <w:bookmarkStart w:id="769" w:name="bookmark769"/>
      <w:bookmarkEnd w:id="769"/>
      <w:r>
        <w:rPr>
          <w:color w:val="000000"/>
          <w:spacing w:val="0"/>
          <w:w w:val="100"/>
          <w:position w:val="0"/>
        </w:rPr>
        <w:t>债务人经营所处的技术、市场、经济或法律环境等发生重大不利变化，使权益工具投资人可能无法 收回投资成本；</w:t>
      </w:r>
    </w:p>
    <w:p>
      <w:pPr>
        <w:pStyle w:val="Style35"/>
        <w:keepNext w:val="0"/>
        <w:keepLines w:val="0"/>
        <w:widowControl w:val="0"/>
        <w:numPr>
          <w:ilvl w:val="0"/>
          <w:numId w:val="37"/>
        </w:numPr>
        <w:shd w:val="clear" w:color="auto" w:fill="auto"/>
        <w:tabs>
          <w:tab w:pos="792" w:val="left"/>
        </w:tabs>
        <w:bidi w:val="0"/>
        <w:spacing w:before="0" w:after="100" w:line="298" w:lineRule="exact"/>
        <w:ind w:left="0" w:right="0" w:firstLine="440"/>
        <w:jc w:val="both"/>
      </w:pPr>
      <w:bookmarkStart w:id="770" w:name="bookmark770"/>
      <w:bookmarkEnd w:id="770"/>
      <w:r>
        <w:rPr>
          <w:color w:val="000000"/>
          <w:spacing w:val="0"/>
          <w:w w:val="100"/>
          <w:position w:val="0"/>
        </w:rPr>
        <w:t>权益工具投资的公允价值发生严重或非暂时性下跌，如权益工具投资于资产负债表日的公允价值低 于其初始投资成本超过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）或低于其初始投资成本持续时间超过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5"/>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低于其初始投资成本持续时间超过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个月）是指，权益工具投资公允价值月度均值连续</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个月均低于其初始投资成本。</w:t>
      </w:r>
    </w:p>
    <w:p>
      <w:pPr>
        <w:pStyle w:val="Style35"/>
        <w:keepNext w:val="0"/>
        <w:keepLines w:val="0"/>
        <w:widowControl w:val="0"/>
        <w:numPr>
          <w:ilvl w:val="0"/>
          <w:numId w:val="37"/>
        </w:numPr>
        <w:shd w:val="clear" w:color="auto" w:fill="auto"/>
        <w:tabs>
          <w:tab w:pos="819" w:val="left"/>
        </w:tabs>
        <w:bidi w:val="0"/>
        <w:spacing w:before="0" w:after="100" w:line="314" w:lineRule="exact"/>
        <w:ind w:left="0" w:right="0" w:firstLine="440"/>
        <w:jc w:val="both"/>
      </w:pPr>
      <w:bookmarkStart w:id="771" w:name="bookmark771"/>
      <w:bookmarkEnd w:id="771"/>
      <w:r>
        <w:rPr>
          <w:color w:val="000000"/>
          <w:spacing w:val="0"/>
          <w:w w:val="100"/>
          <w:position w:val="0"/>
        </w:rPr>
        <w:t>其他表明金融资产发生减值的客观证据。</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以摊余成本计量的金融资产</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如果有客观证据表明该金融资产发生减值，则将该金融资产的账面价值减记至预计未来现金流量（不 包括尚未发生的未来信用损失）现值，减记金额计入当期损益。预计未来现金流量现值，按照该金融资产 原实际利率折现确定，并考虑相关担保物的价值。</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对单项金额重大的金融资产单独进行减值测试，如有客观证据表明其已发生减值，确认减值损失，计 入当期损益。对单项金额不重大的金融资产，单独进行减值测试或包括在具有类似信用风险特征的金融资 产组合中进行减值测试。单独测试未发生减值的金融资产（包括单项金额重大和不重大的金融资产），包 括在具有类似信用风险特征的金融资产组合中再进行减值测试。己单项确认减值损失的金融资产，不包括 在具有类似信用风险特征的金融资产组合中进行减值测试。</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本集团对以摊余成本计量的金融资产确认减值损失后，如有客观证据表明该金融资产价值已恢复，且 客观上与确认该损失后发生的事项有关，原确认的减值损失予以转回，计入当期损益。但是，该转回后的 账面价值不超过假定不计提减值准备情况下该金融资产在转回日的摊余成本。</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可供出售金融资产</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如果有客观证据表明该金融资产发生减值，原直接计入其他综合收益的因公允价值下降形成的累计损 失，予以转出，计入当期损益。该转出的累计损失，为可供出售金融资产的初始取得成本扣除已收回本金 和已摊销金额、当前公允价值和原已计入损益的减值损失后的余额。</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损失确认后发生的事项有关的，原确认的减值损失予以转回，计入当期损益。可供出售权益工具投资发生 的减值损失，不通过损益转回。</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以成本计量的金融资产</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付该权益工具结算的衍生金融资产发生减值时，将该金融资产的账面价值，与按照类似金融资产当时市场 收益率对未来现金流量折现确定的现值之间的差额，确认为减值损失，计入当期损益。发生的减值损失一 经确认，不得转回。</w:t>
      </w:r>
    </w:p>
    <w:p>
      <w:pPr>
        <w:pStyle w:val="Style35"/>
        <w:keepNext w:val="0"/>
        <w:keepLines w:val="0"/>
        <w:widowControl w:val="0"/>
        <w:shd w:val="clear" w:color="auto" w:fill="auto"/>
        <w:bidi w:val="0"/>
        <w:spacing w:before="0" w:after="100" w:line="314"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6</w:t>
      </w:r>
      <w:r>
        <w:rPr>
          <w:color w:val="000000"/>
          <w:spacing w:val="0"/>
          <w:w w:val="100"/>
          <w:position w:val="0"/>
        </w:rPr>
        <w:t>）金融资产转移</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金融资产转移，是指将金融资产让与或交付给该金融资产发行方以外的另一方（转入方）。</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本集团已将金融资产所有权上几乎所有的风险和报酬转移给转入方的，终止确认该金融资产；保留了 金融资产所有权上几乎所有的风险和报酬的，不终止确认该金融资产。</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本集团既没有转移也没有保留金融资产所有权上几乎所有的风险和报酬的，分别下列情况处理：放弃 了对该金融资产控制的，终止确认该金融资产并确认产生的资产和负债；未放弃对该金融资产控制的，按 </w:t>
      </w:r>
      <w:r>
        <w:rPr>
          <w:color w:val="000000"/>
          <w:spacing w:val="0"/>
          <w:w w:val="100"/>
          <w:position w:val="0"/>
        </w:rPr>
        <w:t>照其继续涉入所转移金融资产的程度确认有关金融资产，并相应确认有关负债。</w:t>
      </w:r>
    </w:p>
    <w:p>
      <w:pPr>
        <w:pStyle w:val="Style35"/>
        <w:keepNext w:val="0"/>
        <w:keepLines w:val="0"/>
        <w:widowControl w:val="0"/>
        <w:shd w:val="clear" w:color="auto" w:fill="auto"/>
        <w:bidi w:val="0"/>
        <w:spacing w:before="0" w:after="100" w:line="312" w:lineRule="exact"/>
        <w:ind w:left="0" w:right="0" w:firstLine="4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7</w:t>
      </w:r>
      <w:r>
        <w:rPr>
          <w:color w:val="000000"/>
          <w:spacing w:val="0"/>
          <w:w w:val="100"/>
          <w:position w:val="0"/>
        </w:rPr>
        <w:t>）金融资产和金融负债的抵销</w:t>
      </w:r>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当本集团具有抵销已确认金融资产和金融负债的法定权利，且目前可执行该种法定权利，同时本集团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2"/>
        <w:keepNext/>
        <w:keepLines/>
        <w:widowControl w:val="0"/>
        <w:shd w:val="clear" w:color="auto" w:fill="auto"/>
        <w:bidi w:val="0"/>
        <w:spacing w:before="0" w:after="200" w:line="326"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0</w:t>
      </w:r>
      <w:r>
        <w:rPr>
          <w:color w:val="000000"/>
          <w:spacing w:val="0"/>
          <w:w w:val="100"/>
          <w:position w:val="0"/>
        </w:rPr>
        <w:t>、公允价值</w:t>
      </w:r>
      <w:bookmarkEnd w:id="774"/>
      <w:bookmarkEnd w:id="775"/>
      <w:bookmarkEnd w:id="777"/>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本集团以公允价值计量相关资产或负债，假定出售资产或者转移负债的有序交易在相关资产或负债的 主要市场进行；不存在主要市场的，本集团假定该交易在相关资产或负债的最有利市场进行。主要市场（或 最有利市场）是本集团在计量日能够进入的交易市场。本集团采用市场参与者在对该资产或负债定价时为 实现其经济利益最大化所使用的假设。</w:t>
      </w:r>
    </w:p>
    <w:p>
      <w:pPr>
        <w:pStyle w:val="Style35"/>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存在活跃市场的金融资产或金融负债，本集团采用活跃市场中的报价确定其公允价值。金融工具不存 在活跃市场的，本集团采用估值技术确定其公允价值。</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35"/>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35"/>
        <w:keepNext w:val="0"/>
        <w:keepLines w:val="0"/>
        <w:widowControl w:val="0"/>
        <w:shd w:val="clear" w:color="auto" w:fill="auto"/>
        <w:bidi w:val="0"/>
        <w:spacing w:before="0" w:after="1320" w:line="307" w:lineRule="exact"/>
        <w:ind w:left="0" w:right="0" w:firstLine="440"/>
        <w:jc w:val="both"/>
      </w:pPr>
      <w:r>
        <w:rPr>
          <w:color w:val="000000"/>
          <w:spacing w:val="0"/>
          <w:w w:val="100"/>
          <w:position w:val="0"/>
        </w:rPr>
        <w:t>每个资产负债表日，本集团对在财务报表中确认的持续以公允价值计量的资产和负债进行重新评估， 以确定是否在公允价值计量层次之间发生转换。</w:t>
      </w:r>
    </w:p>
    <w:p>
      <w:pPr>
        <w:pStyle w:val="Style32"/>
        <w:keepNext/>
        <w:keepLines/>
        <w:widowControl w:val="0"/>
        <w:shd w:val="clear" w:color="auto" w:fill="auto"/>
        <w:bidi w:val="0"/>
        <w:spacing w:before="0" w:after="38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8"/>
      <w:bookmarkEnd w:id="779"/>
      <w:bookmarkEnd w:id="781"/>
    </w:p>
    <w:p>
      <w:pPr>
        <w:pStyle w:val="Style45"/>
        <w:keepNext/>
        <w:keepLines/>
        <w:widowControl w:val="0"/>
        <w:shd w:val="clear" w:color="auto" w:fill="auto"/>
        <w:bidi w:val="0"/>
        <w:spacing w:before="0" w:after="320" w:line="240" w:lineRule="auto"/>
        <w:ind w:left="0" w:right="0" w:firstLine="0"/>
        <w:jc w:val="both"/>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82"/>
      <w:bookmarkEnd w:id="783"/>
      <w:bookmarkEnd w:id="785"/>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万元）以上的应收款项为单 项金额重大的应收款项。</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Rule="exact" w:line="1"/>
        <w:rPr>
          <w:sz w:val="2"/>
          <w:szCs w:val="2"/>
        </w:rPr>
      </w:pPr>
      <w:r>
        <w:br w:type="page"/>
      </w:r>
    </w:p>
    <w:p>
      <w:pPr>
        <w:pStyle w:val="Style45"/>
        <w:keepNext/>
        <w:keepLines/>
        <w:widowControl w:val="0"/>
        <w:numPr>
          <w:ilvl w:val="0"/>
          <w:numId w:val="39"/>
        </w:numPr>
        <w:shd w:val="clear" w:color="auto" w:fill="auto"/>
        <w:bidi w:val="0"/>
        <w:spacing w:before="0" w:after="320" w:line="240" w:lineRule="auto"/>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按信用风险特征组合计提坏账准备的应收款项</w:t>
      </w:r>
      <w:bookmarkEnd w:id="786"/>
      <w:bookmarkEnd w:id="787"/>
      <w:bookmarkEnd w:id="78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：应收销货款及除组合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之外的其他 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：合并范围内关联方应收款项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：其他应收款之应收备用金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：其他应收款之应收保证金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：合并范围内关联方应收款项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：其他应收款之应收备用金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：其他应收款之应收保证金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5"/>
        <w:keepNext/>
        <w:keepLines/>
        <w:widowControl w:val="0"/>
        <w:numPr>
          <w:ilvl w:val="0"/>
          <w:numId w:val="39"/>
        </w:numPr>
        <w:shd w:val="clear" w:color="auto" w:fill="auto"/>
        <w:bidi w:val="0"/>
        <w:spacing w:before="0" w:after="320" w:line="240" w:lineRule="auto"/>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单项金额不重大但单独计提坏账准备的应收款项</w:t>
      </w:r>
      <w:bookmarkEnd w:id="790"/>
      <w:bookmarkEnd w:id="791"/>
      <w:bookmarkEnd w:id="79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涉诉款项、客户信用状况恶化的应收款项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94"/>
      <w:bookmarkEnd w:id="795"/>
      <w:bookmarkEnd w:id="79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否</w:t>
      </w:r>
    </w:p>
    <w:p>
      <w:pPr>
        <w:pStyle w:val="Style35"/>
        <w:keepNext w:val="0"/>
        <w:keepLines w:val="0"/>
        <w:widowControl w:val="0"/>
        <w:numPr>
          <w:ilvl w:val="0"/>
          <w:numId w:val="41"/>
        </w:numPr>
        <w:shd w:val="clear" w:color="auto" w:fill="auto"/>
        <w:bidi w:val="0"/>
        <w:spacing w:before="0" w:after="140" w:line="240" w:lineRule="auto"/>
        <w:ind w:left="0" w:right="0" w:firstLine="440"/>
        <w:jc w:val="left"/>
      </w:pPr>
      <w:bookmarkStart w:id="797" w:name="bookmark797"/>
      <w:bookmarkEnd w:id="797"/>
      <w:r>
        <w:rPr>
          <w:color w:val="000000"/>
          <w:spacing w:val="0"/>
          <w:w w:val="100"/>
          <w:position w:val="0"/>
        </w:rPr>
        <w:t>存货的分类</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本集团存货分为在途物资、原材料、在产品、低值易耗品、库存商品、发出商品等。</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本集团存货取得时按实际成本计价。在途物资、原材料、在产品、库存商品、发出商品等发出时采用 加权平均法计价。</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资产负债表日，存货成本高于其可变现净值的，计提存货跌价准备。本集团通常按照单个存货项目计 提存货跌价准备，资产负债表日，以前减记存货价值的影响因素已经消失的，存货跌价准备在原己计提的 金额内转回。</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本集团存货盘存制度采用永续盘存制。</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低值易耗品的摊销方法</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本集团低值易耗品领用时采用一次转销法摊销。</w:t>
      </w:r>
    </w:p>
    <w:p>
      <w:pPr>
        <w:pStyle w:val="Style32"/>
        <w:keepNext/>
        <w:keepLines/>
        <w:widowControl w:val="0"/>
        <w:shd w:val="clear" w:color="auto" w:fill="auto"/>
        <w:tabs>
          <w:tab w:pos="474" w:val="left"/>
        </w:tabs>
        <w:bidi w:val="0"/>
        <w:spacing w:before="0" w:after="220" w:line="326"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02"/>
      <w:bookmarkEnd w:id="803"/>
      <w:bookmarkEnd w:id="805"/>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本集团长期股权投资均为对子公司的权益性投资。</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本公司对子公司的投资，采用成本法核算。</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减值测试方法及减值准备计提方法</w:t>
      </w:r>
    </w:p>
    <w:p>
      <w:pPr>
        <w:pStyle w:val="Style35"/>
        <w:keepNext w:val="0"/>
        <w:keepLines w:val="0"/>
        <w:widowControl w:val="0"/>
        <w:shd w:val="clear" w:color="auto" w:fill="auto"/>
        <w:bidi w:val="0"/>
        <w:spacing w:before="0" w:after="360" w:line="326" w:lineRule="exact"/>
        <w:ind w:left="0" w:right="0" w:firstLine="440"/>
        <w:jc w:val="both"/>
      </w:pPr>
      <w:r>
        <w:rPr>
          <w:color w:val="000000"/>
          <w:spacing w:val="0"/>
          <w:w w:val="100"/>
          <w:position w:val="0"/>
        </w:rPr>
        <w:t>对子公司的投资，本集团计提资产减值的方法见本节之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五、重要会计政策及会计估计之</w:t>
      </w:r>
      <w:r>
        <w:rPr>
          <w:rFonts w:ascii="Times New Roman" w:eastAsia="Times New Roman" w:hAnsi="Times New Roman" w:cs="Times New Roman"/>
          <w:color w:val="000000"/>
          <w:spacing w:val="0"/>
          <w:w w:val="100"/>
          <w:position w:val="0"/>
        </w:rPr>
        <w:t>19</w:t>
      </w:r>
      <w:r>
        <w:rPr>
          <w:color w:val="000000"/>
          <w:spacing w:val="0"/>
          <w:w w:val="100"/>
          <w:position w:val="0"/>
        </w:rPr>
        <w:t>、长期资 产减值</w:t>
      </w:r>
    </w:p>
    <w:p>
      <w:pPr>
        <w:pStyle w:val="Style32"/>
        <w:keepNext/>
        <w:keepLines/>
        <w:widowControl w:val="0"/>
        <w:shd w:val="clear" w:color="auto" w:fill="auto"/>
        <w:tabs>
          <w:tab w:pos="474" w:val="left"/>
        </w:tabs>
        <w:bidi w:val="0"/>
        <w:spacing w:before="0" w:after="320" w:line="326"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09"/>
      <w:bookmarkEnd w:id="810"/>
      <w:bookmarkEnd w:id="81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折旧或摊销方法</w:t>
      </w:r>
    </w:p>
    <w:p>
      <w:pPr>
        <w:pStyle w:val="Style35"/>
        <w:keepNext w:val="0"/>
        <w:keepLines w:val="0"/>
        <w:widowControl w:val="0"/>
        <w:shd w:val="clear" w:color="auto" w:fill="auto"/>
        <w:bidi w:val="0"/>
        <w:spacing w:before="0" w:after="140" w:line="307" w:lineRule="exact"/>
        <w:ind w:left="0" w:right="0" w:firstLine="460"/>
        <w:jc w:val="both"/>
      </w:pPr>
      <w:r>
        <w:rPr>
          <w:color w:val="000000"/>
          <w:spacing w:val="0"/>
          <w:w w:val="100"/>
          <w:position w:val="0"/>
        </w:rPr>
        <w:t>投资性房地产是指为赚取租金或资本增值，或两者兼有而持有的房地产。本集团投资性房地产包括已 出租的土地使用权、持有并准备增值后转让的土地使用权、已出租的建筑物。</w:t>
      </w:r>
    </w:p>
    <w:p>
      <w:pPr>
        <w:pStyle w:val="Style3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本集团投资性房地产按照取得时的成本进行初始计量，并按照固定资产或无形资产的有关规定，按期 计提折旧或摊销。</w:t>
      </w:r>
    </w:p>
    <w:tbl>
      <w:tblPr>
        <w:tblOverlap w:val="never"/>
        <w:jc w:val="center"/>
        <w:tblLayout w:type="fixed"/>
      </w:tblPr>
      <w:tblGrid>
        <w:gridCol w:w="2424"/>
        <w:gridCol w:w="2587"/>
        <w:gridCol w:w="1858"/>
        <w:gridCol w:w="2486"/>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折旧年限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残值率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年折旧率（</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投资性房地产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3.17</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4.75</w:t>
            </w:r>
          </w:p>
        </w:tc>
      </w:tr>
    </w:tbl>
    <w:p>
      <w:pPr>
        <w:widowControl w:val="0"/>
        <w:spacing w:after="139" w:line="1" w:lineRule="exact"/>
      </w:pPr>
    </w:p>
    <w:p>
      <w:pPr>
        <w:pStyle w:val="Style35"/>
        <w:keepNext w:val="0"/>
        <w:keepLines w:val="0"/>
        <w:widowControl w:val="0"/>
        <w:shd w:val="clear" w:color="auto" w:fill="auto"/>
        <w:bidi w:val="0"/>
        <w:spacing w:before="0" w:after="140" w:line="302" w:lineRule="exact"/>
        <w:ind w:left="0" w:right="0" w:firstLine="460"/>
        <w:jc w:val="both"/>
      </w:pPr>
      <w:r>
        <w:rPr>
          <w:color w:val="000000"/>
          <w:spacing w:val="0"/>
          <w:w w:val="100"/>
          <w:position w:val="0"/>
        </w:rPr>
        <w:t>采用成本模式进行后续计量的投资性房地产，计提资产减值方法见本节之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 估计之</w:t>
      </w:r>
      <w:r>
        <w:rPr>
          <w:rFonts w:ascii="Times New Roman" w:eastAsia="Times New Roman" w:hAnsi="Times New Roman" w:cs="Times New Roman"/>
          <w:color w:val="000000"/>
          <w:spacing w:val="0"/>
          <w:w w:val="100"/>
          <w:position w:val="0"/>
        </w:rPr>
        <w:t>19</w:t>
      </w:r>
      <w:r>
        <w:rPr>
          <w:color w:val="000000"/>
          <w:spacing w:val="0"/>
          <w:w w:val="100"/>
          <w:position w:val="0"/>
        </w:rPr>
        <w:t>、长期资产减值</w:t>
      </w:r>
    </w:p>
    <w:p>
      <w:pPr>
        <w:pStyle w:val="Style35"/>
        <w:keepNext w:val="0"/>
        <w:keepLines w:val="0"/>
        <w:widowControl w:val="0"/>
        <w:shd w:val="clear" w:color="auto" w:fill="auto"/>
        <w:bidi w:val="0"/>
        <w:spacing w:before="0" w:after="1320" w:line="302" w:lineRule="exact"/>
        <w:ind w:left="0" w:right="0" w:firstLine="460"/>
        <w:jc w:val="both"/>
      </w:pPr>
      <w:r>
        <w:rPr>
          <w:color w:val="000000"/>
          <w:spacing w:val="0"/>
          <w:w w:val="100"/>
          <w:position w:val="0"/>
        </w:rPr>
        <w:t>投资性房地产出售、转让、报废或毁损的处置收入扣除其账面价值和相关税费后的差额计入当期损益。</w:t>
      </w:r>
    </w:p>
    <w:p>
      <w:pPr>
        <w:pStyle w:val="Style32"/>
        <w:keepNext/>
        <w:keepLines/>
        <w:widowControl w:val="0"/>
        <w:shd w:val="clear" w:color="auto" w:fill="auto"/>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13"/>
      <w:bookmarkEnd w:id="814"/>
      <w:bookmarkEnd w:id="816"/>
    </w:p>
    <w:p>
      <w:pPr>
        <w:pStyle w:val="Style45"/>
        <w:keepNext/>
        <w:keepLines/>
        <w:widowControl w:val="0"/>
        <w:shd w:val="clear" w:color="auto" w:fill="auto"/>
        <w:bidi w:val="0"/>
        <w:spacing w:before="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7"/>
      <w:bookmarkEnd w:id="818"/>
      <w:bookmarkEnd w:id="82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本集团固定资产是指为生产商品、提供劳务、出租或经营管理而持有的，使用寿命超过一个会计年度的有形资产。</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与该固定资产有关的经济利益很可能流入企业，并且该固定资产的成本能够可靠地计量时，固定资产才能予以确认。</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本集团固定资产按照取得时的实际成本进行初始计量。</w:t>
      </w:r>
    </w:p>
    <w:p>
      <w:pPr>
        <w:pStyle w:val="Style45"/>
        <w:keepNext/>
        <w:keepLines/>
        <w:widowControl w:val="0"/>
        <w:shd w:val="clear" w:color="auto" w:fill="auto"/>
        <w:bidi w:val="0"/>
        <w:spacing w:before="0" w:after="320" w:line="240" w:lineRule="auto"/>
        <w:ind w:left="0" w:right="0" w:firstLine="16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21"/>
      <w:bookmarkEnd w:id="822"/>
      <w:bookmarkEnd w:id="82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 w:pos="54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31.67%</w:t>
            </w:r>
          </w:p>
        </w:tc>
      </w:tr>
    </w:tbl>
    <w:p>
      <w:pPr>
        <w:widowControl w:val="0"/>
        <w:spacing w:after="319" w:line="1" w:lineRule="exact"/>
      </w:pPr>
    </w:p>
    <w:p>
      <w:pPr>
        <w:pStyle w:val="Style45"/>
        <w:keepNext/>
        <w:keepLines/>
        <w:widowControl w:val="0"/>
        <w:shd w:val="clear" w:color="auto" w:fill="auto"/>
        <w:bidi w:val="0"/>
        <w:spacing w:before="0" w:after="2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5"/>
      <w:bookmarkEnd w:id="826"/>
      <w:bookmarkEnd w:id="828"/>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32"/>
        <w:keepNext/>
        <w:keepLines/>
        <w:widowControl w:val="0"/>
        <w:shd w:val="clear" w:color="auto" w:fill="auto"/>
        <w:bidi w:val="0"/>
        <w:spacing w:before="0" w:after="28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29"/>
      <w:bookmarkEnd w:id="830"/>
      <w:bookmarkEnd w:id="832"/>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否</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在建工程在达到预定可使用状态时转入固定资产。</w:t>
      </w:r>
    </w:p>
    <w:p>
      <w:pPr>
        <w:pStyle w:val="Style35"/>
        <w:keepNext w:val="0"/>
        <w:keepLines w:val="0"/>
        <w:widowControl w:val="0"/>
        <w:shd w:val="clear" w:color="auto" w:fill="auto"/>
        <w:bidi w:val="0"/>
        <w:spacing w:before="0" w:after="720" w:line="317" w:lineRule="exact"/>
        <w:ind w:left="0" w:right="0" w:firstLine="440"/>
        <w:jc w:val="both"/>
      </w:pPr>
      <w:r>
        <w:rPr>
          <w:color w:val="000000"/>
          <w:spacing w:val="0"/>
          <w:w w:val="100"/>
          <w:position w:val="0"/>
        </w:rPr>
        <w:t>在建工程计提资产减值方法见本节之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五、重要会计政策及会计估计之</w:t>
      </w:r>
      <w:r>
        <w:rPr>
          <w:rFonts w:ascii="Times New Roman" w:eastAsia="Times New Roman" w:hAnsi="Times New Roman" w:cs="Times New Roman"/>
          <w:color w:val="000000"/>
          <w:spacing w:val="0"/>
          <w:w w:val="100"/>
          <w:position w:val="0"/>
        </w:rPr>
        <w:t>19</w:t>
      </w:r>
      <w:r>
        <w:rPr>
          <w:color w:val="000000"/>
          <w:spacing w:val="0"/>
          <w:w w:val="100"/>
          <w:position w:val="0"/>
        </w:rPr>
        <w:t>、长期资产减值</w:t>
      </w:r>
    </w:p>
    <w:p>
      <w:pPr>
        <w:pStyle w:val="Style32"/>
        <w:keepNext/>
        <w:keepLines/>
        <w:widowControl w:val="0"/>
        <w:shd w:val="clear" w:color="auto" w:fill="auto"/>
        <w:tabs>
          <w:tab w:pos="474" w:val="left"/>
        </w:tabs>
        <w:bidi w:val="0"/>
        <w:spacing w:before="0" w:after="300" w:line="312" w:lineRule="exact"/>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33"/>
      <w:bookmarkEnd w:id="834"/>
      <w:bookmarkEnd w:id="836"/>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35"/>
        <w:keepNext w:val="0"/>
        <w:keepLines w:val="0"/>
        <w:widowControl w:val="0"/>
        <w:numPr>
          <w:ilvl w:val="0"/>
          <w:numId w:val="43"/>
        </w:numPr>
        <w:shd w:val="clear" w:color="auto" w:fill="auto"/>
        <w:tabs>
          <w:tab w:pos="814" w:val="left"/>
        </w:tabs>
        <w:bidi w:val="0"/>
        <w:spacing w:before="0" w:after="100" w:line="322" w:lineRule="exact"/>
        <w:ind w:left="0" w:right="0" w:firstLine="440"/>
        <w:jc w:val="both"/>
      </w:pPr>
      <w:bookmarkStart w:id="838" w:name="bookmark838"/>
      <w:bookmarkEnd w:id="838"/>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5"/>
        <w:keepNext w:val="0"/>
        <w:keepLines w:val="0"/>
        <w:widowControl w:val="0"/>
        <w:numPr>
          <w:ilvl w:val="0"/>
          <w:numId w:val="43"/>
        </w:numPr>
        <w:shd w:val="clear" w:color="auto" w:fill="auto"/>
        <w:tabs>
          <w:tab w:pos="837" w:val="left"/>
        </w:tabs>
        <w:bidi w:val="0"/>
        <w:spacing w:before="0" w:after="100" w:line="312" w:lineRule="exact"/>
        <w:ind w:left="0" w:right="0" w:firstLine="440"/>
        <w:jc w:val="both"/>
      </w:pPr>
      <w:bookmarkStart w:id="839" w:name="bookmark839"/>
      <w:bookmarkEnd w:id="839"/>
      <w:r>
        <w:rPr>
          <w:color w:val="000000"/>
          <w:spacing w:val="0"/>
          <w:w w:val="100"/>
          <w:position w:val="0"/>
        </w:rPr>
        <w:t>借款费用已经发生；</w:t>
      </w:r>
    </w:p>
    <w:p>
      <w:pPr>
        <w:pStyle w:val="Style35"/>
        <w:keepNext w:val="0"/>
        <w:keepLines w:val="0"/>
        <w:widowControl w:val="0"/>
        <w:numPr>
          <w:ilvl w:val="0"/>
          <w:numId w:val="43"/>
        </w:numPr>
        <w:shd w:val="clear" w:color="auto" w:fill="auto"/>
        <w:tabs>
          <w:tab w:pos="837" w:val="left"/>
        </w:tabs>
        <w:bidi w:val="0"/>
        <w:spacing w:before="0" w:after="100" w:line="312" w:lineRule="exact"/>
        <w:ind w:left="0" w:right="0" w:firstLine="440"/>
        <w:jc w:val="both"/>
      </w:pPr>
      <w:bookmarkStart w:id="840" w:name="bookmark840"/>
      <w:bookmarkEnd w:id="840"/>
      <w:r>
        <w:rPr>
          <w:color w:val="000000"/>
          <w:spacing w:val="0"/>
          <w:w w:val="100"/>
          <w:position w:val="0"/>
        </w:rPr>
        <w:t>为使资产达到预定可使用或者可销售状态所必要的购建或者生产活动已经开始。</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本集团购建或者生产符合资本化条件的资产达到预定可使用或者可销售状态时，借款费用停止资本 化。在符合资本化条件的资产达到预定可使用或者可销售状态之后所发生的借款费用，在发生时根据其发 生额确认为费用，计入当期损益。</w:t>
      </w:r>
    </w:p>
    <w:p>
      <w:pPr>
        <w:pStyle w:val="Style35"/>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借款费用的资本化；正常中断期间的借款费用继续资本化。</w:t>
      </w:r>
    </w:p>
    <w:p>
      <w:pPr>
        <w:pStyle w:val="Style35"/>
        <w:keepNext w:val="0"/>
        <w:keepLines w:val="0"/>
        <w:widowControl w:val="0"/>
        <w:shd w:val="clear" w:color="auto" w:fill="auto"/>
        <w:tabs>
          <w:tab w:pos="928" w:val="left"/>
        </w:tabs>
        <w:bidi w:val="0"/>
        <w:spacing w:before="0" w:after="100" w:line="312" w:lineRule="exact"/>
        <w:ind w:left="0" w:right="0" w:firstLine="44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借款费用资本化率以及资本化金额的计算方法</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2"/>
        <w:keepNext/>
        <w:keepLines/>
        <w:widowControl w:val="0"/>
        <w:shd w:val="clear" w:color="auto" w:fill="auto"/>
        <w:tabs>
          <w:tab w:pos="474" w:val="left"/>
        </w:tabs>
        <w:bidi w:val="0"/>
        <w:spacing w:before="0" w:after="300" w:line="312"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43"/>
      <w:bookmarkEnd w:id="844"/>
      <w:bookmarkEnd w:id="846"/>
    </w:p>
    <w:p>
      <w:pPr>
        <w:pStyle w:val="Style45"/>
        <w:keepNext/>
        <w:keepLines/>
        <w:widowControl w:val="0"/>
        <w:shd w:val="clear" w:color="auto" w:fill="auto"/>
        <w:bidi w:val="0"/>
        <w:spacing w:before="0" w:line="312" w:lineRule="exact"/>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7"/>
      <w:bookmarkEnd w:id="848"/>
      <w:bookmarkEnd w:id="850"/>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70" w:lineRule="exact"/>
        <w:ind w:left="0" w:right="0" w:firstLine="0"/>
        <w:jc w:val="both"/>
      </w:pPr>
      <w:r>
        <w:rPr>
          <w:color w:val="000000"/>
          <w:spacing w:val="0"/>
          <w:w w:val="100"/>
          <w:position w:val="0"/>
          <w:shd w:val="clear" w:color="auto" w:fill="FFFFFF"/>
        </w:rPr>
        <w:t>否</w:t>
      </w:r>
    </w:p>
    <w:p>
      <w:pPr>
        <w:pStyle w:val="Style35"/>
        <w:keepNext w:val="0"/>
        <w:keepLines w:val="0"/>
        <w:widowControl w:val="0"/>
        <w:shd w:val="clear" w:color="auto" w:fill="auto"/>
        <w:bidi w:val="0"/>
        <w:spacing w:before="0" w:after="220" w:line="370" w:lineRule="exact"/>
        <w:ind w:left="0" w:right="0" w:firstLine="0"/>
        <w:jc w:val="both"/>
        <w:rPr>
          <w:sz w:val="22"/>
          <w:szCs w:val="22"/>
        </w:rPr>
      </w:pPr>
      <w:r>
        <w:rPr>
          <w:color w:val="000000"/>
          <w:spacing w:val="0"/>
          <w:w w:val="100"/>
          <w:position w:val="0"/>
          <w:sz w:val="22"/>
          <w:szCs w:val="22"/>
        </w:rPr>
        <w:t>本集团无形资产包括土地使用权、商标使用权、办公软件、计算机软件著作权等。</w:t>
      </w:r>
    </w:p>
    <w:p>
      <w:pPr>
        <w:pStyle w:val="Style35"/>
        <w:keepNext w:val="0"/>
        <w:keepLines w:val="0"/>
        <w:widowControl w:val="0"/>
        <w:shd w:val="clear" w:color="auto" w:fill="auto"/>
        <w:bidi w:val="0"/>
        <w:spacing w:before="0" w:after="200" w:line="307" w:lineRule="exact"/>
        <w:ind w:left="0" w:right="0" w:firstLine="0"/>
        <w:jc w:val="both"/>
        <w:rPr>
          <w:sz w:val="22"/>
          <w:szCs w:val="22"/>
        </w:rPr>
      </w:pPr>
      <w:r>
        <w:rPr>
          <w:color w:val="000000"/>
          <w:spacing w:val="0"/>
          <w:w w:val="100"/>
          <w:position w:val="0"/>
          <w:sz w:val="22"/>
          <w:szCs w:val="22"/>
        </w:rPr>
        <w:t xml:space="preserve">无形资产按照成本进行初始计量，并于取得无形资产时分析判断其使用寿命。使用寿命为有 限的，自无形资产可供使用时起，采用能反映与该资产有关的经济利益的预期实现方式的摊 </w:t>
      </w:r>
      <w:r>
        <w:rPr>
          <w:color w:val="000000"/>
          <w:spacing w:val="0"/>
          <w:w w:val="100"/>
          <w:position w:val="0"/>
          <w:sz w:val="22"/>
          <w:szCs w:val="22"/>
        </w:rPr>
        <w:t>销方法，在预计使用年限内摊销；无法可靠确定预期实现方式的，采用直线法摊销；使用寿 命不确定的无形资产，不作摊销。</w:t>
      </w:r>
    </w:p>
    <w:p>
      <w:pPr>
        <w:pStyle w:val="Style35"/>
        <w:keepNext w:val="0"/>
        <w:keepLines w:val="0"/>
        <w:widowControl w:val="0"/>
        <w:shd w:val="clear" w:color="auto" w:fill="auto"/>
        <w:bidi w:val="0"/>
        <w:spacing w:before="0" w:after="200" w:line="322" w:lineRule="exact"/>
        <w:ind w:left="0" w:right="0" w:firstLine="0"/>
        <w:jc w:val="both"/>
        <w:rPr>
          <w:sz w:val="22"/>
          <w:szCs w:val="22"/>
        </w:rPr>
      </w:pPr>
      <w:r>
        <w:rPr>
          <w:color w:val="000000"/>
          <w:spacing w:val="0"/>
          <w:w w:val="100"/>
          <w:position w:val="0"/>
          <w:sz w:val="22"/>
          <w:szCs w:val="22"/>
        </w:rPr>
        <w:t>使用寿命有限的无形资产摊销方法如下：</w:t>
      </w:r>
    </w:p>
    <w:tbl>
      <w:tblPr>
        <w:tblOverlap w:val="never"/>
        <w:jc w:val="left"/>
        <w:tblLayout w:type="fixed"/>
      </w:tblPr>
      <w:tblGrid>
        <w:gridCol w:w="3235"/>
        <w:gridCol w:w="3898"/>
        <w:gridCol w:w="191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4"/>
                <w:szCs w:val="24"/>
              </w:rPr>
            </w:pPr>
            <w:r>
              <w:rPr>
                <w:b/>
                <w:bCs/>
                <w:color w:val="000000"/>
                <w:spacing w:val="0"/>
                <w:w w:val="100"/>
                <w:position w:val="0"/>
                <w:sz w:val="24"/>
                <w:szCs w:val="24"/>
              </w:rPr>
              <w:t>预计使用寿命（年）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净残值</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24"/>
                <w:szCs w:val="24"/>
              </w:rPr>
            </w:pPr>
            <w:r>
              <w:rPr>
                <w:rFonts w:ascii="Times New Roman" w:eastAsia="Times New Roman" w:hAnsi="Times New Roman" w:cs="Times New Roman"/>
                <w:color w:val="000000"/>
                <w:spacing w:val="0"/>
                <w:w w:val="100"/>
                <w:position w:val="0"/>
                <w:sz w:val="24"/>
                <w:szCs w:val="24"/>
              </w:rPr>
              <w:t>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商标使用权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计算机软件著作权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r>
    </w:tbl>
    <w:p>
      <w:pPr>
        <w:widowControl w:val="0"/>
        <w:spacing w:after="79" w:line="1" w:lineRule="exact"/>
      </w:pP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本集团于每年年度终了，对使用寿命有限的无形资产的使用寿命及摊销方法进行复核，与以 前估计不同的，调整原先估计数，并按会计估计变更处理。</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资产负债表日预计某项无形资产已经不能给企业带来未来经济利益的，将该项无形资产的账 面价值全部转入当期损益。</w:t>
      </w:r>
    </w:p>
    <w:p>
      <w:pPr>
        <w:pStyle w:val="Style35"/>
        <w:keepNext w:val="0"/>
        <w:keepLines w:val="0"/>
        <w:widowControl w:val="0"/>
        <w:shd w:val="clear" w:color="auto" w:fill="auto"/>
        <w:bidi w:val="0"/>
        <w:spacing w:before="0" w:after="900" w:line="314" w:lineRule="exact"/>
        <w:ind w:left="0" w:right="0" w:firstLine="0"/>
        <w:jc w:val="both"/>
        <w:rPr>
          <w:sz w:val="22"/>
          <w:szCs w:val="22"/>
        </w:rPr>
      </w:pPr>
      <w:r>
        <w:rPr>
          <w:color w:val="000000"/>
          <w:spacing w:val="0"/>
          <w:w w:val="100"/>
          <w:position w:val="0"/>
          <w:sz w:val="22"/>
          <w:szCs w:val="22"/>
        </w:rPr>
        <w:t>无形资产计提资产减值方法见本节之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五、重要会计政策及会计估计之</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2"/>
          <w:szCs w:val="22"/>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45"/>
        <w:keepNext/>
        <w:keepLines/>
        <w:widowControl w:val="0"/>
        <w:shd w:val="clear" w:color="auto" w:fill="auto"/>
        <w:bidi w:val="0"/>
        <w:spacing w:before="0" w:after="300" w:line="240" w:lineRule="auto"/>
        <w:ind w:left="0" w:right="0" w:firstLine="0"/>
        <w:jc w:val="both"/>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1"/>
      <w:bookmarkEnd w:id="852"/>
      <w:bookmarkEnd w:id="854"/>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本集团将内部研究开发项目的支出，区分为研究阶段支出和开发阶段支出。</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研究阶段的支出，于发生时计入当期损益。</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本集团研究开发项目在满足上述条件，通过技术可行性及经济可行性研究，形成项目立项后, 进入开发阶段。</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已资本化的开发阶段的支出在资产负债表上列示为开发支出，自该项目达到预定可使用状态 之日转为无形资产。</w:t>
      </w:r>
    </w:p>
    <w:p>
      <w:pPr>
        <w:pStyle w:val="Style35"/>
        <w:keepNext w:val="0"/>
        <w:keepLines w:val="0"/>
        <w:widowControl w:val="0"/>
        <w:shd w:val="clear" w:color="auto" w:fill="auto"/>
        <w:bidi w:val="0"/>
        <w:spacing w:before="0" w:after="360" w:line="312" w:lineRule="exact"/>
        <w:ind w:left="0" w:right="0" w:firstLine="0"/>
        <w:jc w:val="left"/>
        <w:rPr>
          <w:sz w:val="22"/>
          <w:szCs w:val="22"/>
        </w:rPr>
      </w:pPr>
      <w:r>
        <w:rPr>
          <w:color w:val="000000"/>
          <w:spacing w:val="0"/>
          <w:w w:val="100"/>
          <w:position w:val="0"/>
          <w:sz w:val="22"/>
          <w:szCs w:val="22"/>
        </w:rPr>
        <w:t>本集团报告期内的内部研究开发项目的支出均为计入当期损益的研究阶段的支出。</w:t>
      </w:r>
    </w:p>
    <w:p>
      <w:pPr>
        <w:pStyle w:val="Style32"/>
        <w:keepNext/>
        <w:keepLines/>
        <w:widowControl w:val="0"/>
        <w:shd w:val="clear" w:color="auto" w:fill="auto"/>
        <w:bidi w:val="0"/>
        <w:spacing w:before="0" w:after="30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55"/>
      <w:bookmarkEnd w:id="856"/>
      <w:bookmarkEnd w:id="858"/>
    </w:p>
    <w:p>
      <w:pPr>
        <w:pStyle w:val="Style35"/>
        <w:keepNext w:val="0"/>
        <w:keepLines w:val="0"/>
        <w:widowControl w:val="0"/>
        <w:shd w:val="clear" w:color="auto" w:fill="auto"/>
        <w:bidi w:val="0"/>
        <w:spacing w:before="0" w:after="200" w:line="322" w:lineRule="exact"/>
        <w:ind w:left="0" w:right="0" w:firstLine="0"/>
        <w:jc w:val="left"/>
        <w:rPr>
          <w:sz w:val="22"/>
          <w:szCs w:val="22"/>
        </w:rPr>
      </w:pPr>
      <w:r>
        <w:rPr>
          <w:color w:val="000000"/>
          <w:spacing w:val="0"/>
          <w:w w:val="100"/>
          <w:position w:val="0"/>
          <w:sz w:val="22"/>
          <w:szCs w:val="22"/>
        </w:rPr>
        <w:t>对子公司的长期股权投资、投资性房地产、固定资产、在建工程、无形资产和商誉等（存货、 递延所得税资产、金融资产除外）的资产减值，按以下方法确定：</w:t>
      </w:r>
    </w:p>
    <w:p>
      <w:pPr>
        <w:pStyle w:val="Style35"/>
        <w:keepNext w:val="0"/>
        <w:keepLines w:val="0"/>
        <w:widowControl w:val="0"/>
        <w:shd w:val="clear" w:color="auto" w:fill="auto"/>
        <w:bidi w:val="0"/>
        <w:spacing w:before="0" w:after="220" w:line="312" w:lineRule="exact"/>
        <w:ind w:left="0" w:right="0" w:firstLine="0"/>
        <w:jc w:val="left"/>
        <w:rPr>
          <w:sz w:val="22"/>
          <w:szCs w:val="22"/>
        </w:rPr>
      </w:pPr>
      <w:r>
        <w:rPr>
          <w:color w:val="000000"/>
          <w:spacing w:val="0"/>
          <w:w w:val="100"/>
          <w:position w:val="0"/>
          <w:sz w:val="22"/>
          <w:szCs w:val="22"/>
        </w:rPr>
        <w:t xml:space="preserve">于资产负债表日判断资产是否存在可能发生减值的迹象，存在减值迹象的，本集团将估计其 </w:t>
      </w:r>
      <w:r>
        <w:rPr>
          <w:color w:val="000000"/>
          <w:spacing w:val="0"/>
          <w:w w:val="100"/>
          <w:position w:val="0"/>
          <w:sz w:val="22"/>
          <w:szCs w:val="22"/>
        </w:rPr>
        <w:t>可收回金额，进行减值测试。对因企业合并所形成的商誉、使用寿命不确定的无形资产和尚 未达到可使用状态的无形资产无论是否存在减值迹象，每年都进行减值测试。</w:t>
      </w:r>
    </w:p>
    <w:p>
      <w:pPr>
        <w:pStyle w:val="Style35"/>
        <w:keepNext w:val="0"/>
        <w:keepLines w:val="0"/>
        <w:widowControl w:val="0"/>
        <w:shd w:val="clear" w:color="auto" w:fill="auto"/>
        <w:bidi w:val="0"/>
        <w:spacing w:before="0" w:after="220" w:line="309" w:lineRule="exact"/>
        <w:ind w:left="0" w:right="0" w:firstLine="0"/>
        <w:jc w:val="both"/>
        <w:rPr>
          <w:sz w:val="22"/>
          <w:szCs w:val="22"/>
        </w:rPr>
      </w:pPr>
      <w:r>
        <w:rPr>
          <w:color w:val="000000"/>
          <w:spacing w:val="0"/>
          <w:w w:val="100"/>
          <w:position w:val="0"/>
          <w:sz w:val="22"/>
          <w:szCs w:val="22"/>
        </w:rPr>
        <w:t>可收回金额根据资产的公允价值减去处置费用后的净额与资产预计未来现金流量的现值两者 之间较高者确定。本集团以单项资产为基础估计其可收回金额；难以对单项资产的可收回金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pStyle w:val="Style35"/>
        <w:keepNext w:val="0"/>
        <w:keepLines w:val="0"/>
        <w:widowControl w:val="0"/>
        <w:shd w:val="clear" w:color="auto" w:fill="auto"/>
        <w:bidi w:val="0"/>
        <w:spacing w:before="0" w:after="220" w:line="307" w:lineRule="exact"/>
        <w:ind w:left="0" w:right="0" w:firstLine="0"/>
        <w:jc w:val="both"/>
        <w:rPr>
          <w:sz w:val="22"/>
          <w:szCs w:val="22"/>
        </w:rPr>
      </w:pPr>
      <w:r>
        <w:rPr>
          <w:color w:val="000000"/>
          <w:spacing w:val="0"/>
          <w:w w:val="100"/>
          <w:position w:val="0"/>
          <w:sz w:val="22"/>
          <w:szCs w:val="22"/>
        </w:rPr>
        <w:t>当资产或资产组的可收回金额低于其账面价值时，本集团将其账面价值减记至可收回金额， 减记的金额计入当期损益，同时计提相应的资产减值准备。</w:t>
      </w:r>
    </w:p>
    <w:p>
      <w:pPr>
        <w:pStyle w:val="Style35"/>
        <w:keepNext w:val="0"/>
        <w:keepLines w:val="0"/>
        <w:widowControl w:val="0"/>
        <w:shd w:val="clear" w:color="auto" w:fill="auto"/>
        <w:bidi w:val="0"/>
        <w:spacing w:before="0" w:after="220" w:line="312" w:lineRule="exact"/>
        <w:ind w:left="0" w:right="0" w:firstLine="0"/>
        <w:jc w:val="both"/>
        <w:rPr>
          <w:sz w:val="22"/>
          <w:szCs w:val="22"/>
        </w:rPr>
      </w:pPr>
      <w:r>
        <w:rPr>
          <w:color w:val="000000"/>
          <w:spacing w:val="0"/>
          <w:w w:val="100"/>
          <w:position w:val="0"/>
          <w:sz w:val="22"/>
          <w:szCs w:val="22"/>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不大于本集团确定的报告分部。</w:t>
      </w:r>
    </w:p>
    <w:p>
      <w:pPr>
        <w:pStyle w:val="Style35"/>
        <w:keepNext w:val="0"/>
        <w:keepLines w:val="0"/>
        <w:widowControl w:val="0"/>
        <w:shd w:val="clear" w:color="auto" w:fill="auto"/>
        <w:bidi w:val="0"/>
        <w:spacing w:before="0" w:after="220" w:line="310" w:lineRule="exact"/>
        <w:ind w:left="0" w:right="0" w:firstLine="0"/>
        <w:jc w:val="both"/>
        <w:rPr>
          <w:sz w:val="22"/>
          <w:szCs w:val="22"/>
        </w:rPr>
      </w:pPr>
      <w:r>
        <w:rPr>
          <w:color w:val="000000"/>
          <w:spacing w:val="0"/>
          <w:w w:val="100"/>
          <w:position w:val="0"/>
          <w:sz w:val="22"/>
          <w:szCs w:val="22"/>
        </w:rPr>
        <w:t>减值测试时，如与商誉相关的资产组或者资产组组合存在减值迹象的，首先对不包含商誉的 资产组或者资产组组合进行减值测试，计算可收回金额，确认相应的减值损失。然后对包含 商誉的资产组或者资产组组合进行减值测试，比较其账面价值与可收回金额，如可收回金额 低于账面价值的，确认商誉的减值损失。</w:t>
      </w:r>
    </w:p>
    <w:p>
      <w:pPr>
        <w:pStyle w:val="Style35"/>
        <w:keepNext w:val="0"/>
        <w:keepLines w:val="0"/>
        <w:widowControl w:val="0"/>
        <w:shd w:val="clear" w:color="auto" w:fill="auto"/>
        <w:bidi w:val="0"/>
        <w:spacing w:before="0" w:after="360" w:line="310" w:lineRule="exact"/>
        <w:ind w:left="0" w:right="0" w:firstLine="0"/>
        <w:jc w:val="both"/>
        <w:rPr>
          <w:sz w:val="22"/>
          <w:szCs w:val="22"/>
        </w:rPr>
      </w:pPr>
      <w:r>
        <w:rPr>
          <w:color w:val="000000"/>
          <w:spacing w:val="0"/>
          <w:w w:val="100"/>
          <w:position w:val="0"/>
          <w:sz w:val="22"/>
          <w:szCs w:val="22"/>
        </w:rPr>
        <w:t>资产减值损失一经确认，在以后会计期间不再转回。</w:t>
      </w:r>
    </w:p>
    <w:p>
      <w:pPr>
        <w:pStyle w:val="Style32"/>
        <w:keepNext/>
        <w:keepLines/>
        <w:widowControl w:val="0"/>
        <w:shd w:val="clear" w:color="auto" w:fill="auto"/>
        <w:tabs>
          <w:tab w:pos="478" w:val="left"/>
        </w:tabs>
        <w:bidi w:val="0"/>
        <w:spacing w:before="0" w:after="30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0</w:t>
      </w:r>
      <w:r>
        <w:rPr>
          <w:color w:val="000000"/>
          <w:spacing w:val="0"/>
          <w:w w:val="100"/>
          <w:position w:val="0"/>
        </w:rPr>
        <w:t>、</w:t>
        <w:tab/>
        <w:t>商誉</w:t>
      </w:r>
      <w:bookmarkEnd w:id="859"/>
      <w:bookmarkEnd w:id="860"/>
      <w:bookmarkEnd w:id="862"/>
    </w:p>
    <w:p>
      <w:pPr>
        <w:pStyle w:val="Style35"/>
        <w:keepNext w:val="0"/>
        <w:keepLines w:val="0"/>
        <w:widowControl w:val="0"/>
        <w:shd w:val="clear" w:color="auto" w:fill="auto"/>
        <w:bidi w:val="0"/>
        <w:spacing w:before="0" w:after="220" w:line="312" w:lineRule="exact"/>
        <w:ind w:left="0" w:right="0" w:firstLine="0"/>
        <w:jc w:val="both"/>
        <w:rPr>
          <w:sz w:val="22"/>
          <w:szCs w:val="22"/>
        </w:rPr>
      </w:pPr>
      <w:r>
        <w:rPr>
          <w:color w:val="000000"/>
          <w:spacing w:val="0"/>
          <w:w w:val="100"/>
          <w:position w:val="0"/>
          <w:sz w:val="22"/>
          <w:szCs w:val="22"/>
        </w:rPr>
        <w:t>商誉为非同一控制下企业合并成本超过应享有的被投资单位或被购买方可辨认净资产于取得 日或购买日的公允价值份额的差额。</w:t>
      </w:r>
    </w:p>
    <w:p>
      <w:pPr>
        <w:pStyle w:val="Style35"/>
        <w:keepNext w:val="0"/>
        <w:keepLines w:val="0"/>
        <w:widowControl w:val="0"/>
        <w:shd w:val="clear" w:color="auto" w:fill="auto"/>
        <w:bidi w:val="0"/>
        <w:spacing w:before="0" w:after="220" w:line="312" w:lineRule="exact"/>
        <w:ind w:left="0" w:right="0" w:firstLine="0"/>
        <w:jc w:val="both"/>
        <w:rPr>
          <w:sz w:val="22"/>
          <w:szCs w:val="22"/>
        </w:rPr>
      </w:pPr>
      <w:r>
        <w:rPr>
          <w:color w:val="000000"/>
          <w:spacing w:val="0"/>
          <w:w w:val="100"/>
          <w:position w:val="0"/>
          <w:sz w:val="22"/>
          <w:szCs w:val="22"/>
        </w:rPr>
        <w:t>与子公司有关的商誉在合并财务报表上单独列示，与联营企业和合营企业有关的商誉，包含 在长期股权投资的账面价值中。本公司的商誉系与子公司有关的商誉。</w:t>
      </w:r>
    </w:p>
    <w:p>
      <w:pPr>
        <w:pStyle w:val="Style35"/>
        <w:keepNext w:val="0"/>
        <w:keepLines w:val="0"/>
        <w:widowControl w:val="0"/>
        <w:shd w:val="clear" w:color="auto" w:fill="auto"/>
        <w:bidi w:val="0"/>
        <w:spacing w:before="0" w:after="360" w:line="310" w:lineRule="exact"/>
        <w:ind w:left="0" w:right="0" w:firstLine="0"/>
        <w:jc w:val="both"/>
        <w:rPr>
          <w:sz w:val="22"/>
          <w:szCs w:val="22"/>
        </w:rPr>
      </w:pPr>
      <w:r>
        <w:rPr>
          <w:color w:val="000000"/>
          <w:spacing w:val="0"/>
          <w:w w:val="100"/>
          <w:position w:val="0"/>
          <w:sz w:val="22"/>
          <w:szCs w:val="22"/>
        </w:rPr>
        <w:t>在财务报表中单独列示的商誉至少在每年年终进行减值测试。减值测试时，商誉的账面价值 依据相关的资产组或者资产组组合能够从企业合并的协同效应中受益的情况分摊至受益的资 产组或资产组组合。</w:t>
      </w:r>
    </w:p>
    <w:p>
      <w:pPr>
        <w:pStyle w:val="Style32"/>
        <w:keepNext/>
        <w:keepLines/>
        <w:widowControl w:val="0"/>
        <w:shd w:val="clear" w:color="auto" w:fill="auto"/>
        <w:tabs>
          <w:tab w:pos="478" w:val="left"/>
        </w:tabs>
        <w:bidi w:val="0"/>
        <w:spacing w:before="0" w:after="30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63"/>
      <w:bookmarkEnd w:id="864"/>
      <w:bookmarkEnd w:id="866"/>
    </w:p>
    <w:p>
      <w:pPr>
        <w:pStyle w:val="Style35"/>
        <w:keepNext w:val="0"/>
        <w:keepLines w:val="0"/>
        <w:widowControl w:val="0"/>
        <w:shd w:val="clear" w:color="auto" w:fill="auto"/>
        <w:bidi w:val="0"/>
        <w:spacing w:before="0" w:after="360" w:line="312" w:lineRule="exact"/>
        <w:ind w:left="0" w:right="0" w:firstLine="0"/>
        <w:jc w:val="both"/>
        <w:rPr>
          <w:sz w:val="22"/>
          <w:szCs w:val="22"/>
        </w:rPr>
      </w:pPr>
      <w:r>
        <w:rPr>
          <w:color w:val="000000"/>
          <w:spacing w:val="0"/>
          <w:w w:val="100"/>
          <w:position w:val="0"/>
          <w:sz w:val="22"/>
          <w:szCs w:val="22"/>
        </w:rPr>
        <w:t>本集团发生的长期待摊费用按实际成本计价，并按预计受益期限平均摊销。对不能使以后会 计期间受益的长期待摊费用项目，其摊余价值全部计入当期损益。</w:t>
      </w:r>
    </w:p>
    <w:p>
      <w:pPr>
        <w:pStyle w:val="Style32"/>
        <w:keepNext/>
        <w:keepLines/>
        <w:widowControl w:val="0"/>
        <w:shd w:val="clear" w:color="auto" w:fill="auto"/>
        <w:tabs>
          <w:tab w:pos="478" w:val="left"/>
        </w:tabs>
        <w:bidi w:val="0"/>
        <w:spacing w:before="0" w:after="36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67"/>
      <w:bookmarkEnd w:id="868"/>
      <w:bookmarkEnd w:id="870"/>
    </w:p>
    <w:p>
      <w:pPr>
        <w:pStyle w:val="Style45"/>
        <w:keepNext/>
        <w:keepLines/>
        <w:widowControl w:val="0"/>
        <w:shd w:val="clear" w:color="auto" w:fill="auto"/>
        <w:bidi w:val="0"/>
        <w:spacing w:before="0" w:after="300" w:line="240" w:lineRule="auto"/>
        <w:ind w:left="0" w:right="0" w:firstLine="0"/>
        <w:jc w:val="both"/>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71"/>
      <w:bookmarkEnd w:id="872"/>
      <w:bookmarkEnd w:id="874"/>
    </w:p>
    <w:p>
      <w:pPr>
        <w:pStyle w:val="Style35"/>
        <w:keepNext w:val="0"/>
        <w:keepLines w:val="0"/>
        <w:widowControl w:val="0"/>
        <w:shd w:val="clear" w:color="auto" w:fill="auto"/>
        <w:bidi w:val="0"/>
        <w:spacing w:before="0" w:after="880" w:line="317" w:lineRule="exact"/>
        <w:ind w:left="0" w:right="0" w:firstLine="0"/>
        <w:jc w:val="both"/>
        <w:rPr>
          <w:sz w:val="22"/>
          <w:szCs w:val="22"/>
        </w:rPr>
      </w:pPr>
      <w:r>
        <w:rPr>
          <w:color w:val="000000"/>
          <w:spacing w:val="0"/>
          <w:w w:val="100"/>
          <w:position w:val="0"/>
          <w:sz w:val="22"/>
          <w:szCs w:val="22"/>
        </w:rPr>
        <w:t xml:space="preserve">本集团在职工提供服务的会计期间，将实际发生的职工工资、奖金、按规定的基准和比例为 职工缴纳的医疗保险费、工伤保险费和生育保险费等社会保险费和住房公积金，确认为负债, 并计入当期损益或相关资产成本。如果该负债预期在职工提供相关服务的年度报告期结束后 </w:t>
      </w:r>
      <w:r>
        <w:rPr>
          <w:color w:val="000000"/>
          <w:spacing w:val="0"/>
          <w:w w:val="100"/>
          <w:position w:val="0"/>
          <w:sz w:val="22"/>
          <w:szCs w:val="22"/>
        </w:rPr>
        <w:t>十二个月内不能完全支付，且财务影响重大的，则该负债将以折现后的金额计量。</w:t>
      </w:r>
    </w:p>
    <w:p>
      <w:pPr>
        <w:pStyle w:val="Style45"/>
        <w:keepNext/>
        <w:keepLines/>
        <w:widowControl w:val="0"/>
        <w:shd w:val="clear" w:color="auto" w:fill="auto"/>
        <w:bidi w:val="0"/>
        <w:spacing w:before="0" w:after="30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75"/>
      <w:bookmarkEnd w:id="876"/>
      <w:bookmarkEnd w:id="878"/>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除设定提存计划以外的离职后福利计划。本集团离职后福利计划均为设定提存计划。</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设定提存计划</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设定提存计划包括基本养老保险、失业保险等。</w:t>
      </w:r>
    </w:p>
    <w:p>
      <w:pPr>
        <w:pStyle w:val="Style35"/>
        <w:keepNext w:val="0"/>
        <w:keepLines w:val="0"/>
        <w:widowControl w:val="0"/>
        <w:shd w:val="clear" w:color="auto" w:fill="auto"/>
        <w:bidi w:val="0"/>
        <w:spacing w:before="0" w:after="880" w:line="307" w:lineRule="exact"/>
        <w:ind w:left="0" w:right="0" w:firstLine="0"/>
        <w:jc w:val="both"/>
        <w:rPr>
          <w:sz w:val="22"/>
          <w:szCs w:val="22"/>
        </w:rPr>
      </w:pPr>
      <w:r>
        <w:rPr>
          <w:color w:val="000000"/>
          <w:spacing w:val="0"/>
          <w:w w:val="100"/>
          <w:position w:val="0"/>
          <w:sz w:val="22"/>
          <w:szCs w:val="22"/>
        </w:rPr>
        <w:t>在职工提供服务的会计期间，根据设定提存计划计算的应缴存金额确认为负债，并计入当期 损益或相关资产成本。</w:t>
      </w:r>
    </w:p>
    <w:p>
      <w:pPr>
        <w:pStyle w:val="Style45"/>
        <w:keepNext/>
        <w:keepLines/>
        <w:widowControl w:val="0"/>
        <w:shd w:val="clear" w:color="auto" w:fill="auto"/>
        <w:bidi w:val="0"/>
        <w:spacing w:before="0" w:after="300" w:line="240" w:lineRule="auto"/>
        <w:ind w:left="0" w:right="0" w:firstLine="0"/>
        <w:jc w:val="both"/>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79"/>
      <w:bookmarkEnd w:id="880"/>
      <w:bookmarkEnd w:id="882"/>
    </w:p>
    <w:p>
      <w:pPr>
        <w:pStyle w:val="Style35"/>
        <w:keepNext w:val="0"/>
        <w:keepLines w:val="0"/>
        <w:widowControl w:val="0"/>
        <w:shd w:val="clear" w:color="auto" w:fill="auto"/>
        <w:bidi w:val="0"/>
        <w:spacing w:before="0" w:after="880" w:line="317" w:lineRule="exact"/>
        <w:ind w:left="0" w:right="0" w:firstLine="0"/>
        <w:jc w:val="both"/>
        <w:rPr>
          <w:sz w:val="22"/>
          <w:szCs w:val="22"/>
        </w:rPr>
      </w:pPr>
      <w:r>
        <w:rPr>
          <w:color w:val="000000"/>
          <w:spacing w:val="0"/>
          <w:w w:val="100"/>
          <w:position w:val="0"/>
          <w:sz w:val="22"/>
          <w:szCs w:val="22"/>
        </w:rPr>
        <w:t>本集团向职工提供辞退福利的，在下列两者孰早日确认辞退福利产生的职工薪酬负债，并计 入当期损益：本集团不能单方面撤回因解除劳动关系计划或裁减建议所提供的辞退福利时； 本集团确认与涉及支付辞退福利的重组相关的成本或费用时。</w:t>
      </w:r>
    </w:p>
    <w:p>
      <w:pPr>
        <w:pStyle w:val="Style45"/>
        <w:keepNext/>
        <w:keepLines/>
        <w:widowControl w:val="0"/>
        <w:shd w:val="clear" w:color="auto" w:fill="auto"/>
        <w:bidi w:val="0"/>
        <w:spacing w:before="0" w:after="300" w:line="240" w:lineRule="auto"/>
        <w:ind w:left="0" w:right="0" w:firstLine="0"/>
        <w:jc w:val="both"/>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83"/>
      <w:bookmarkEnd w:id="884"/>
      <w:bookmarkEnd w:id="886"/>
    </w:p>
    <w:p>
      <w:pPr>
        <w:pStyle w:val="Style35"/>
        <w:keepNext w:val="0"/>
        <w:keepLines w:val="0"/>
        <w:widowControl w:val="0"/>
        <w:shd w:val="clear" w:color="auto" w:fill="auto"/>
        <w:bidi w:val="0"/>
        <w:spacing w:before="0" w:after="340" w:line="315" w:lineRule="exact"/>
        <w:ind w:left="0" w:right="0" w:firstLine="0"/>
        <w:jc w:val="both"/>
        <w:rPr>
          <w:sz w:val="22"/>
          <w:szCs w:val="22"/>
        </w:rPr>
      </w:pPr>
      <w:r>
        <w:rPr>
          <w:color w:val="000000"/>
          <w:spacing w:val="0"/>
          <w:w w:val="100"/>
          <w:position w:val="0"/>
          <w:sz w:val="22"/>
          <w:szCs w:val="22"/>
        </w:rPr>
        <w:t>本集团向职工提供的其他长期职工福利，符合设定提存计划条件的，按照上述关于设定提存 计划的有关规定进行处理。符合设定受益计划的，按照上述关于设定受益计划的有关规定进 行处理，但相关职工薪酬成本中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重新计量设定受益计划净负债或净资产所产生的变动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 计入当期损益或相关资产成本。</w:t>
      </w:r>
    </w:p>
    <w:p>
      <w:pPr>
        <w:pStyle w:val="Style32"/>
        <w:keepNext/>
        <w:keepLines/>
        <w:widowControl w:val="0"/>
        <w:shd w:val="clear" w:color="auto" w:fill="auto"/>
        <w:bidi w:val="0"/>
        <w:spacing w:before="0" w:after="30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87"/>
      <w:bookmarkEnd w:id="888"/>
      <w:bookmarkEnd w:id="890"/>
    </w:p>
    <w:p>
      <w:pPr>
        <w:pStyle w:val="Style35"/>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如果与或有事项相关的义务同时符合以下条件，本集团将其确认为预计负债：</w:t>
      </w:r>
    </w:p>
    <w:p>
      <w:pPr>
        <w:pStyle w:val="Style35"/>
        <w:keepNext w:val="0"/>
        <w:keepLines w:val="0"/>
        <w:widowControl w:val="0"/>
        <w:shd w:val="clear" w:color="auto" w:fill="auto"/>
        <w:tabs>
          <w:tab w:pos="526" w:val="left"/>
        </w:tabs>
        <w:bidi w:val="0"/>
        <w:spacing w:before="0" w:after="200" w:line="314" w:lineRule="exact"/>
        <w:ind w:left="0" w:right="0" w:firstLine="0"/>
        <w:jc w:val="both"/>
        <w:rPr>
          <w:sz w:val="22"/>
          <w:szCs w:val="22"/>
        </w:rPr>
      </w:pPr>
      <w:bookmarkStart w:id="891" w:name="bookmark891"/>
      <w:r>
        <w:rPr>
          <w:color w:val="000000"/>
          <w:spacing w:val="0"/>
          <w:w w:val="100"/>
          <w:position w:val="0"/>
          <w:sz w:val="22"/>
          <w:szCs w:val="22"/>
        </w:rPr>
        <w:t>（</w:t>
      </w:r>
      <w:bookmarkEnd w:id="89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该义务是本集团承担的现时义务；</w:t>
      </w:r>
    </w:p>
    <w:p>
      <w:pPr>
        <w:pStyle w:val="Style35"/>
        <w:keepNext w:val="0"/>
        <w:keepLines w:val="0"/>
        <w:widowControl w:val="0"/>
        <w:shd w:val="clear" w:color="auto" w:fill="auto"/>
        <w:tabs>
          <w:tab w:pos="526" w:val="left"/>
        </w:tabs>
        <w:bidi w:val="0"/>
        <w:spacing w:before="0" w:after="200" w:line="314" w:lineRule="exact"/>
        <w:ind w:left="0" w:right="0" w:firstLine="0"/>
        <w:jc w:val="both"/>
        <w:rPr>
          <w:sz w:val="22"/>
          <w:szCs w:val="22"/>
        </w:rPr>
      </w:pPr>
      <w:bookmarkStart w:id="892" w:name="bookmark892"/>
      <w:r>
        <w:rPr>
          <w:color w:val="000000"/>
          <w:spacing w:val="0"/>
          <w:w w:val="100"/>
          <w:position w:val="0"/>
          <w:sz w:val="22"/>
          <w:szCs w:val="22"/>
        </w:rPr>
        <w:t>（</w:t>
      </w:r>
      <w:bookmarkEnd w:id="89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该义务的履行很可能导致经济利益流出本集团；</w:t>
      </w:r>
    </w:p>
    <w:p>
      <w:pPr>
        <w:pStyle w:val="Style35"/>
        <w:keepNext w:val="0"/>
        <w:keepLines w:val="0"/>
        <w:widowControl w:val="0"/>
        <w:shd w:val="clear" w:color="auto" w:fill="auto"/>
        <w:tabs>
          <w:tab w:pos="526" w:val="left"/>
        </w:tabs>
        <w:bidi w:val="0"/>
        <w:spacing w:before="0" w:after="200" w:line="314" w:lineRule="exact"/>
        <w:ind w:left="0" w:right="0" w:firstLine="0"/>
        <w:jc w:val="both"/>
        <w:rPr>
          <w:sz w:val="22"/>
          <w:szCs w:val="22"/>
        </w:rPr>
      </w:pPr>
      <w:bookmarkStart w:id="893" w:name="bookmark893"/>
      <w:r>
        <w:rPr>
          <w:color w:val="000000"/>
          <w:spacing w:val="0"/>
          <w:w w:val="100"/>
          <w:position w:val="0"/>
          <w:sz w:val="22"/>
          <w:szCs w:val="22"/>
        </w:rPr>
        <w:t>（</w:t>
      </w:r>
      <w:bookmarkEnd w:id="89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该义务的金额能够可靠地计量。</w:t>
      </w:r>
    </w:p>
    <w:p>
      <w:pPr>
        <w:pStyle w:val="Style35"/>
        <w:keepNext w:val="0"/>
        <w:keepLines w:val="0"/>
        <w:widowControl w:val="0"/>
        <w:shd w:val="clear" w:color="auto" w:fill="auto"/>
        <w:bidi w:val="0"/>
        <w:spacing w:before="0" w:after="300" w:line="312" w:lineRule="exact"/>
        <w:ind w:left="0" w:right="0" w:firstLine="0"/>
        <w:jc w:val="both"/>
        <w:rPr>
          <w:sz w:val="22"/>
          <w:szCs w:val="22"/>
        </w:rPr>
      </w:pPr>
      <w:r>
        <w:rPr>
          <w:color w:val="000000"/>
          <w:spacing w:val="0"/>
          <w:w w:val="100"/>
          <w:position w:val="0"/>
          <w:sz w:val="22"/>
          <w:szCs w:val="22"/>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来现金流出进行折现后确定最佳估计数。本集团于资产负债表日对预计负债的账面价值进行 复核，并对账面价值进行调整以反映当前最佳估计数。</w:t>
      </w:r>
    </w:p>
    <w:p>
      <w:pPr>
        <w:pStyle w:val="Style35"/>
        <w:keepNext w:val="0"/>
        <w:keepLines w:val="0"/>
        <w:widowControl w:val="0"/>
        <w:shd w:val="clear" w:color="auto" w:fill="auto"/>
        <w:bidi w:val="0"/>
        <w:spacing w:before="0" w:after="380" w:line="317" w:lineRule="exact"/>
        <w:ind w:left="0" w:right="0" w:firstLine="0"/>
        <w:jc w:val="both"/>
        <w:rPr>
          <w:sz w:val="22"/>
          <w:szCs w:val="22"/>
        </w:rPr>
      </w:pPr>
      <w:r>
        <w:rPr>
          <w:color w:val="000000"/>
          <w:spacing w:val="0"/>
          <w:w w:val="100"/>
          <w:position w:val="0"/>
          <w:sz w:val="22"/>
          <w:szCs w:val="22"/>
        </w:rPr>
        <w:t>如果清偿已确认预计负债所需支出全部或部分预期由第三方或其他方补偿，则补偿金额只能 在基本确定能收到时，作为资产单独确认。确认的补偿金额不超过所确认负债的账面价值。</w:t>
      </w:r>
    </w:p>
    <w:p>
      <w:pPr>
        <w:pStyle w:val="Style32"/>
        <w:keepNext/>
        <w:keepLines/>
        <w:widowControl w:val="0"/>
        <w:shd w:val="clear" w:color="auto" w:fill="auto"/>
        <w:bidi w:val="0"/>
        <w:spacing w:before="0" w:after="380" w:line="240" w:lineRule="auto"/>
        <w:ind w:left="0" w:right="0" w:firstLine="0"/>
        <w:jc w:val="both"/>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894"/>
      <w:bookmarkEnd w:id="895"/>
      <w:bookmarkEnd w:id="89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否</w:t>
      </w:r>
    </w:p>
    <w:p>
      <w:pPr>
        <w:pStyle w:val="Style35"/>
        <w:keepNext w:val="0"/>
        <w:keepLines w:val="0"/>
        <w:widowControl w:val="0"/>
        <w:numPr>
          <w:ilvl w:val="0"/>
          <w:numId w:val="45"/>
        </w:numPr>
        <w:shd w:val="clear" w:color="auto" w:fill="auto"/>
        <w:tabs>
          <w:tab w:pos="526" w:val="left"/>
        </w:tabs>
        <w:bidi w:val="0"/>
        <w:spacing w:before="0" w:after="200" w:line="314" w:lineRule="exact"/>
        <w:ind w:left="0" w:right="0" w:firstLine="0"/>
        <w:jc w:val="both"/>
        <w:rPr>
          <w:sz w:val="22"/>
          <w:szCs w:val="22"/>
        </w:rPr>
      </w:pPr>
      <w:bookmarkStart w:id="897" w:name="bookmark897"/>
      <w:bookmarkEnd w:id="897"/>
      <w:r>
        <w:rPr>
          <w:color w:val="000000"/>
          <w:spacing w:val="0"/>
          <w:w w:val="100"/>
          <w:position w:val="0"/>
          <w:sz w:val="22"/>
          <w:szCs w:val="22"/>
        </w:rPr>
        <w:t>一般原则</w:t>
      </w:r>
    </w:p>
    <w:p>
      <w:pPr>
        <w:pStyle w:val="Style35"/>
        <w:keepNext w:val="0"/>
        <w:keepLines w:val="0"/>
        <w:widowControl w:val="0"/>
        <w:numPr>
          <w:ilvl w:val="0"/>
          <w:numId w:val="47"/>
        </w:numPr>
        <w:shd w:val="clear" w:color="auto" w:fill="auto"/>
        <w:tabs>
          <w:tab w:pos="421" w:val="left"/>
        </w:tabs>
        <w:bidi w:val="0"/>
        <w:spacing w:before="0" w:after="200" w:line="314" w:lineRule="exact"/>
        <w:ind w:left="0" w:right="0" w:firstLine="0"/>
        <w:jc w:val="both"/>
        <w:rPr>
          <w:sz w:val="22"/>
          <w:szCs w:val="22"/>
        </w:rPr>
      </w:pPr>
      <w:bookmarkStart w:id="898" w:name="bookmark898"/>
      <w:bookmarkEnd w:id="898"/>
      <w:r>
        <w:rPr>
          <w:color w:val="000000"/>
          <w:spacing w:val="0"/>
          <w:w w:val="100"/>
          <w:position w:val="0"/>
          <w:sz w:val="22"/>
          <w:szCs w:val="22"/>
        </w:rPr>
        <w:t>销售商品</w:t>
      </w:r>
    </w:p>
    <w:p>
      <w:pPr>
        <w:pStyle w:val="Style35"/>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在已将商品所有权上的主要风险和报酬转移给购货方，既没有保留通常与所有权相联系的继 续管理权，也没有对已售商品实施有效控制，收入的金额能够可靠地计量，相关的经济利益 很可能流入企业，相关的已发生或将发生的成本能够可靠地计量时，确认商品销售收入的实 现。</w:t>
      </w:r>
    </w:p>
    <w:p>
      <w:pPr>
        <w:pStyle w:val="Style35"/>
        <w:keepNext w:val="0"/>
        <w:keepLines w:val="0"/>
        <w:widowControl w:val="0"/>
        <w:numPr>
          <w:ilvl w:val="0"/>
          <w:numId w:val="47"/>
        </w:numPr>
        <w:shd w:val="clear" w:color="auto" w:fill="auto"/>
        <w:tabs>
          <w:tab w:pos="421" w:val="left"/>
        </w:tabs>
        <w:bidi w:val="0"/>
        <w:spacing w:before="0" w:after="200" w:line="314" w:lineRule="exact"/>
        <w:ind w:left="0" w:right="0" w:firstLine="0"/>
        <w:jc w:val="both"/>
        <w:rPr>
          <w:sz w:val="22"/>
          <w:szCs w:val="22"/>
        </w:rPr>
      </w:pPr>
      <w:bookmarkStart w:id="899" w:name="bookmark899"/>
      <w:bookmarkEnd w:id="899"/>
      <w:r>
        <w:rPr>
          <w:color w:val="000000"/>
          <w:spacing w:val="0"/>
          <w:w w:val="100"/>
          <w:position w:val="0"/>
          <w:sz w:val="22"/>
          <w:szCs w:val="22"/>
        </w:rPr>
        <w:t>提供劳务</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对在提供劳务交易的结果能够可靠估计的情况下，本集团于资产负债表日按完工百分比法确 认收入。</w:t>
      </w:r>
    </w:p>
    <w:p>
      <w:pPr>
        <w:pStyle w:val="Style35"/>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劳务交易的完工进度按已经提供的劳务占应提供劳务总量的比例确定。</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提供劳务交易的结果能够可靠估计是指同时满足：</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w:t>
      </w:r>
      <w:r>
        <w:rPr>
          <w:color w:val="000000"/>
          <w:spacing w:val="0"/>
          <w:w w:val="100"/>
          <w:position w:val="0"/>
          <w:sz w:val="22"/>
          <w:szCs w:val="22"/>
        </w:rPr>
        <w:t>收入的金额能够可靠地计量；</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w:t>
      </w:r>
      <w:r>
        <w:rPr>
          <w:color w:val="000000"/>
          <w:spacing w:val="0"/>
          <w:w w:val="100"/>
          <w:position w:val="0"/>
          <w:sz w:val="22"/>
          <w:szCs w:val="22"/>
        </w:rPr>
        <w:t>相关 的经济利益很可能流入企业；</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w:t>
      </w:r>
      <w:r>
        <w:rPr>
          <w:color w:val="000000"/>
          <w:spacing w:val="0"/>
          <w:w w:val="100"/>
          <w:position w:val="0"/>
          <w:sz w:val="22"/>
          <w:szCs w:val="22"/>
        </w:rPr>
        <w:t>交易的完工程度能够可靠地确定；</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2"/>
          <w:szCs w:val="22"/>
        </w:rPr>
        <w:t>、</w:t>
      </w:r>
      <w:r>
        <w:rPr>
          <w:color w:val="000000"/>
          <w:spacing w:val="0"/>
          <w:w w:val="100"/>
          <w:position w:val="0"/>
          <w:sz w:val="22"/>
          <w:szCs w:val="22"/>
        </w:rPr>
        <w:t>交易中已发生和将发 生的成本能够可靠地计量。</w:t>
      </w:r>
    </w:p>
    <w:p>
      <w:pPr>
        <w:pStyle w:val="Style35"/>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如果提供劳务交易的结果不能够可靠估计，则按已经发生并预计能够得到补偿的劳务成本金 额确认提供的劳务收入，并将已发生的劳务成本作为当期费用。已经发生的劳务成本如预计 不能得到补偿的，则不确认收入。</w:t>
      </w:r>
    </w:p>
    <w:p>
      <w:pPr>
        <w:pStyle w:val="Style35"/>
        <w:keepNext w:val="0"/>
        <w:keepLines w:val="0"/>
        <w:widowControl w:val="0"/>
        <w:numPr>
          <w:ilvl w:val="0"/>
          <w:numId w:val="47"/>
        </w:numPr>
        <w:shd w:val="clear" w:color="auto" w:fill="auto"/>
        <w:tabs>
          <w:tab w:pos="421" w:val="left"/>
        </w:tabs>
        <w:bidi w:val="0"/>
        <w:spacing w:before="0" w:after="200" w:line="314" w:lineRule="exact"/>
        <w:ind w:left="0" w:right="0" w:firstLine="0"/>
        <w:jc w:val="both"/>
        <w:rPr>
          <w:sz w:val="22"/>
          <w:szCs w:val="22"/>
        </w:rPr>
      </w:pPr>
      <w:bookmarkStart w:id="900" w:name="bookmark900"/>
      <w:bookmarkEnd w:id="900"/>
      <w:r>
        <w:rPr>
          <w:color w:val="000000"/>
          <w:spacing w:val="0"/>
          <w:w w:val="100"/>
          <w:position w:val="0"/>
          <w:sz w:val="22"/>
          <w:szCs w:val="22"/>
        </w:rPr>
        <w:t>让渡资产使用权</w:t>
      </w:r>
    </w:p>
    <w:p>
      <w:pPr>
        <w:pStyle w:val="Style35"/>
        <w:keepNext w:val="0"/>
        <w:keepLines w:val="0"/>
        <w:widowControl w:val="0"/>
        <w:shd w:val="clear" w:color="auto" w:fill="auto"/>
        <w:bidi w:val="0"/>
        <w:spacing w:before="0" w:after="200" w:line="307" w:lineRule="exact"/>
        <w:ind w:left="0" w:right="0" w:firstLine="0"/>
        <w:jc w:val="both"/>
        <w:rPr>
          <w:sz w:val="22"/>
          <w:szCs w:val="22"/>
        </w:rPr>
      </w:pPr>
      <w:r>
        <w:rPr>
          <w:color w:val="000000"/>
          <w:spacing w:val="0"/>
          <w:w w:val="100"/>
          <w:position w:val="0"/>
          <w:sz w:val="22"/>
          <w:szCs w:val="22"/>
        </w:rPr>
        <w:t>与资产使用权让渡相关的经济利益能够流入及收入的金额能够可靠地计量时，本集团确认收 入。</w:t>
      </w:r>
    </w:p>
    <w:p>
      <w:pPr>
        <w:pStyle w:val="Style35"/>
        <w:keepNext w:val="0"/>
        <w:keepLines w:val="0"/>
        <w:widowControl w:val="0"/>
        <w:numPr>
          <w:ilvl w:val="0"/>
          <w:numId w:val="45"/>
        </w:numPr>
        <w:shd w:val="clear" w:color="auto" w:fill="auto"/>
        <w:tabs>
          <w:tab w:pos="526" w:val="left"/>
        </w:tabs>
        <w:bidi w:val="0"/>
        <w:spacing w:before="0" w:after="200" w:line="314" w:lineRule="exact"/>
        <w:ind w:left="0" w:right="0" w:firstLine="0"/>
        <w:jc w:val="both"/>
        <w:rPr>
          <w:sz w:val="22"/>
          <w:szCs w:val="22"/>
        </w:rPr>
      </w:pPr>
      <w:bookmarkStart w:id="901" w:name="bookmark901"/>
      <w:bookmarkEnd w:id="901"/>
      <w:r>
        <w:rPr>
          <w:color w:val="000000"/>
          <w:spacing w:val="0"/>
          <w:w w:val="100"/>
          <w:position w:val="0"/>
          <w:sz w:val="22"/>
          <w:szCs w:val="22"/>
        </w:rPr>
        <w:t>收入确认的具体方法</w:t>
      </w:r>
    </w:p>
    <w:p>
      <w:pPr>
        <w:pStyle w:val="Style35"/>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本集团销售模式包括直销和经销，直销和经销模式下收入确认的情况如下</w:t>
      </w:r>
    </w:p>
    <w:p>
      <w:pPr>
        <w:pStyle w:val="Style35"/>
        <w:keepNext w:val="0"/>
        <w:keepLines w:val="0"/>
        <w:widowControl w:val="0"/>
        <w:shd w:val="clear" w:color="auto" w:fill="auto"/>
        <w:bidi w:val="0"/>
        <w:spacing w:before="0" w:after="240" w:line="314" w:lineRule="exact"/>
        <w:ind w:left="0" w:right="0" w:firstLine="0"/>
        <w:jc w:val="both"/>
        <w:rPr>
          <w:sz w:val="22"/>
          <w:szCs w:val="22"/>
        </w:rPr>
      </w:pPr>
      <w:r>
        <w:rPr>
          <w:color w:val="000000"/>
          <w:spacing w:val="0"/>
          <w:w w:val="100"/>
          <w:position w:val="0"/>
          <w:sz w:val="22"/>
          <w:szCs w:val="22"/>
        </w:rPr>
        <w:t>①本集团直销模式下收入的确认政策</w:t>
      </w:r>
    </w:p>
    <w:p>
      <w:pPr>
        <w:pStyle w:val="Style35"/>
        <w:keepNext w:val="0"/>
        <w:keepLines w:val="0"/>
        <w:widowControl w:val="0"/>
        <w:shd w:val="clear" w:color="auto" w:fill="auto"/>
        <w:bidi w:val="0"/>
        <w:spacing w:before="0" w:after="200" w:line="276"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销售商品收入确认的具体原则</w:t>
      </w:r>
    </w:p>
    <w:p>
      <w:pPr>
        <w:pStyle w:val="Style35"/>
        <w:keepNext w:val="0"/>
        <w:keepLines w:val="0"/>
        <w:widowControl w:val="0"/>
        <w:shd w:val="clear" w:color="auto" w:fill="auto"/>
        <w:bidi w:val="0"/>
        <w:spacing w:before="0" w:after="240" w:line="307" w:lineRule="exact"/>
        <w:ind w:left="0" w:right="0" w:firstLine="440"/>
        <w:jc w:val="both"/>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对于需要承担安装调试义务的产品，本集团通过第三方物流公司将产品发出后，于产品 安装调试完毕，经客户验收合格并取得客户盖章确认的《验收单》后确认营业收入。</w:t>
      </w:r>
    </w:p>
    <w:p>
      <w:pPr>
        <w:pStyle w:val="Style35"/>
        <w:keepNext w:val="0"/>
        <w:keepLines w:val="0"/>
        <w:widowControl w:val="0"/>
        <w:shd w:val="clear" w:color="auto" w:fill="auto"/>
        <w:bidi w:val="0"/>
        <w:spacing w:before="0" w:after="280" w:line="312" w:lineRule="exact"/>
        <w:ind w:left="0" w:right="0" w:firstLine="440"/>
        <w:jc w:val="both"/>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对于不需要承担安装调试义务的产品，本集团的合同义务仅限于向客户提供符合要求的 产品。本集团通过第三方物流公司将产品交付客户后，与产品所有权相关的主要风险和报酬 </w:t>
      </w:r>
      <w:r>
        <w:rPr>
          <w:color w:val="000000"/>
          <w:spacing w:val="0"/>
          <w:w w:val="100"/>
          <w:position w:val="0"/>
          <w:sz w:val="22"/>
          <w:szCs w:val="22"/>
        </w:rPr>
        <w:t>也同时转移。对此类产品的销售，本集团于产品交付并取得客户签收确认的《签收单》后确 认营业收入。</w:t>
      </w:r>
    </w:p>
    <w:p>
      <w:pPr>
        <w:pStyle w:val="Style35"/>
        <w:keepNext w:val="0"/>
        <w:keepLines w:val="0"/>
        <w:widowControl w:val="0"/>
        <w:shd w:val="clear" w:color="auto" w:fill="auto"/>
        <w:bidi w:val="0"/>
        <w:spacing w:before="0" w:after="200" w:line="271"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提供劳务收入确认具体原则</w:t>
      </w:r>
    </w:p>
    <w:p>
      <w:pPr>
        <w:pStyle w:val="Style35"/>
        <w:keepNext w:val="0"/>
        <w:keepLines w:val="0"/>
        <w:widowControl w:val="0"/>
        <w:shd w:val="clear" w:color="auto" w:fill="auto"/>
        <w:bidi w:val="0"/>
        <w:spacing w:before="0" w:after="540" w:line="312" w:lineRule="exact"/>
        <w:ind w:left="0" w:right="0" w:firstLine="0"/>
        <w:jc w:val="both"/>
        <w:rPr>
          <w:sz w:val="22"/>
          <w:szCs w:val="22"/>
        </w:rPr>
      </w:pPr>
      <w:r>
        <w:rPr>
          <w:color w:val="000000"/>
          <w:spacing w:val="0"/>
          <w:w w:val="100"/>
          <w:position w:val="0"/>
          <w:sz w:val="22"/>
          <w:szCs w:val="22"/>
        </w:rPr>
        <w:t>提供劳务收入包括向客户提供的技术开发、产品维护、委托测试服务以及技术培训服务收入</w:t>
      </w:r>
    </w:p>
    <w:p>
      <w:pPr>
        <w:pStyle w:val="Style35"/>
        <w:keepNext w:val="0"/>
        <w:keepLines w:val="0"/>
        <w:widowControl w:val="0"/>
        <w:shd w:val="clear" w:color="auto" w:fill="auto"/>
        <w:bidi w:val="0"/>
        <w:spacing w:before="0" w:after="200" w:line="307" w:lineRule="exact"/>
        <w:ind w:left="0" w:right="0" w:firstLine="440"/>
        <w:jc w:val="both"/>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对于技术开发和委托测试服务，合同明确约定服务成果需经客户验收确认的，在本集团 提交相应服务成果，通过客户验收并取得客户盖章确认的《验收单》后确认收入。</w:t>
      </w:r>
    </w:p>
    <w:p>
      <w:pPr>
        <w:pStyle w:val="Style35"/>
        <w:keepNext w:val="0"/>
        <w:keepLines w:val="0"/>
        <w:widowControl w:val="0"/>
        <w:shd w:val="clear" w:color="auto" w:fill="auto"/>
        <w:bidi w:val="0"/>
        <w:spacing w:before="0" w:after="200" w:line="312" w:lineRule="exact"/>
        <w:ind w:left="0" w:right="0" w:firstLine="440"/>
        <w:jc w:val="both"/>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对于产品维护及技术培训服务，合同明确约定服务期限的，在合同约定的服务期限内， 在本集团提供了相应服务，取得明确的收款证据，相关成本能够可靠地计量时，确认收入。 如果收入跨期，按完工百分比法确认收入，完工进度按已经提供的劳务占应提供劳务总量的 比例确定。</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②经销模式收入确认政策</w:t>
      </w:r>
    </w:p>
    <w:p>
      <w:pPr>
        <w:pStyle w:val="Style35"/>
        <w:keepNext w:val="0"/>
        <w:keepLines w:val="0"/>
        <w:widowControl w:val="0"/>
        <w:shd w:val="clear" w:color="auto" w:fill="auto"/>
        <w:bidi w:val="0"/>
        <w:spacing w:before="0" w:after="200" w:line="307" w:lineRule="exact"/>
        <w:ind w:left="0" w:right="0" w:firstLine="0"/>
        <w:jc w:val="both"/>
        <w:rPr>
          <w:sz w:val="22"/>
          <w:szCs w:val="22"/>
        </w:rPr>
      </w:pPr>
      <w:r>
        <w:rPr>
          <w:color w:val="000000"/>
          <w:spacing w:val="0"/>
          <w:w w:val="100"/>
          <w:position w:val="0"/>
          <w:sz w:val="22"/>
          <w:szCs w:val="22"/>
        </w:rPr>
        <w:t>根据本集团与经销商签订的销售合同中约定，本集团产品在交付经销商或经其验收合格后， 产品的所有权相关的风险和报酬已经转移。</w:t>
      </w:r>
    </w:p>
    <w:p>
      <w:pPr>
        <w:pStyle w:val="Style35"/>
        <w:keepNext w:val="0"/>
        <w:keepLines w:val="0"/>
        <w:widowControl w:val="0"/>
        <w:shd w:val="clear" w:color="auto" w:fill="auto"/>
        <w:bidi w:val="0"/>
        <w:spacing w:before="0" w:after="800" w:line="317" w:lineRule="exact"/>
        <w:ind w:left="0" w:right="0" w:firstLine="0"/>
        <w:jc w:val="both"/>
        <w:rPr>
          <w:sz w:val="22"/>
          <w:szCs w:val="22"/>
        </w:rPr>
      </w:pPr>
      <w:r>
        <w:rPr>
          <w:color w:val="000000"/>
          <w:spacing w:val="0"/>
          <w:w w:val="100"/>
          <w:position w:val="0"/>
          <w:sz w:val="22"/>
          <w:szCs w:val="22"/>
        </w:rPr>
        <w:t>经销模式下，本集团根据合同约定条款，在通过第三方物流公司将商品交付经销商并取得经 销商确认的《签收单》或需经验收合格情况下取得经销商确认的《验收单》后，确认收入。</w:t>
      </w:r>
    </w:p>
    <w:p>
      <w:pPr>
        <w:pStyle w:val="Style32"/>
        <w:keepNext/>
        <w:keepLines/>
        <w:widowControl w:val="0"/>
        <w:shd w:val="clear" w:color="auto" w:fill="auto"/>
        <w:bidi w:val="0"/>
        <w:spacing w:before="0" w:after="280" w:line="312"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902"/>
      <w:bookmarkEnd w:id="903"/>
      <w:bookmarkEnd w:id="905"/>
    </w:p>
    <w:p>
      <w:pPr>
        <w:pStyle w:val="Style45"/>
        <w:keepNext/>
        <w:keepLines/>
        <w:widowControl w:val="0"/>
        <w:shd w:val="clear" w:color="auto" w:fill="auto"/>
        <w:tabs>
          <w:tab w:pos="493" w:val="left"/>
        </w:tabs>
        <w:bidi w:val="0"/>
        <w:spacing w:before="0" w:after="280" w:line="312" w:lineRule="exact"/>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06"/>
      <w:bookmarkEnd w:id="907"/>
      <w:bookmarkEnd w:id="909"/>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与资产相关的政府补助，是指本集团取得的、用于购建或以其他方式形成长期资产的政府补助。</w:t>
      </w:r>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对于政府文件未明确规定补助对象的，能够形成长期资产的，与资产价值相对应的政府补助部分作为与资 产相关的政府补助，其余部分作为与收益相关的政府补助；难以区分的，将政府补助整体作为与收益相关 的政府补助。</w:t>
      </w:r>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与资产相关的政府补助，确认为递延收益，并在相关资产使用期限内平均分配，计入当期损益。</w:t>
      </w:r>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政府补助在满足政府补助所附条件并能够收到时确认。</w:t>
      </w:r>
    </w:p>
    <w:p>
      <w:pPr>
        <w:pStyle w:val="Style3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对于货币性资产的政府补助，按照收到或应收的金额计量。其中，对期末有确凿证据表明能够符合财政扶 持政策规定的相关条件且预计能够收到财政扶持资金时，按应收金额计量；否则，按照实际收到的金额计 量。对于非货币性资产的政府补助，按照公允价值计量；公允价值不能够可靠取得的，按照名义金额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 计量。</w:t>
      </w:r>
    </w:p>
    <w:p>
      <w:pPr>
        <w:pStyle w:val="Style45"/>
        <w:keepNext/>
        <w:keepLines/>
        <w:widowControl w:val="0"/>
        <w:shd w:val="clear" w:color="auto" w:fill="auto"/>
        <w:tabs>
          <w:tab w:pos="493" w:val="left"/>
        </w:tabs>
        <w:bidi w:val="0"/>
        <w:spacing w:before="0" w:after="280" w:line="312" w:lineRule="exact"/>
        <w:ind w:left="0" w:right="0" w:firstLine="0"/>
        <w:jc w:val="both"/>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10"/>
      <w:bookmarkEnd w:id="911"/>
      <w:bookmarkEnd w:id="913"/>
    </w:p>
    <w:p>
      <w:pPr>
        <w:pStyle w:val="Style35"/>
        <w:keepNext w:val="0"/>
        <w:keepLines w:val="0"/>
        <w:widowControl w:val="0"/>
        <w:shd w:val="clear" w:color="auto" w:fill="auto"/>
        <w:bidi w:val="0"/>
        <w:spacing w:before="0" w:after="240" w:line="312" w:lineRule="exact"/>
        <w:ind w:left="0" w:right="0" w:firstLine="0"/>
        <w:jc w:val="both"/>
      </w:pPr>
      <w:r>
        <w:rPr>
          <w:color w:val="000000"/>
          <w:spacing w:val="0"/>
          <w:w w:val="100"/>
          <w:position w:val="0"/>
        </w:rPr>
        <w:t>本集团将从政府取得的各种奖励、定额补贴、财政贴息、拨付的研发经费（不包括购建固定资产）等与资 产相关的政府补助之外的政府补助，确认为与收益相关的政府补助。</w:t>
      </w:r>
    </w:p>
    <w:p>
      <w:pPr>
        <w:pStyle w:val="Style35"/>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与收益相关的政府补助，如果用于补偿已发生的相关费用或损失，则计入当期损益；如果用于补偿以后期 间的相关费用或损失，则计入递延收益，于费用确认期间计入当期损益。按照名义金额计量的政府补助， 直接计入当期损益。</w:t>
      </w:r>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 期损益；不存在相关递延收益的，直接计入当期损益。</w:t>
      </w:r>
    </w:p>
    <w:p>
      <w:pPr>
        <w:pStyle w:val="Style32"/>
        <w:keepNext/>
        <w:keepLines/>
        <w:widowControl w:val="0"/>
        <w:shd w:val="clear" w:color="auto" w:fill="auto"/>
        <w:tabs>
          <w:tab w:pos="483" w:val="left"/>
        </w:tabs>
        <w:bidi w:val="0"/>
        <w:spacing w:before="0" w:after="200" w:line="329"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4"/>
      <w:bookmarkEnd w:id="915"/>
      <w:bookmarkEnd w:id="917"/>
    </w:p>
    <w:p>
      <w:pPr>
        <w:pStyle w:val="Style35"/>
        <w:keepNext w:val="0"/>
        <w:keepLines w:val="0"/>
        <w:widowControl w:val="0"/>
        <w:shd w:val="clear" w:color="auto" w:fill="auto"/>
        <w:bidi w:val="0"/>
        <w:spacing w:before="0" w:after="200" w:line="307" w:lineRule="exact"/>
        <w:ind w:left="0" w:right="0" w:firstLine="0"/>
        <w:jc w:val="both"/>
        <w:rPr>
          <w:sz w:val="22"/>
          <w:szCs w:val="22"/>
        </w:rPr>
      </w:pPr>
      <w:r>
        <w:rPr>
          <w:color w:val="000000"/>
          <w:spacing w:val="0"/>
          <w:w w:val="100"/>
          <w:position w:val="0"/>
          <w:sz w:val="22"/>
          <w:szCs w:val="22"/>
        </w:rPr>
        <w:t>所得税包括当期所得税和递延所得税。除由于企业合并产生的调整商誉，或与直接计入所有 者权益的交易或者事项相关的递延所得税计入所有者权益外，均作为所得税费用计入当期损 益。</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本集团根据资产、负债于资产负债表日的账面价值与计税基础之间的暂时性差异，采用资产 负债表债务法确认递延所得税。</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各项应纳税暂时性差异均确认相关的递延所得税负债，除非该应纳税暂时性差异是在以下交 易中产生的：</w:t>
      </w:r>
    </w:p>
    <w:p>
      <w:pPr>
        <w:pStyle w:val="Style35"/>
        <w:keepNext w:val="0"/>
        <w:keepLines w:val="0"/>
        <w:widowControl w:val="0"/>
        <w:shd w:val="clear" w:color="auto" w:fill="auto"/>
        <w:tabs>
          <w:tab w:pos="651" w:val="left"/>
        </w:tabs>
        <w:bidi w:val="0"/>
        <w:spacing w:before="0" w:after="200" w:line="307" w:lineRule="exact"/>
        <w:ind w:left="0" w:right="0" w:firstLine="0"/>
        <w:jc w:val="both"/>
        <w:rPr>
          <w:sz w:val="22"/>
          <w:szCs w:val="22"/>
        </w:rPr>
      </w:pPr>
      <w:bookmarkStart w:id="918" w:name="bookmark918"/>
      <w:r>
        <w:rPr>
          <w:color w:val="000000"/>
          <w:spacing w:val="0"/>
          <w:w w:val="100"/>
          <w:position w:val="0"/>
          <w:sz w:val="22"/>
          <w:szCs w:val="22"/>
        </w:rPr>
        <w:t>（</w:t>
      </w:r>
      <w:bookmarkEnd w:id="9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商誉的初始确认，或者具有以下特征的交易中产生的资产或负债的初始确认：该交易不 是企业合并，并且交易发生时既不影响会计利润也不影响应纳税所得额；</w:t>
      </w:r>
    </w:p>
    <w:p>
      <w:pPr>
        <w:pStyle w:val="Style35"/>
        <w:keepNext w:val="0"/>
        <w:keepLines w:val="0"/>
        <w:widowControl w:val="0"/>
        <w:shd w:val="clear" w:color="auto" w:fill="auto"/>
        <w:bidi w:val="0"/>
        <w:spacing w:before="0" w:after="200" w:line="322" w:lineRule="exact"/>
        <w:ind w:left="0" w:right="0" w:firstLine="0"/>
        <w:jc w:val="both"/>
        <w:rPr>
          <w:sz w:val="22"/>
          <w:szCs w:val="22"/>
        </w:rPr>
      </w:pPr>
      <w:bookmarkStart w:id="919" w:name="bookmark919"/>
      <w:r>
        <w:rPr>
          <w:color w:val="000000"/>
          <w:spacing w:val="0"/>
          <w:w w:val="100"/>
          <w:position w:val="0"/>
          <w:sz w:val="22"/>
          <w:szCs w:val="22"/>
        </w:rPr>
        <w:t>（</w:t>
      </w:r>
      <w:bookmarkEnd w:id="91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 对于与子公司投资相关的应纳税暂时性差异，该暂时性差异转回的时间能够控制并且该 暂时性差异在可预见的未来很可能不会转回。</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对于可抵扣暂时性差异、能够结转以后年度的可抵扣亏损和税款抵减，本集团以很可能取得 用来抵扣可抵扣暂时性差异、可抵扣亏损和税款抵减的未来应纳税所得额为限，确认由此产 生的递延所得税资产，除非该可抵扣暂时性差异是在以下交易中产生的：</w:t>
      </w:r>
    </w:p>
    <w:p>
      <w:pPr>
        <w:pStyle w:val="Style35"/>
        <w:keepNext w:val="0"/>
        <w:keepLines w:val="0"/>
        <w:widowControl w:val="0"/>
        <w:shd w:val="clear" w:color="auto" w:fill="auto"/>
        <w:tabs>
          <w:tab w:pos="526" w:val="left"/>
        </w:tabs>
        <w:bidi w:val="0"/>
        <w:spacing w:before="0" w:after="200" w:line="314" w:lineRule="exact"/>
        <w:ind w:left="0" w:right="0" w:firstLine="0"/>
        <w:jc w:val="both"/>
        <w:rPr>
          <w:sz w:val="22"/>
          <w:szCs w:val="22"/>
        </w:rPr>
      </w:pPr>
      <w:bookmarkStart w:id="920" w:name="bookmark920"/>
      <w:r>
        <w:rPr>
          <w:color w:val="000000"/>
          <w:spacing w:val="0"/>
          <w:w w:val="100"/>
          <w:position w:val="0"/>
          <w:sz w:val="22"/>
          <w:szCs w:val="22"/>
        </w:rPr>
        <w:t>（</w:t>
      </w:r>
      <w:bookmarkEnd w:id="92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该交易不是企业合并，并且交易发生时既不影响会计利润也不影响应纳税所得额；</w:t>
      </w:r>
    </w:p>
    <w:p>
      <w:pPr>
        <w:pStyle w:val="Style35"/>
        <w:keepNext w:val="0"/>
        <w:keepLines w:val="0"/>
        <w:widowControl w:val="0"/>
        <w:shd w:val="clear" w:color="auto" w:fill="auto"/>
        <w:bidi w:val="0"/>
        <w:spacing w:before="0" w:after="200" w:line="319" w:lineRule="exact"/>
        <w:ind w:left="0" w:right="0" w:firstLine="0"/>
        <w:jc w:val="both"/>
        <w:rPr>
          <w:sz w:val="22"/>
          <w:szCs w:val="22"/>
        </w:rPr>
      </w:pPr>
      <w:bookmarkStart w:id="921" w:name="bookmark921"/>
      <w:r>
        <w:rPr>
          <w:color w:val="000000"/>
          <w:spacing w:val="0"/>
          <w:w w:val="100"/>
          <w:position w:val="0"/>
          <w:sz w:val="22"/>
          <w:szCs w:val="22"/>
        </w:rPr>
        <w:t>（</w:t>
      </w:r>
      <w:bookmarkEnd w:id="9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 对于与子公司投资相关的可抵扣暂时性差异，同时满足下列条件的，确认相应的递延所 得税资产：暂时性差异在可预见的未来很可能转回，且未来很可能获得用来抵扣可抵扣暂时 性差异的应纳税所得额。</w:t>
      </w:r>
    </w:p>
    <w:p>
      <w:pPr>
        <w:pStyle w:val="Style35"/>
        <w:keepNext w:val="0"/>
        <w:keepLines w:val="0"/>
        <w:widowControl w:val="0"/>
        <w:shd w:val="clear" w:color="auto" w:fill="auto"/>
        <w:bidi w:val="0"/>
        <w:spacing w:before="0" w:after="200" w:line="302" w:lineRule="exact"/>
        <w:ind w:left="0" w:right="0" w:firstLine="0"/>
        <w:jc w:val="both"/>
        <w:rPr>
          <w:sz w:val="22"/>
          <w:szCs w:val="22"/>
        </w:rPr>
      </w:pPr>
      <w:r>
        <w:rPr>
          <w:color w:val="000000"/>
          <w:spacing w:val="0"/>
          <w:w w:val="100"/>
          <w:position w:val="0"/>
          <w:sz w:val="22"/>
          <w:szCs w:val="22"/>
        </w:rPr>
        <w:t>于资产负债表日，本集团对递延所得税资产和递延所得税负债，按照预期收回该资产或清偿 该负债期间的适用税率计量，并反映资产负债表日预期收回资产或清偿负债方式的所得税影 响。</w:t>
      </w:r>
    </w:p>
    <w:p>
      <w:pPr>
        <w:pStyle w:val="Style35"/>
        <w:keepNext w:val="0"/>
        <w:keepLines w:val="0"/>
        <w:widowControl w:val="0"/>
        <w:shd w:val="clear" w:color="auto" w:fill="auto"/>
        <w:bidi w:val="0"/>
        <w:spacing w:before="0" w:after="360" w:line="314" w:lineRule="exact"/>
        <w:ind w:left="0" w:right="0" w:firstLine="0"/>
        <w:jc w:val="both"/>
        <w:rPr>
          <w:sz w:val="22"/>
          <w:szCs w:val="22"/>
        </w:rPr>
      </w:pPr>
      <w:r>
        <w:rPr>
          <w:color w:val="000000"/>
          <w:spacing w:val="0"/>
          <w:w w:val="100"/>
          <w:position w:val="0"/>
          <w:sz w:val="22"/>
          <w:szCs w:val="22"/>
        </w:rPr>
        <w:t>于资产负债表日，本集团对递延所得税资产的账面价值进行复核。如果未来期间很可能无法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32"/>
        <w:keepNext/>
        <w:keepLines/>
        <w:widowControl w:val="0"/>
        <w:shd w:val="clear" w:color="auto" w:fill="auto"/>
        <w:tabs>
          <w:tab w:pos="483" w:val="left"/>
        </w:tabs>
        <w:bidi w:val="0"/>
        <w:spacing w:before="0" w:after="200" w:line="329"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22"/>
      <w:bookmarkEnd w:id="923"/>
      <w:bookmarkEnd w:id="925"/>
    </w:p>
    <w:p>
      <w:pPr>
        <w:pStyle w:val="Style45"/>
        <w:keepNext/>
        <w:keepLines/>
        <w:widowControl w:val="0"/>
        <w:shd w:val="clear" w:color="auto" w:fill="auto"/>
        <w:bidi w:val="0"/>
        <w:spacing w:before="0" w:after="280" w:line="314" w:lineRule="exact"/>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26"/>
      <w:bookmarkEnd w:id="927"/>
      <w:bookmarkEnd w:id="929"/>
    </w:p>
    <w:p>
      <w:pPr>
        <w:pStyle w:val="Style35"/>
        <w:keepNext w:val="0"/>
        <w:keepLines w:val="0"/>
        <w:widowControl w:val="0"/>
        <w:shd w:val="clear" w:color="auto" w:fill="auto"/>
        <w:bidi w:val="0"/>
        <w:spacing w:before="0" w:after="200" w:line="314" w:lineRule="exact"/>
        <w:ind w:left="0" w:right="0" w:firstLine="0"/>
        <w:jc w:val="both"/>
      </w:pPr>
      <w:r>
        <w:rPr>
          <w:color w:val="000000"/>
          <w:spacing w:val="0"/>
          <w:w w:val="100"/>
          <w:position w:val="0"/>
        </w:rPr>
        <w:t xml:space="preserve">本集团将实质上转移了与资产所有权有关的全部风险和报酬的租赁确认为融资租赁，除融资租赁之外的其 </w:t>
      </w:r>
      <w:r>
        <w:rPr>
          <w:color w:val="000000"/>
          <w:spacing w:val="0"/>
          <w:w w:val="100"/>
          <w:position w:val="0"/>
        </w:rPr>
        <w:t>他租赁确认为经营租赁。</w:t>
      </w:r>
    </w:p>
    <w:p>
      <w:pPr>
        <w:pStyle w:val="Style35"/>
        <w:keepNext w:val="0"/>
        <w:keepLines w:val="0"/>
        <w:widowControl w:val="0"/>
        <w:shd w:val="clear" w:color="auto" w:fill="auto"/>
        <w:tabs>
          <w:tab w:pos="488" w:val="left"/>
        </w:tabs>
        <w:bidi w:val="0"/>
        <w:spacing w:before="0" w:after="200" w:line="314" w:lineRule="exact"/>
        <w:ind w:left="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经营租赁中的租金，本集团在租赁期内各个期间按照直线法确认当期损益。发生的初始直接费用，计入当 期损益。</w:t>
      </w:r>
    </w:p>
    <w:p>
      <w:pPr>
        <w:pStyle w:val="Style35"/>
        <w:keepNext w:val="0"/>
        <w:keepLines w:val="0"/>
        <w:widowControl w:val="0"/>
        <w:shd w:val="clear" w:color="auto" w:fill="auto"/>
        <w:tabs>
          <w:tab w:pos="488" w:val="left"/>
        </w:tabs>
        <w:bidi w:val="0"/>
        <w:spacing w:before="0" w:after="200" w:line="314" w:lineRule="exact"/>
        <w:ind w:left="0" w:right="0" w:firstLine="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5"/>
        <w:keepNext w:val="0"/>
        <w:keepLines w:val="0"/>
        <w:widowControl w:val="0"/>
        <w:shd w:val="clear" w:color="auto" w:fill="auto"/>
        <w:bidi w:val="0"/>
        <w:spacing w:before="0" w:after="820" w:line="317" w:lineRule="exact"/>
        <w:ind w:left="0" w:right="0" w:firstLine="0"/>
        <w:jc w:val="both"/>
      </w:pPr>
      <w:r>
        <w:rPr>
          <w:color w:val="000000"/>
          <w:spacing w:val="0"/>
          <w:w w:val="100"/>
          <w:position w:val="0"/>
        </w:rPr>
        <w:t>经营租赁中的租金，本集团在租赁期内各个期间按照直线法计入相关资产成本或当期损益；发生的初始直 接费用，计入当期损益。</w:t>
      </w:r>
    </w:p>
    <w:p>
      <w:pPr>
        <w:pStyle w:val="Style45"/>
        <w:keepNext/>
        <w:keepLines/>
        <w:widowControl w:val="0"/>
        <w:shd w:val="clear" w:color="auto" w:fill="auto"/>
        <w:bidi w:val="0"/>
        <w:spacing w:before="0" w:after="300" w:line="312" w:lineRule="exact"/>
        <w:ind w:left="0" w:right="0" w:firstLine="0"/>
        <w:jc w:val="both"/>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32"/>
      <w:bookmarkEnd w:id="933"/>
      <w:bookmarkEnd w:id="935"/>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本集团将实质上转移了与资产所有权有关的全部风险和报酬的租赁确认为融资租赁，除融资租赁之外的其 他租赁确认为经营租赁。</w:t>
      </w:r>
    </w:p>
    <w:p>
      <w:pPr>
        <w:pStyle w:val="Style35"/>
        <w:keepNext w:val="0"/>
        <w:keepLines w:val="0"/>
        <w:widowControl w:val="0"/>
        <w:shd w:val="clear" w:color="auto" w:fill="auto"/>
        <w:tabs>
          <w:tab w:pos="488" w:val="left"/>
        </w:tabs>
        <w:bidi w:val="0"/>
        <w:spacing w:before="0" w:after="200" w:line="312" w:lineRule="exact"/>
        <w:ind w:left="0" w:right="0" w:firstLine="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融资租赁中，在租赁开始日本集团按最低租赁收款额与初始直接费用之和作为应收融资租赁款的入账价 值，同时记录未担保余值；将最低租赁收款额、初始直接费用及未担保余值之和与其现值之和的差额确认 为未实现融资收益。未实现融资收益在租赁期内各个期间采用实际利率法计算确认当期的融资收入。</w:t>
      </w:r>
    </w:p>
    <w:p>
      <w:pPr>
        <w:pStyle w:val="Style35"/>
        <w:keepNext w:val="0"/>
        <w:keepLines w:val="0"/>
        <w:widowControl w:val="0"/>
        <w:shd w:val="clear" w:color="auto" w:fill="auto"/>
        <w:tabs>
          <w:tab w:pos="488" w:val="left"/>
        </w:tabs>
        <w:bidi w:val="0"/>
        <w:spacing w:before="0" w:after="200" w:line="312" w:lineRule="exact"/>
        <w:ind w:left="0" w:right="0" w:firstLine="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5"/>
        <w:keepNext w:val="0"/>
        <w:keepLines w:val="0"/>
        <w:widowControl w:val="0"/>
        <w:shd w:val="clear" w:color="auto" w:fill="auto"/>
        <w:bidi w:val="0"/>
        <w:spacing w:before="0" w:after="880" w:line="312" w:lineRule="exact"/>
        <w:ind w:left="0" w:right="0" w:firstLine="0"/>
        <w:jc w:val="both"/>
      </w:pPr>
      <w:r>
        <w:rPr>
          <w:color w:val="000000"/>
          <w:spacing w:val="0"/>
          <w:w w:val="100"/>
          <w:position w:val="0"/>
        </w:rPr>
        <w:t>融资租赁中，在租赁开始日本集团将租赁资产公允价值与最低租赁付款额现值两者中较低者作为租入资产 的入账价值，将最低租赁付款额作为长期应付款的入账价值，其差额作为未确认融资费用。初始直接费用 计入租入资产价值。未确认融资费用在租赁期内各个期间采用实际利率法计算确认当期的融资费用。本集 团采用与自有固定资产相一致的折旧政策计提租赁资产折旧。</w:t>
      </w:r>
    </w:p>
    <w:p>
      <w:pPr>
        <w:pStyle w:val="Style32"/>
        <w:keepNext/>
        <w:keepLines/>
        <w:widowControl w:val="0"/>
        <w:shd w:val="clear" w:color="auto" w:fill="auto"/>
        <w:bidi w:val="0"/>
        <w:spacing w:before="0" w:after="30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938"/>
      <w:bookmarkEnd w:id="939"/>
      <w:bookmarkEnd w:id="941"/>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本集团根据历史经验和其它因素，包括对未来事项的合理预期，对所采用的重要会计估计和 关键假设进行持续的评价。</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很可能导致下一会计年度资产和负债的账面价值出现重大调整风险的重要会计估计和关键假 设列示如下：</w:t>
      </w:r>
    </w:p>
    <w:p>
      <w:pPr>
        <w:pStyle w:val="Style35"/>
        <w:keepNext w:val="0"/>
        <w:keepLines w:val="0"/>
        <w:widowControl w:val="0"/>
        <w:shd w:val="clear" w:color="auto" w:fill="auto"/>
        <w:bidi w:val="0"/>
        <w:spacing w:before="0" w:after="200" w:line="315"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）投资性房地产与固定资产的划分</w:t>
      </w:r>
    </w:p>
    <w:p>
      <w:pPr>
        <w:pStyle w:val="Style35"/>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本公司根据房地产的持有目的，将持有的为赚取租金或资本增值，或两者兼有的房地产划分 为投资性房地产，将为生产商品、提供劳务、出租或经营管理而持有的划分为固定资产。房 地产的持有目的涉及管理层的判断和估计。因此，当管理层对房地产的持有目的发生变更时, 很可能导致投资性房地产与固定资产的划分出现重大调整风险。</w:t>
      </w:r>
    </w:p>
    <w:p>
      <w:pPr>
        <w:pStyle w:val="Style35"/>
        <w:keepNext w:val="0"/>
        <w:keepLines w:val="0"/>
        <w:widowControl w:val="0"/>
        <w:shd w:val="clear" w:color="auto" w:fill="auto"/>
        <w:tabs>
          <w:tab w:pos="526" w:val="left"/>
        </w:tabs>
        <w:bidi w:val="0"/>
        <w:spacing w:before="0" w:after="200" w:line="313" w:lineRule="exact"/>
        <w:ind w:left="0" w:right="0" w:firstLine="0"/>
        <w:jc w:val="both"/>
        <w:rPr>
          <w:sz w:val="22"/>
          <w:szCs w:val="22"/>
        </w:rPr>
      </w:pPr>
      <w:bookmarkStart w:id="942" w:name="bookmark942"/>
      <w:r>
        <w:rPr>
          <w:color w:val="000000"/>
          <w:spacing w:val="0"/>
          <w:w w:val="100"/>
          <w:position w:val="0"/>
          <w:sz w:val="22"/>
          <w:szCs w:val="22"/>
        </w:rPr>
        <w:t>（</w:t>
      </w:r>
      <w:bookmarkEnd w:id="94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坏账准备计提</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本公司根据应收款项的会计政策，采用备抵法核算坏账损失。应收款项减值基于对应收款项 可收回性的评估，涉及管理层的判断和估计。实际的应收款项减值结果与原先估计的差异将 在估计被改变的期间影响应收款项的账面价值及应收款项坏账准备的计提或转回。</w:t>
      </w:r>
    </w:p>
    <w:p>
      <w:pPr>
        <w:pStyle w:val="Style35"/>
        <w:keepNext w:val="0"/>
        <w:keepLines w:val="0"/>
        <w:widowControl w:val="0"/>
        <w:shd w:val="clear" w:color="auto" w:fill="auto"/>
        <w:tabs>
          <w:tab w:pos="526" w:val="left"/>
        </w:tabs>
        <w:bidi w:val="0"/>
        <w:spacing w:before="0" w:after="200" w:line="313" w:lineRule="exact"/>
        <w:ind w:left="0" w:right="0" w:firstLine="0"/>
        <w:jc w:val="both"/>
        <w:rPr>
          <w:sz w:val="22"/>
          <w:szCs w:val="22"/>
        </w:rPr>
      </w:pPr>
      <w:bookmarkStart w:id="943" w:name="bookmark943"/>
      <w:r>
        <w:rPr>
          <w:color w:val="000000"/>
          <w:spacing w:val="0"/>
          <w:w w:val="100"/>
          <w:position w:val="0"/>
          <w:sz w:val="22"/>
          <w:szCs w:val="22"/>
        </w:rPr>
        <w:t>（</w:t>
      </w:r>
      <w:bookmarkEnd w:id="94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商誉减值</w:t>
      </w:r>
    </w:p>
    <w:p>
      <w:pPr>
        <w:pStyle w:val="Style35"/>
        <w:keepNext w:val="0"/>
        <w:keepLines w:val="0"/>
        <w:widowControl w:val="0"/>
        <w:shd w:val="clear" w:color="auto" w:fill="auto"/>
        <w:bidi w:val="0"/>
        <w:spacing w:before="0" w:after="880" w:line="310" w:lineRule="exact"/>
        <w:ind w:left="0" w:right="0" w:firstLine="0"/>
        <w:jc w:val="both"/>
        <w:rPr>
          <w:sz w:val="22"/>
          <w:szCs w:val="22"/>
        </w:rPr>
      </w:pPr>
      <w:r>
        <w:rPr>
          <w:color w:val="000000"/>
          <w:spacing w:val="0"/>
          <w:w w:val="100"/>
          <w:position w:val="0"/>
          <w:sz w:val="22"/>
          <w:szCs w:val="22"/>
        </w:rPr>
        <w:t>本集团至少每年评估商誉是否发生减值。这要求对分配了商誉的资产组的使用价值进行估计。 估计使用价值时，本集团需要估计未来来自资产组的现金流量，同时选择恰当的折现率计算 未来现金流量的现值。</w:t>
      </w:r>
    </w:p>
    <w:p>
      <w:pPr>
        <w:pStyle w:val="Style32"/>
        <w:keepNext/>
        <w:keepLines/>
        <w:widowControl w:val="0"/>
        <w:shd w:val="clear" w:color="auto" w:fill="auto"/>
        <w:bidi w:val="0"/>
        <w:spacing w:before="0" w:after="40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44"/>
      <w:bookmarkEnd w:id="945"/>
      <w:bookmarkEnd w:id="947"/>
    </w:p>
    <w:p>
      <w:pPr>
        <w:pStyle w:val="Style45"/>
        <w:keepNext/>
        <w:keepLines/>
        <w:widowControl w:val="0"/>
        <w:shd w:val="clear" w:color="auto" w:fill="auto"/>
        <w:bidi w:val="0"/>
        <w:spacing w:before="0" w:after="360" w:line="240" w:lineRule="auto"/>
        <w:ind w:left="0" w:right="0" w:firstLine="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8"/>
      <w:bookmarkEnd w:id="949"/>
      <w:bookmarkEnd w:id="951"/>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根据《增值税会计处理规定》（财会</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日之后发生的与增值税相关交易，影响 资产、负债等金额的，按该规定调整。 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项目，房产税、土地使用 税、车船使用税、印花税等原计入管理 费用的相关税费，自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调整计入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根据第三届董事会第二十三次会议决议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受影响的报表项目为：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税金及附加，影 响金额为增加了 </w:t>
            </w:r>
            <w:r>
              <w:rPr>
                <w:rFonts w:ascii="Times New Roman" w:eastAsia="Times New Roman" w:hAnsi="Times New Roman" w:cs="Times New Roman"/>
                <w:color w:val="000000"/>
                <w:spacing w:val="0"/>
                <w:w w:val="100"/>
                <w:position w:val="0"/>
                <w:sz w:val="18"/>
                <w:szCs w:val="18"/>
              </w:rPr>
              <w:t>483,177.36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管理费 用，影响金额为为减少了 </w:t>
            </w:r>
            <w:r>
              <w:rPr>
                <w:rFonts w:ascii="Times New Roman" w:eastAsia="Times New Roman" w:hAnsi="Times New Roman" w:cs="Times New Roman"/>
                <w:color w:val="000000"/>
                <w:spacing w:val="0"/>
                <w:w w:val="100"/>
                <w:position w:val="0"/>
                <w:sz w:val="18"/>
                <w:szCs w:val="18"/>
              </w:rPr>
              <w:t>483,177.36</w:t>
            </w:r>
            <w:r>
              <w:rPr>
                <w:color w:val="000000"/>
                <w:spacing w:val="0"/>
                <w:w w:val="100"/>
                <w:position w:val="0"/>
              </w:rPr>
              <w:t>元。 对当期及前期的净损益无影响。</w:t>
            </w:r>
          </w:p>
        </w:tc>
      </w:tr>
    </w:tbl>
    <w:p>
      <w:pPr>
        <w:widowControl w:val="0"/>
        <w:spacing w:after="359" w:line="1" w:lineRule="exact"/>
      </w:pPr>
    </w:p>
    <w:p>
      <w:pPr>
        <w:pStyle w:val="Style45"/>
        <w:keepNext/>
        <w:keepLines/>
        <w:widowControl w:val="0"/>
        <w:shd w:val="clear" w:color="auto" w:fill="auto"/>
        <w:bidi w:val="0"/>
        <w:spacing w:before="0" w:after="40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2"/>
      <w:bookmarkEnd w:id="953"/>
      <w:bookmarkEnd w:id="95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both"/>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30</w:t>
      </w:r>
      <w:r>
        <w:rPr>
          <w:color w:val="000000"/>
          <w:spacing w:val="0"/>
          <w:w w:val="100"/>
          <w:position w:val="0"/>
        </w:rPr>
        <w:t>、其他</w:t>
      </w:r>
      <w:bookmarkEnd w:id="956"/>
      <w:bookmarkEnd w:id="957"/>
      <w:bookmarkEnd w:id="958"/>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959" w:name="bookmark959"/>
      <w:bookmarkStart w:id="960" w:name="bookmark960"/>
      <w:bookmarkStart w:id="961" w:name="bookmark961"/>
      <w:bookmarkStart w:id="962" w:name="bookmark962"/>
      <w:r>
        <w:rPr>
          <w:color w:val="000000"/>
          <w:spacing w:val="0"/>
          <w:w w:val="100"/>
          <w:position w:val="0"/>
          <w:sz w:val="24"/>
          <w:szCs w:val="24"/>
        </w:rPr>
        <w:t>六</w:t>
      </w:r>
      <w:bookmarkEnd w:id="961"/>
      <w:r>
        <w:rPr>
          <w:color w:val="000000"/>
          <w:spacing w:val="0"/>
          <w:w w:val="100"/>
          <w:position w:val="0"/>
          <w:sz w:val="24"/>
          <w:szCs w:val="24"/>
        </w:rPr>
        <w:t>、税项</w:t>
      </w:r>
      <w:bookmarkEnd w:id="959"/>
      <w:bookmarkEnd w:id="960"/>
      <w:bookmarkEnd w:id="962"/>
    </w:p>
    <w:p>
      <w:pPr>
        <w:pStyle w:val="Style32"/>
        <w:keepNext/>
        <w:keepLines/>
        <w:widowControl w:val="0"/>
        <w:shd w:val="clear" w:color="auto" w:fill="auto"/>
        <w:bidi w:val="0"/>
        <w:spacing w:before="0" w:after="360" w:line="240" w:lineRule="auto"/>
        <w:ind w:left="0" w:right="0" w:firstLine="0"/>
        <w:jc w:val="both"/>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3"/>
      <w:bookmarkEnd w:id="964"/>
      <w:bookmarkEnd w:id="96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劳务收入境内销售；提供加工、修理修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bl>
    <w:p>
      <w:pPr>
        <w:widowControl w:val="0"/>
        <w:spacing w:line="1" w:lineRule="exact"/>
      </w:pPr>
      <w:r>
        <w:br w:type="page"/>
      </w:r>
    </w:p>
    <w:tbl>
      <w:tblPr>
        <w:tblOverlap w:val="never"/>
        <w:jc w:val="center"/>
        <w:tblLayout w:type="fixed"/>
      </w:tblPr>
      <w:tblGrid>
        <w:gridCol w:w="3192"/>
        <w:gridCol w:w="3192"/>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配劳务；以及进口等货物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商品与服务税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销售商品或提供服务额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房屋的计税余值或租金收入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实际占用的土地面积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5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元</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INSTRUMENTS AUSTRALIA PTY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浙江涵普三维电力科技有限公司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66"/>
      <w:bookmarkEnd w:id="967"/>
      <w:bookmarkEnd w:id="968"/>
    </w:p>
    <w:p>
      <w:pPr>
        <w:pStyle w:val="Style35"/>
        <w:keepNext w:val="0"/>
        <w:keepLines w:val="0"/>
        <w:widowControl w:val="0"/>
        <w:shd w:val="clear" w:color="auto" w:fill="auto"/>
        <w:bidi w:val="0"/>
        <w:spacing w:before="0" w:after="200" w:line="316"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）企业所得税优惠</w:t>
      </w:r>
    </w:p>
    <w:p>
      <w:pPr>
        <w:pStyle w:val="Style35"/>
        <w:keepNext w:val="0"/>
        <w:keepLines w:val="0"/>
        <w:widowControl w:val="0"/>
        <w:numPr>
          <w:ilvl w:val="0"/>
          <w:numId w:val="49"/>
        </w:numPr>
        <w:shd w:val="clear" w:color="auto" w:fill="auto"/>
        <w:tabs>
          <w:tab w:pos="421" w:val="left"/>
        </w:tabs>
        <w:bidi w:val="0"/>
        <w:spacing w:before="0" w:after="200" w:line="316" w:lineRule="exact"/>
        <w:ind w:left="0" w:right="0" w:firstLine="0"/>
        <w:jc w:val="left"/>
        <w:rPr>
          <w:sz w:val="22"/>
          <w:szCs w:val="22"/>
        </w:rPr>
      </w:pPr>
      <w:bookmarkStart w:id="969" w:name="bookmark969"/>
      <w:bookmarkEnd w:id="969"/>
      <w:r>
        <w:rPr>
          <w:color w:val="000000"/>
          <w:spacing w:val="0"/>
          <w:w w:val="100"/>
          <w:position w:val="0"/>
          <w:sz w:val="22"/>
          <w:szCs w:val="22"/>
        </w:rPr>
        <w:t>高新技术企业所得税优惠</w:t>
      </w:r>
    </w:p>
    <w:p>
      <w:pPr>
        <w:pStyle w:val="Style35"/>
        <w:keepNext w:val="0"/>
        <w:keepLines w:val="0"/>
        <w:widowControl w:val="0"/>
        <w:shd w:val="clear" w:color="auto" w:fill="auto"/>
        <w:bidi w:val="0"/>
        <w:spacing w:before="0" w:after="200" w:line="315" w:lineRule="exact"/>
        <w:ind w:left="0" w:right="0" w:firstLine="0"/>
        <w:jc w:val="left"/>
        <w:rPr>
          <w:sz w:val="22"/>
          <w:szCs w:val="22"/>
        </w:rPr>
      </w:pPr>
      <w:r>
        <w:rPr>
          <w:color w:val="000000"/>
          <w:spacing w:val="0"/>
          <w:w w:val="100"/>
          <w:position w:val="0"/>
          <w:sz w:val="22"/>
          <w:szCs w:val="22"/>
        </w:rPr>
        <w:t>本公司已于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年获得《高新技术企业证书》。</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月，本公司再次通过高新技术企业复 审，取得证书编号：</w:t>
      </w:r>
      <w:r>
        <w:rPr>
          <w:rFonts w:ascii="Times New Roman" w:eastAsia="Times New Roman" w:hAnsi="Times New Roman" w:cs="Times New Roman"/>
          <w:color w:val="000000"/>
          <w:spacing w:val="0"/>
          <w:w w:val="100"/>
          <w:position w:val="0"/>
          <w:sz w:val="24"/>
          <w:szCs w:val="24"/>
        </w:rPr>
        <w:t>GR201535100078</w:t>
      </w:r>
      <w:r>
        <w:rPr>
          <w:color w:val="000000"/>
          <w:spacing w:val="0"/>
          <w:w w:val="100"/>
          <w:position w:val="0"/>
          <w:sz w:val="22"/>
          <w:szCs w:val="22"/>
        </w:rPr>
        <w:t>,</w:t>
      </w:r>
      <w:r>
        <w:rPr>
          <w:color w:val="000000"/>
          <w:spacing w:val="0"/>
          <w:w w:val="100"/>
          <w:position w:val="0"/>
          <w:sz w:val="22"/>
          <w:szCs w:val="22"/>
        </w:rPr>
        <w:t>签发日期为</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日的《高新技术企业证书》， 根据《中华人民共和国企业所得税法》规定，在有效认定期（</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年）内按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的税 率征收企业所得税。</w:t>
      </w:r>
    </w:p>
    <w:p>
      <w:pPr>
        <w:pStyle w:val="Style35"/>
        <w:keepNext w:val="0"/>
        <w:keepLines w:val="0"/>
        <w:widowControl w:val="0"/>
        <w:shd w:val="clear" w:color="auto" w:fill="auto"/>
        <w:bidi w:val="0"/>
        <w:spacing w:before="0" w:after="200" w:line="317" w:lineRule="exact"/>
        <w:ind w:left="0" w:right="0" w:firstLine="0"/>
        <w:jc w:val="left"/>
        <w:rPr>
          <w:sz w:val="22"/>
          <w:szCs w:val="22"/>
        </w:rPr>
      </w:pPr>
      <w:r>
        <w:rPr>
          <w:color w:val="000000"/>
          <w:spacing w:val="0"/>
          <w:w w:val="100"/>
          <w:position w:val="0"/>
          <w:sz w:val="22"/>
          <w:szCs w:val="22"/>
        </w:rPr>
        <w:t>子公司浙江涵普已于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年获得《高新技术企业证书》。</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月，浙江涵普再次通过高新 技术企业复审，于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日取得编号为</w:t>
      </w:r>
      <w:r>
        <w:rPr>
          <w:rFonts w:ascii="Times New Roman" w:eastAsia="Times New Roman" w:hAnsi="Times New Roman" w:cs="Times New Roman"/>
          <w:color w:val="000000"/>
          <w:spacing w:val="0"/>
          <w:w w:val="100"/>
          <w:position w:val="0"/>
          <w:sz w:val="24"/>
          <w:szCs w:val="24"/>
        </w:rPr>
        <w:t>GR201533000586</w:t>
      </w:r>
      <w:r>
        <w:rPr>
          <w:color w:val="000000"/>
          <w:spacing w:val="0"/>
          <w:w w:val="100"/>
          <w:position w:val="0"/>
          <w:sz w:val="22"/>
          <w:szCs w:val="22"/>
        </w:rPr>
        <w:t>的《高新技术企业证书》。根 据《中华人民共和国企业所得税法》规定，浙江涵普在有效认定期</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年）内按</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2"/>
          <w:szCs w:val="22"/>
        </w:rPr>
        <w:t>的税率缴纳企业所得税。</w:t>
      </w:r>
    </w:p>
    <w:p>
      <w:pPr>
        <w:pStyle w:val="Style35"/>
        <w:keepNext w:val="0"/>
        <w:keepLines w:val="0"/>
        <w:widowControl w:val="0"/>
        <w:numPr>
          <w:ilvl w:val="0"/>
          <w:numId w:val="49"/>
        </w:numPr>
        <w:shd w:val="clear" w:color="auto" w:fill="auto"/>
        <w:tabs>
          <w:tab w:pos="421" w:val="left"/>
        </w:tabs>
        <w:bidi w:val="0"/>
        <w:spacing w:before="0" w:after="200" w:line="316" w:lineRule="exact"/>
        <w:ind w:left="0" w:right="0" w:firstLine="0"/>
        <w:jc w:val="left"/>
        <w:rPr>
          <w:sz w:val="22"/>
          <w:szCs w:val="22"/>
        </w:rPr>
      </w:pPr>
      <w:bookmarkStart w:id="970" w:name="bookmark970"/>
      <w:bookmarkEnd w:id="970"/>
      <w:r>
        <w:rPr>
          <w:color w:val="000000"/>
          <w:spacing w:val="0"/>
          <w:w w:val="100"/>
          <w:position w:val="0"/>
          <w:sz w:val="22"/>
          <w:szCs w:val="22"/>
        </w:rPr>
        <w:t>软件企业所得税优惠</w:t>
      </w:r>
    </w:p>
    <w:p>
      <w:pPr>
        <w:pStyle w:val="Style35"/>
        <w:keepNext w:val="0"/>
        <w:keepLines w:val="0"/>
        <w:widowControl w:val="0"/>
        <w:shd w:val="clear" w:color="auto" w:fill="auto"/>
        <w:bidi w:val="0"/>
        <w:spacing w:before="0" w:after="220" w:line="316" w:lineRule="exact"/>
        <w:ind w:left="0" w:right="0" w:firstLine="0"/>
        <w:jc w:val="left"/>
        <w:rPr>
          <w:sz w:val="22"/>
          <w:szCs w:val="22"/>
        </w:rPr>
      </w:pPr>
      <w:r>
        <w:rPr>
          <w:color w:val="000000"/>
          <w:spacing w:val="0"/>
          <w:w w:val="100"/>
          <w:position w:val="0"/>
          <w:sz w:val="22"/>
          <w:szCs w:val="22"/>
        </w:rPr>
        <w:t>根据国发</w:t>
      </w:r>
      <w:r>
        <w:rPr>
          <w:rFonts w:ascii="Times New Roman" w:eastAsia="Times New Roman" w:hAnsi="Times New Roman" w:cs="Times New Roman"/>
          <w:color w:val="000000"/>
          <w:spacing w:val="0"/>
          <w:w w:val="100"/>
          <w:position w:val="0"/>
          <w:sz w:val="24"/>
          <w:szCs w:val="24"/>
        </w:rPr>
        <w:t>[2011]4</w:t>
      </w:r>
      <w:r>
        <w:rPr>
          <w:color w:val="000000"/>
          <w:spacing w:val="0"/>
          <w:w w:val="100"/>
          <w:position w:val="0"/>
          <w:sz w:val="22"/>
          <w:szCs w:val="22"/>
        </w:rPr>
        <w:t xml:space="preserve">号《国务院关于印发进一步鼓励软件产业和集成电路产业发展若干政策的通 </w:t>
      </w:r>
      <w:r>
        <w:rPr>
          <w:color w:val="000000"/>
          <w:spacing w:val="0"/>
          <w:w w:val="100"/>
          <w:position w:val="0"/>
          <w:sz w:val="22"/>
          <w:szCs w:val="22"/>
        </w:rPr>
        <w:t>知》（国发</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2011]4</w:t>
      </w:r>
      <w:r>
        <w:rPr>
          <w:color w:val="000000"/>
          <w:spacing w:val="0"/>
          <w:w w:val="100"/>
          <w:position w:val="0"/>
          <w:sz w:val="22"/>
          <w:szCs w:val="22"/>
        </w:rPr>
        <w:t>号）和《关于软件和集成电路产业企业所得税优惠政策有关问题的通知》 （财税</w:t>
      </w:r>
      <w:r>
        <w:rPr>
          <w:rFonts w:ascii="Times New Roman" w:eastAsia="Times New Roman" w:hAnsi="Times New Roman" w:cs="Times New Roman"/>
          <w:color w:val="000000"/>
          <w:spacing w:val="0"/>
          <w:w w:val="100"/>
          <w:position w:val="0"/>
          <w:sz w:val="24"/>
          <w:szCs w:val="24"/>
        </w:rPr>
        <w:t>[2016]49</w:t>
      </w:r>
      <w:r>
        <w:rPr>
          <w:color w:val="000000"/>
          <w:spacing w:val="0"/>
          <w:w w:val="100"/>
          <w:position w:val="0"/>
          <w:sz w:val="22"/>
          <w:szCs w:val="22"/>
        </w:rPr>
        <w:t>号）的规定，对新办的符合条件的软件企业，经备案后，自获利年度起，享 受企业所得税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两免三减半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优惠政策。子公司厦门红相信息科技有限公司（以下简称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红相信 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年设立并在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年度获利，按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的企业所得税税率计缴企业所得税。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日，红相信息获得厦门市软件行业协会颁发的《软件企业认定证书》。</w:t>
      </w:r>
    </w:p>
    <w:p>
      <w:pPr>
        <w:pStyle w:val="Style35"/>
        <w:keepNext w:val="0"/>
        <w:keepLines w:val="0"/>
        <w:widowControl w:val="0"/>
        <w:shd w:val="clear" w:color="auto" w:fill="auto"/>
        <w:bidi w:val="0"/>
        <w:spacing w:before="0" w:after="220" w:line="312"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）增值税优惠</w:t>
      </w:r>
    </w:p>
    <w:p>
      <w:pPr>
        <w:pStyle w:val="Style35"/>
        <w:keepNext w:val="0"/>
        <w:keepLines w:val="0"/>
        <w:widowControl w:val="0"/>
        <w:shd w:val="clear" w:color="auto" w:fill="auto"/>
        <w:bidi w:val="0"/>
        <w:spacing w:before="0" w:after="360" w:line="312" w:lineRule="exact"/>
        <w:ind w:left="0" w:right="0" w:firstLine="0"/>
        <w:jc w:val="both"/>
        <w:rPr>
          <w:sz w:val="22"/>
          <w:szCs w:val="22"/>
        </w:rPr>
      </w:pPr>
      <w:r>
        <w:rPr>
          <w:color w:val="000000"/>
          <w:spacing w:val="0"/>
          <w:w w:val="100"/>
          <w:position w:val="0"/>
          <w:sz w:val="22"/>
          <w:szCs w:val="22"/>
        </w:rPr>
        <w:t>根据财政部、国家税务总局、海关总署联合下发的《关于鼓励软件产业和集成电路产业发展 有关税收政策问题的通知》（财税</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2000]25</w:t>
      </w:r>
      <w:r>
        <w:rPr>
          <w:color w:val="000000"/>
          <w:spacing w:val="0"/>
          <w:w w:val="100"/>
          <w:position w:val="0"/>
          <w:sz w:val="22"/>
          <w:szCs w:val="22"/>
        </w:rPr>
        <w:t>号）的规定，自</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日起至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2"/>
          <w:szCs w:val="22"/>
        </w:rPr>
        <w:t>年底以前， 对增值税一般纳税人销售其自行开发生产的软件产品，按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的法定税率征收增值税后，对 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的部分实行即征即退政策。根据</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日国务院发布的《国 务院关于印发进一步鼓励软件产业和集成电路产业发展若干政策的通知》（国发</w:t>
      </w:r>
      <w:r>
        <w:rPr>
          <w:rFonts w:ascii="Times New Roman" w:eastAsia="Times New Roman" w:hAnsi="Times New Roman" w:cs="Times New Roman"/>
          <w:color w:val="000000"/>
          <w:spacing w:val="0"/>
          <w:w w:val="100"/>
          <w:position w:val="0"/>
          <w:sz w:val="24"/>
          <w:szCs w:val="24"/>
        </w:rPr>
        <w:t>[2011]4</w:t>
      </w:r>
      <w:r>
        <w:rPr>
          <w:color w:val="000000"/>
          <w:spacing w:val="0"/>
          <w:w w:val="100"/>
          <w:position w:val="0"/>
          <w:sz w:val="22"/>
          <w:szCs w:val="22"/>
        </w:rPr>
        <w:t>号 文），子公司红相信息、红相软件和浙江涵普自行开发销售的软件产品继续享受上述增值税 优惠政策。</w:t>
      </w:r>
    </w:p>
    <w:p>
      <w:pPr>
        <w:pStyle w:val="Style32"/>
        <w:keepNext/>
        <w:keepLines/>
        <w:widowControl w:val="0"/>
        <w:shd w:val="clear" w:color="auto" w:fill="auto"/>
        <w:bidi w:val="0"/>
        <w:spacing w:before="0" w:after="36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color w:val="000000"/>
          <w:spacing w:val="0"/>
          <w:w w:val="100"/>
          <w:position w:val="0"/>
        </w:rPr>
        <w:t>、其他</w:t>
      </w:r>
      <w:bookmarkEnd w:id="971"/>
      <w:bookmarkEnd w:id="972"/>
      <w:bookmarkEnd w:id="974"/>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312" w:lineRule="exact"/>
        <w:ind w:left="0" w:right="0" w:firstLine="0"/>
        <w:jc w:val="both"/>
      </w:pPr>
      <w:bookmarkStart w:id="975" w:name="bookmark975"/>
      <w:bookmarkStart w:id="976" w:name="bookmark976"/>
      <w:bookmarkStart w:id="977" w:name="bookmark977"/>
      <w:bookmarkStart w:id="978" w:name="bookmark978"/>
      <w:r>
        <w:rPr>
          <w:color w:val="000000"/>
          <w:spacing w:val="0"/>
          <w:w w:val="100"/>
          <w:position w:val="0"/>
          <w:sz w:val="24"/>
          <w:szCs w:val="24"/>
        </w:rPr>
        <w:t>七</w:t>
      </w:r>
      <w:bookmarkEnd w:id="977"/>
      <w:r>
        <w:rPr>
          <w:color w:val="000000"/>
          <w:spacing w:val="0"/>
          <w:w w:val="100"/>
          <w:position w:val="0"/>
          <w:sz w:val="24"/>
          <w:szCs w:val="24"/>
        </w:rPr>
        <w:t>、合并财务报表项目注释</w:t>
      </w:r>
      <w:bookmarkEnd w:id="975"/>
      <w:bookmarkEnd w:id="976"/>
      <w:bookmarkEnd w:id="978"/>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979" w:name="bookmark97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、货币资金</w:t>
      </w:r>
      <w:bookmarkEnd w:id="9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438,176,206.25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287,662,416.27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264,153.63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439,661,227.56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287,993,878.47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780,725.91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1,979,186.10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7"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）存放在境外的款项系本集团之境外子公司</w:t>
      </w:r>
      <w:r>
        <w:rPr>
          <w:rFonts w:ascii="Times New Roman" w:eastAsia="Times New Roman" w:hAnsi="Times New Roman" w:cs="Times New Roman"/>
          <w:color w:val="000000"/>
          <w:spacing w:val="0"/>
          <w:w w:val="100"/>
          <w:position w:val="0"/>
          <w:sz w:val="24"/>
          <w:szCs w:val="24"/>
        </w:rPr>
        <w:t xml:space="preserve">RED PHASE INSTRUMENTS AUSTRALIA PTY. LTD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存放于澳大利亚的现金及银行存款。</w:t>
      </w:r>
    </w:p>
    <w:p>
      <w:pPr>
        <w:widowControl w:val="0"/>
        <w:spacing w:after="219" w:line="1" w:lineRule="exact"/>
      </w:pPr>
    </w:p>
    <w:p>
      <w:pPr>
        <w:pStyle w:val="Style35"/>
        <w:keepNext w:val="0"/>
        <w:keepLines w:val="0"/>
        <w:widowControl w:val="0"/>
        <w:shd w:val="clear" w:color="auto" w:fill="auto"/>
        <w:bidi w:val="0"/>
        <w:spacing w:before="0" w:after="360" w:line="319"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）其他货币资金期末、期初余额系使用受限的银行履约保函保证金，在编制现金流量表 时不计入期末、期初的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现金及现金等价物除此之外，本集团期末不存在质押、冻结，或 有潜在收回风险的款项。</w:t>
      </w:r>
      <w:r>
        <w:br w:type="page"/>
      </w:r>
    </w:p>
    <w:p>
      <w:pPr>
        <w:pStyle w:val="Style32"/>
        <w:keepNext/>
        <w:keepLines/>
        <w:widowControl w:val="0"/>
        <w:shd w:val="clear" w:color="auto" w:fill="auto"/>
        <w:bidi w:val="0"/>
        <w:spacing w:before="0" w:after="360" w:line="240" w:lineRule="auto"/>
        <w:ind w:left="0" w:right="0" w:firstLine="0"/>
        <w:jc w:val="left"/>
      </w:pPr>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80"/>
      <w:bookmarkEnd w:id="981"/>
      <w:bookmarkEnd w:id="982"/>
    </w:p>
    <w:p>
      <w:pPr>
        <w:pStyle w:val="Style45"/>
        <w:keepNext/>
        <w:keepLines/>
        <w:widowControl w:val="0"/>
        <w:numPr>
          <w:ilvl w:val="0"/>
          <w:numId w:val="51"/>
        </w:numPr>
        <w:shd w:val="clear" w:color="auto" w:fill="auto"/>
        <w:bidi w:val="0"/>
        <w:spacing w:before="0" w:after="36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应收票据分类列示</w:t>
      </w:r>
      <w:bookmarkEnd w:id="983"/>
      <w:bookmarkEnd w:id="984"/>
      <w:bookmarkEnd w:id="9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6,583,657.54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2,625,971.53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4,713,122.00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11,635,332.25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11,296,779.54</w:t>
            </w:r>
          </w:p>
        </w:tc>
      </w:tr>
    </w:tbl>
    <w:p>
      <w:pPr>
        <w:widowControl w:val="0"/>
        <w:spacing w:after="359" w:line="1" w:lineRule="exact"/>
      </w:pPr>
    </w:p>
    <w:p>
      <w:pPr>
        <w:pStyle w:val="Style45"/>
        <w:keepNext/>
        <w:keepLines/>
        <w:widowControl w:val="0"/>
        <w:numPr>
          <w:ilvl w:val="0"/>
          <w:numId w:val="51"/>
        </w:numPr>
        <w:shd w:val="clear" w:color="auto" w:fill="auto"/>
        <w:bidi w:val="0"/>
        <w:spacing w:before="0" w:after="360" w:line="240" w:lineRule="auto"/>
        <w:ind w:left="0" w:right="0" w:firstLine="140"/>
        <w:jc w:val="left"/>
      </w:pPr>
      <w:bookmarkStart w:id="987" w:name="bookmark987"/>
      <w:bookmarkStart w:id="988" w:name="bookmark988"/>
      <w:bookmarkStart w:id="989" w:name="bookmark989"/>
      <w:bookmarkStart w:id="990" w:name="bookmark990"/>
      <w:bookmarkEnd w:id="989"/>
      <w:r>
        <w:rPr>
          <w:color w:val="000000"/>
          <w:spacing w:val="0"/>
          <w:w w:val="100"/>
          <w:position w:val="0"/>
        </w:rPr>
        <w:t>期末公司已质押的应收票据</w:t>
      </w:r>
      <w:bookmarkEnd w:id="987"/>
      <w:bookmarkEnd w:id="988"/>
      <w:bookmarkEnd w:id="9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45"/>
        <w:keepNext/>
        <w:keepLines/>
        <w:widowControl w:val="0"/>
        <w:numPr>
          <w:ilvl w:val="0"/>
          <w:numId w:val="51"/>
        </w:numPr>
        <w:shd w:val="clear" w:color="auto" w:fill="auto"/>
        <w:bidi w:val="0"/>
        <w:spacing w:before="0" w:after="360" w:line="240" w:lineRule="auto"/>
        <w:ind w:left="0" w:right="0" w:firstLine="140"/>
        <w:jc w:val="left"/>
      </w:pPr>
      <w:bookmarkStart w:id="991" w:name="bookmark991"/>
      <w:bookmarkStart w:id="992" w:name="bookmark992"/>
      <w:bookmarkStart w:id="993" w:name="bookmark993"/>
      <w:bookmarkStart w:id="994" w:name="bookmark994"/>
      <w:bookmarkEnd w:id="993"/>
      <w:r>
        <w:rPr>
          <w:color w:val="000000"/>
          <w:spacing w:val="0"/>
          <w:w w:val="100"/>
          <w:position w:val="0"/>
        </w:rPr>
        <w:t>期末公司已背书或贴现且在资产负债表日尚未到期的应收票据</w:t>
      </w:r>
      <w:bookmarkEnd w:id="991"/>
      <w:bookmarkEnd w:id="992"/>
      <w:bookmarkEnd w:id="9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5"/>
        <w:keepNext/>
        <w:keepLines/>
        <w:widowControl w:val="0"/>
        <w:numPr>
          <w:ilvl w:val="0"/>
          <w:numId w:val="51"/>
        </w:numPr>
        <w:shd w:val="clear" w:color="auto" w:fill="auto"/>
        <w:bidi w:val="0"/>
        <w:spacing w:before="0" w:after="360" w:line="240" w:lineRule="auto"/>
        <w:ind w:left="0" w:right="0" w:firstLine="140"/>
        <w:jc w:val="left"/>
      </w:pPr>
      <w:bookmarkStart w:id="995" w:name="bookmark995"/>
      <w:bookmarkStart w:id="996" w:name="bookmark996"/>
      <w:bookmarkStart w:id="997" w:name="bookmark997"/>
      <w:bookmarkStart w:id="998" w:name="bookmark998"/>
      <w:bookmarkEnd w:id="997"/>
      <w:r>
        <w:rPr>
          <w:color w:val="000000"/>
          <w:spacing w:val="0"/>
          <w:w w:val="100"/>
          <w:position w:val="0"/>
        </w:rPr>
        <w:t>期末公司因出票人未履约而将其转应收账款的票据</w:t>
      </w:r>
      <w:bookmarkEnd w:id="995"/>
      <w:bookmarkEnd w:id="996"/>
      <w:bookmarkEnd w:id="9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本公司应收票据不存在客观证据表明发生减值迹象，未计提应收票据减值准备。</w:t>
      </w:r>
    </w:p>
    <w:p>
      <w:pPr>
        <w:pStyle w:val="Style32"/>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color w:val="000000"/>
          <w:spacing w:val="0"/>
          <w:w w:val="100"/>
          <w:position w:val="0"/>
        </w:rPr>
        <w:t>、应收账款</w:t>
      </w:r>
      <w:bookmarkEnd w:id="1000"/>
      <w:bookmarkEnd w:id="1002"/>
      <w:bookmarkEnd w:id="999"/>
    </w:p>
    <w:p>
      <w:pPr>
        <w:pStyle w:val="Style45"/>
        <w:keepNext/>
        <w:keepLines/>
        <w:widowControl w:val="0"/>
        <w:numPr>
          <w:ilvl w:val="0"/>
          <w:numId w:val="53"/>
        </w:numPr>
        <w:shd w:val="clear" w:color="auto" w:fill="auto"/>
        <w:bidi w:val="0"/>
        <w:spacing w:before="0" w:after="36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应收账款分类披露</w:t>
      </w:r>
      <w:bookmarkEnd w:id="1003"/>
      <w:bookmarkEnd w:id="1004"/>
      <w:bookmarkEnd w:id="10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293,938,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268,675,56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bl>
    <w:p>
      <w:pPr>
        <w:sectPr>
          <w:footnotePr>
            <w:pos w:val="pageBottom"/>
            <w:numFmt w:val="decimal"/>
            <w:numRestart w:val="continuous"/>
          </w:footnotePr>
          <w:pgSz w:w="11900" w:h="16840"/>
          <w:pgMar w:top="1388" w:right="1038" w:bottom="1455" w:left="1042" w:header="0" w:footer="3" w:gutter="0"/>
          <w:cols w:space="720"/>
          <w:noEndnote/>
          <w:rtlGutter w:val="0"/>
          <w:docGrid w:linePitch="360"/>
        </w:sectPr>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268,835,56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176,121,230.62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8,806,061.53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68,258,248.81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6,825,824.88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29,800,510.76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5,960,102.15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13,144,510.44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3,943,353.13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3,649,113.25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1,824,556.63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2,965,373.94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2,965,373.94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293,938,987.82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30,325,272.26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460" w:line="240" w:lineRule="auto"/>
        <w:ind w:left="0" w:right="0" w:firstLine="0"/>
        <w:jc w:val="left"/>
      </w:pPr>
      <w:r>
        <w:rPr>
          <w:color w:val="000000"/>
          <w:spacing w:val="0"/>
          <w:w w:val="100"/>
          <w:position w:val="0"/>
        </w:rPr>
        <w:t>确定该等应收账款组合的依据是各个明细项目的账龄。</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5"/>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7"/>
      <w:bookmarkEnd w:id="1008"/>
      <w:bookmarkEnd w:id="101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4,837,115.39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461,040.00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5"/>
        <w:keepNext/>
        <w:keepLines/>
        <w:widowControl w:val="0"/>
        <w:shd w:val="clear" w:color="auto" w:fill="auto"/>
        <w:bidi w:val="0"/>
        <w:spacing w:before="0" w:after="12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441" w:right="1109" w:bottom="2017" w:left="1109" w:header="0" w:footer="3" w:gutter="0"/>
          <w:cols w:space="720"/>
          <w:noEndnote/>
          <w:rtlGutter w:val="0"/>
          <w:docGrid w:linePitch="360"/>
        </w:sectPr>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11"/>
      <w:bookmarkEnd w:id="1012"/>
      <w:bookmarkEnd w:id="101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西安中格电力设备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已生效的和解协议 确定无法收回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根据第三届董事会 第二十三次会议决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5"/>
        <w:keepNext/>
        <w:keepLines/>
        <w:widowControl w:val="0"/>
        <w:shd w:val="clear" w:color="auto" w:fill="auto"/>
        <w:tabs>
          <w:tab w:pos="493" w:val="left"/>
        </w:tabs>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15"/>
      <w:bookmarkEnd w:id="1016"/>
      <w:bookmarkEnd w:id="101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860" w:line="307" w:lineRule="exact"/>
        <w:ind w:left="0" w:right="0" w:firstLine="0"/>
        <w:jc w:val="left"/>
        <w:rPr>
          <w:sz w:val="22"/>
          <w:szCs w:val="22"/>
        </w:rPr>
      </w:pPr>
      <w:r>
        <w:rPr>
          <w:color w:val="000000"/>
          <w:spacing w:val="0"/>
          <w:w w:val="100"/>
          <w:position w:val="0"/>
          <w:sz w:val="22"/>
          <w:szCs w:val="22"/>
        </w:rPr>
        <w:t>本期按欠款方归集的期末余额前五名应收账款汇总金额</w:t>
      </w:r>
      <w:r>
        <w:rPr>
          <w:rFonts w:ascii="Times New Roman" w:eastAsia="Times New Roman" w:hAnsi="Times New Roman" w:cs="Times New Roman"/>
          <w:color w:val="000000"/>
          <w:spacing w:val="0"/>
          <w:w w:val="100"/>
          <w:position w:val="0"/>
          <w:sz w:val="24"/>
          <w:szCs w:val="24"/>
        </w:rPr>
        <w:t>89,916,818.95</w:t>
      </w:r>
      <w:r>
        <w:rPr>
          <w:color w:val="000000"/>
          <w:spacing w:val="0"/>
          <w:w w:val="100"/>
          <w:position w:val="0"/>
          <w:sz w:val="22"/>
          <w:szCs w:val="22"/>
        </w:rPr>
        <w:t>元，占应收账款期末余 额合计数的比例</w:t>
      </w:r>
      <w:r>
        <w:rPr>
          <w:rFonts w:ascii="Times New Roman" w:eastAsia="Times New Roman" w:hAnsi="Times New Roman" w:cs="Times New Roman"/>
          <w:color w:val="000000"/>
          <w:spacing w:val="0"/>
          <w:w w:val="100"/>
          <w:position w:val="0"/>
          <w:sz w:val="24"/>
          <w:szCs w:val="24"/>
        </w:rPr>
        <w:t>30.14%</w:t>
      </w:r>
      <w:r>
        <w:rPr>
          <w:color w:val="000000"/>
          <w:spacing w:val="0"/>
          <w:w w:val="100"/>
          <w:position w:val="0"/>
          <w:sz w:val="22"/>
          <w:szCs w:val="22"/>
        </w:rPr>
        <w:t>，相应计提的坏账准备期末余额汇总金额</w:t>
      </w:r>
      <w:r>
        <w:rPr>
          <w:rFonts w:ascii="Times New Roman" w:eastAsia="Times New Roman" w:hAnsi="Times New Roman" w:cs="Times New Roman"/>
          <w:color w:val="000000"/>
          <w:spacing w:val="0"/>
          <w:w w:val="100"/>
          <w:position w:val="0"/>
          <w:sz w:val="24"/>
          <w:szCs w:val="24"/>
        </w:rPr>
        <w:t>6,895,011.39</w:t>
      </w:r>
      <w:r>
        <w:rPr>
          <w:color w:val="000000"/>
          <w:spacing w:val="0"/>
          <w:w w:val="100"/>
          <w:position w:val="0"/>
          <w:sz w:val="22"/>
          <w:szCs w:val="22"/>
        </w:rPr>
        <w:t>元。</w:t>
      </w:r>
    </w:p>
    <w:p>
      <w:pPr>
        <w:pStyle w:val="Style45"/>
        <w:keepNext/>
        <w:keepLines/>
        <w:widowControl w:val="0"/>
        <w:shd w:val="clear" w:color="auto" w:fill="auto"/>
        <w:tabs>
          <w:tab w:pos="493"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19"/>
      <w:bookmarkEnd w:id="1020"/>
      <w:bookmarkEnd w:id="1022"/>
    </w:p>
    <w:p>
      <w:pPr>
        <w:pStyle w:val="Style45"/>
        <w:keepNext/>
        <w:keepLines/>
        <w:widowControl w:val="0"/>
        <w:shd w:val="clear" w:color="auto" w:fill="auto"/>
        <w:tabs>
          <w:tab w:pos="493"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23"/>
      <w:bookmarkEnd w:id="1024"/>
      <w:bookmarkEnd w:id="10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color w:val="000000"/>
          <w:spacing w:val="0"/>
          <w:w w:val="100"/>
          <w:position w:val="0"/>
        </w:rPr>
        <w:t>、预付款项</w:t>
      </w:r>
      <w:bookmarkEnd w:id="1027"/>
      <w:bookmarkEnd w:id="1028"/>
      <w:bookmarkEnd w:id="1030"/>
    </w:p>
    <w:p>
      <w:pPr>
        <w:pStyle w:val="Style45"/>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1"/>
      <w:bookmarkEnd w:id="1032"/>
      <w:bookmarkEnd w:id="103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8,375,741.86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21,570,884.74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1,774,279.76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1,384,790.67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10,953,724.02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23,258,600.47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5"/>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期末无账龄超过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年的大额预付账款。</w:t>
      </w:r>
    </w:p>
    <w:p>
      <w:pPr>
        <w:pStyle w:val="Style45"/>
        <w:keepNext/>
        <w:keepLines/>
        <w:widowControl w:val="0"/>
        <w:numPr>
          <w:ilvl w:val="0"/>
          <w:numId w:val="53"/>
        </w:numPr>
        <w:shd w:val="clear" w:color="auto" w:fill="auto"/>
        <w:bidi w:val="0"/>
        <w:spacing w:before="0" w:after="34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按预付对象归集的期末余额前五名的预付款情况</w:t>
      </w:r>
      <w:bookmarkEnd w:id="1035"/>
      <w:bookmarkEnd w:id="1036"/>
      <w:bookmarkEnd w:id="1038"/>
    </w:p>
    <w:p>
      <w:pPr>
        <w:pStyle w:val="Style35"/>
        <w:keepNext w:val="0"/>
        <w:keepLines w:val="0"/>
        <w:widowControl w:val="0"/>
        <w:shd w:val="clear" w:color="auto" w:fill="auto"/>
        <w:bidi w:val="0"/>
        <w:spacing w:before="0" w:after="660" w:line="307" w:lineRule="exact"/>
        <w:ind w:left="0" w:right="0" w:firstLine="0"/>
        <w:jc w:val="left"/>
        <w:rPr>
          <w:sz w:val="22"/>
          <w:szCs w:val="22"/>
        </w:rPr>
      </w:pPr>
      <w:r>
        <w:rPr>
          <w:color w:val="000000"/>
          <w:spacing w:val="0"/>
          <w:w w:val="100"/>
          <w:position w:val="0"/>
          <w:sz w:val="22"/>
          <w:szCs w:val="22"/>
        </w:rPr>
        <w:t>本期按预付对象归集的期末余额前五名预付款项汇总金额</w:t>
      </w:r>
      <w:r>
        <w:rPr>
          <w:rFonts w:ascii="Times New Roman" w:eastAsia="Times New Roman" w:hAnsi="Times New Roman" w:cs="Times New Roman"/>
          <w:color w:val="000000"/>
          <w:spacing w:val="0"/>
          <w:w w:val="100"/>
          <w:position w:val="0"/>
          <w:sz w:val="24"/>
          <w:szCs w:val="24"/>
        </w:rPr>
        <w:t>4,808,330.68</w:t>
      </w:r>
      <w:r>
        <w:rPr>
          <w:color w:val="000000"/>
          <w:spacing w:val="0"/>
          <w:w w:val="100"/>
          <w:position w:val="0"/>
          <w:sz w:val="22"/>
          <w:szCs w:val="22"/>
        </w:rPr>
        <w:t>元，占预付款项期末余 额合计数的比例</w:t>
      </w:r>
      <w:r>
        <w:rPr>
          <w:rFonts w:ascii="Times New Roman" w:eastAsia="Times New Roman" w:hAnsi="Times New Roman" w:cs="Times New Roman"/>
          <w:color w:val="000000"/>
          <w:spacing w:val="0"/>
          <w:w w:val="100"/>
          <w:position w:val="0"/>
          <w:sz w:val="24"/>
          <w:szCs w:val="24"/>
        </w:rPr>
        <w:t>43.90%</w:t>
      </w:r>
      <w:r>
        <w:rPr>
          <w:color w:val="000000"/>
          <w:spacing w:val="0"/>
          <w:w w:val="100"/>
          <w:position w:val="0"/>
          <w:sz w:val="22"/>
          <w:szCs w:val="22"/>
        </w:rPr>
        <w:t>。</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5</w:t>
      </w:r>
      <w:bookmarkEnd w:id="1041"/>
      <w:r>
        <w:rPr>
          <w:color w:val="000000"/>
          <w:spacing w:val="0"/>
          <w:w w:val="100"/>
          <w:position w:val="0"/>
        </w:rPr>
        <w:t>、应收利息</w:t>
      </w:r>
      <w:bookmarkEnd w:id="1039"/>
      <w:bookmarkEnd w:id="1040"/>
      <w:bookmarkEnd w:id="1042"/>
    </w:p>
    <w:p>
      <w:pPr>
        <w:pStyle w:val="Style45"/>
        <w:keepNext/>
        <w:keepLines/>
        <w:widowControl w:val="0"/>
        <w:numPr>
          <w:ilvl w:val="0"/>
          <w:numId w:val="55"/>
        </w:numPr>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应收利息分类</w:t>
      </w:r>
      <w:bookmarkEnd w:id="1043"/>
      <w:bookmarkEnd w:id="1044"/>
      <w:bookmarkEnd w:id="10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746,391.67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746,391.67</w:t>
            </w:r>
          </w:p>
        </w:tc>
      </w:tr>
    </w:tbl>
    <w:p>
      <w:pPr>
        <w:widowControl w:val="0"/>
        <w:spacing w:after="339" w:line="1" w:lineRule="exact"/>
      </w:pPr>
    </w:p>
    <w:p>
      <w:pPr>
        <w:pStyle w:val="Style45"/>
        <w:keepNext/>
        <w:keepLines/>
        <w:widowControl w:val="0"/>
        <w:numPr>
          <w:ilvl w:val="0"/>
          <w:numId w:val="55"/>
        </w:numPr>
        <w:shd w:val="clear" w:color="auto" w:fill="auto"/>
        <w:bidi w:val="0"/>
        <w:spacing w:before="0" w:after="340" w:line="240" w:lineRule="auto"/>
        <w:ind w:left="0" w:right="0" w:firstLine="14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重要逾期利息</w:t>
      </w:r>
      <w:bookmarkEnd w:id="1047"/>
      <w:bookmarkEnd w:id="1048"/>
      <w:bookmarkEnd w:id="1050"/>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6</w:t>
      </w:r>
      <w:bookmarkEnd w:id="1053"/>
      <w:r>
        <w:rPr>
          <w:color w:val="000000"/>
          <w:spacing w:val="0"/>
          <w:w w:val="100"/>
          <w:position w:val="0"/>
        </w:rPr>
        <w:t>、其他应收款</w:t>
      </w:r>
      <w:bookmarkEnd w:id="1051"/>
      <w:bookmarkEnd w:id="1052"/>
      <w:bookmarkEnd w:id="1054"/>
    </w:p>
    <w:p>
      <w:pPr>
        <w:pStyle w:val="Style45"/>
        <w:keepNext/>
        <w:keepLines/>
        <w:widowControl w:val="0"/>
        <w:numPr>
          <w:ilvl w:val="0"/>
          <w:numId w:val="57"/>
        </w:numPr>
        <w:shd w:val="clear" w:color="auto" w:fill="auto"/>
        <w:bidi w:val="0"/>
        <w:spacing w:before="0" w:after="340" w:line="240" w:lineRule="auto"/>
        <w:ind w:left="0" w:right="0" w:firstLine="14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其他应收款分类披露</w:t>
      </w:r>
      <w:bookmarkEnd w:id="1055"/>
      <w:bookmarkEnd w:id="1056"/>
      <w:bookmarkEnd w:id="105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7,969,726.6</w:t>
            </w:r>
          </w:p>
        </w:tc>
      </w:tr>
    </w:tbl>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6" w:lineRule="exact"/>
        <w:ind w:left="0" w:right="0" w:firstLine="0"/>
        <w:jc w:val="both"/>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539,703.42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26,985.17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1,019,703.42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确定该组合依据的说明：</w:t>
      </w:r>
    </w:p>
    <w:p>
      <w:pPr>
        <w:pStyle w:val="Style35"/>
        <w:keepNext w:val="0"/>
        <w:keepLines w:val="0"/>
        <w:widowControl w:val="0"/>
        <w:shd w:val="clear" w:color="auto" w:fill="auto"/>
        <w:bidi w:val="0"/>
        <w:spacing w:before="0" w:after="540" w:line="319" w:lineRule="exact"/>
        <w:ind w:left="0" w:right="0" w:firstLine="0"/>
        <w:jc w:val="both"/>
      </w:pPr>
      <w:r>
        <w:rPr>
          <w:color w:val="000000"/>
          <w:spacing w:val="0"/>
          <w:w w:val="100"/>
          <w:position w:val="0"/>
        </w:rPr>
        <w:t>组合中按账龄分析法计提坏账准的是除组合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合并范围内的关联方的其他应收款、组合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其他应收款之应收 备用金、组合</w:t>
      </w:r>
      <w:r>
        <w:rPr>
          <w:rFonts w:ascii="Times New Roman" w:eastAsia="Times New Roman" w:hAnsi="Times New Roman" w:cs="Times New Roman"/>
          <w:color w:val="000000"/>
          <w:spacing w:val="0"/>
          <w:w w:val="100"/>
          <w:position w:val="0"/>
        </w:rPr>
        <w:t>4</w:t>
      </w:r>
      <w:r>
        <w:rPr>
          <w:color w:val="000000"/>
          <w:spacing w:val="0"/>
          <w:w w:val="100"/>
          <w:position w:val="0"/>
        </w:rPr>
        <w:t>其他应收款之应收保证金之外的其他应收款。对组合</w:t>
      </w:r>
      <w:r>
        <w:rPr>
          <w:rFonts w:ascii="Times New Roman" w:eastAsia="Times New Roman" w:hAnsi="Times New Roman" w:cs="Times New Roman"/>
          <w:color w:val="000000"/>
          <w:spacing w:val="0"/>
          <w:w w:val="100"/>
          <w:position w:val="0"/>
        </w:rPr>
        <w:t>2</w:t>
      </w:r>
      <w:r>
        <w:rPr>
          <w:color w:val="000000"/>
          <w:spacing w:val="0"/>
          <w:w w:val="100"/>
          <w:position w:val="0"/>
        </w:rPr>
        <w:t>不计提坏账准备，对组合</w:t>
      </w:r>
      <w:r>
        <w:rPr>
          <w:rFonts w:ascii="Times New Roman" w:eastAsia="Times New Roman" w:hAnsi="Times New Roman" w:cs="Times New Roman"/>
          <w:color w:val="000000"/>
          <w:spacing w:val="0"/>
          <w:w w:val="100"/>
          <w:position w:val="0"/>
        </w:rPr>
        <w:t>3</w:t>
      </w: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按 个别认定法根据具体情况确定坏账准备计提比例。</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采用其他方法计提坏账准备的其他应收款包括组合</w:t>
      </w:r>
      <w:r>
        <w:rPr>
          <w:rFonts w:ascii="Arial Unicode MS" w:eastAsia="Arial Unicode MS" w:hAnsi="Arial Unicode MS" w:cs="Arial Unicode MS"/>
          <w:color w:val="000000"/>
          <w:spacing w:val="0"/>
          <w:w w:val="100"/>
          <w:position w:val="0"/>
          <w:sz w:val="18"/>
          <w:szCs w:val="18"/>
        </w:rPr>
        <w:t>3</w:t>
      </w:r>
      <w:r>
        <w:rPr>
          <w:color w:val="000000"/>
          <w:spacing w:val="0"/>
          <w:w w:val="100"/>
          <w:position w:val="0"/>
        </w:rPr>
        <w:t>其他应收款之应收备用金、组合</w:t>
      </w:r>
      <w:r>
        <w:rPr>
          <w:rFonts w:ascii="Arial Unicode MS" w:eastAsia="Arial Unicode MS" w:hAnsi="Arial Unicode MS" w:cs="Arial Unicode MS"/>
          <w:color w:val="000000"/>
          <w:spacing w:val="0"/>
          <w:w w:val="100"/>
          <w:position w:val="0"/>
          <w:sz w:val="18"/>
          <w:szCs w:val="18"/>
        </w:rPr>
        <w:t>4</w:t>
      </w:r>
      <w:r>
        <w:rPr>
          <w:color w:val="000000"/>
          <w:spacing w:val="0"/>
          <w:w w:val="100"/>
          <w:position w:val="0"/>
        </w:rPr>
        <w:t>其他应收款之应收保 证金，按个别认定法根据具体情况确定坏账计提比例，具体的明细如下：</w:t>
      </w:r>
    </w:p>
    <w:tbl>
      <w:tblPr>
        <w:tblOverlap w:val="never"/>
        <w:jc w:val="left"/>
        <w:tblLayout w:type="fixed"/>
      </w:tblPr>
      <w:tblGrid>
        <w:gridCol w:w="2832"/>
        <w:gridCol w:w="1430"/>
        <w:gridCol w:w="1214"/>
        <w:gridCol w:w="1301"/>
        <w:gridCol w:w="146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r>
              <w:rPr>
                <w:b/>
                <w:bCs/>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：应收员工备用金等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149,128.33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149,128.33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：应收保证金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9,501,979.10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9,501,979.10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9,651,107.43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9,651,107.43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9"/>
      <w:bookmarkEnd w:id="1060"/>
      <w:bookmarkEnd w:id="106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228,122.97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442,700.00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5"/>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63"/>
      <w:bookmarkEnd w:id="1064"/>
      <w:bookmarkEnd w:id="10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225,380.00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西安中格电力设备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225,380.00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法院驳回诉讼后确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根据第三届董事会 第二十三次会议决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225,380.00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5"/>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67"/>
      <w:bookmarkEnd w:id="1068"/>
      <w:bookmarkEnd w:id="107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9,501,979.10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6,662,762.46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1,867,625.49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10,731,683.69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8,613,541.64</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71"/>
      <w:bookmarkEnd w:id="1072"/>
      <w:bookmarkEnd w:id="107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卧龙控股集团有限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兰州文远物资有限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海南电网有限责任 公司物流服务中心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166,000.00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255,000.00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宁波三维电测设备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bl>
    <w:p>
      <w:pPr>
        <w:sectPr>
          <w:headerReference w:type="default" r:id="rId13"/>
          <w:footerReference w:type="default" r:id="rId14"/>
          <w:footnotePr>
            <w:pos w:val="pageBottom"/>
            <w:numFmt w:val="decimal"/>
            <w:numRestart w:val="continuous"/>
          </w:footnotePr>
          <w:pgSz w:w="11900" w:h="16840"/>
          <w:pgMar w:top="1441" w:right="1108" w:bottom="1523" w:left="1106"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1598"/>
        <w:gridCol w:w="1594"/>
        <w:gridCol w:w="1594"/>
        <w:gridCol w:w="1594"/>
        <w:gridCol w:w="1598"/>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w:t>
      </w:r>
      <w:bookmarkEnd w:id="107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75"/>
      <w:bookmarkEnd w:id="1076"/>
      <w:bookmarkEnd w:id="10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45"/>
        <w:keepNext/>
        <w:keepLines/>
        <w:widowControl w:val="0"/>
        <w:shd w:val="clear" w:color="auto" w:fill="auto"/>
        <w:tabs>
          <w:tab w:pos="493" w:val="left"/>
        </w:tabs>
        <w:bidi w:val="0"/>
        <w:spacing w:before="0" w:after="34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79"/>
      <w:bookmarkEnd w:id="1080"/>
      <w:bookmarkEnd w:id="1082"/>
    </w:p>
    <w:p>
      <w:pPr>
        <w:pStyle w:val="Style45"/>
        <w:keepNext/>
        <w:keepLines/>
        <w:widowControl w:val="0"/>
        <w:shd w:val="clear" w:color="auto" w:fill="auto"/>
        <w:tabs>
          <w:tab w:pos="493" w:val="left"/>
        </w:tabs>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83"/>
      <w:bookmarkEnd w:id="1084"/>
      <w:bookmarkEnd w:id="108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7</w:t>
      </w:r>
      <w:bookmarkEnd w:id="1089"/>
      <w:r>
        <w:rPr>
          <w:color w:val="000000"/>
          <w:spacing w:val="0"/>
          <w:w w:val="100"/>
          <w:position w:val="0"/>
        </w:rPr>
        <w:t>、存货</w:t>
      </w:r>
      <w:bookmarkEnd w:id="1087"/>
      <w:bookmarkEnd w:id="1088"/>
      <w:bookmarkEnd w:id="109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after="34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1"/>
      <w:bookmarkEnd w:id="1092"/>
      <w:bookmarkEnd w:id="10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17,593,422.23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1,723,287.29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15,870,134.94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20,462,393.22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1,816,602.41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18,645,790.81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7,784,918.21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7,784,918.21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9,040,710.02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9,040,710.02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18,017,335.86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784,839.99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17,232,495.87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21,395,910.43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1,551,164.20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19,844,746.23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19,532,011.87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626,509.69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18,905,502.18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11,091,469.15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11,091,469.15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751,950.03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24,044.09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63,679,638.20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3,134,636.97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60,545,001.23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62,014,526.91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3,367,766.61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58,646,760.30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5"/>
      <w:bookmarkEnd w:id="1096"/>
      <w:bookmarkEnd w:id="1098"/>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1,816,602.41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382,216.16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1,723,287.29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1,551,164.20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580,719.56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1,347,043.77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784,839.99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626,509.69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626,509.69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3,367,766.61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1,589,445.41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1,822,575.05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3,134,636.97</w:t>
            </w:r>
          </w:p>
        </w:tc>
      </w:tr>
    </w:tbl>
    <w:p>
      <w:pPr>
        <w:pStyle w:val="Style45"/>
        <w:keepNext/>
        <w:keepLines/>
        <w:widowControl w:val="0"/>
        <w:numPr>
          <w:ilvl w:val="0"/>
          <w:numId w:val="55"/>
        </w:numPr>
        <w:shd w:val="clear" w:color="auto" w:fill="auto"/>
        <w:tabs>
          <w:tab w:pos="633" w:val="left"/>
        </w:tabs>
        <w:bidi w:val="0"/>
        <w:spacing w:before="0" w:line="240" w:lineRule="auto"/>
        <w:ind w:left="0" w:right="0" w:firstLine="140"/>
        <w:jc w:val="left"/>
      </w:pPr>
      <w:r>
        <mc:AlternateContent>
          <mc:Choice Requires="wps">
            <w:drawing>
              <wp:anchor distT="3175" distB="1615440" distL="248285" distR="5247005" simplePos="0" relativeHeight="125829396" behindDoc="0" locked="0" layoutInCell="1" allowOverlap="1">
                <wp:simplePos x="0" y="0"/>
                <wp:positionH relativeFrom="page">
                  <wp:posOffset>847725</wp:posOffset>
                </wp:positionH>
                <wp:positionV relativeFrom="margin">
                  <wp:posOffset>1825625</wp:posOffset>
                </wp:positionV>
                <wp:extent cx="640080" cy="194945"/>
                <wp:wrapTopAndBottom/>
                <wp:docPr id="42" name="Shape 42"/>
                <a:graphic xmlns:a="http://schemas.openxmlformats.org/drawingml/2006/main">
                  <a:graphicData uri="http://schemas.microsoft.com/office/word/2010/wordprocessingShape">
                    <wps:wsp>
                      <wps:cNvSpPr txBox="1"/>
                      <wps:spPr>
                        <a:xfrm>
                          <a:ext cx="640080" cy="19494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存货种类</w:t>
                            </w:r>
                          </w:p>
                        </w:txbxContent>
                      </wps:txbx>
                      <wps:bodyPr wrap="none" lIns="0" tIns="0" rIns="0" bIns="0">
                        <a:noAutoFit/>
                      </wps:bodyPr>
                    </wps:wsp>
                  </a:graphicData>
                </a:graphic>
              </wp:anchor>
            </w:drawing>
          </mc:Choice>
          <mc:Fallback>
            <w:pict>
              <v:shape id="_x0000_s1068" type="#_x0000_t202" style="position:absolute;margin-left:66.75pt;margin-top:143.75pt;width:50.399999999999999pt;height:15.35pt;z-index:-125829357;mso-wrap-distance-left:19.550000000000001pt;mso-wrap-distance-top:0.25pt;mso-wrap-distance-right:413.15000000000003pt;mso-wrap-distance-bottom:127.2pt;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存货种类</w:t>
                      </w:r>
                    </w:p>
                  </w:txbxContent>
                </v:textbox>
                <w10:wrap type="topAndBottom" anchorx="page" anchory="margin"/>
              </v:shape>
            </w:pict>
          </mc:Fallback>
        </mc:AlternateContent>
      </w:r>
      <w:r>
        <mc:AlternateContent>
          <mc:Choice Requires="wps">
            <w:drawing>
              <wp:anchor distT="417830" distB="1209675" distL="120650" distR="5535930" simplePos="0" relativeHeight="125829398" behindDoc="0" locked="0" layoutInCell="1" allowOverlap="1">
                <wp:simplePos x="0" y="0"/>
                <wp:positionH relativeFrom="page">
                  <wp:posOffset>720090</wp:posOffset>
                </wp:positionH>
                <wp:positionV relativeFrom="margin">
                  <wp:posOffset>2240280</wp:posOffset>
                </wp:positionV>
                <wp:extent cx="478790" cy="186055"/>
                <wp:wrapTopAndBottom/>
                <wp:docPr id="44" name="Shape 44"/>
                <a:graphic xmlns:a="http://schemas.openxmlformats.org/drawingml/2006/main">
                  <a:graphicData uri="http://schemas.microsoft.com/office/word/2010/wordprocessingShape">
                    <wps:wsp>
                      <wps:cNvSpPr txBox="1"/>
                      <wps:spPr>
                        <a:xfrm>
                          <a:ext cx="478790" cy="18605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原材料</w:t>
                            </w:r>
                          </w:p>
                        </w:txbxContent>
                      </wps:txbx>
                      <wps:bodyPr wrap="none" lIns="0" tIns="0" rIns="0" bIns="0">
                        <a:noAutoFit/>
                      </wps:bodyPr>
                    </wps:wsp>
                  </a:graphicData>
                </a:graphic>
              </wp:anchor>
            </w:drawing>
          </mc:Choice>
          <mc:Fallback>
            <w:pict>
              <v:shape id="_x0000_s1070" type="#_x0000_t202" style="position:absolute;margin-left:56.700000000000003pt;margin-top:176.40000000000001pt;width:37.700000000000003pt;height:14.65pt;z-index:-125829355;mso-wrap-distance-left:9.5pt;mso-wrap-distance-top:32.899999999999999pt;mso-wrap-distance-right:435.90000000000003pt;mso-wrap-distance-bottom:95.25pt;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原材料</w:t>
                      </w:r>
                    </w:p>
                  </w:txbxContent>
                </v:textbox>
                <w10:wrap type="topAndBottom" anchorx="page" anchory="margin"/>
              </v:shape>
            </w:pict>
          </mc:Fallback>
        </mc:AlternateContent>
      </w:r>
      <w:r>
        <mc:AlternateContent>
          <mc:Choice Requires="wps">
            <w:drawing>
              <wp:anchor distT="0" distB="816610" distL="2080260" distR="2080260" simplePos="0" relativeHeight="125829400" behindDoc="0" locked="0" layoutInCell="1" allowOverlap="1">
                <wp:simplePos x="0" y="0"/>
                <wp:positionH relativeFrom="page">
                  <wp:posOffset>2679700</wp:posOffset>
                </wp:positionH>
                <wp:positionV relativeFrom="margin">
                  <wp:posOffset>1822450</wp:posOffset>
                </wp:positionV>
                <wp:extent cx="1974850" cy="996950"/>
                <wp:wrapTopAndBottom/>
                <wp:docPr id="46" name="Shape 46"/>
                <a:graphic xmlns:a="http://schemas.openxmlformats.org/drawingml/2006/main">
                  <a:graphicData uri="http://schemas.microsoft.com/office/word/2010/wordprocessingShape">
                    <wps:wsp>
                      <wps:cNvSpPr txBox="1"/>
                      <wps:spPr>
                        <a:xfrm>
                          <a:ext cx="1974850" cy="996950"/>
                        </a:xfrm>
                        <a:prstGeom prst="rect"/>
                        <a:noFill/>
                      </wps:spPr>
                      <wps:txbx>
                        <w:txbxContent>
                          <w:p>
                            <w:pPr>
                              <w:pStyle w:val="Style35"/>
                              <w:keepNext w:val="0"/>
                              <w:keepLines w:val="0"/>
                              <w:widowControl w:val="0"/>
                              <w:pBdr>
                                <w:bottom w:val="single" w:sz="4" w:space="0" w:color="auto"/>
                              </w:pBdr>
                              <w:shd w:val="clear" w:color="auto" w:fill="auto"/>
                              <w:bidi w:val="0"/>
                              <w:spacing w:before="0" w:after="0" w:line="314" w:lineRule="exact"/>
                              <w:ind w:left="0" w:right="0" w:firstLine="1160"/>
                              <w:jc w:val="both"/>
                            </w:pPr>
                            <w:r>
                              <w:rPr>
                                <w:b/>
                                <w:bCs/>
                                <w:color w:val="000000"/>
                                <w:spacing w:val="0"/>
                                <w:w w:val="100"/>
                                <w:position w:val="0"/>
                                <w:sz w:val="24"/>
                                <w:szCs w:val="24"/>
                              </w:rPr>
                              <w:t xml:space="preserve">确定可变现净值的 </w:t>
                            </w:r>
                            <w:r>
                              <w:rPr>
                                <w:b/>
                                <w:bCs/>
                                <w:color w:val="000000"/>
                                <w:spacing w:val="0"/>
                                <w:w w:val="100"/>
                                <w:position w:val="0"/>
                                <w:sz w:val="24"/>
                                <w:szCs w:val="24"/>
                                <w:u w:val="single"/>
                              </w:rPr>
                              <w:t xml:space="preserve">具体依据 </w:t>
                            </w:r>
                            <w:r>
                              <w:rPr>
                                <w:color w:val="000000"/>
                                <w:spacing w:val="0"/>
                                <w:w w:val="100"/>
                                <w:position w:val="0"/>
                              </w:rPr>
                              <w:t>估计的售价减去至完工时估计 将要发生的成本、估计的销售费 用以及相关税费</w:t>
                            </w:r>
                          </w:p>
                        </w:txbxContent>
                      </wps:txbx>
                      <wps:bodyPr lIns="0" tIns="0" rIns="0" bIns="0">
                        <a:noAutoFit/>
                      </wps:bodyPr>
                    </wps:wsp>
                  </a:graphicData>
                </a:graphic>
              </wp:anchor>
            </w:drawing>
          </mc:Choice>
          <mc:Fallback>
            <w:pict>
              <v:shape id="_x0000_s1072" type="#_x0000_t202" style="position:absolute;margin-left:211.pt;margin-top:143.5pt;width:155.5pt;height:78.5pt;z-index:-125829353;mso-wrap-distance-left:163.80000000000001pt;mso-wrap-distance-right:163.80000000000001pt;mso-wrap-distance-bottom:64.299999999999997pt;mso-position-horizontal-relative:page;mso-position-vertical-relative:margin" filled="f" stroked="f">
                <v:textbox inset="0,0,0,0">
                  <w:txbxContent>
                    <w:p>
                      <w:pPr>
                        <w:pStyle w:val="Style35"/>
                        <w:keepNext w:val="0"/>
                        <w:keepLines w:val="0"/>
                        <w:widowControl w:val="0"/>
                        <w:pBdr>
                          <w:bottom w:val="single" w:sz="4" w:space="0" w:color="auto"/>
                        </w:pBdr>
                        <w:shd w:val="clear" w:color="auto" w:fill="auto"/>
                        <w:bidi w:val="0"/>
                        <w:spacing w:before="0" w:after="0" w:line="314" w:lineRule="exact"/>
                        <w:ind w:left="0" w:right="0" w:firstLine="1160"/>
                        <w:jc w:val="both"/>
                      </w:pPr>
                      <w:r>
                        <w:rPr>
                          <w:b/>
                          <w:bCs/>
                          <w:color w:val="000000"/>
                          <w:spacing w:val="0"/>
                          <w:w w:val="100"/>
                          <w:position w:val="0"/>
                          <w:sz w:val="24"/>
                          <w:szCs w:val="24"/>
                        </w:rPr>
                        <w:t xml:space="preserve">确定可变现净值的 </w:t>
                      </w:r>
                      <w:r>
                        <w:rPr>
                          <w:b/>
                          <w:bCs/>
                          <w:color w:val="000000"/>
                          <w:spacing w:val="0"/>
                          <w:w w:val="100"/>
                          <w:position w:val="0"/>
                          <w:sz w:val="24"/>
                          <w:szCs w:val="24"/>
                          <w:u w:val="single"/>
                        </w:rPr>
                        <w:t xml:space="preserve">具体依据 </w:t>
                      </w:r>
                      <w:r>
                        <w:rPr>
                          <w:color w:val="000000"/>
                          <w:spacing w:val="0"/>
                          <w:w w:val="100"/>
                          <w:position w:val="0"/>
                        </w:rPr>
                        <w:t>估计的售价减去至完工时估计 将要发生的成本、估计的销售费 用以及相关税费</w:t>
                      </w:r>
                    </w:p>
                  </w:txbxContent>
                </v:textbox>
                <w10:wrap type="topAndBottom" anchorx="page" anchory="margin"/>
              </v:shape>
            </w:pict>
          </mc:Fallback>
        </mc:AlternateContent>
      </w:r>
      <w:r>
        <mc:AlternateContent>
          <mc:Choice Requires="wps">
            <w:drawing>
              <wp:anchor distT="0" distB="1398905" distL="4618990" distR="114300" simplePos="0" relativeHeight="125829402" behindDoc="0" locked="0" layoutInCell="1" allowOverlap="1">
                <wp:simplePos x="0" y="0"/>
                <wp:positionH relativeFrom="page">
                  <wp:posOffset>5218430</wp:posOffset>
                </wp:positionH>
                <wp:positionV relativeFrom="margin">
                  <wp:posOffset>1822450</wp:posOffset>
                </wp:positionV>
                <wp:extent cx="1402080" cy="414655"/>
                <wp:wrapTopAndBottom/>
                <wp:docPr id="48" name="Shape 48"/>
                <a:graphic xmlns:a="http://schemas.openxmlformats.org/drawingml/2006/main">
                  <a:graphicData uri="http://schemas.microsoft.com/office/word/2010/wordprocessingShape">
                    <wps:wsp>
                      <wps:cNvSpPr txBox="1"/>
                      <wps:spPr>
                        <a:xfrm>
                          <a:ext cx="1402080" cy="414655"/>
                        </a:xfrm>
                        <a:prstGeom prst="rect"/>
                        <a:noFill/>
                      </wps:spPr>
                      <wps:txbx>
                        <w:txbxContent>
                          <w:p>
                            <w:pPr>
                              <w:pStyle w:val="Style81"/>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本期转回或转销 存货跌价准备的原因</w:t>
                            </w:r>
                          </w:p>
                        </w:txbxContent>
                      </wps:txbx>
                      <wps:bodyPr lIns="0" tIns="0" rIns="0" bIns="0">
                        <a:noAutoFit/>
                      </wps:bodyPr>
                    </wps:wsp>
                  </a:graphicData>
                </a:graphic>
              </wp:anchor>
            </w:drawing>
          </mc:Choice>
          <mc:Fallback>
            <w:pict>
              <v:shape id="_x0000_s1074" type="#_x0000_t202" style="position:absolute;margin-left:410.90000000000003pt;margin-top:143.5pt;width:110.40000000000001pt;height:32.649999999999999pt;z-index:-125829351;mso-wrap-distance-left:363.69999999999999pt;mso-wrap-distance-right:9.pt;mso-wrap-distance-bottom:110.15000000000001pt;mso-position-horizontal-relative:page;mso-position-vertical-relative:margin" filled="f" stroked="f">
                <v:textbox inset="0,0,0,0">
                  <w:txbxContent>
                    <w:p>
                      <w:pPr>
                        <w:pStyle w:val="Style81"/>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本期转回或转销 存货跌价准备的原因</w:t>
                      </w:r>
                    </w:p>
                  </w:txbxContent>
                </v:textbox>
                <w10:wrap type="topAndBottom" anchorx="page" anchory="margin"/>
              </v:shape>
            </w:pict>
          </mc:Fallback>
        </mc:AlternateContent>
      </w:r>
      <w:r>
        <mc:AlternateContent>
          <mc:Choice Requires="wps">
            <w:drawing>
              <wp:anchor distT="426720" distB="1219200" distL="5466715" distR="113665" simplePos="0" relativeHeight="125829404" behindDoc="0" locked="0" layoutInCell="1" allowOverlap="1">
                <wp:simplePos x="0" y="0"/>
                <wp:positionH relativeFrom="page">
                  <wp:posOffset>6066155</wp:posOffset>
                </wp:positionH>
                <wp:positionV relativeFrom="margin">
                  <wp:posOffset>2249170</wp:posOffset>
                </wp:positionV>
                <wp:extent cx="554990" cy="167640"/>
                <wp:wrapTopAndBottom/>
                <wp:docPr id="50" name="Shape 50"/>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xbxContent>
                      </wps:txbx>
                      <wps:bodyPr wrap="none" lIns="0" tIns="0" rIns="0" bIns="0">
                        <a:noAutoFit/>
                      </wps:bodyPr>
                    </wps:wsp>
                  </a:graphicData>
                </a:graphic>
              </wp:anchor>
            </w:drawing>
          </mc:Choice>
          <mc:Fallback>
            <w:pict>
              <v:shape id="_x0000_s1076" type="#_x0000_t202" style="position:absolute;margin-left:477.65000000000003pt;margin-top:177.09999999999999pt;width:43.700000000000003pt;height:13.200000000000001pt;z-index:-125829349;mso-wrap-distance-left:430.44999999999999pt;mso-wrap-distance-top:33.600000000000001pt;mso-wrap-distance-right:8.9500000000000011pt;mso-wrap-distance-bottom:96.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xbxContent>
                </v:textbox>
                <w10:wrap type="topAndBottom" anchorx="page" anchory="margin"/>
              </v:shape>
            </w:pict>
          </mc:Fallback>
        </mc:AlternateContent>
      </w:r>
      <w:r>
        <mc:AlternateContent>
          <mc:Choice Requires="wps">
            <w:drawing>
              <wp:anchor distT="1027430" distB="600075" distL="117475" distR="5386705" simplePos="0" relativeHeight="125829406" behindDoc="0" locked="0" layoutInCell="1" allowOverlap="1">
                <wp:simplePos x="0" y="0"/>
                <wp:positionH relativeFrom="page">
                  <wp:posOffset>716915</wp:posOffset>
                </wp:positionH>
                <wp:positionV relativeFrom="margin">
                  <wp:posOffset>2849880</wp:posOffset>
                </wp:positionV>
                <wp:extent cx="631190" cy="186055"/>
                <wp:wrapTopAndBottom/>
                <wp:docPr id="52" name="Shape 52"/>
                <a:graphic xmlns:a="http://schemas.openxmlformats.org/drawingml/2006/main">
                  <a:graphicData uri="http://schemas.microsoft.com/office/word/2010/wordprocessingShape">
                    <wps:wsp>
                      <wps:cNvSpPr txBox="1"/>
                      <wps:spPr>
                        <a:xfrm>
                          <a:ext cx="631190"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发出商品</w:t>
                            </w:r>
                          </w:p>
                        </w:txbxContent>
                      </wps:txbx>
                      <wps:bodyPr wrap="none" lIns="0" tIns="0" rIns="0" bIns="0">
                        <a:noAutoFit/>
                      </wps:bodyPr>
                    </wps:wsp>
                  </a:graphicData>
                </a:graphic>
              </wp:anchor>
            </w:drawing>
          </mc:Choice>
          <mc:Fallback>
            <w:pict>
              <v:shape id="_x0000_s1078" type="#_x0000_t202" style="position:absolute;margin-left:56.450000000000003pt;margin-top:224.40000000000001pt;width:49.700000000000003pt;height:14.65pt;z-index:-125829347;mso-wrap-distance-left:9.25pt;mso-wrap-distance-top:80.900000000000006pt;mso-wrap-distance-right:424.15000000000003pt;mso-wrap-distance-bottom:47.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发出商品</w:t>
                      </w:r>
                    </w:p>
                  </w:txbxContent>
                </v:textbox>
                <w10:wrap type="topAndBottom" anchorx="page" anchory="margin"/>
              </v:shape>
            </w:pict>
          </mc:Fallback>
        </mc:AlternateContent>
      </w:r>
      <w:r>
        <mc:AlternateContent>
          <mc:Choice Requires="wps">
            <w:drawing>
              <wp:anchor distT="999490" distB="411480" distL="2080260" distR="2168525" simplePos="0" relativeHeight="125829408" behindDoc="0" locked="0" layoutInCell="1" allowOverlap="1">
                <wp:simplePos x="0" y="0"/>
                <wp:positionH relativeFrom="page">
                  <wp:posOffset>2679700</wp:posOffset>
                </wp:positionH>
                <wp:positionV relativeFrom="margin">
                  <wp:posOffset>2821940</wp:posOffset>
                </wp:positionV>
                <wp:extent cx="1886585" cy="402590"/>
                <wp:wrapTopAndBottom/>
                <wp:docPr id="54" name="Shape 54"/>
                <a:graphic xmlns:a="http://schemas.openxmlformats.org/drawingml/2006/main">
                  <a:graphicData uri="http://schemas.microsoft.com/office/word/2010/wordprocessingShape">
                    <wps:wsp>
                      <wps:cNvSpPr txBox="1"/>
                      <wps:spPr>
                        <a:xfrm>
                          <a:ext cx="1886585" cy="402590"/>
                        </a:xfrm>
                        <a:prstGeom prst="rect"/>
                        <a:noFill/>
                      </wps:spPr>
                      <wps:txbx>
                        <w:txbxContent>
                          <w:p>
                            <w:pPr>
                              <w:pStyle w:val="Style35"/>
                              <w:keepNext w:val="0"/>
                              <w:keepLines w:val="0"/>
                              <w:widowControl w:val="0"/>
                              <w:pBdr>
                                <w:bottom w:val="single" w:sz="4" w:space="0" w:color="auto"/>
                              </w:pBdr>
                              <w:shd w:val="clear" w:color="auto" w:fill="auto"/>
                              <w:bidi w:val="0"/>
                              <w:spacing w:before="0" w:after="0" w:line="307" w:lineRule="exact"/>
                              <w:ind w:left="0" w:right="0" w:firstLine="0"/>
                              <w:jc w:val="left"/>
                            </w:pPr>
                            <w:r>
                              <w:rPr>
                                <w:color w:val="000000"/>
                                <w:spacing w:val="0"/>
                                <w:w w:val="100"/>
                                <w:position w:val="0"/>
                              </w:rPr>
                              <w:t>估计的售价减去估计的销售费 用及相关税费</w:t>
                            </w:r>
                          </w:p>
                        </w:txbxContent>
                      </wps:txbx>
                      <wps:bodyPr lIns="0" tIns="0" rIns="0" bIns="0">
                        <a:noAutoFit/>
                      </wps:bodyPr>
                    </wps:wsp>
                  </a:graphicData>
                </a:graphic>
              </wp:anchor>
            </w:drawing>
          </mc:Choice>
          <mc:Fallback>
            <w:pict>
              <v:shape id="_x0000_s1080" type="#_x0000_t202" style="position:absolute;margin-left:211.pt;margin-top:222.20000000000002pt;width:148.55000000000001pt;height:31.699999999999999pt;z-index:-125829345;mso-wrap-distance-left:163.80000000000001pt;mso-wrap-distance-top:78.700000000000003pt;mso-wrap-distance-right:170.75pt;mso-wrap-distance-bottom:32.399999999999999pt;mso-position-horizontal-relative:page;mso-position-vertical-relative:margin" filled="f" stroked="f">
                <v:textbox inset="0,0,0,0">
                  <w:txbxContent>
                    <w:p>
                      <w:pPr>
                        <w:pStyle w:val="Style35"/>
                        <w:keepNext w:val="0"/>
                        <w:keepLines w:val="0"/>
                        <w:widowControl w:val="0"/>
                        <w:pBdr>
                          <w:bottom w:val="single" w:sz="4" w:space="0" w:color="auto"/>
                        </w:pBdr>
                        <w:shd w:val="clear" w:color="auto" w:fill="auto"/>
                        <w:bidi w:val="0"/>
                        <w:spacing w:before="0" w:after="0" w:line="307" w:lineRule="exact"/>
                        <w:ind w:left="0" w:right="0" w:firstLine="0"/>
                        <w:jc w:val="left"/>
                      </w:pPr>
                      <w:r>
                        <w:rPr>
                          <w:color w:val="000000"/>
                          <w:spacing w:val="0"/>
                          <w:w w:val="100"/>
                          <w:position w:val="0"/>
                        </w:rPr>
                        <w:t>估计的售价减去估计的销售费 用及相关税费</w:t>
                      </w:r>
                    </w:p>
                  </w:txbxContent>
                </v:textbox>
                <w10:wrap type="topAndBottom" anchorx="page" anchory="margin"/>
              </v:shape>
            </w:pict>
          </mc:Fallback>
        </mc:AlternateContent>
      </w:r>
      <w:r>
        <mc:AlternateContent>
          <mc:Choice Requires="wps">
            <w:drawing>
              <wp:anchor distT="1441450" distB="182880" distL="114300" distR="5387340" simplePos="0" relativeHeight="125829410" behindDoc="0" locked="0" layoutInCell="1" allowOverlap="1">
                <wp:simplePos x="0" y="0"/>
                <wp:positionH relativeFrom="page">
                  <wp:posOffset>713740</wp:posOffset>
                </wp:positionH>
                <wp:positionV relativeFrom="margin">
                  <wp:posOffset>3263900</wp:posOffset>
                </wp:positionV>
                <wp:extent cx="633730" cy="189230"/>
                <wp:wrapTopAndBottom/>
                <wp:docPr id="56" name="Shape 56"/>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库存商品</w:t>
                            </w:r>
                          </w:p>
                        </w:txbxContent>
                      </wps:txbx>
                      <wps:bodyPr wrap="none" lIns="0" tIns="0" rIns="0" bIns="0">
                        <a:noAutoFit/>
                      </wps:bodyPr>
                    </wps:wsp>
                  </a:graphicData>
                </a:graphic>
              </wp:anchor>
            </w:drawing>
          </mc:Choice>
          <mc:Fallback>
            <w:pict>
              <v:shape id="_x0000_s1082" type="#_x0000_t202" style="position:absolute;margin-left:56.200000000000003pt;margin-top:257.pt;width:49.899999999999999pt;height:14.9pt;z-index:-125829343;mso-wrap-distance-left:9.pt;mso-wrap-distance-top:113.5pt;mso-wrap-distance-right:424.19999999999999pt;mso-wrap-distance-bottom:14.4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库存商品</w:t>
                      </w:r>
                    </w:p>
                  </w:txbxContent>
                </v:textbox>
                <w10:wrap type="topAndBottom" anchorx="page" anchory="margin"/>
              </v:shape>
            </w:pict>
          </mc:Fallback>
        </mc:AlternateContent>
      </w:r>
      <w:r>
        <mc:AlternateContent>
          <mc:Choice Requires="wps">
            <w:drawing>
              <wp:anchor distT="1410970" distB="0" distL="2080260" distR="2168525" simplePos="0" relativeHeight="125829412" behindDoc="0" locked="0" layoutInCell="1" allowOverlap="1">
                <wp:simplePos x="0" y="0"/>
                <wp:positionH relativeFrom="page">
                  <wp:posOffset>2679700</wp:posOffset>
                </wp:positionH>
                <wp:positionV relativeFrom="margin">
                  <wp:posOffset>3233420</wp:posOffset>
                </wp:positionV>
                <wp:extent cx="1886585" cy="402590"/>
                <wp:wrapTopAndBottom/>
                <wp:docPr id="58" name="Shape 58"/>
                <a:graphic xmlns:a="http://schemas.openxmlformats.org/drawingml/2006/main">
                  <a:graphicData uri="http://schemas.microsoft.com/office/word/2010/wordprocessingShape">
                    <wps:wsp>
                      <wps:cNvSpPr txBox="1"/>
                      <wps:spPr>
                        <a:xfrm>
                          <a:ext cx="1886585" cy="402590"/>
                        </a:xfrm>
                        <a:prstGeom prst="rect"/>
                        <a:noFill/>
                      </wps:spPr>
                      <wps:txbx>
                        <w:txbxContent>
                          <w:p>
                            <w:pPr>
                              <w:pStyle w:val="Style35"/>
                              <w:keepNext w:val="0"/>
                              <w:keepLines w:val="0"/>
                              <w:widowControl w:val="0"/>
                              <w:pBdr>
                                <w:bottom w:val="single" w:sz="4" w:space="0" w:color="auto"/>
                              </w:pBdr>
                              <w:shd w:val="clear" w:color="auto" w:fill="auto"/>
                              <w:bidi w:val="0"/>
                              <w:spacing w:before="0" w:after="0" w:line="307" w:lineRule="exact"/>
                              <w:ind w:left="0" w:right="0" w:firstLine="0"/>
                              <w:jc w:val="left"/>
                            </w:pPr>
                            <w:r>
                              <w:rPr>
                                <w:color w:val="000000"/>
                                <w:spacing w:val="0"/>
                                <w:w w:val="100"/>
                                <w:position w:val="0"/>
                              </w:rPr>
                              <w:t>估计的售价减去估计的销售费 用及相关税费</w:t>
                            </w:r>
                          </w:p>
                        </w:txbxContent>
                      </wps:txbx>
                      <wps:bodyPr lIns="0" tIns="0" rIns="0" bIns="0">
                        <a:noAutoFit/>
                      </wps:bodyPr>
                    </wps:wsp>
                  </a:graphicData>
                </a:graphic>
              </wp:anchor>
            </w:drawing>
          </mc:Choice>
          <mc:Fallback>
            <w:pict>
              <v:shape id="_x0000_s1084" type="#_x0000_t202" style="position:absolute;margin-left:211.pt;margin-top:254.59999999999999pt;width:148.55000000000001pt;height:31.699999999999999pt;z-index:-125829341;mso-wrap-distance-left:163.80000000000001pt;mso-wrap-distance-top:111.10000000000001pt;mso-wrap-distance-right:170.75pt;mso-position-horizontal-relative:page;mso-position-vertical-relative:margin" filled="f" stroked="f">
                <v:textbox inset="0,0,0,0">
                  <w:txbxContent>
                    <w:p>
                      <w:pPr>
                        <w:pStyle w:val="Style35"/>
                        <w:keepNext w:val="0"/>
                        <w:keepLines w:val="0"/>
                        <w:widowControl w:val="0"/>
                        <w:pBdr>
                          <w:bottom w:val="single" w:sz="4" w:space="0" w:color="auto"/>
                        </w:pBdr>
                        <w:shd w:val="clear" w:color="auto" w:fill="auto"/>
                        <w:bidi w:val="0"/>
                        <w:spacing w:before="0" w:after="0" w:line="307" w:lineRule="exact"/>
                        <w:ind w:left="0" w:right="0" w:firstLine="0"/>
                        <w:jc w:val="left"/>
                      </w:pPr>
                      <w:r>
                        <w:rPr>
                          <w:color w:val="000000"/>
                          <w:spacing w:val="0"/>
                          <w:w w:val="100"/>
                          <w:position w:val="0"/>
                        </w:rPr>
                        <w:t>估计的售价减去估计的销售费 用及相关税费</w:t>
                      </w:r>
                    </w:p>
                  </w:txbxContent>
                </v:textbox>
                <w10:wrap type="topAndBottom" anchorx="page" anchory="margin"/>
              </v:shape>
            </w:pict>
          </mc:Fallback>
        </mc:AlternateContent>
      </w:r>
      <w:r>
        <mc:AlternateContent>
          <mc:Choice Requires="wps">
            <w:drawing>
              <wp:anchor distT="1447800" distB="198120" distL="5463540" distR="114300" simplePos="0" relativeHeight="125829414" behindDoc="0" locked="0" layoutInCell="1" allowOverlap="1">
                <wp:simplePos x="0" y="0"/>
                <wp:positionH relativeFrom="page">
                  <wp:posOffset>6062980</wp:posOffset>
                </wp:positionH>
                <wp:positionV relativeFrom="margin">
                  <wp:posOffset>3270250</wp:posOffset>
                </wp:positionV>
                <wp:extent cx="557530" cy="167640"/>
                <wp:wrapTopAndBottom/>
                <wp:docPr id="60" name="Shape 60"/>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对外销售</w:t>
                            </w:r>
                          </w:p>
                        </w:txbxContent>
                      </wps:txbx>
                      <wps:bodyPr wrap="none" lIns="0" tIns="0" rIns="0" bIns="0">
                        <a:noAutoFit/>
                      </wps:bodyPr>
                    </wps:wsp>
                  </a:graphicData>
                </a:graphic>
              </wp:anchor>
            </w:drawing>
          </mc:Choice>
          <mc:Fallback>
            <w:pict>
              <v:shape id="_x0000_s1086" type="#_x0000_t202" style="position:absolute;margin-left:477.40000000000003pt;margin-top:257.5pt;width:43.899999999999999pt;height:13.200000000000001pt;z-index:-125829339;mso-wrap-distance-left:430.19999999999999pt;mso-wrap-distance-top:114.pt;mso-wrap-distance-right:9.pt;mso-wrap-distance-bottom:15.6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对外销售</w:t>
                      </w:r>
                    </w:p>
                  </w:txbxContent>
                </v:textbox>
                <w10:wrap type="topAndBottom" anchorx="page" anchory="margin"/>
              </v:shape>
            </w:pict>
          </mc:Fallback>
        </mc:AlternateContent>
      </w:r>
      <w:bookmarkStart w:id="1099" w:name="bookmark1099"/>
      <w:bookmarkStart w:id="1100" w:name="bookmark1100"/>
      <w:bookmarkStart w:id="1101" w:name="bookmark1101"/>
      <w:bookmarkStart w:id="1102" w:name="bookmark1102"/>
      <w:bookmarkEnd w:id="1101"/>
      <w:r>
        <w:rPr>
          <w:color w:val="000000"/>
          <w:spacing w:val="0"/>
          <w:w w:val="100"/>
          <w:position w:val="0"/>
        </w:rPr>
        <w:t>存货期末余额含有借款费用资本化金额的说明</w:t>
      </w:r>
      <w:bookmarkEnd w:id="1099"/>
      <w:bookmarkEnd w:id="1100"/>
      <w:bookmarkEnd w:id="1102"/>
    </w:p>
    <w:p>
      <w:pPr>
        <w:pStyle w:val="Style45"/>
        <w:keepNext/>
        <w:keepLines/>
        <w:widowControl w:val="0"/>
        <w:numPr>
          <w:ilvl w:val="0"/>
          <w:numId w:val="55"/>
        </w:numPr>
        <w:shd w:val="clear" w:color="auto" w:fill="auto"/>
        <w:tabs>
          <w:tab w:pos="633" w:val="left"/>
        </w:tabs>
        <w:bidi w:val="0"/>
        <w:spacing w:before="0" w:line="240" w:lineRule="auto"/>
        <w:ind w:left="0" w:right="0" w:firstLine="14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期末建造合同形成的已完工未结算资产情况</w:t>
      </w:r>
      <w:bookmarkEnd w:id="1103"/>
      <w:bookmarkEnd w:id="1104"/>
      <w:bookmarkEnd w:id="110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8</w:t>
      </w:r>
      <w:bookmarkEnd w:id="1109"/>
      <w:r>
        <w:rPr>
          <w:color w:val="000000"/>
          <w:spacing w:val="0"/>
          <w:w w:val="100"/>
          <w:position w:val="0"/>
        </w:rPr>
        <w:t>、其他流动资产</w:t>
      </w:r>
      <w:bookmarkEnd w:id="1107"/>
      <w:bookmarkEnd w:id="1108"/>
      <w:bookmarkEnd w:id="11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21,869.88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18,986,321.03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9</w:t>
      </w:r>
      <w:bookmarkEnd w:id="1113"/>
      <w:r>
        <w:rPr>
          <w:color w:val="000000"/>
          <w:spacing w:val="0"/>
          <w:w w:val="100"/>
          <w:position w:val="0"/>
        </w:rPr>
        <w:t>、可供出售金融资产</w:t>
      </w:r>
      <w:bookmarkEnd w:id="1111"/>
      <w:bookmarkEnd w:id="1112"/>
      <w:bookmarkEnd w:id="1114"/>
    </w:p>
    <w:p>
      <w:pPr>
        <w:pStyle w:val="Style45"/>
        <w:keepNext/>
        <w:keepLines/>
        <w:widowControl w:val="0"/>
        <w:numPr>
          <w:ilvl w:val="0"/>
          <w:numId w:val="59"/>
        </w:numPr>
        <w:shd w:val="clear" w:color="auto" w:fill="auto"/>
        <w:bidi w:val="0"/>
        <w:spacing w:before="0" w:line="240" w:lineRule="auto"/>
        <w:ind w:left="0" w:right="0" w:firstLine="140"/>
        <w:jc w:val="left"/>
        <w:sectPr>
          <w:headerReference w:type="default" r:id="rId15"/>
          <w:footerReference w:type="default" r:id="rId16"/>
          <w:footnotePr>
            <w:pos w:val="pageBottom"/>
            <w:numFmt w:val="decimal"/>
            <w:numRestart w:val="continuous"/>
          </w:footnotePr>
          <w:pgSz w:w="11900" w:h="16840"/>
          <w:pgMar w:top="1343" w:right="1037" w:bottom="1481" w:left="1042" w:header="0" w:footer="3" w:gutter="0"/>
          <w:cols w:space="720"/>
          <w:noEndnote/>
          <w:rtlGutter w:val="0"/>
          <w:docGrid w:linePitch="360"/>
        </w:sectPr>
      </w:pPr>
      <w:bookmarkStart w:id="1115" w:name="bookmark1115"/>
      <w:bookmarkStart w:id="1116" w:name="bookmark1116"/>
      <w:bookmarkStart w:id="1117" w:name="bookmark1117"/>
      <w:bookmarkStart w:id="1118" w:name="bookmark1118"/>
      <w:bookmarkEnd w:id="1117"/>
      <w:r>
        <w:rPr>
          <w:color w:val="000000"/>
          <w:spacing w:val="0"/>
          <w:w w:val="100"/>
          <w:position w:val="0"/>
        </w:rPr>
        <w:t>可供出售金融资产情况</w:t>
      </w:r>
      <w:bookmarkEnd w:id="1115"/>
      <w:bookmarkEnd w:id="1116"/>
      <w:bookmarkEnd w:id="1118"/>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4,969,524.26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4,969,524.26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4,969,524.26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4,969,524.26</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19"/>
      <w:bookmarkEnd w:id="1120"/>
      <w:bookmarkEnd w:id="11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浙江厚达 智能科技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4,969,524.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4,969,524.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292,800.00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）报告期内可供出售金融资产减值的变动情况</w:t>
      </w:r>
      <w:bookmarkEnd w:id="1123"/>
      <w:bookmarkEnd w:id="1124"/>
      <w:bookmarkEnd w:id="11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）可供出售权益工具期末公允价值严重下跌或非暂时性下跌但未计提减值准备的相关说明</w:t>
      </w:r>
      <w:bookmarkEnd w:id="1127"/>
      <w:bookmarkEnd w:id="1128"/>
      <w:bookmarkEnd w:id="113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880" w:line="302" w:lineRule="exact"/>
        <w:ind w:left="0" w:right="0" w:firstLine="0"/>
        <w:jc w:val="both"/>
        <w:rPr>
          <w:sz w:val="22"/>
          <w:szCs w:val="22"/>
        </w:rPr>
      </w:pPr>
      <w:r>
        <w:rPr>
          <w:b w:val="0"/>
          <w:bCs w:val="0"/>
          <w:color w:val="000000"/>
          <w:spacing w:val="0"/>
          <w:w w:val="100"/>
          <w:position w:val="0"/>
          <w:sz w:val="22"/>
          <w:szCs w:val="22"/>
        </w:rPr>
        <w:t xml:space="preserve">可供出售金融资产系根据购买日的公允价值计量确认，属于非持续的公允价值计量。浙江厚 达智能科技股份有限公司之权益不存在活跃市场报价，其公允价值难以持续可靠计量。截至 </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日，可供出售金融资产不存在减值情形。</w:t>
      </w:r>
    </w:p>
    <w:p>
      <w:pPr>
        <w:pStyle w:val="Style32"/>
        <w:keepNext/>
        <w:keepLines/>
        <w:widowControl w:val="0"/>
        <w:shd w:val="clear" w:color="auto" w:fill="auto"/>
        <w:bidi w:val="0"/>
        <w:spacing w:before="0" w:after="36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31"/>
      <w:bookmarkEnd w:id="1132"/>
      <w:bookmarkEnd w:id="1134"/>
    </w:p>
    <w:p>
      <w:pPr>
        <w:pStyle w:val="Style45"/>
        <w:keepNext/>
        <w:keepLines/>
        <w:widowControl w:val="0"/>
        <w:shd w:val="clear" w:color="auto" w:fill="auto"/>
        <w:bidi w:val="0"/>
        <w:spacing w:before="0" w:after="36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35"/>
      <w:bookmarkEnd w:id="1136"/>
      <w:bookmarkEnd w:id="113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21,967,653.05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21,967,653.05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21,967,653.05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21,967,653.05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21,967,653.05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21,967,653.05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6,938,724.54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6,938,724.54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6,938,724.54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6,938,724.54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6,938,724.54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6,938,724.54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15,028,928.51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15,028,928.51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39"/>
      <w:bookmarkEnd w:id="1140"/>
      <w:bookmarkEnd w:id="114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43"/>
      <w:bookmarkEnd w:id="1144"/>
      <w:bookmarkEnd w:id="11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1420" w:line="314" w:lineRule="exact"/>
        <w:ind w:left="0" w:right="0" w:firstLine="0"/>
        <w:jc w:val="left"/>
        <w:rPr>
          <w:sz w:val="22"/>
          <w:szCs w:val="22"/>
        </w:rPr>
      </w:pPr>
      <w:r>
        <w:rPr>
          <w:b w:val="0"/>
          <w:bCs w:val="0"/>
          <w:color w:val="000000"/>
          <w:spacing w:val="0"/>
          <w:w w:val="100"/>
          <w:position w:val="0"/>
          <w:sz w:val="22"/>
          <w:szCs w:val="22"/>
        </w:rPr>
        <w:t>为提高资产利用率，本集团根据未来经营需求，</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月本公司将部分暂时闲置办公 楼及厂房对外出租。截至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日，未发现需要对上述投资性房地产计提减值准 备的情况。</w:t>
      </w:r>
    </w:p>
    <w:p>
      <w:pPr>
        <w:pStyle w:val="Style32"/>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47"/>
      <w:bookmarkEnd w:id="1148"/>
      <w:bookmarkEnd w:id="1150"/>
    </w:p>
    <w:p>
      <w:pPr>
        <w:pStyle w:val="Style45"/>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1"/>
      <w:bookmarkEnd w:id="1152"/>
      <w:bookmarkEnd w:id="11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60,346,344.52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8,096,048.35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8,420,326.55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3,087,991.12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79,950,710.54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12,762,441.04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1,643,751.35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14,432,728.24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7,776,136.52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8,106,136.52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2,090,707.49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181,715.06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115,852.09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2,388,274.64</w:t>
            </w:r>
          </w:p>
        </w:tc>
      </w:tr>
    </w:tbl>
    <w:p>
      <w:pPr>
        <w:widowControl w:val="0"/>
        <w:spacing w:line="1" w:lineRule="exact"/>
        <w:sectPr>
          <w:headerReference w:type="default" r:id="rId17"/>
          <w:footerReference w:type="default" r:id="rId18"/>
          <w:footnotePr>
            <w:pos w:val="pageBottom"/>
            <w:numFmt w:val="decimal"/>
            <w:numRestart w:val="continuous"/>
          </w:footnotePr>
          <w:pgSz w:w="11900" w:h="16840"/>
          <w:pgMar w:top="1343" w:right="1037" w:bottom="1481" w:left="1042" w:header="0" w:footer="3" w:gutter="0"/>
          <w:cols w:space="720"/>
          <w:noEndnote/>
          <w:rtlGutter w:val="0"/>
          <w:docGrid w:linePitch="360"/>
        </w:sectPr>
      </w:pP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21,967,653.05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21,967,653.05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46,154,827.99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18,767,781.90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8,265,147.34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4,945,890.38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78,133,647.61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10,986,148.57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5,021,128.10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3,375,264.19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1,900,149.58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21,282,690.44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3,618,915.38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1,916,673.49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1,551,260.54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7,679,260.59</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1,913,820.40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2,195,631.51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6,938,724.54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6,938,724.54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7,666,339.41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5,023,981.19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4,753,895.45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2,383,378.93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19,827,594.98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38,488,488.58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13,743,800.71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3,511,251.89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2,562,511.45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58,306,052.63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49,360,195.95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3,074,920.25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5,045,062.36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1,187,841.54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58,668,020.10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55"/>
      <w:bookmarkEnd w:id="1156"/>
      <w:bookmarkEnd w:id="11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59"/>
      <w:bookmarkEnd w:id="1160"/>
      <w:bookmarkEnd w:id="1162"/>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5"/>
        <w:keepNext/>
        <w:keepLines/>
        <w:widowControl w:val="0"/>
        <w:numPr>
          <w:ilvl w:val="0"/>
          <w:numId w:val="61"/>
        </w:numPr>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通过经营租赁租出的固定资产</w:t>
      </w:r>
      <w:bookmarkEnd w:id="1163"/>
      <w:bookmarkEnd w:id="1164"/>
      <w:bookmarkEnd w:id="1166"/>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5"/>
        <w:keepNext/>
        <w:keepLines/>
        <w:widowControl w:val="0"/>
        <w:numPr>
          <w:ilvl w:val="0"/>
          <w:numId w:val="61"/>
        </w:numPr>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未办妥产权证书的固定资产情况</w:t>
      </w:r>
      <w:bookmarkEnd w:id="1167"/>
      <w:bookmarkEnd w:id="1168"/>
      <w:bookmarkEnd w:id="1170"/>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320" w:line="240" w:lineRule="auto"/>
        <w:ind w:left="0" w:right="0" w:firstLine="0"/>
        <w:jc w:val="left"/>
        <w:rPr>
          <w:sz w:val="22"/>
          <w:szCs w:val="22"/>
        </w:rPr>
      </w:pPr>
      <w:r>
        <w:rPr>
          <w:b w:val="0"/>
          <w:bCs w:val="0"/>
          <w:color w:val="000000"/>
          <w:spacing w:val="0"/>
          <w:w w:val="100"/>
          <w:position w:val="0"/>
          <w:sz w:val="22"/>
          <w:szCs w:val="22"/>
        </w:rPr>
        <w:t>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日，未发现需要对上述固定资产计提减值准备的情况。</w:t>
      </w:r>
    </w:p>
    <w:p>
      <w:pPr>
        <w:pStyle w:val="Style32"/>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71"/>
      <w:bookmarkEnd w:id="1172"/>
      <w:bookmarkEnd w:id="1174"/>
    </w:p>
    <w:p>
      <w:pPr>
        <w:pStyle w:val="Style45"/>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75"/>
      <w:bookmarkEnd w:id="1176"/>
      <w:bookmarkEnd w:id="11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研发中心扩建项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目建设工程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1,076,174.36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高压电气设备故 障仿真试验室建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539,150.94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1,076,174.36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1,076,174.36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78"/>
      <w:bookmarkEnd w:id="1179"/>
      <w:bookmarkEnd w:id="11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 心扩建 项目建 设工程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1,076,17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观音山 二期</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层办公 室装修 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高压电 气设备 故障仿 真试验 室建设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13,583,9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设计阶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23,033,9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8,769,11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81"/>
      <w:bookmarkEnd w:id="1182"/>
      <w:bookmarkEnd w:id="11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shd w:val="clear" w:color="auto" w:fill="FFFFFF"/>
        </w:rPr>
        <w:t>其他说明</w:t>
      </w:r>
    </w:p>
    <w:p>
      <w:pPr>
        <w:pStyle w:val="Style81"/>
        <w:keepNext w:val="0"/>
        <w:keepLines w:val="0"/>
        <w:widowControl w:val="0"/>
        <w:shd w:val="clear" w:color="auto" w:fill="auto"/>
        <w:bidi w:val="0"/>
        <w:spacing w:before="0" w:after="340" w:line="355" w:lineRule="exact"/>
        <w:ind w:left="0" w:right="0" w:firstLine="0"/>
        <w:jc w:val="left"/>
        <w:rPr>
          <w:sz w:val="22"/>
          <w:szCs w:val="22"/>
        </w:rPr>
      </w:pPr>
      <w:r>
        <w:rPr>
          <w:b w:val="0"/>
          <w:bCs w:val="0"/>
          <w:color w:val="000000"/>
          <w:spacing w:val="0"/>
          <w:w w:val="100"/>
          <w:position w:val="0"/>
          <w:sz w:val="22"/>
          <w:szCs w:val="22"/>
        </w:rPr>
        <w:t>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日，未发现需要对上述在建工程计提减值准备的情况。</w:t>
      </w:r>
    </w:p>
    <w:p>
      <w:pPr>
        <w:pStyle w:val="Style32"/>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85"/>
      <w:bookmarkEnd w:id="1186"/>
      <w:bookmarkEnd w:id="1188"/>
    </w:p>
    <w:p>
      <w:pPr>
        <w:pStyle w:val="Style45"/>
        <w:keepNext/>
        <w:keepLines/>
        <w:widowControl w:val="0"/>
        <w:shd w:val="clear" w:color="auto" w:fill="auto"/>
        <w:bidi w:val="0"/>
        <w:spacing w:before="0" w:after="220" w:line="240" w:lineRule="auto"/>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9"/>
      <w:bookmarkEnd w:id="1190"/>
      <w:bookmarkEnd w:id="1191"/>
    </w:p>
    <w:p>
      <w:pPr>
        <w:pStyle w:val="Style27"/>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办公软件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商标使用权</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计算机软件著 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2,557,907.00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931,300.87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3,611,207.87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535,139.72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543,295.06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535,139.72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535,139.72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2,557,907.00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80,155.34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4,154,502.93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540,015.89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652,358.08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119,901.84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227,251.77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359,584.85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119,901.84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227,251.77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359,584.85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139,885.48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767,267.66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62,706.20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1,011,942.93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2,418,021.52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3,142,560.00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2,537,923.36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391,284.98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2,958,849.79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w:t>
      </w:r>
    </w:p>
    <w:p>
      <w:pPr>
        <w:widowControl w:val="0"/>
        <w:spacing w:after="359" w:line="1" w:lineRule="exact"/>
      </w:pPr>
    </w:p>
    <w:p>
      <w:pPr>
        <w:pStyle w:val="Style45"/>
        <w:keepNext/>
        <w:keepLines/>
        <w:widowControl w:val="0"/>
        <w:shd w:val="clear" w:color="auto" w:fill="auto"/>
        <w:bidi w:val="0"/>
        <w:spacing w:before="0" w:after="400" w:line="240" w:lineRule="auto"/>
        <w:ind w:left="0" w:right="0" w:firstLine="0"/>
        <w:jc w:val="left"/>
      </w:pPr>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92"/>
      <w:bookmarkEnd w:id="1193"/>
      <w:bookmarkEnd w:id="119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日，未发现需要对上述无形资产计提减值准备的情况。</w:t>
      </w:r>
    </w:p>
    <w:p>
      <w:pPr>
        <w:pStyle w:val="Style32"/>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95"/>
      <w:bookmarkEnd w:id="1196"/>
      <w:bookmarkEnd w:id="1197"/>
    </w:p>
    <w:p>
      <w:pPr>
        <w:pStyle w:val="Style45"/>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98"/>
      <w:bookmarkEnd w:id="1199"/>
      <w:bookmarkEnd w:id="12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334"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INSTRUMENTS AUSTRALIA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4,099,176.90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4,099,176.90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4,099,176.90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4,099,176.90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01"/>
      <w:bookmarkEnd w:id="1202"/>
      <w:bookmarkEnd w:id="12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说明商誉减值测试过程、参数及商誉减值损失的确认方法：</w:t>
      </w:r>
    </w:p>
    <w:p>
      <w:pPr>
        <w:pStyle w:val="Style81"/>
        <w:keepNext w:val="0"/>
        <w:keepLines w:val="0"/>
        <w:widowControl w:val="0"/>
        <w:shd w:val="clear" w:color="auto" w:fill="auto"/>
        <w:bidi w:val="0"/>
        <w:spacing w:before="0" w:after="0" w:line="316" w:lineRule="exact"/>
        <w:ind w:left="0" w:right="0" w:firstLine="0"/>
        <w:jc w:val="both"/>
        <w:rPr>
          <w:sz w:val="20"/>
          <w:szCs w:val="20"/>
        </w:rPr>
      </w:pPr>
      <w:r>
        <w:rPr>
          <w:b w:val="0"/>
          <w:bCs w:val="0"/>
          <w:color w:val="000000"/>
          <w:spacing w:val="0"/>
          <w:w w:val="100"/>
          <w:position w:val="0"/>
          <w:sz w:val="20"/>
          <w:szCs w:val="20"/>
        </w:rPr>
        <w:t>按照《企业会计准则第</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资产减值》第四条、第五条的相关规定，本公司对因非同一控制合并澳洲红相 公司所形成的商誉进行减值测试。本公司进行逐项比对、核查测试，未发现澳洲红相公司(整体资产负债 作为一个资产组)存在任何表明资产可能已经发生减值的迹象，同时为了审慎起见，本公司还采用预计未 来现金流现值的方法计算资产组的可收回金额。</w:t>
      </w:r>
    </w:p>
    <w:p>
      <w:pPr>
        <w:pStyle w:val="Style81"/>
        <w:keepNext w:val="0"/>
        <w:keepLines w:val="0"/>
        <w:widowControl w:val="0"/>
        <w:shd w:val="clear" w:color="auto" w:fill="auto"/>
        <w:bidi w:val="0"/>
        <w:spacing w:before="0" w:after="0" w:line="316" w:lineRule="exact"/>
        <w:ind w:left="0" w:right="0" w:firstLine="0"/>
        <w:jc w:val="both"/>
        <w:rPr>
          <w:sz w:val="20"/>
          <w:szCs w:val="20"/>
        </w:rPr>
      </w:pPr>
      <w:r>
        <w:rPr>
          <w:b w:val="0"/>
          <w:bCs w:val="0"/>
          <w:color w:val="000000"/>
          <w:spacing w:val="0"/>
          <w:w w:val="100"/>
          <w:position w:val="0"/>
          <w:sz w:val="20"/>
          <w:szCs w:val="20"/>
        </w:rPr>
        <w:t>本公司根据过往表现及对市场发展的预期预计未来</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年内现金流量，其后年度采用的现金流量增长率预计 为</w:t>
      </w:r>
      <w:r>
        <w:rPr>
          <w:rFonts w:ascii="Times New Roman" w:eastAsia="Times New Roman" w:hAnsi="Times New Roman" w:cs="Times New Roman"/>
          <w:b w:val="0"/>
          <w:bCs w:val="0"/>
          <w:color w:val="000000"/>
          <w:spacing w:val="0"/>
          <w:w w:val="100"/>
          <w:position w:val="0"/>
          <w:sz w:val="20"/>
          <w:szCs w:val="20"/>
        </w:rPr>
        <w:t>0%</w:t>
      </w:r>
      <w:r>
        <w:rPr>
          <w:b w:val="0"/>
          <w:bCs w:val="0"/>
          <w:color w:val="000000"/>
          <w:spacing w:val="0"/>
          <w:w w:val="100"/>
          <w:position w:val="0"/>
          <w:sz w:val="20"/>
          <w:szCs w:val="20"/>
        </w:rPr>
        <w:t>,不会超过资产组经营业务的长期平均增长率。计算未来现金流现值所采用的折现率时考虑了通货膨</w:t>
        <w:br w:type="page"/>
      </w:r>
      <w:r>
        <w:rPr>
          <w:b w:val="0"/>
          <w:bCs w:val="0"/>
          <w:color w:val="000000"/>
          <w:spacing w:val="0"/>
          <w:w w:val="100"/>
          <w:position w:val="0"/>
          <w:sz w:val="20"/>
          <w:szCs w:val="20"/>
        </w:rPr>
        <w:t>胀率、无风险资本成本率、风险溢价等因素。</w:t>
      </w:r>
    </w:p>
    <w:p>
      <w:pPr>
        <w:pStyle w:val="Style81"/>
        <w:keepNext w:val="0"/>
        <w:keepLines w:val="0"/>
        <w:widowControl w:val="0"/>
        <w:shd w:val="clear" w:color="auto" w:fill="auto"/>
        <w:bidi w:val="0"/>
        <w:spacing w:before="0" w:after="380" w:line="883" w:lineRule="exact"/>
        <w:ind w:left="0" w:right="0" w:firstLine="0"/>
        <w:jc w:val="left"/>
        <w:rPr>
          <w:sz w:val="17"/>
          <w:szCs w:val="17"/>
        </w:rPr>
      </w:pPr>
      <w:r>
        <w:rPr>
          <w:b w:val="0"/>
          <w:bCs w:val="0"/>
          <w:color w:val="000000"/>
          <w:spacing w:val="0"/>
          <w:w w:val="100"/>
          <w:position w:val="0"/>
          <w:sz w:val="20"/>
          <w:szCs w:val="20"/>
        </w:rPr>
        <w:t>截止</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 xml:space="preserve">日，未发现需要对商誉计提减值准备的情况。 </w:t>
      </w:r>
      <w:r>
        <w:rPr>
          <w:b w:val="0"/>
          <w:bCs w:val="0"/>
          <w:color w:val="000000"/>
          <w:spacing w:val="0"/>
          <w:w w:val="100"/>
          <w:position w:val="0"/>
          <w:sz w:val="17"/>
          <w:szCs w:val="17"/>
        </w:rPr>
        <w:t>其他说明</w:t>
      </w:r>
    </w:p>
    <w:p>
      <w:pPr>
        <w:pStyle w:val="Style32"/>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04"/>
      <w:bookmarkEnd w:id="1205"/>
      <w:bookmarkEnd w:id="12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584,068.46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1,238,632.48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423,678.36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1,399,022.58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34,666.72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636,068.46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1,238,632.48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441,011.64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1,433,689.30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8"/>
      <w:bookmarkEnd w:id="1209"/>
      <w:bookmarkEnd w:id="1211"/>
    </w:p>
    <w:p>
      <w:pPr>
        <w:pStyle w:val="Style45"/>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12"/>
      <w:bookmarkEnd w:id="1213"/>
      <w:bookmarkEnd w:id="12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38,080,408.10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5,720,262.56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34,376,929.38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5,157,809.40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2,995,407.90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28,436.51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已开票未确认收入暂时 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4,791,942.81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988,675.69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148,301.35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44,591,004.99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6,720,701.56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38,524,590.48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5,804,495.18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15"/>
      <w:bookmarkEnd w:id="1216"/>
      <w:bookmarkEnd w:id="12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16,831,002.84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2,524,650.43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18,161,688.71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2,724,253.31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16,831,002.84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2,524,650.43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18,161,688.71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2,724,253.31</w:t>
            </w:r>
          </w:p>
        </w:tc>
      </w:tr>
    </w:tbl>
    <w:p>
      <w:pPr>
        <w:spacing w:lineRule="exact" w:line="1"/>
        <w:rPr>
          <w:sz w:val="2"/>
          <w:szCs w:val="2"/>
        </w:rPr>
      </w:pPr>
      <w:r>
        <w:br w:type="page"/>
      </w:r>
    </w:p>
    <w:p>
      <w:pPr>
        <w:pStyle w:val="Style45"/>
        <w:keepNext/>
        <w:keepLines/>
        <w:widowControl w:val="0"/>
        <w:numPr>
          <w:ilvl w:val="0"/>
          <w:numId w:val="63"/>
        </w:numPr>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以抵销后净额列示的递延所得税资产或负债</w:t>
      </w:r>
      <w:bookmarkEnd w:id="1218"/>
      <w:bookmarkEnd w:id="1219"/>
      <w:bookmarkEnd w:id="12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6,720,701.56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5,804,495.18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2,524,650.43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2,724,253.31</w:t>
            </w:r>
          </w:p>
        </w:tc>
      </w:tr>
    </w:tbl>
    <w:p>
      <w:pPr>
        <w:widowControl w:val="0"/>
        <w:spacing w:after="319" w:line="1" w:lineRule="exact"/>
      </w:pPr>
    </w:p>
    <w:p>
      <w:pPr>
        <w:pStyle w:val="Style45"/>
        <w:keepNext/>
        <w:keepLines/>
        <w:widowControl w:val="0"/>
        <w:numPr>
          <w:ilvl w:val="0"/>
          <w:numId w:val="63"/>
        </w:numPr>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未确认递延所得税资产明细</w:t>
      </w:r>
      <w:bookmarkEnd w:id="1222"/>
      <w:bookmarkEnd w:id="1223"/>
      <w:bookmarkEnd w:id="12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-9,362,139.64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-8,481,926.79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-9,362,139.64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-8,481,926.79</w:t>
            </w:r>
          </w:p>
        </w:tc>
      </w:tr>
    </w:tbl>
    <w:p>
      <w:pPr>
        <w:widowControl w:val="0"/>
        <w:spacing w:after="319" w:line="1" w:lineRule="exact"/>
      </w:pPr>
    </w:p>
    <w:p>
      <w:pPr>
        <w:pStyle w:val="Style45"/>
        <w:keepNext/>
        <w:keepLines/>
        <w:widowControl w:val="0"/>
        <w:numPr>
          <w:ilvl w:val="0"/>
          <w:numId w:val="63"/>
        </w:numPr>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未确认递延所得税资产的可抵扣亏损将于以下年度到期</w:t>
      </w:r>
      <w:bookmarkEnd w:id="1226"/>
      <w:bookmarkEnd w:id="1227"/>
      <w:bookmarkEnd w:id="12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-691,151.19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-1,415,704.11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-1,415,704.11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-3,486,041.07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-3,486,041.07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-1,977,777.44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-2,801,071.14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-1,791,465.83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-9,362,139.64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-8,481,926.79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30"/>
      <w:bookmarkEnd w:id="1231"/>
      <w:bookmarkEnd w:id="12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2,872,583.49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3,781,712.00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2,872,583.49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3,781,712.00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34"/>
      <w:bookmarkEnd w:id="1235"/>
      <w:bookmarkEnd w:id="1237"/>
    </w:p>
    <w:p>
      <w:pPr>
        <w:pStyle w:val="Style45"/>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8"/>
      <w:bookmarkEnd w:id="1239"/>
      <w:bookmarkEnd w:id="12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5"/>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41"/>
      <w:bookmarkEnd w:id="1242"/>
      <w:bookmarkEnd w:id="124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9</w:t>
      </w:r>
      <w:r>
        <w:rPr>
          <w:color w:val="000000"/>
          <w:spacing w:val="0"/>
          <w:w w:val="100"/>
          <w:position w:val="0"/>
        </w:rPr>
        <w:t>、</w:t>
        <w:tab/>
        <w:t>衍生金融负债</w:t>
      </w:r>
      <w:bookmarkEnd w:id="1244"/>
      <w:bookmarkEnd w:id="1245"/>
      <w:bookmarkEnd w:id="124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0</w:t>
      </w:r>
      <w:r>
        <w:rPr>
          <w:color w:val="000000"/>
          <w:spacing w:val="0"/>
          <w:w w:val="100"/>
          <w:position w:val="0"/>
        </w:rPr>
        <w:t>、</w:t>
        <w:tab/>
        <w:t>应付票据</w:t>
      </w:r>
      <w:bookmarkEnd w:id="1248"/>
      <w:bookmarkEnd w:id="1249"/>
      <w:bookmarkEnd w:id="12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52"/>
      <w:bookmarkEnd w:id="1253"/>
      <w:bookmarkEnd w:id="1255"/>
    </w:p>
    <w:p>
      <w:pPr>
        <w:pStyle w:val="Style45"/>
        <w:keepNext/>
        <w:keepLines/>
        <w:widowControl w:val="0"/>
        <w:shd w:val="clear" w:color="auto" w:fill="auto"/>
        <w:bidi w:val="0"/>
        <w:spacing w:before="0" w:line="240" w:lineRule="auto"/>
        <w:ind w:left="0" w:right="0" w:firstLine="14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6"/>
      <w:bookmarkEnd w:id="1257"/>
      <w:bookmarkEnd w:id="12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60,853,371.23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51,068,156.10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61,723,000.70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51,088,156.10</w:t>
            </w:r>
          </w:p>
        </w:tc>
      </w:tr>
    </w:tbl>
    <w:p>
      <w:pPr>
        <w:spacing w:lineRule="exact" w:line="1"/>
        <w:rPr>
          <w:sz w:val="2"/>
          <w:szCs w:val="2"/>
        </w:rPr>
      </w:pPr>
      <w:r>
        <w:br w:type="page"/>
      </w:r>
    </w:p>
    <w:p>
      <w:pPr>
        <w:pStyle w:val="Style45"/>
        <w:keepNext/>
        <w:keepLines/>
        <w:widowControl w:val="0"/>
        <w:shd w:val="clear" w:color="auto" w:fill="auto"/>
        <w:bidi w:val="0"/>
        <w:spacing w:before="0" w:after="360" w:line="240" w:lineRule="auto"/>
        <w:ind w:left="0" w:right="0" w:firstLine="14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9"/>
      <w:bookmarkEnd w:id="1260"/>
      <w:bookmarkEnd w:id="12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上海英孚特电子技术有限公司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1,498,250.80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1,498,250.80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62"/>
      <w:bookmarkEnd w:id="1263"/>
      <w:bookmarkEnd w:id="1265"/>
    </w:p>
    <w:p>
      <w:pPr>
        <w:pStyle w:val="Style45"/>
        <w:keepNext/>
        <w:keepLines/>
        <w:widowControl w:val="0"/>
        <w:shd w:val="clear" w:color="auto" w:fill="auto"/>
        <w:bidi w:val="0"/>
        <w:spacing w:before="0" w:after="360" w:line="240" w:lineRule="auto"/>
        <w:ind w:left="0" w:right="0" w:firstLine="14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6"/>
      <w:bookmarkEnd w:id="1267"/>
      <w:bookmarkEnd w:id="12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15,090,977.52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11,923,775.53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15,090,977.52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11,923,775.53</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69"/>
      <w:bookmarkEnd w:id="1270"/>
      <w:bookmarkEnd w:id="12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45"/>
        <w:keepNext/>
        <w:keepLines/>
        <w:widowControl w:val="0"/>
        <w:numPr>
          <w:ilvl w:val="0"/>
          <w:numId w:val="65"/>
        </w:numPr>
        <w:shd w:val="clear" w:color="auto" w:fill="auto"/>
        <w:bidi w:val="0"/>
        <w:spacing w:before="0" w:after="360" w:line="240" w:lineRule="auto"/>
        <w:ind w:left="0" w:right="0" w:firstLine="14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期末建造合同形成的已结算未完工项目情况</w:t>
      </w:r>
      <w:bookmarkEnd w:id="1272"/>
      <w:bookmarkEnd w:id="1273"/>
      <w:bookmarkEnd w:id="127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预收款项期末余额中无账龄超过一年的重要预收款项。</w:t>
      </w:r>
    </w:p>
    <w:p>
      <w:pPr>
        <w:pStyle w:val="Style32"/>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76"/>
      <w:bookmarkEnd w:id="1277"/>
      <w:bookmarkEnd w:id="1279"/>
    </w:p>
    <w:p>
      <w:pPr>
        <w:pStyle w:val="Style45"/>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0"/>
      <w:bookmarkEnd w:id="1281"/>
      <w:bookmarkEnd w:id="12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14,598,944.14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65,136,145.46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63,554,990.06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16,180,099.54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4,830,039.98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4,805,462.47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243,575.60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14,817,942.23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69,966,185.44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68,360,452.53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16,423,675.14</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3"/>
      <w:bookmarkEnd w:id="1284"/>
      <w:bookmarkEnd w:id="12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11,436,540.32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56,573,177.33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54,494,490.20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13,515,227.45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2,467,156.31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2,467,156.31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87,543.66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2,491,663.48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2,474,121.64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69,636.62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2,061,201.29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2,044,646.90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86,191.01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12,500.42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66,432.70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2,554,300.08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2,535,864.78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84,868.00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1,049,848.26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1,049,225.44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、职工奖励及福利基金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3,006,399.67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2,472,267.98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14,598,944.14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65,136,145.46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63,554,990.06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16,180,099.54</w:t>
            </w:r>
          </w:p>
        </w:tc>
      </w:tr>
    </w:tbl>
    <w:p>
      <w:pPr>
        <w:widowControl w:val="0"/>
        <w:spacing w:after="319" w:line="1" w:lineRule="exact"/>
      </w:pPr>
    </w:p>
    <w:p>
      <w:pPr>
        <w:pStyle w:val="Style45"/>
        <w:keepNext/>
        <w:keepLines/>
        <w:widowControl w:val="0"/>
        <w:numPr>
          <w:ilvl w:val="0"/>
          <w:numId w:val="67"/>
        </w:numPr>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设定提存计划列示</w:t>
      </w:r>
      <w:bookmarkEnd w:id="1286"/>
      <w:bookmarkEnd w:id="1287"/>
      <w:bookmarkEnd w:id="128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4,471,497.91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4,442,817.27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13,013.70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218,998.09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4,830,039.98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4,805,462.47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243,575.60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90"/>
      <w:bookmarkEnd w:id="1291"/>
      <w:bookmarkEnd w:id="129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15,444,453.11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12,243,999.54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12,594,710.49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10,106,965.23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192,726.96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251,034.94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922,681.49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644,661.20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422,185.48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304,618.95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281,456.98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201,688.76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27,062.27</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29,948,620.93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23,780,030.89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294"/>
      <w:bookmarkEnd w:id="1295"/>
      <w:bookmarkEnd w:id="12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32,917.41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1298"/>
      <w:bookmarkEnd w:id="1299"/>
      <w:bookmarkEnd w:id="13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4,701,978.77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4,701,978.77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日的应付股利系子公司浙江涵普应付少数股东的股利。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月，浙江涵普董事会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号决议审议通过了《浙 江涵普电力科技有限公司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年度利润分配事宜》：对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年度浙江涵普电力科技有限公司未分配利润</w:t>
      </w:r>
      <w:r>
        <w:rPr>
          <w:rFonts w:ascii="Times New Roman" w:eastAsia="Times New Roman" w:hAnsi="Times New Roman" w:cs="Times New Roman"/>
          <w:color w:val="000000"/>
          <w:spacing w:val="0"/>
          <w:w w:val="100"/>
          <w:position w:val="0"/>
          <w:sz w:val="18"/>
          <w:szCs w:val="18"/>
        </w:rPr>
        <w:t>17,013,962.83</w:t>
      </w:r>
      <w:r>
        <w:rPr>
          <w:color w:val="000000"/>
          <w:spacing w:val="0"/>
          <w:w w:val="100"/>
          <w:position w:val="0"/>
        </w:rPr>
        <w:t>元进行 分配，由未分配利润转入应付股利。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月，浙江涵普董事会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号决议审议通过了《浙江涵普电力科技有限公司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 度现金分红事宜》：在确保资金满足公司正常经营的情况下，同意以现金方式向股东支付</w:t>
      </w:r>
      <w:r>
        <w:rPr>
          <w:rFonts w:ascii="Times New Roman" w:eastAsia="Times New Roman" w:hAnsi="Times New Roman" w:cs="Times New Roman"/>
          <w:color w:val="000000"/>
          <w:spacing w:val="0"/>
          <w:w w:val="100"/>
          <w:position w:val="0"/>
          <w:sz w:val="18"/>
          <w:szCs w:val="18"/>
        </w:rPr>
        <w:t>6,805,585.13</w:t>
      </w:r>
      <w:r>
        <w:rPr>
          <w:color w:val="000000"/>
          <w:spacing w:val="0"/>
          <w:w w:val="100"/>
          <w:position w:val="0"/>
        </w:rPr>
        <w:t>元，该项现金分红已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月支付完毕。</w:t>
      </w:r>
    </w:p>
    <w:p>
      <w:pPr>
        <w:pStyle w:val="Style32"/>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302"/>
      <w:bookmarkEnd w:id="1303"/>
      <w:bookmarkEnd w:id="1305"/>
    </w:p>
    <w:p>
      <w:pPr>
        <w:pStyle w:val="Style4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06"/>
      <w:bookmarkEnd w:id="1307"/>
      <w:bookmarkEnd w:id="13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65,578,490.30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983,794.78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1,028,159.97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498,625.78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555,549.70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629,022.90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67,302,496.48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2,511,443.46</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9"/>
      <w:bookmarkEnd w:id="1310"/>
      <w:bookmarkEnd w:id="13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81"/>
        <w:keepNext w:val="0"/>
        <w:keepLines w:val="0"/>
        <w:widowControl w:val="0"/>
        <w:shd w:val="clear" w:color="auto" w:fill="auto"/>
        <w:tabs>
          <w:tab w:pos="651" w:val="left"/>
        </w:tabs>
        <w:bidi w:val="0"/>
        <w:spacing w:before="0" w:after="180" w:line="312" w:lineRule="exact"/>
        <w:ind w:left="0" w:right="0" w:firstLine="0"/>
        <w:jc w:val="both"/>
        <w:rPr>
          <w:sz w:val="22"/>
          <w:szCs w:val="22"/>
        </w:rPr>
      </w:pPr>
      <w:bookmarkStart w:id="1312" w:name="bookmark1312"/>
      <w:r>
        <w:rPr>
          <w:b w:val="0"/>
          <w:bCs w:val="0"/>
          <w:color w:val="000000"/>
          <w:spacing w:val="0"/>
          <w:w w:val="100"/>
          <w:position w:val="0"/>
          <w:sz w:val="22"/>
          <w:szCs w:val="22"/>
        </w:rPr>
        <w:t>（</w:t>
      </w:r>
      <w:bookmarkEnd w:id="1312"/>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2"/>
          <w:szCs w:val="22"/>
        </w:rPr>
        <w:t>）</w:t>
        <w:tab/>
        <w:t>期末其他应付款保证金主要系收到特定投资者非公开发行股份募集配套资金及员工持股 计划募集资金的保证金。</w:t>
      </w:r>
    </w:p>
    <w:p>
      <w:pPr>
        <w:pStyle w:val="Style81"/>
        <w:keepNext w:val="0"/>
        <w:keepLines w:val="0"/>
        <w:widowControl w:val="0"/>
        <w:shd w:val="clear" w:color="auto" w:fill="auto"/>
        <w:tabs>
          <w:tab w:pos="526" w:val="left"/>
        </w:tabs>
        <w:bidi w:val="0"/>
        <w:spacing w:before="0" w:after="900" w:line="312" w:lineRule="exact"/>
        <w:ind w:left="0" w:right="0" w:firstLine="0"/>
        <w:jc w:val="both"/>
        <w:rPr>
          <w:sz w:val="22"/>
          <w:szCs w:val="22"/>
        </w:rPr>
      </w:pPr>
      <w:bookmarkStart w:id="1313" w:name="bookmark1313"/>
      <w:r>
        <w:rPr>
          <w:b w:val="0"/>
          <w:bCs w:val="0"/>
          <w:color w:val="000000"/>
          <w:spacing w:val="0"/>
          <w:w w:val="100"/>
          <w:position w:val="0"/>
          <w:sz w:val="22"/>
          <w:szCs w:val="22"/>
        </w:rPr>
        <w:t>（</w:t>
      </w:r>
      <w:bookmarkEnd w:id="1313"/>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2"/>
          <w:szCs w:val="22"/>
        </w:rPr>
        <w:t>）</w:t>
        <w:tab/>
        <w:t>期末无账龄超过</w:t>
      </w:r>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2"/>
          <w:szCs w:val="22"/>
        </w:rPr>
        <w:t>年的重要其他应付款。</w:t>
      </w:r>
    </w:p>
    <w:p>
      <w:pPr>
        <w:pStyle w:val="Style32"/>
        <w:keepNext/>
        <w:keepLines/>
        <w:widowControl w:val="0"/>
        <w:shd w:val="clear" w:color="auto" w:fill="auto"/>
        <w:bidi w:val="0"/>
        <w:spacing w:before="0" w:after="36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314"/>
      <w:bookmarkEnd w:id="1315"/>
      <w:bookmarkEnd w:id="13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2,874,999.96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2,874,999.96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2,874,999.96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81"/>
        <w:keepNext w:val="0"/>
        <w:keepLines w:val="0"/>
        <w:widowControl w:val="0"/>
        <w:shd w:val="clear" w:color="auto" w:fill="auto"/>
        <w:bidi w:val="0"/>
        <w:spacing w:before="0" w:after="360" w:line="240" w:lineRule="auto"/>
        <w:ind w:left="0" w:right="0" w:firstLine="0"/>
        <w:jc w:val="both"/>
        <w:rPr>
          <w:sz w:val="20"/>
          <w:szCs w:val="20"/>
        </w:rPr>
      </w:pPr>
      <w:r>
        <w:rPr>
          <w:b w:val="0"/>
          <w:bCs w:val="0"/>
          <w:color w:val="000000"/>
          <w:spacing w:val="0"/>
          <w:w w:val="100"/>
          <w:position w:val="0"/>
          <w:sz w:val="20"/>
          <w:szCs w:val="20"/>
        </w:rPr>
        <w:t>一年内到期的非流动负债系银行长期借款（抵押借款）中一年内到期的部分。</w:t>
      </w:r>
    </w:p>
    <w:p>
      <w:pPr>
        <w:pStyle w:val="Style32"/>
        <w:keepNext/>
        <w:keepLines/>
        <w:widowControl w:val="0"/>
        <w:shd w:val="clear" w:color="auto" w:fill="auto"/>
        <w:bidi w:val="0"/>
        <w:spacing w:before="0" w:after="36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318"/>
      <w:bookmarkEnd w:id="1319"/>
      <w:bookmarkEnd w:id="1321"/>
    </w:p>
    <w:p>
      <w:pPr>
        <w:pStyle w:val="Style45"/>
        <w:keepNext/>
        <w:keepLines/>
        <w:widowControl w:val="0"/>
        <w:shd w:val="clear" w:color="auto" w:fill="auto"/>
        <w:bidi w:val="0"/>
        <w:spacing w:before="0" w:after="360" w:line="240" w:lineRule="auto"/>
        <w:ind w:left="0" w:right="0" w:firstLine="0"/>
        <w:jc w:val="both"/>
      </w:pPr>
      <w:bookmarkStart w:id="1322" w:name="bookmark1322"/>
      <w:bookmarkStart w:id="1323" w:name="bookmark1323"/>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22"/>
      <w:bookmarkEnd w:id="1323"/>
      <w:bookmarkEnd w:id="13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3,354,166.82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479,166.74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3,354,166.82</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按担保方式分类。</w:t>
      </w:r>
    </w:p>
    <w:p>
      <w:pPr>
        <w:widowControl w:val="0"/>
        <w:spacing w:after="43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其他说明，包括利率区间：</w:t>
      </w:r>
    </w:p>
    <w:p>
      <w:pPr>
        <w:pStyle w:val="Style81"/>
        <w:keepNext w:val="0"/>
        <w:keepLines w:val="0"/>
        <w:widowControl w:val="0"/>
        <w:shd w:val="clear" w:color="auto" w:fill="auto"/>
        <w:bidi w:val="0"/>
        <w:spacing w:before="0" w:after="360" w:line="314" w:lineRule="exact"/>
        <w:ind w:left="0" w:right="0" w:firstLine="0"/>
        <w:jc w:val="both"/>
        <w:rPr>
          <w:sz w:val="22"/>
          <w:szCs w:val="22"/>
        </w:rPr>
      </w:pPr>
      <w:r>
        <w:rPr>
          <w:b w:val="0"/>
          <w:bCs w:val="0"/>
          <w:color w:val="000000"/>
          <w:spacing w:val="0"/>
          <w:w w:val="100"/>
          <w:position w:val="0"/>
          <w:sz w:val="22"/>
          <w:szCs w:val="22"/>
        </w:rPr>
        <w:t>本公司于</w:t>
      </w:r>
      <w:r>
        <w:rPr>
          <w:rFonts w:ascii="Times New Roman" w:eastAsia="Times New Roman" w:hAnsi="Times New Roman" w:cs="Times New Roman"/>
          <w:b w:val="0"/>
          <w:bCs w:val="0"/>
          <w:color w:val="000000"/>
          <w:spacing w:val="0"/>
          <w:w w:val="100"/>
          <w:position w:val="0"/>
          <w:sz w:val="24"/>
          <w:szCs w:val="24"/>
        </w:rPr>
        <w:t>2010</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2"/>
          <w:szCs w:val="22"/>
        </w:rPr>
        <w:t>日与中国农业银行股份有限公司厦门莲前支行签订《厂房按揭借款合 同》，以环东海域思明工业园</w:t>
      </w:r>
      <w:r>
        <w:rPr>
          <w:rFonts w:ascii="Times New Roman" w:eastAsia="Times New Roman" w:hAnsi="Times New Roman" w:cs="Times New Roman"/>
          <w:b w:val="0"/>
          <w:bCs w:val="0"/>
          <w:color w:val="000000"/>
          <w:spacing w:val="0"/>
          <w:w w:val="100"/>
          <w:position w:val="0"/>
          <w:sz w:val="24"/>
          <w:szCs w:val="24"/>
        </w:rPr>
        <w:t>37#</w:t>
      </w:r>
      <w:r>
        <w:rPr>
          <w:b w:val="0"/>
          <w:bCs w:val="0"/>
          <w:color w:val="000000"/>
          <w:spacing w:val="0"/>
          <w:w w:val="100"/>
          <w:position w:val="0"/>
          <w:sz w:val="22"/>
          <w:szCs w:val="22"/>
        </w:rPr>
        <w:t>、</w:t>
      </w:r>
      <w:r>
        <w:rPr>
          <w:rFonts w:ascii="Times New Roman" w:eastAsia="Times New Roman" w:hAnsi="Times New Roman" w:cs="Times New Roman"/>
          <w:b w:val="0"/>
          <w:bCs w:val="0"/>
          <w:color w:val="000000"/>
          <w:spacing w:val="0"/>
          <w:w w:val="100"/>
          <w:position w:val="0"/>
          <w:sz w:val="24"/>
          <w:szCs w:val="24"/>
        </w:rPr>
        <w:t>38#</w:t>
      </w:r>
      <w:r>
        <w:rPr>
          <w:b w:val="0"/>
          <w:bCs w:val="0"/>
          <w:color w:val="000000"/>
          <w:spacing w:val="0"/>
          <w:w w:val="100"/>
          <w:position w:val="0"/>
          <w:sz w:val="22"/>
          <w:szCs w:val="22"/>
        </w:rPr>
        <w:t>厂房作为抵押，向银行按揭借款计人民币</w:t>
      </w:r>
      <w:r>
        <w:rPr>
          <w:rFonts w:ascii="Times New Roman" w:eastAsia="Times New Roman" w:hAnsi="Times New Roman" w:cs="Times New Roman"/>
          <w:b w:val="0"/>
          <w:bCs w:val="0"/>
          <w:color w:val="000000"/>
          <w:spacing w:val="0"/>
          <w:w w:val="100"/>
          <w:position w:val="0"/>
          <w:sz w:val="24"/>
          <w:szCs w:val="24"/>
        </w:rPr>
        <w:t xml:space="preserve">23,000,000.00 </w:t>
      </w:r>
      <w:r>
        <w:rPr>
          <w:b w:val="0"/>
          <w:bCs w:val="0"/>
          <w:color w:val="000000"/>
          <w:spacing w:val="0"/>
          <w:w w:val="100"/>
          <w:position w:val="0"/>
          <w:sz w:val="22"/>
          <w:szCs w:val="22"/>
        </w:rPr>
        <w:t>元，借款期限为</w:t>
      </w:r>
      <w:r>
        <w:rPr>
          <w:rFonts w:ascii="Times New Roman" w:eastAsia="Times New Roman" w:hAnsi="Times New Roman" w:cs="Times New Roman"/>
          <w:b w:val="0"/>
          <w:bCs w:val="0"/>
          <w:color w:val="000000"/>
          <w:spacing w:val="0"/>
          <w:w w:val="100"/>
          <w:position w:val="0"/>
          <w:sz w:val="24"/>
          <w:szCs w:val="24"/>
        </w:rPr>
        <w:t>2010</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24</w:t>
      </w:r>
      <w:r>
        <w:rPr>
          <w:b w:val="0"/>
          <w:bCs w:val="0"/>
          <w:color w:val="000000"/>
          <w:spacing w:val="0"/>
          <w:w w:val="100"/>
          <w:position w:val="0"/>
          <w:sz w:val="22"/>
          <w:szCs w:val="22"/>
        </w:rPr>
        <w:t>日至</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23</w:t>
      </w:r>
      <w:r>
        <w:rPr>
          <w:b w:val="0"/>
          <w:bCs w:val="0"/>
          <w:color w:val="000000"/>
          <w:spacing w:val="0"/>
          <w:w w:val="100"/>
          <w:position w:val="0"/>
          <w:sz w:val="22"/>
          <w:szCs w:val="22"/>
        </w:rPr>
        <w:t>日。截至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日，上述银行借款本金 余额</w:t>
      </w:r>
      <w:r>
        <w:rPr>
          <w:rFonts w:ascii="Times New Roman" w:eastAsia="Times New Roman" w:hAnsi="Times New Roman" w:cs="Times New Roman"/>
          <w:b w:val="0"/>
          <w:bCs w:val="0"/>
          <w:color w:val="000000"/>
          <w:spacing w:val="0"/>
          <w:w w:val="100"/>
          <w:position w:val="0"/>
          <w:sz w:val="24"/>
          <w:szCs w:val="24"/>
        </w:rPr>
        <w:t>3,354,166.70</w:t>
      </w:r>
      <w:r>
        <w:rPr>
          <w:b w:val="0"/>
          <w:bCs w:val="0"/>
          <w:color w:val="000000"/>
          <w:spacing w:val="0"/>
          <w:w w:val="100"/>
          <w:position w:val="0"/>
          <w:sz w:val="22"/>
          <w:szCs w:val="22"/>
        </w:rPr>
        <w:t>元，其中一年内到期长期借款金额为</w:t>
      </w:r>
      <w:r>
        <w:rPr>
          <w:rFonts w:ascii="Times New Roman" w:eastAsia="Times New Roman" w:hAnsi="Times New Roman" w:cs="Times New Roman"/>
          <w:b w:val="0"/>
          <w:bCs w:val="0"/>
          <w:color w:val="000000"/>
          <w:spacing w:val="0"/>
          <w:w w:val="100"/>
          <w:position w:val="0"/>
          <w:sz w:val="24"/>
          <w:szCs w:val="24"/>
        </w:rPr>
        <w:t>2,874,999.96</w:t>
      </w:r>
      <w:r>
        <w:rPr>
          <w:b w:val="0"/>
          <w:bCs w:val="0"/>
          <w:color w:val="000000"/>
          <w:spacing w:val="0"/>
          <w:w w:val="100"/>
          <w:position w:val="0"/>
          <w:sz w:val="22"/>
          <w:szCs w:val="22"/>
        </w:rPr>
        <w:t>元。</w:t>
      </w:r>
      <w:r>
        <w:br w:type="page"/>
      </w:r>
    </w:p>
    <w:p>
      <w:pPr>
        <w:pStyle w:val="Style32"/>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325"/>
      <w:bookmarkEnd w:id="1326"/>
      <w:bookmarkEnd w:id="132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195,074,000.00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195,074,000.00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283,744,000.00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81"/>
        <w:keepNext w:val="0"/>
        <w:keepLines w:val="0"/>
        <w:widowControl w:val="0"/>
        <w:shd w:val="clear" w:color="auto" w:fill="auto"/>
        <w:bidi w:val="0"/>
        <w:spacing w:before="0" w:after="380" w:line="312" w:lineRule="exact"/>
        <w:ind w:left="0" w:right="0" w:firstLine="0"/>
        <w:jc w:val="left"/>
        <w:rPr>
          <w:sz w:val="22"/>
          <w:szCs w:val="22"/>
        </w:rPr>
      </w:pPr>
      <w:r>
        <w:rPr>
          <w:b w:val="0"/>
          <w:bCs w:val="0"/>
          <w:color w:val="000000"/>
          <w:spacing w:val="0"/>
          <w:w w:val="100"/>
          <w:position w:val="0"/>
          <w:sz w:val="22"/>
          <w:szCs w:val="22"/>
        </w:rPr>
        <w:t>本公司第三届董事会第十五次会议、第三届监事会第九次会议及</w:t>
      </w:r>
      <w:r>
        <w:rPr>
          <w:rFonts w:ascii="Times New Roman" w:eastAsia="Times New Roman" w:hAnsi="Times New Roman" w:cs="Times New Roman"/>
          <w:b w:val="0"/>
          <w:bCs w:val="0"/>
          <w:color w:val="000000"/>
          <w:spacing w:val="0"/>
          <w:w w:val="100"/>
          <w:position w:val="0"/>
          <w:sz w:val="24"/>
          <w:szCs w:val="24"/>
        </w:rPr>
        <w:t>2015</w:t>
      </w:r>
      <w:r>
        <w:rPr>
          <w:b w:val="0"/>
          <w:bCs w:val="0"/>
          <w:color w:val="000000"/>
          <w:spacing w:val="0"/>
          <w:w w:val="100"/>
          <w:position w:val="0"/>
          <w:sz w:val="22"/>
          <w:szCs w:val="22"/>
        </w:rPr>
        <w:t>年度年度股东大会审议 通过了《关于公司</w:t>
      </w:r>
      <w:r>
        <w:rPr>
          <w:rFonts w:ascii="Times New Roman" w:eastAsia="Times New Roman" w:hAnsi="Times New Roman" w:cs="Times New Roman"/>
          <w:b w:val="0"/>
          <w:bCs w:val="0"/>
          <w:color w:val="000000"/>
          <w:spacing w:val="0"/>
          <w:w w:val="100"/>
          <w:position w:val="0"/>
          <w:sz w:val="24"/>
          <w:szCs w:val="24"/>
        </w:rPr>
        <w:t>2015</w:t>
      </w:r>
      <w:r>
        <w:rPr>
          <w:b w:val="0"/>
          <w:bCs w:val="0"/>
          <w:color w:val="000000"/>
          <w:spacing w:val="0"/>
          <w:w w:val="100"/>
          <w:position w:val="0"/>
          <w:sz w:val="22"/>
          <w:szCs w:val="22"/>
        </w:rPr>
        <w:t>年度利润分配预案的议案》：以截止</w:t>
      </w:r>
      <w:r>
        <w:rPr>
          <w:rFonts w:ascii="Times New Roman" w:eastAsia="Times New Roman" w:hAnsi="Times New Roman" w:cs="Times New Roman"/>
          <w:b w:val="0"/>
          <w:bCs w:val="0"/>
          <w:color w:val="000000"/>
          <w:spacing w:val="0"/>
          <w:w w:val="100"/>
          <w:position w:val="0"/>
          <w:sz w:val="24"/>
          <w:szCs w:val="24"/>
        </w:rPr>
        <w:t>2015</w:t>
      </w:r>
      <w:r>
        <w:rPr>
          <w:b w:val="0"/>
          <w:bCs w:val="0"/>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2"/>
          <w:szCs w:val="22"/>
        </w:rPr>
        <w:t>日公司总股份</w:t>
      </w:r>
      <w:r>
        <w:rPr>
          <w:rFonts w:ascii="Times New Roman" w:eastAsia="Times New Roman" w:hAnsi="Times New Roman" w:cs="Times New Roman"/>
          <w:b w:val="0"/>
          <w:bCs w:val="0"/>
          <w:color w:val="000000"/>
          <w:spacing w:val="0"/>
          <w:w w:val="100"/>
          <w:position w:val="0"/>
          <w:sz w:val="24"/>
          <w:szCs w:val="24"/>
        </w:rPr>
        <w:t xml:space="preserve">8,867.00 </w:t>
      </w:r>
      <w:r>
        <w:rPr>
          <w:b w:val="0"/>
          <w:bCs w:val="0"/>
          <w:color w:val="000000"/>
          <w:spacing w:val="0"/>
          <w:w w:val="100"/>
          <w:position w:val="0"/>
          <w:sz w:val="22"/>
          <w:szCs w:val="22"/>
        </w:rPr>
        <w:t>万股为基数，以未分配利润向全体股东每</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2"/>
          <w:szCs w:val="22"/>
        </w:rPr>
        <w:t>股派发现金股利</w:t>
      </w:r>
      <w:r>
        <w:rPr>
          <w:rFonts w:ascii="Times New Roman" w:eastAsia="Times New Roman" w:hAnsi="Times New Roman" w:cs="Times New Roman"/>
          <w:b w:val="0"/>
          <w:bCs w:val="0"/>
          <w:color w:val="000000"/>
          <w:spacing w:val="0"/>
          <w:w w:val="100"/>
          <w:position w:val="0"/>
          <w:sz w:val="24"/>
          <w:szCs w:val="24"/>
        </w:rPr>
        <w:t>1.9</w:t>
      </w:r>
      <w:r>
        <w:rPr>
          <w:b w:val="0"/>
          <w:bCs w:val="0"/>
          <w:color w:val="000000"/>
          <w:spacing w:val="0"/>
          <w:w w:val="100"/>
          <w:position w:val="0"/>
          <w:sz w:val="22"/>
          <w:szCs w:val="22"/>
        </w:rPr>
        <w:t>元（含税），共计派发股利人 民币</w:t>
      </w:r>
      <w:r>
        <w:rPr>
          <w:rFonts w:ascii="Times New Roman" w:eastAsia="Times New Roman" w:hAnsi="Times New Roman" w:cs="Times New Roman"/>
          <w:b w:val="0"/>
          <w:bCs w:val="0"/>
          <w:color w:val="000000"/>
          <w:spacing w:val="0"/>
          <w:w w:val="100"/>
          <w:position w:val="0"/>
          <w:sz w:val="24"/>
          <w:szCs w:val="24"/>
        </w:rPr>
        <w:t>16,847,300.00</w:t>
      </w:r>
      <w:r>
        <w:rPr>
          <w:b w:val="0"/>
          <w:bCs w:val="0"/>
          <w:color w:val="000000"/>
          <w:spacing w:val="0"/>
          <w:w w:val="100"/>
          <w:position w:val="0"/>
          <w:sz w:val="22"/>
          <w:szCs w:val="22"/>
        </w:rPr>
        <w:t>元；以资本公积向全体股东每</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2"/>
          <w:szCs w:val="22"/>
        </w:rPr>
        <w:t>股转增</w:t>
      </w:r>
      <w:r>
        <w:rPr>
          <w:rFonts w:ascii="Times New Roman" w:eastAsia="Times New Roman" w:hAnsi="Times New Roman" w:cs="Times New Roman"/>
          <w:b w:val="0"/>
          <w:bCs w:val="0"/>
          <w:color w:val="000000"/>
          <w:spacing w:val="0"/>
          <w:w w:val="100"/>
          <w:position w:val="0"/>
          <w:sz w:val="24"/>
          <w:szCs w:val="24"/>
        </w:rPr>
        <w:t>22</w:t>
      </w:r>
      <w:r>
        <w:rPr>
          <w:b w:val="0"/>
          <w:bCs w:val="0"/>
          <w:color w:val="000000"/>
          <w:spacing w:val="0"/>
          <w:w w:val="100"/>
          <w:position w:val="0"/>
          <w:sz w:val="22"/>
          <w:szCs w:val="22"/>
        </w:rPr>
        <w:t>股，共计转增股份</w:t>
      </w:r>
      <w:r>
        <w:rPr>
          <w:rFonts w:ascii="Times New Roman" w:eastAsia="Times New Roman" w:hAnsi="Times New Roman" w:cs="Times New Roman"/>
          <w:b w:val="0"/>
          <w:bCs w:val="0"/>
          <w:color w:val="000000"/>
          <w:spacing w:val="0"/>
          <w:w w:val="100"/>
          <w:position w:val="0"/>
          <w:sz w:val="24"/>
          <w:szCs w:val="24"/>
        </w:rPr>
        <w:t>19,507.40</w:t>
      </w:r>
      <w:r>
        <w:rPr>
          <w:b w:val="0"/>
          <w:bCs w:val="0"/>
          <w:color w:val="000000"/>
          <w:spacing w:val="0"/>
          <w:w w:val="100"/>
          <w:position w:val="0"/>
          <w:sz w:val="22"/>
          <w:szCs w:val="22"/>
        </w:rPr>
        <w:t>万股。 本次资本公积转增资本业经致同会计师事务所（特殊普通合伙）以</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2"/>
          <w:szCs w:val="22"/>
        </w:rPr>
        <w:t>致同验字（</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2"/>
          <w:szCs w:val="22"/>
        </w:rPr>
        <w:t xml:space="preserve">）第 </w:t>
      </w:r>
      <w:r>
        <w:rPr>
          <w:rFonts w:ascii="Times New Roman" w:eastAsia="Times New Roman" w:hAnsi="Times New Roman" w:cs="Times New Roman"/>
          <w:b w:val="0"/>
          <w:bCs w:val="0"/>
          <w:color w:val="000000"/>
          <w:spacing w:val="0"/>
          <w:w w:val="100"/>
          <w:position w:val="0"/>
          <w:sz w:val="24"/>
          <w:szCs w:val="24"/>
        </w:rPr>
        <w:t>350ZA0045</w:t>
      </w:r>
      <w:r>
        <w:rPr>
          <w:b w:val="0"/>
          <w:bCs w:val="0"/>
          <w:color w:val="000000"/>
          <w:spacing w:val="0"/>
          <w:w w:val="100"/>
          <w:position w:val="0"/>
          <w:sz w:val="22"/>
          <w:szCs w:val="22"/>
        </w:rPr>
        <w:t>号</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2"/>
          <w:szCs w:val="22"/>
        </w:rPr>
        <w:t>《验字报告》审验。</w:t>
      </w:r>
    </w:p>
    <w:p>
      <w:pPr>
        <w:pStyle w:val="Style32"/>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28"/>
      <w:bookmarkEnd w:id="1329"/>
      <w:bookmarkEnd w:id="13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199,524,557.81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195,074,000.00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4,450,557.81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199,524,557.81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195,074,000.00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4,450,557.81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81"/>
        <w:keepNext w:val="0"/>
        <w:keepLines w:val="0"/>
        <w:widowControl w:val="0"/>
        <w:shd w:val="clear" w:color="auto" w:fill="auto"/>
        <w:bidi w:val="0"/>
        <w:spacing w:before="0" w:after="380" w:line="331" w:lineRule="exact"/>
        <w:ind w:left="0" w:right="0" w:firstLine="0"/>
        <w:jc w:val="left"/>
        <w:rPr>
          <w:sz w:val="22"/>
          <w:szCs w:val="22"/>
        </w:rPr>
      </w:pPr>
      <w:r>
        <w:rPr>
          <w:b w:val="0"/>
          <w:bCs w:val="0"/>
          <w:color w:val="000000"/>
          <w:spacing w:val="0"/>
          <w:w w:val="100"/>
          <w:position w:val="0"/>
          <w:sz w:val="22"/>
          <w:szCs w:val="22"/>
        </w:rPr>
        <w:t>股本溢价本期减少系本公司资本公积转增股本，具体见本节</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2"/>
          <w:szCs w:val="22"/>
        </w:rPr>
        <w:t>七、合并财务报表项目注释之</w:t>
      </w:r>
      <w:r>
        <w:rPr>
          <w:rFonts w:ascii="Times New Roman" w:eastAsia="Times New Roman" w:hAnsi="Times New Roman" w:cs="Times New Roman"/>
          <w:b w:val="0"/>
          <w:bCs w:val="0"/>
          <w:color w:val="000000"/>
          <w:spacing w:val="0"/>
          <w:w w:val="100"/>
          <w:position w:val="0"/>
          <w:sz w:val="24"/>
          <w:szCs w:val="24"/>
        </w:rPr>
        <w:t>30</w:t>
      </w:r>
      <w:r>
        <w:rPr>
          <w:b w:val="0"/>
          <w:bCs w:val="0"/>
          <w:color w:val="000000"/>
          <w:spacing w:val="0"/>
          <w:w w:val="100"/>
          <w:position w:val="0"/>
          <w:sz w:val="22"/>
          <w:szCs w:val="22"/>
        </w:rPr>
        <w:t>、 股本</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2"/>
          <w:szCs w:val="22"/>
        </w:rPr>
        <w:t>。</w:t>
      </w:r>
    </w:p>
    <w:p>
      <w:pPr>
        <w:pStyle w:val="Style32"/>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32"/>
      <w:bookmarkEnd w:id="1333"/>
      <w:bookmarkEnd w:id="133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-771,701.06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-771,701.06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-771,701.06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2"/>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36"/>
      <w:bookmarkEnd w:id="1337"/>
      <w:bookmarkEnd w:id="13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30,158,891.74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36,889,847.76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30,158,891.74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36,889,847.76</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40"/>
      <w:bookmarkEnd w:id="1341"/>
      <w:bookmarkEnd w:id="13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246,428,225.67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196,712,894.18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246,428,225.67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196,712,894.18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73,815,900.71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70,937,874.33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6,730,956.02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5,261,942.86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15,960,599.98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296,665,870.36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246,428,225.67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344" w:name="bookmark1344"/>
      <w:r>
        <w:rPr>
          <w:rFonts w:ascii="Times New Roman" w:eastAsia="Times New Roman" w:hAnsi="Times New Roman" w:cs="Times New Roman"/>
          <w:color w:val="000000"/>
          <w:spacing w:val="0"/>
          <w:w w:val="100"/>
          <w:position w:val="0"/>
          <w:sz w:val="18"/>
          <w:szCs w:val="18"/>
        </w:rPr>
        <w:t>1</w:t>
      </w:r>
      <w:bookmarkEnd w:id="13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45" w:name="bookmark1345"/>
      <w:r>
        <w:rPr>
          <w:rFonts w:ascii="Times New Roman" w:eastAsia="Times New Roman" w:hAnsi="Times New Roman" w:cs="Times New Roman"/>
          <w:color w:val="000000"/>
          <w:spacing w:val="0"/>
          <w:w w:val="100"/>
          <w:position w:val="0"/>
          <w:sz w:val="18"/>
          <w:szCs w:val="18"/>
        </w:rPr>
        <w:t>2</w:t>
      </w:r>
      <w:bookmarkEnd w:id="13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46" w:name="bookmark1346"/>
      <w:r>
        <w:rPr>
          <w:rFonts w:ascii="Times New Roman" w:eastAsia="Times New Roman" w:hAnsi="Times New Roman" w:cs="Times New Roman"/>
          <w:color w:val="000000"/>
          <w:spacing w:val="0"/>
          <w:w w:val="100"/>
          <w:position w:val="0"/>
          <w:sz w:val="18"/>
          <w:szCs w:val="18"/>
        </w:rPr>
        <w:t>3</w:t>
      </w:r>
      <w:bookmarkEnd w:id="13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47" w:name="bookmark1347"/>
      <w:r>
        <w:rPr>
          <w:rFonts w:ascii="Times New Roman" w:eastAsia="Times New Roman" w:hAnsi="Times New Roman" w:cs="Times New Roman"/>
          <w:color w:val="000000"/>
          <w:spacing w:val="0"/>
          <w:w w:val="100"/>
          <w:position w:val="0"/>
          <w:sz w:val="18"/>
          <w:szCs w:val="18"/>
        </w:rPr>
        <w:t>4</w:t>
      </w:r>
      <w:bookmarkEnd w:id="13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348" w:name="bookmark1348"/>
      <w:r>
        <w:rPr>
          <w:rFonts w:ascii="Times New Roman" w:eastAsia="Times New Roman" w:hAnsi="Times New Roman" w:cs="Times New Roman"/>
          <w:color w:val="000000"/>
          <w:spacing w:val="0"/>
          <w:w w:val="100"/>
          <w:position w:val="0"/>
          <w:sz w:val="18"/>
          <w:szCs w:val="18"/>
        </w:rPr>
        <w:t>5</w:t>
      </w:r>
      <w:bookmarkEnd w:id="13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49"/>
      <w:bookmarkEnd w:id="1350"/>
      <w:bookmarkEnd w:id="13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409,199,824.53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194,748,951.50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302,127,682.30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151,725,074.79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3,126,950.45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479,255.97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410,557,480.83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195,527,303.98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305,254,632.75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152,204,330.76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53"/>
      <w:bookmarkEnd w:id="1354"/>
      <w:bookmarkEnd w:id="13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2,632,198.42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1,355,628.02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1,234,933.88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319,695.41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68,428.22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22,756.68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411,595.87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65,055.96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38,432.27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95,053.73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5,261,579.68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2,431,975.98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57"/>
      <w:bookmarkEnd w:id="1358"/>
      <w:bookmarkEnd w:id="13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19,029,740.68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11,836,659.61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7,607,909.72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7,320,828.06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市场调研及市场推广费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6,433,342.65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6,357,545.44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6,875,117.55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6,204,898.30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8,122,944.35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3,713,078.31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运输、检验及维修费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4,860,003.57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2,766,463.60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1,847,748.94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2,589,011.83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54,776,807.46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40,788,485.15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61"/>
      <w:bookmarkEnd w:id="1362"/>
      <w:bookmarkEnd w:id="13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26,780,407.38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17,014,668.12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14,594,867.60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11,113,518.27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4,086,145.44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2,847,156.46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5,158,878.63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2,611,609.87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8,120,863.20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2,344,394.77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1,317,412.62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1,430,340.91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760,527.34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1,171,879.56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300,416.93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569,097.45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61,119,519.14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39,102,665.41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65"/>
      <w:bookmarkEnd w:id="1366"/>
      <w:bookmarkEnd w:id="13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514,915.43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573,579.58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-2,054,279.22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-1,367,926.22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101,671.20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362,481.85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105,180.26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-1,075,210.74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-632,829.63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69"/>
      <w:bookmarkEnd w:id="1370"/>
      <w:bookmarkEnd w:id="13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4,161,498.36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4,042,360.32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1,589,445.41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414,588.10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5,750,943.77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4,456,948.42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73"/>
      <w:bookmarkEnd w:id="1374"/>
      <w:bookmarkEnd w:id="13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292,800.00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投资理财产品取得的投资收益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411,802.30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704,602.30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77"/>
      <w:bookmarkEnd w:id="1378"/>
      <w:bookmarkEnd w:id="13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100" w:firstLine="0"/>
              <w:jc w:val="right"/>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124,264.88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124,264.88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10,651,003.05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8,959,215.38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4,742,756.53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企业合并投资成本低于被合 并企业净资产公允价值的差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7,449,573.49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197,570.39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197,570.39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10,972,838.32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16,479,478.54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5,064,591.80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对实际税负 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 的增值税返 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厦门市国家 税务局；海盐 县国家税务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5,908,246.52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5,224,671.87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厦门市财政 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 企业兼并重 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厦门市经信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区人民政府 滨海街道办 事处观音山 住房补贴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厦门市思明 区人民政府 滨海街道办 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海盐县科技 局科技计划 项目经费补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海盐县科技 局中小企业 技术创新项 目立项经费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厦门市科学 技术局</w:t>
            </w: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年厦门市科 技小巨人领 军企业专项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厦门市社会 保险管理中 心稳岗补贴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厦门市社会 保险管理中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海盐县财政 局工业品牌 创建财政奖 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区就业管理 中心社保补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厦门市思明 区就业管理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厦门市财政 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 业企业研发 投入可加计 扣除奖励金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厦门市经信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厦门市知识 产权局工业 设计优势企 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厦门市知识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海盐县科技 局专利补助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厦门市思明 区人民政府 滨海街道办 事处人才扶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区人民政府 滨海街道办 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年中央 外经贸发展 专项资金补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海盐县财政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优秀大学生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创业园补助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年中央 外经贸发展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厦门科易通 宝网络科技 有限公司思 明区</w:t>
            </w:r>
            <w:r>
              <w:rPr>
                <w:rFonts w:ascii="Times New Roman" w:eastAsia="Times New Roman" w:hAnsi="Times New Roman" w:cs="Times New Roman"/>
                <w:color w:val="000000"/>
                <w:spacing w:val="0"/>
                <w:w w:val="100"/>
                <w:position w:val="0"/>
                <w:sz w:val="18"/>
                <w:szCs w:val="18"/>
              </w:rPr>
              <w:t xml:space="preserve">201512 </w:t>
            </w:r>
            <w:r>
              <w:rPr>
                <w:color w:val="000000"/>
                <w:spacing w:val="0"/>
                <w:w w:val="100"/>
                <w:position w:val="0"/>
              </w:rPr>
              <w:t>批次平台奖 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 区科信局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区科技和信 息化局国内 发明专利奖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区科技和信 息化局首件 专利奖励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区科技和信 息化局奖励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厦门市科学 技术局</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年厦门市技 术交易奖励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厦门市思明 区就业管理 中心劳务协 作奖励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厦门市就业 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区科技和信 息化局小微 企业实用新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免征教育费 附加和地方 教育费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厦门市地方 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厦门市科技 局科创红包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厦门市财政 局市外大型 项目招投标 中标奖励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正式挂牌上 市奖励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 区科学技术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年省工 业与信息化 发展财政专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市重点技术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创新及产学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产学研项目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第八届科学 技术进步三 等奖奖励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厦门市思明 区科技和信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科技进步奖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专利申请费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厦门市知识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用资助收入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年软件 和信息服务 业发展补助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引才补助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海盐县财政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 区人民政府 滨海街道办 事处个税奖 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 区人民政府 滨海街道办 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10,651,003.0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8,959,215.38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81"/>
      <w:bookmarkEnd w:id="1382"/>
      <w:bookmarkEnd w:id="13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19,858.02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189,764.87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19,858.02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189,764.87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56,707.97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56,707.97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86,565.99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204,175.32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86,565.99</w:t>
            </w:r>
          </w:p>
        </w:tc>
      </w:tr>
    </w:tbl>
    <w:p>
      <w:pPr>
        <w:widowControl w:val="0"/>
        <w:spacing w:after="9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28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2"/>
          <w:szCs w:val="22"/>
        </w:rPr>
        <w:t>其他</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2"/>
          <w:szCs w:val="22"/>
        </w:rPr>
        <w:t>项目主要包括车辆违章罚没等支出</w:t>
      </w:r>
      <w:r>
        <w:br w:type="page"/>
      </w:r>
    </w:p>
    <w:p>
      <w:pPr>
        <w:pStyle w:val="Style32"/>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85"/>
      <w:bookmarkEnd w:id="1386"/>
      <w:bookmarkEnd w:id="1388"/>
    </w:p>
    <w:p>
      <w:pPr>
        <w:pStyle w:val="Style45"/>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89"/>
      <w:bookmarkEnd w:id="1390"/>
      <w:bookmarkEnd w:id="13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17,186,199.09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12,734,843.16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-354,890.43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16,070,389.83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12,379,952.73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2"/>
      <w:bookmarkEnd w:id="1393"/>
      <w:bookmarkEnd w:id="13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100,787,412.17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15,118,111.83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344,833.82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-276,195.04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1,029,939.26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1,323,592.04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-1,346,247.40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16,070,389.83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95"/>
      <w:bookmarkEnd w:id="1396"/>
      <w:bookmarkEnd w:id="139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399"/>
      <w:bookmarkEnd w:id="1400"/>
      <w:bookmarkEnd w:id="1402"/>
    </w:p>
    <w:p>
      <w:pPr>
        <w:pStyle w:val="Style45"/>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3"/>
      <w:bookmarkEnd w:id="1404"/>
      <w:bookmarkEnd w:id="14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收到的投标保证金退款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28,385,308.75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31,385,664.59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4,742,756.53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3,848,325.72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收到的备用金还款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2,798,112.87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2,054,279.22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1,096,210.92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3,171,493.40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2,397,729.33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39,649,372.48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41,526,043.43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6"/>
      <w:bookmarkEnd w:id="1407"/>
      <w:bookmarkEnd w:id="14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支付各项付现费用等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45,896,752.07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36,802,977.39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9,129,795.04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13,765,714.00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29,085,710.12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32,605,632.39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84,230,112.56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83,279,234.41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09"/>
      <w:bookmarkEnd w:id="1410"/>
      <w:bookmarkEnd w:id="14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理财产品收回的现金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121,060,000.00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非同一控制下企业合并，购买日子公司 持有的现金及现金等价物扣除投资后净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25,680,047.47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146,740,047.47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5"/>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13"/>
      <w:bookmarkEnd w:id="1414"/>
      <w:bookmarkEnd w:id="14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支付卧龙集团保证金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45"/>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w:t>
      </w:r>
      <w:bookmarkEnd w:id="141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17"/>
      <w:bookmarkEnd w:id="1418"/>
      <w:bookmarkEnd w:id="14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收到募集资金保证金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64,832,069.30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64,832,069.30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5"/>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21"/>
      <w:bookmarkEnd w:id="1422"/>
      <w:bookmarkEnd w:id="142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支付重组项目申报相关的中介机构费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13,027,357.54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13,027,357.54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25"/>
      <w:bookmarkEnd w:id="1426"/>
      <w:bookmarkEnd w:id="1428"/>
    </w:p>
    <w:p>
      <w:pPr>
        <w:pStyle w:val="Style45"/>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9"/>
      <w:bookmarkEnd w:id="1430"/>
      <w:bookmarkEnd w:id="143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84,717,022.34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75,544,926.09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5,750,943.77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4,456,948.42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7,679,260.59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5,029,809.28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45,606.46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629,916.33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-272,472.29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4,622,994.06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13,713,951.52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-12,342,081.34</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20,953,000.84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-30,650,644.96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130,539,761.27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42,473,127.37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438,224,045.13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287,729,724.84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287,729,724.84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102,393,343.62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150,494,320.29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185,336,381.22</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32"/>
      <w:bookmarkEnd w:id="1433"/>
      <w:bookmarkEnd w:id="14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438,224,045.13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287,729,724.84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438,176,206.25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287,662,416.27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438,224,045.13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287,729,724.84</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435"/>
      <w:bookmarkEnd w:id="1436"/>
      <w:bookmarkEnd w:id="143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360" w:line="240" w:lineRule="auto"/>
        <w:ind w:left="0" w:right="0" w:firstLine="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439"/>
      <w:bookmarkEnd w:id="1440"/>
      <w:bookmarkEnd w:id="14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银行履约保函保证金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26,679,723.08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12,862,884.26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40,979,789.77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日与中国农业银行股份有限公司厦门莲前支行签订《厂房按揭借款合同》，以环东海域思明工业 园</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厂房作为抵押，向银行按揭借款计人民币</w:t>
      </w:r>
      <w:r>
        <w:rPr>
          <w:rFonts w:ascii="Times New Roman" w:eastAsia="Times New Roman" w:hAnsi="Times New Roman" w:cs="Times New Roman"/>
          <w:color w:val="000000"/>
          <w:spacing w:val="0"/>
          <w:w w:val="100"/>
          <w:position w:val="0"/>
          <w:sz w:val="18"/>
          <w:szCs w:val="18"/>
        </w:rPr>
        <w:t>23,000,000.00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日，上述银行借款本金余额</w:t>
      </w:r>
      <w:r>
        <w:rPr>
          <w:rFonts w:ascii="Times New Roman" w:eastAsia="Times New Roman" w:hAnsi="Times New Roman" w:cs="Times New Roman"/>
          <w:color w:val="000000"/>
          <w:spacing w:val="0"/>
          <w:w w:val="100"/>
          <w:position w:val="0"/>
          <w:sz w:val="18"/>
          <w:szCs w:val="18"/>
        </w:rPr>
        <w:t>3,354,166.7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元，其中一年内到期长期借款金额为</w:t>
      </w:r>
      <w:r>
        <w:rPr>
          <w:rFonts w:ascii="Times New Roman" w:eastAsia="Times New Roman" w:hAnsi="Times New Roman" w:cs="Times New Roman"/>
          <w:color w:val="000000"/>
          <w:spacing w:val="0"/>
          <w:w w:val="100"/>
          <w:position w:val="0"/>
          <w:sz w:val="18"/>
          <w:szCs w:val="18"/>
        </w:rPr>
        <w:t>2,874,999.96</w:t>
      </w:r>
      <w:r>
        <w:rPr>
          <w:color w:val="000000"/>
          <w:spacing w:val="0"/>
          <w:w w:val="100"/>
          <w:position w:val="0"/>
        </w:rPr>
        <w:t>元。</w:t>
      </w:r>
    </w:p>
    <w:p>
      <w:pPr>
        <w:pStyle w:val="Style27"/>
        <w:keepNext w:val="0"/>
        <w:keepLines w:val="0"/>
        <w:widowControl w:val="0"/>
        <w:shd w:val="clear" w:color="auto" w:fill="auto"/>
        <w:bidi w:val="0"/>
        <w:spacing w:before="0" w:after="680" w:line="312" w:lineRule="exact"/>
        <w:ind w:left="0" w:right="0" w:firstLine="6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本公司的子公司浙江涵普以位于杭州伟星大厦第十八层整层的写字楼及土地使用权（房屋产权证：杭房权证西移字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13598170</w:t>
      </w:r>
      <w:r>
        <w:rPr>
          <w:color w:val="000000"/>
          <w:spacing w:val="0"/>
          <w:w w:val="100"/>
          <w:position w:val="0"/>
        </w:rPr>
        <w:t>号；土地使用权证：杭西国用(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018135</w:t>
      </w:r>
      <w:r>
        <w:rPr>
          <w:color w:val="000000"/>
          <w:spacing w:val="0"/>
          <w:w w:val="100"/>
          <w:position w:val="0"/>
        </w:rPr>
        <w:t>号，账面价值</w:t>
      </w:r>
      <w:r>
        <w:rPr>
          <w:rFonts w:ascii="Times New Roman" w:eastAsia="Times New Roman" w:hAnsi="Times New Roman" w:cs="Times New Roman"/>
          <w:color w:val="000000"/>
          <w:spacing w:val="0"/>
          <w:w w:val="100"/>
          <w:position w:val="0"/>
          <w:sz w:val="18"/>
          <w:szCs w:val="18"/>
        </w:rPr>
        <w:t>13,816,838.81</w:t>
      </w:r>
      <w:r>
        <w:rPr>
          <w:color w:val="000000"/>
          <w:spacing w:val="0"/>
          <w:w w:val="100"/>
          <w:position w:val="0"/>
        </w:rPr>
        <w:t>元)作为抵押，向中国银行海盐支行 借款。</w:t>
      </w:r>
    </w:p>
    <w:p>
      <w:pPr>
        <w:pStyle w:val="Style32"/>
        <w:keepNext/>
        <w:keepLines/>
        <w:widowControl w:val="0"/>
        <w:shd w:val="clear" w:color="auto" w:fill="auto"/>
        <w:bidi w:val="0"/>
        <w:spacing w:before="0" w:after="360" w:line="240" w:lineRule="auto"/>
        <w:ind w:left="0" w:right="0" w:firstLine="0"/>
        <w:jc w:val="both"/>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5</w:t>
      </w:r>
      <w:bookmarkEnd w:id="1445"/>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43"/>
      <w:bookmarkEnd w:id="1444"/>
      <w:bookmarkEnd w:id="1446"/>
    </w:p>
    <w:p>
      <w:pPr>
        <w:pStyle w:val="Style45"/>
        <w:keepNext/>
        <w:keepLines/>
        <w:widowControl w:val="0"/>
        <w:shd w:val="clear" w:color="auto" w:fill="auto"/>
        <w:bidi w:val="0"/>
        <w:spacing w:before="0" w:after="360" w:line="240" w:lineRule="auto"/>
        <w:ind w:left="0" w:right="0" w:firstLine="0"/>
        <w:jc w:val="both"/>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7"/>
      <w:bookmarkEnd w:id="1448"/>
      <w:bookmarkEnd w:id="14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1,405,120.58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89,993.72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624,286.44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155,678.00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780,834.14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393,211.74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384,443.37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744,532.42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98,553.22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494,313.39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6,444.20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28,165.31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195,382.75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澳元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37,008.87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185,625.39</w:t>
            </w:r>
          </w:p>
        </w:tc>
      </w:tr>
    </w:tbl>
    <w:p>
      <w:pPr>
        <w:widowControl w:val="0"/>
        <w:spacing w:after="99" w:line="1" w:lineRule="exact"/>
      </w:pP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after="360" w:line="322" w:lineRule="exact"/>
        <w:ind w:left="0" w:right="0" w:firstLine="0"/>
        <w:jc w:val="both"/>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0"/>
      <w:bookmarkEnd w:id="1451"/>
      <w:bookmarkEnd w:id="1452"/>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680" w:line="326" w:lineRule="exact"/>
        <w:ind w:left="0" w:right="0" w:firstLine="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RED PHASE INSTRUMENTS AUSTRALIA PTY. LTD</w:t>
      </w:r>
      <w:r>
        <w:rPr>
          <w:rFonts w:ascii="Times New Roman" w:eastAsia="Times New Roman" w:hAnsi="Times New Roman" w:cs="Times New Roman"/>
          <w:color w:val="000000"/>
          <w:spacing w:val="0"/>
          <w:w w:val="100"/>
          <w:position w:val="0"/>
        </w:rPr>
        <w:t>.</w:t>
      </w:r>
      <w:r>
        <w:rPr>
          <w:color w:val="000000"/>
          <w:spacing w:val="0"/>
          <w:w w:val="100"/>
          <w:position w:val="0"/>
        </w:rPr>
        <w:t>系注册于澳大利亚的有限公司，其主要经营 地在澳大利亚，主要结算货币为澳元，以澳元作为其记账本位币。</w:t>
      </w:r>
    </w:p>
    <w:p>
      <w:pPr>
        <w:pStyle w:val="Style23"/>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5" w:name="bookmark1455"/>
      <w:bookmarkStart w:id="1456" w:name="bookmark1456"/>
      <w:r>
        <w:rPr>
          <w:color w:val="000000"/>
          <w:spacing w:val="0"/>
          <w:w w:val="100"/>
          <w:position w:val="0"/>
          <w:sz w:val="24"/>
          <w:szCs w:val="24"/>
        </w:rPr>
        <w:t>八</w:t>
      </w:r>
      <w:bookmarkEnd w:id="1455"/>
      <w:r>
        <w:rPr>
          <w:color w:val="000000"/>
          <w:spacing w:val="0"/>
          <w:w w:val="100"/>
          <w:position w:val="0"/>
          <w:sz w:val="24"/>
          <w:szCs w:val="24"/>
        </w:rPr>
        <w:t>、合并范围的变更</w:t>
      </w:r>
      <w:bookmarkEnd w:id="1453"/>
      <w:bookmarkEnd w:id="1454"/>
      <w:bookmarkEnd w:id="1456"/>
    </w:p>
    <w:p>
      <w:pPr>
        <w:pStyle w:val="Style32"/>
        <w:keepNext/>
        <w:keepLines/>
        <w:widowControl w:val="0"/>
        <w:shd w:val="clear" w:color="auto" w:fill="auto"/>
        <w:bidi w:val="0"/>
        <w:spacing w:before="0" w:after="280" w:line="338" w:lineRule="auto"/>
        <w:ind w:left="0" w:right="0" w:firstLine="0"/>
        <w:jc w:val="both"/>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57"/>
      <w:bookmarkEnd w:id="1458"/>
      <w:bookmarkEnd w:id="145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报告期内公司合并范围未发生变化。</w:t>
      </w:r>
      <w:r>
        <w:br w:type="page"/>
      </w:r>
    </w:p>
    <w:p>
      <w:pPr>
        <w:pStyle w:val="Style23"/>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sz w:val="24"/>
          <w:szCs w:val="24"/>
        </w:rPr>
        <w:t>九</w:t>
      </w:r>
      <w:bookmarkEnd w:id="1462"/>
      <w:r>
        <w:rPr>
          <w:color w:val="000000"/>
          <w:spacing w:val="0"/>
          <w:w w:val="100"/>
          <w:position w:val="0"/>
          <w:sz w:val="24"/>
          <w:szCs w:val="24"/>
        </w:rPr>
        <w:t>、在其他主体中的权益</w:t>
      </w:r>
      <w:bookmarkEnd w:id="1460"/>
      <w:bookmarkEnd w:id="1461"/>
      <w:bookmarkEnd w:id="1463"/>
    </w:p>
    <w:p>
      <w:pPr>
        <w:pStyle w:val="Style32"/>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64"/>
      <w:bookmarkEnd w:id="1465"/>
      <w:bookmarkEnd w:id="1466"/>
    </w:p>
    <w:p>
      <w:pPr>
        <w:pStyle w:val="Style45"/>
        <w:keepNext/>
        <w:keepLines/>
        <w:widowControl w:val="0"/>
        <w:shd w:val="clear" w:color="auto" w:fill="auto"/>
        <w:bidi w:val="0"/>
        <w:spacing w:before="0" w:after="320" w:line="240" w:lineRule="auto"/>
        <w:ind w:left="0" w:right="0" w:firstLine="14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67"/>
      <w:bookmarkEnd w:id="1468"/>
      <w:bookmarkEnd w:id="146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澳大利亚墨尔本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澳大利亚墨尔本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计算机软件开 发、销售及技术 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软件开发；信息 系统集成服务； 数据处理和存储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上述子公司的表决权比例与持股比例一致。</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70"/>
      <w:bookmarkEnd w:id="1471"/>
      <w:bookmarkEnd w:id="14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10,901,121.63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8,336,841.79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69,075,659.88</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5"/>
        <w:keepNext/>
        <w:keepLines/>
        <w:widowControl w:val="0"/>
        <w:numPr>
          <w:ilvl w:val="0"/>
          <w:numId w:val="69"/>
        </w:numPr>
        <w:shd w:val="clear" w:color="auto" w:fill="auto"/>
        <w:bidi w:val="0"/>
        <w:spacing w:before="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重要非全资子公司的主要财务信息</w:t>
      </w:r>
      <w:bookmarkEnd w:id="1473"/>
      <w:bookmarkEnd w:id="1474"/>
      <w:bookmarkEnd w:id="14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56,718,1</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07.46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815.74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128,581,858.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10,732,969.0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10,732,969.0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16,863,303.2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36,966,672.0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4,991,286.24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4,991,286.24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16,186,405.6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680" w:line="312" w:lineRule="exact"/>
        <w:ind w:left="0" w:right="0" w:firstLine="0"/>
        <w:jc w:val="both"/>
      </w:pPr>
      <w:r>
        <w:rPr>
          <w:color w:val="000000"/>
          <w:spacing w:val="0"/>
          <w:w w:val="100"/>
          <w:position w:val="0"/>
        </w:rPr>
        <w:t>上述系浙江涵普合并涵普三维的合并财务数据，净利润和综合收益总额是指本期发生归属于母公司股东的 净利润和综合收益总额。</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color w:val="000000"/>
          <w:spacing w:val="0"/>
          <w:w w:val="100"/>
          <w:position w:val="0"/>
        </w:rPr>
        <w:t>、</w:t>
        <w:tab/>
        <w:t>在未纳入合并财务报表范围的结构化主体中的权益</w:t>
      </w:r>
      <w:bookmarkEnd w:id="1477"/>
      <w:bookmarkEnd w:id="1478"/>
      <w:bookmarkEnd w:id="148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未纳入合并财务报表范围的结构化主体的相关说明：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0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color w:val="000000"/>
          <w:spacing w:val="0"/>
          <w:w w:val="100"/>
          <w:position w:val="0"/>
        </w:rPr>
        <w:t>、</w:t>
        <w:tab/>
        <w:t>其他</w:t>
      </w:r>
      <w:bookmarkEnd w:id="1481"/>
      <w:bookmarkEnd w:id="1482"/>
      <w:bookmarkEnd w:id="1484"/>
    </w:p>
    <w:p>
      <w:pPr>
        <w:pStyle w:val="Style23"/>
        <w:keepNext/>
        <w:keepLines/>
        <w:widowControl w:val="0"/>
        <w:shd w:val="clear" w:color="auto" w:fill="auto"/>
        <w:bidi w:val="0"/>
        <w:spacing w:before="0" w:after="300" w:line="308" w:lineRule="exact"/>
        <w:ind w:left="0" w:right="0" w:firstLine="0"/>
        <w:jc w:val="both"/>
      </w:pPr>
      <w:bookmarkStart w:id="1485" w:name="bookmark1485"/>
      <w:bookmarkStart w:id="1486" w:name="bookmark1486"/>
      <w:bookmarkStart w:id="1487" w:name="bookmark1487"/>
      <w:r>
        <w:rPr>
          <w:color w:val="000000"/>
          <w:spacing w:val="0"/>
          <w:w w:val="100"/>
          <w:position w:val="0"/>
          <w:sz w:val="24"/>
          <w:szCs w:val="24"/>
        </w:rPr>
        <w:t>十、与金融工具相关的风险</w:t>
      </w:r>
      <w:bookmarkEnd w:id="1485"/>
      <w:bookmarkEnd w:id="1486"/>
      <w:bookmarkEnd w:id="1487"/>
    </w:p>
    <w:p>
      <w:pPr>
        <w:pStyle w:val="Style35"/>
        <w:keepNext w:val="0"/>
        <w:keepLines w:val="0"/>
        <w:widowControl w:val="0"/>
        <w:shd w:val="clear" w:color="auto" w:fill="auto"/>
        <w:bidi w:val="0"/>
        <w:spacing w:before="0" w:after="220" w:line="308"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、风险管理目标和政策</w:t>
      </w:r>
    </w:p>
    <w:p>
      <w:pPr>
        <w:pStyle w:val="Style35"/>
        <w:keepNext w:val="0"/>
        <w:keepLines w:val="0"/>
        <w:widowControl w:val="0"/>
        <w:shd w:val="clear" w:color="auto" w:fill="auto"/>
        <w:bidi w:val="0"/>
        <w:spacing w:before="0" w:after="220" w:line="304" w:lineRule="exact"/>
        <w:ind w:left="0" w:right="0" w:firstLine="0"/>
        <w:jc w:val="both"/>
        <w:rPr>
          <w:sz w:val="22"/>
          <w:szCs w:val="22"/>
        </w:rPr>
      </w:pPr>
      <w:r>
        <w:rPr>
          <w:color w:val="000000"/>
          <w:spacing w:val="0"/>
          <w:w w:val="100"/>
          <w:position w:val="0"/>
          <w:sz w:val="22"/>
          <w:szCs w:val="22"/>
        </w:rPr>
        <w:t>本集团从事风险管理的目标是在风险和收益之间取得适当的平衡，力求降低金融风险对本集 团财务业绩的不利影响。基于该风险管理目标，本集团已制定风险管理政策以辨别和分析本 集团所面临的风险，设定适当的风险可接受水平并设计相应的内部控制程序，以监控本集团 的风险水平。本集团会定期审阅这些风险管理政策及有关内部控制系统，以适应市场情况或 本集团经营活动的改变。本集团的内部审计部门也定期或随机检查内部控制系统的执行是否 符合风险管理政策。</w:t>
      </w:r>
    </w:p>
    <w:p>
      <w:pPr>
        <w:pStyle w:val="Style35"/>
        <w:keepNext w:val="0"/>
        <w:keepLines w:val="0"/>
        <w:widowControl w:val="0"/>
        <w:shd w:val="clear" w:color="auto" w:fill="auto"/>
        <w:bidi w:val="0"/>
        <w:spacing w:before="0" w:after="220" w:line="312" w:lineRule="exact"/>
        <w:ind w:left="0" w:right="0" w:firstLine="0"/>
        <w:jc w:val="both"/>
        <w:rPr>
          <w:sz w:val="22"/>
          <w:szCs w:val="22"/>
        </w:rPr>
      </w:pPr>
      <w:r>
        <w:rPr>
          <w:color w:val="000000"/>
          <w:spacing w:val="0"/>
          <w:w w:val="100"/>
          <w:position w:val="0"/>
          <w:sz w:val="22"/>
          <w:szCs w:val="22"/>
        </w:rPr>
        <w:t>本集团的金融工具导致的主要风险是信用风险、流动性风险、市场风险(包括利率风险、汇 率风险、商品价格风险)。</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 xml:space="preserve">董事会负责规划并建立本集团的风险管理架构，指定本集团的风险管理政策和相关指引并监 督风险管理措施的执行情况。本集团已制定风险管理政策以识别和分析本集团所面临的风险, 这些风险管理政策对特定风险进行了明确规定，涵盖了信用风险、流动性风险和市场风险管 </w:t>
      </w:r>
      <w:r>
        <w:rPr>
          <w:color w:val="000000"/>
          <w:spacing w:val="0"/>
          <w:w w:val="100"/>
          <w:position w:val="0"/>
          <w:sz w:val="22"/>
          <w:szCs w:val="22"/>
        </w:rPr>
        <w:t>理等诸多方面。本集团定期评估市场环境及本集团经营活动的变化以决定是否对风险管理政 策及系统进行更新。本集团的风险管理由董事会负责。董事会通过与本集团其他业务部门的 紧密合作来识别、评价和规避相关风险。本集团内部审计部门就风险管理控制及程序进行定 期的审核，并将审核结果上报本集团的审计委员会。</w:t>
      </w:r>
    </w:p>
    <w:p>
      <w:pPr>
        <w:pStyle w:val="Style35"/>
        <w:keepNext w:val="0"/>
        <w:keepLines w:val="0"/>
        <w:widowControl w:val="0"/>
        <w:shd w:val="clear" w:color="auto" w:fill="auto"/>
        <w:bidi w:val="0"/>
        <w:spacing w:before="0" w:after="200" w:line="317" w:lineRule="exact"/>
        <w:ind w:left="0" w:right="0" w:firstLine="0"/>
        <w:jc w:val="left"/>
        <w:rPr>
          <w:sz w:val="22"/>
          <w:szCs w:val="22"/>
        </w:rPr>
      </w:pPr>
      <w:r>
        <w:rPr>
          <w:color w:val="000000"/>
          <w:spacing w:val="0"/>
          <w:w w:val="100"/>
          <w:position w:val="0"/>
          <w:sz w:val="22"/>
          <w:szCs w:val="22"/>
        </w:rPr>
        <w:t>本集团通过适当的多样化投资及业务组合来分散金融工具风险，并通过制定相应的风险管理 政策减少集中于任何单一行业、特定地区或特定交易对手方的风险。</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）信用风险</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信用风险，是指交易对手方未能履行合同义务而导致本集团产生财务损失的风险。</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本集团对信用风险按组合分类进行管理。信用风险主要产生于银行存款和应收款项等。</w:t>
      </w:r>
    </w:p>
    <w:p>
      <w:pPr>
        <w:pStyle w:val="Style35"/>
        <w:keepNext w:val="0"/>
        <w:keepLines w:val="0"/>
        <w:widowControl w:val="0"/>
        <w:shd w:val="clear" w:color="auto" w:fill="auto"/>
        <w:bidi w:val="0"/>
        <w:spacing w:before="0" w:after="200" w:line="307" w:lineRule="exact"/>
        <w:ind w:left="0" w:right="0" w:firstLine="0"/>
        <w:jc w:val="left"/>
        <w:rPr>
          <w:sz w:val="22"/>
          <w:szCs w:val="22"/>
        </w:rPr>
      </w:pPr>
      <w:r>
        <w:rPr>
          <w:color w:val="000000"/>
          <w:spacing w:val="0"/>
          <w:w w:val="100"/>
          <w:position w:val="0"/>
          <w:sz w:val="22"/>
          <w:szCs w:val="22"/>
        </w:rPr>
        <w:t>本集团银行存款主要存放于声誉良好并拥有较高信用评级的金融机构，本集团预期银行存款 不存在重大的信用风险。</w:t>
      </w:r>
    </w:p>
    <w:p>
      <w:pPr>
        <w:pStyle w:val="Style35"/>
        <w:keepNext w:val="0"/>
        <w:keepLines w:val="0"/>
        <w:widowControl w:val="0"/>
        <w:shd w:val="clear" w:color="auto" w:fill="auto"/>
        <w:bidi w:val="0"/>
        <w:spacing w:before="0" w:after="200" w:line="313" w:lineRule="exact"/>
        <w:ind w:left="0" w:right="0" w:firstLine="0"/>
        <w:jc w:val="left"/>
        <w:rPr>
          <w:sz w:val="22"/>
          <w:szCs w:val="22"/>
        </w:rPr>
      </w:pPr>
      <w:r>
        <w:rPr>
          <w:color w:val="000000"/>
          <w:spacing w:val="0"/>
          <w:w w:val="100"/>
          <w:position w:val="0"/>
          <w:sz w:val="22"/>
          <w:szCs w:val="22"/>
        </w:rPr>
        <w:t>对于应收款项，本集团设定相关政策以控制信用风险敞口。本集团基于对债务人的财务状况、 信用记录及其它因素诸如目前市场状况等评估债务人的信用资质并设置相应欠款额度与信用 期限。本集团只与信用良好的交易对手方合作，以缓解因交易对手方未能履行合同义务而产 生财务损失的风险。本集团会定期对债务人信用记录进行监控，对于信用记录不良的债务人, 本集团会采用书面催款、缩短信用期或取消信用期等方式，以确保本集团的整体信用风险在 可控的范围内。</w:t>
      </w:r>
    </w:p>
    <w:p>
      <w:pPr>
        <w:pStyle w:val="Style35"/>
        <w:keepNext w:val="0"/>
        <w:keepLines w:val="0"/>
        <w:widowControl w:val="0"/>
        <w:shd w:val="clear" w:color="auto" w:fill="auto"/>
        <w:bidi w:val="0"/>
        <w:spacing w:before="0" w:after="740" w:line="312" w:lineRule="exact"/>
        <w:ind w:left="0" w:right="0" w:firstLine="0"/>
        <w:jc w:val="left"/>
        <w:rPr>
          <w:sz w:val="22"/>
          <w:szCs w:val="22"/>
        </w:rPr>
      </w:pPr>
      <w:r>
        <w:rPr>
          <w:color w:val="000000"/>
          <w:spacing w:val="0"/>
          <w:w w:val="100"/>
          <w:position w:val="0"/>
          <w:sz w:val="22"/>
          <w:szCs w:val="22"/>
        </w:rPr>
        <w:t>本集团应收账款的债务人为分布于不同地区的客户，主要为国有电力系统单位。本集团持续 对应收账款的财务状况实施信用评估。</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本集团所承受的最大信用风险敞口为资产负债表中每项金融资产的账面金额。本集团没有提 供任何其他可能令本集团承受信用风险的担保。</w:t>
      </w:r>
    </w:p>
    <w:p>
      <w:pPr>
        <w:pStyle w:val="Style35"/>
        <w:keepNext w:val="0"/>
        <w:keepLines w:val="0"/>
        <w:widowControl w:val="0"/>
        <w:shd w:val="clear" w:color="auto" w:fill="auto"/>
        <w:bidi w:val="0"/>
        <w:spacing w:before="0" w:after="200" w:line="310" w:lineRule="exact"/>
        <w:ind w:left="0" w:right="0" w:firstLine="0"/>
        <w:jc w:val="left"/>
        <w:rPr>
          <w:sz w:val="22"/>
          <w:szCs w:val="22"/>
        </w:rPr>
      </w:pPr>
      <w:r>
        <w:rPr>
          <w:color w:val="000000"/>
          <w:spacing w:val="0"/>
          <w:w w:val="100"/>
          <w:position w:val="0"/>
          <w:sz w:val="22"/>
          <w:szCs w:val="22"/>
        </w:rPr>
        <w:t>本集团应收账款中，欠款金额前五大客户的应收账款占本集团应收账款总额的</w:t>
      </w:r>
      <w:r>
        <w:rPr>
          <w:rFonts w:ascii="Times New Roman" w:eastAsia="Times New Roman" w:hAnsi="Times New Roman" w:cs="Times New Roman"/>
          <w:color w:val="000000"/>
          <w:spacing w:val="0"/>
          <w:w w:val="100"/>
          <w:position w:val="0"/>
          <w:sz w:val="24"/>
          <w:szCs w:val="24"/>
        </w:rPr>
        <w:t>30.14%</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23.57%</w:t>
      </w:r>
      <w:r>
        <w:rPr>
          <w:color w:val="000000"/>
          <w:spacing w:val="0"/>
          <w:w w:val="100"/>
          <w:position w:val="0"/>
          <w:sz w:val="22"/>
          <w:szCs w:val="22"/>
        </w:rPr>
        <w:t>）；本集团其他应收款中，欠款金额前五大公司的其他应收款占本集团其他应收 款总额的</w:t>
      </w:r>
      <w:r>
        <w:rPr>
          <w:rFonts w:ascii="Times New Roman" w:eastAsia="Times New Roman" w:hAnsi="Times New Roman" w:cs="Times New Roman"/>
          <w:color w:val="000000"/>
          <w:spacing w:val="0"/>
          <w:w w:val="100"/>
          <w:position w:val="0"/>
          <w:sz w:val="24"/>
          <w:szCs w:val="24"/>
        </w:rPr>
        <w:t>45.29%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32.30%</w:t>
      </w:r>
      <w:r>
        <w:rPr>
          <w:color w:val="000000"/>
          <w:spacing w:val="0"/>
          <w:w w:val="100"/>
          <w:position w:val="0"/>
          <w:sz w:val="22"/>
          <w:szCs w:val="22"/>
        </w:rPr>
        <w:t>）。</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）流动性风险</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流动性风险，是指本集团在履行以交付现金或其他金融资产的方式结算的义务时发生资金短 缺的风险。</w:t>
      </w:r>
    </w:p>
    <w:p>
      <w:pPr>
        <w:pStyle w:val="Style35"/>
        <w:keepNext w:val="0"/>
        <w:keepLines w:val="0"/>
        <w:widowControl w:val="0"/>
        <w:shd w:val="clear" w:color="auto" w:fill="auto"/>
        <w:bidi w:val="0"/>
        <w:spacing w:before="0" w:after="200" w:line="315" w:lineRule="exact"/>
        <w:ind w:left="0" w:right="0" w:firstLine="0"/>
        <w:jc w:val="left"/>
        <w:rPr>
          <w:sz w:val="22"/>
          <w:szCs w:val="22"/>
        </w:rPr>
      </w:pPr>
      <w:r>
        <w:rPr>
          <w:color w:val="000000"/>
          <w:spacing w:val="0"/>
          <w:w w:val="100"/>
          <w:position w:val="0"/>
          <w:sz w:val="22"/>
          <w:szCs w:val="22"/>
        </w:rPr>
        <w:t>管理流动风险时，本集团保持管理层认为充分的现金及现金等价物并对其进行监控，以满足 本集团经营需要，并降低现金流量波动的影响。本集团管理层对银行借款的使用情况进行监 控并确保遵守借款协议。同时从主要金融机构获得提供足够备用资金的承诺，以满足短期和 长期的资金需求。</w:t>
      </w:r>
    </w:p>
    <w:p>
      <w:pPr>
        <w:pStyle w:val="Style35"/>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本集团通过经营业务产生的资金及银行等来筹措营运资金。于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日，本集团子公 司浙江涵普存在尚未使用的银行借款额度人民币</w:t>
      </w:r>
      <w:r>
        <w:rPr>
          <w:rFonts w:ascii="Times New Roman" w:eastAsia="Times New Roman" w:hAnsi="Times New Roman" w:cs="Times New Roman"/>
          <w:color w:val="000000"/>
          <w:spacing w:val="0"/>
          <w:w w:val="100"/>
          <w:position w:val="0"/>
          <w:sz w:val="24"/>
          <w:szCs w:val="24"/>
        </w:rPr>
        <w:t>1700</w:t>
      </w:r>
      <w:r>
        <w:rPr>
          <w:color w:val="000000"/>
          <w:spacing w:val="0"/>
          <w:w w:val="100"/>
          <w:position w:val="0"/>
          <w:sz w:val="22"/>
          <w:szCs w:val="22"/>
        </w:rPr>
        <w:t>万元。</w:t>
      </w:r>
      <w:r>
        <w:br w:type="page"/>
      </w:r>
    </w:p>
    <w:p>
      <w:pPr>
        <w:pStyle w:val="Style35"/>
        <w:keepNext w:val="0"/>
        <w:keepLines w:val="0"/>
        <w:widowControl w:val="0"/>
        <w:shd w:val="clear" w:color="auto" w:fill="auto"/>
        <w:bidi w:val="0"/>
        <w:spacing w:before="0" w:after="260" w:line="312" w:lineRule="exact"/>
        <w:ind w:left="0" w:right="0" w:firstLine="0"/>
        <w:jc w:val="both"/>
        <w:rPr>
          <w:sz w:val="22"/>
          <w:szCs w:val="22"/>
        </w:rPr>
      </w:pPr>
      <w:r>
        <w:rPr>
          <w:color w:val="000000"/>
          <w:spacing w:val="0"/>
          <w:w w:val="100"/>
          <w:position w:val="0"/>
          <w:sz w:val="22"/>
          <w:szCs w:val="22"/>
        </w:rPr>
        <w:t>期末本集团持有的金融负债按未折现剩余合同现金流量的到期期限分析如下（单位：人民币 万元）：</w:t>
      </w:r>
    </w:p>
    <w:p>
      <w:pPr>
        <w:pStyle w:val="Style25"/>
        <w:keepNext w:val="0"/>
        <w:keepLines w:val="0"/>
        <w:widowControl w:val="0"/>
        <w:shd w:val="clear" w:color="auto" w:fill="auto"/>
        <w:bidi w:val="0"/>
        <w:spacing w:before="0" w:after="0" w:line="240" w:lineRule="auto"/>
        <w:ind w:left="5957" w:right="0" w:firstLine="0"/>
        <w:jc w:val="left"/>
        <w:rPr>
          <w:sz w:val="24"/>
          <w:szCs w:val="24"/>
        </w:rPr>
      </w:pPr>
      <w:r>
        <w:rPr>
          <w:b/>
          <w:bCs/>
          <w:color w:val="000000"/>
          <w:spacing w:val="0"/>
          <w:w w:val="100"/>
          <w:position w:val="0"/>
          <w:sz w:val="24"/>
          <w:szCs w:val="24"/>
        </w:rPr>
        <w:t>期末数</w:t>
      </w:r>
    </w:p>
    <w:tbl>
      <w:tblPr>
        <w:tblOverlap w:val="never"/>
        <w:jc w:val="center"/>
        <w:tblLayout w:type="fixed"/>
      </w:tblPr>
      <w:tblGrid>
        <w:gridCol w:w="3730"/>
        <w:gridCol w:w="2587"/>
        <w:gridCol w:w="1574"/>
        <w:gridCol w:w="1421"/>
      </w:tblGrid>
      <w:tr>
        <w:trPr>
          <w:trHeight w:val="3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年以内</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1-3</w:t>
            </w:r>
            <w:r>
              <w:rPr>
                <w:b/>
                <w:bCs/>
                <w:color w:val="000000"/>
                <w:spacing w:val="0"/>
                <w:w w:val="100"/>
                <w:position w:val="0"/>
                <w:sz w:val="24"/>
                <w:szCs w:val="24"/>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4"/>
                <w:szCs w:val="24"/>
              </w:rPr>
            </w:pPr>
            <w:r>
              <w:rPr>
                <w:b/>
                <w:bCs/>
                <w:color w:val="000000"/>
                <w:spacing w:val="0"/>
                <w:w w:val="100"/>
                <w:position w:val="0"/>
                <w:sz w:val="24"/>
                <w:szCs w:val="24"/>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300.00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300.00</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6,172.30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6,172.30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3.03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3.03</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6,730.25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6,730.25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287.50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287.50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47.92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47.92</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金融负债合计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b/>
                <w:bCs/>
                <w:color w:val="000000"/>
                <w:spacing w:val="0"/>
                <w:w w:val="100"/>
                <w:position w:val="0"/>
                <w:sz w:val="24"/>
                <w:szCs w:val="24"/>
              </w:rPr>
              <w:t>13,493.08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b/>
                <w:bCs/>
                <w:color w:val="000000"/>
                <w:spacing w:val="0"/>
                <w:w w:val="100"/>
                <w:position w:val="0"/>
                <w:sz w:val="24"/>
                <w:szCs w:val="24"/>
              </w:rPr>
              <w:t>47.92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13,541.00</w:t>
            </w:r>
          </w:p>
        </w:tc>
      </w:tr>
    </w:tbl>
    <w:p>
      <w:pPr>
        <w:widowControl w:val="0"/>
        <w:spacing w:after="79" w:line="1" w:lineRule="exact"/>
      </w:pPr>
    </w:p>
    <w:p>
      <w:pPr>
        <w:pStyle w:val="Style35"/>
        <w:keepNext w:val="0"/>
        <w:keepLines w:val="0"/>
        <w:widowControl w:val="0"/>
        <w:shd w:val="clear" w:color="auto" w:fill="auto"/>
        <w:bidi w:val="0"/>
        <w:spacing w:before="0" w:after="260" w:line="307" w:lineRule="exact"/>
        <w:ind w:left="0" w:right="0" w:firstLine="0"/>
        <w:jc w:val="both"/>
        <w:rPr>
          <w:sz w:val="22"/>
          <w:szCs w:val="22"/>
        </w:rPr>
      </w:pPr>
      <w:r>
        <w:rPr>
          <w:color w:val="000000"/>
          <w:spacing w:val="0"/>
          <w:w w:val="100"/>
          <w:position w:val="0"/>
          <w:sz w:val="22"/>
          <w:szCs w:val="22"/>
        </w:rPr>
        <w:t>期初本集团持有的金融负债项目按未折现剩余合同现金流量的到期期限分析如下（单位：人 民币万元）：</w:t>
      </w:r>
    </w:p>
    <w:p>
      <w:pPr>
        <w:pStyle w:val="Style25"/>
        <w:keepNext w:val="0"/>
        <w:keepLines w:val="0"/>
        <w:widowControl w:val="0"/>
        <w:shd w:val="clear" w:color="auto" w:fill="auto"/>
        <w:bidi w:val="0"/>
        <w:spacing w:before="0" w:after="0" w:line="240" w:lineRule="auto"/>
        <w:ind w:left="5971" w:right="0" w:firstLine="0"/>
        <w:jc w:val="left"/>
        <w:rPr>
          <w:sz w:val="24"/>
          <w:szCs w:val="24"/>
        </w:rPr>
      </w:pPr>
      <w:r>
        <w:rPr>
          <w:b/>
          <w:bCs/>
          <w:color w:val="000000"/>
          <w:spacing w:val="0"/>
          <w:w w:val="100"/>
          <w:position w:val="0"/>
          <w:sz w:val="24"/>
          <w:szCs w:val="24"/>
        </w:rPr>
        <w:t>期初数</w:t>
      </w:r>
    </w:p>
    <w:tbl>
      <w:tblPr>
        <w:tblOverlap w:val="never"/>
        <w:jc w:val="center"/>
        <w:tblLayout w:type="fixed"/>
      </w:tblPr>
      <w:tblGrid>
        <w:gridCol w:w="3792"/>
        <w:gridCol w:w="2482"/>
        <w:gridCol w:w="1680"/>
        <w:gridCol w:w="1387"/>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1-3</w:t>
            </w:r>
            <w:r>
              <w:rPr>
                <w:b/>
                <w:bCs/>
                <w:color w:val="000000"/>
                <w:spacing w:val="0"/>
                <w:w w:val="100"/>
                <w:position w:val="0"/>
                <w:sz w:val="24"/>
                <w:szCs w:val="24"/>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b/>
                <w:bCs/>
                <w:color w:val="000000"/>
                <w:spacing w:val="0"/>
                <w:w w:val="100"/>
                <w:position w:val="0"/>
                <w:sz w:val="24"/>
                <w:szCs w:val="24"/>
              </w:rPr>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1,600.00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1,600.00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9.90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9.90</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5,108.82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5,108.82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3.29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251.14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251.14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287.50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287.50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335.42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335.42</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金融负债合计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b/>
                <w:bCs/>
                <w:color w:val="000000"/>
                <w:spacing w:val="0"/>
                <w:w w:val="100"/>
                <w:position w:val="0"/>
                <w:sz w:val="24"/>
                <w:szCs w:val="24"/>
              </w:rPr>
              <w:t>7,260.65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335.42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0000"/>
                <w:spacing w:val="0"/>
                <w:w w:val="100"/>
                <w:position w:val="0"/>
                <w:sz w:val="24"/>
                <w:szCs w:val="24"/>
              </w:rPr>
              <w:t>7,596.07</w:t>
            </w:r>
          </w:p>
        </w:tc>
      </w:tr>
    </w:tbl>
    <w:p>
      <w:pPr>
        <w:widowControl w:val="0"/>
        <w:spacing w:after="79" w:line="1" w:lineRule="exact"/>
      </w:pP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上表中披露的金融负债金额为未经折现的合同现金流量，因而可能与资产负债表中的账面金 额有所不同。</w:t>
      </w:r>
    </w:p>
    <w:p>
      <w:pPr>
        <w:pStyle w:val="Style35"/>
        <w:keepNext w:val="0"/>
        <w:keepLines w:val="0"/>
        <w:widowControl w:val="0"/>
        <w:shd w:val="clear" w:color="auto" w:fill="auto"/>
        <w:bidi w:val="0"/>
        <w:spacing w:before="0" w:after="200" w:line="329" w:lineRule="exact"/>
        <w:ind w:left="0" w:right="0" w:firstLine="0"/>
        <w:jc w:val="both"/>
        <w:rPr>
          <w:sz w:val="22"/>
          <w:szCs w:val="22"/>
        </w:rPr>
      </w:pPr>
      <w:bookmarkStart w:id="1488" w:name="bookmark1488"/>
      <w:r>
        <w:rPr>
          <w:color w:val="000000"/>
          <w:spacing w:val="0"/>
          <w:w w:val="100"/>
          <w:position w:val="0"/>
          <w:sz w:val="22"/>
          <w:szCs w:val="22"/>
        </w:rPr>
        <w:t>（</w:t>
      </w:r>
      <w:bookmarkEnd w:id="148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）市场风险</w:t>
      </w:r>
    </w:p>
    <w:p>
      <w:pPr>
        <w:pStyle w:val="Style35"/>
        <w:keepNext w:val="0"/>
        <w:keepLines w:val="0"/>
        <w:widowControl w:val="0"/>
        <w:shd w:val="clear" w:color="auto" w:fill="auto"/>
        <w:bidi w:val="0"/>
        <w:spacing w:before="0" w:after="200" w:line="317" w:lineRule="exact"/>
        <w:ind w:left="0" w:right="0" w:firstLine="0"/>
        <w:jc w:val="both"/>
        <w:rPr>
          <w:sz w:val="22"/>
          <w:szCs w:val="22"/>
        </w:rPr>
      </w:pPr>
      <w:r>
        <w:rPr>
          <w:color w:val="000000"/>
          <w:spacing w:val="0"/>
          <w:w w:val="100"/>
          <w:position w:val="0"/>
          <w:sz w:val="22"/>
          <w:szCs w:val="22"/>
        </w:rPr>
        <w:t>金融工具的市场风险，是指金融工具的公允价值或未来现金流量因市场价格变动而发生波动 的风险，包括利率风险、汇率风险和其他价格风险。</w:t>
      </w:r>
    </w:p>
    <w:p>
      <w:pPr>
        <w:pStyle w:val="Style35"/>
        <w:keepNext w:val="0"/>
        <w:keepLines w:val="0"/>
        <w:widowControl w:val="0"/>
        <w:shd w:val="clear" w:color="auto" w:fill="auto"/>
        <w:bidi w:val="0"/>
        <w:spacing w:before="0" w:line="329" w:lineRule="exact"/>
        <w:ind w:left="0" w:right="0" w:firstLine="0"/>
        <w:jc w:val="both"/>
        <w:rPr>
          <w:sz w:val="22"/>
          <w:szCs w:val="22"/>
        </w:rPr>
      </w:pPr>
      <w:r>
        <w:rPr>
          <w:color w:val="000000"/>
          <w:spacing w:val="0"/>
          <w:w w:val="100"/>
          <w:position w:val="0"/>
          <w:sz w:val="22"/>
          <w:szCs w:val="22"/>
        </w:rPr>
        <w:t>利率风险</w:t>
      </w:r>
    </w:p>
    <w:p>
      <w:pPr>
        <w:pStyle w:val="Style35"/>
        <w:keepNext w:val="0"/>
        <w:keepLines w:val="0"/>
        <w:widowControl w:val="0"/>
        <w:shd w:val="clear" w:color="auto" w:fill="auto"/>
        <w:bidi w:val="0"/>
        <w:spacing w:before="0" w:after="80" w:line="350" w:lineRule="exact"/>
        <w:ind w:left="0" w:right="0" w:firstLine="0"/>
        <w:jc w:val="both"/>
        <w:rPr>
          <w:sz w:val="22"/>
          <w:szCs w:val="22"/>
        </w:rPr>
      </w:pPr>
      <w:r>
        <w:rPr>
          <w:color w:val="000000"/>
          <w:spacing w:val="0"/>
          <w:w w:val="100"/>
          <w:position w:val="0"/>
          <w:sz w:val="22"/>
          <w:szCs w:val="22"/>
        </w:rPr>
        <w:t>利率风险，是指金融工具的公允价值或未来现金流量因市场利率变动而发生波动的风险。利 率风险可源于已确认的计息金融工具和未确认的金融工具（如某些贷款承诺）。</w:t>
      </w:r>
    </w:p>
    <w:p>
      <w:pPr>
        <w:pStyle w:val="Style35"/>
        <w:keepNext w:val="0"/>
        <w:keepLines w:val="0"/>
        <w:widowControl w:val="0"/>
        <w:shd w:val="clear" w:color="auto" w:fill="auto"/>
        <w:bidi w:val="0"/>
        <w:spacing w:before="0" w:after="160" w:line="329" w:lineRule="exact"/>
        <w:ind w:left="0" w:right="0" w:firstLine="0"/>
        <w:jc w:val="both"/>
        <w:rPr>
          <w:sz w:val="22"/>
          <w:szCs w:val="22"/>
        </w:rPr>
      </w:pPr>
      <w:r>
        <w:rPr>
          <w:color w:val="000000"/>
          <w:spacing w:val="0"/>
          <w:w w:val="100"/>
          <w:position w:val="0"/>
          <w:sz w:val="22"/>
          <w:szCs w:val="22"/>
        </w:rPr>
        <w:t>本集团的利率风险主要产生于长期银行借款等长期带息债务。浮动利率的金融负债使本集团 面临现金流量利率风险，固定利率的金融负债使本集团面临公允价值利率风险。本集团根据 当时的市场环境来决定固定利率及浮动利率合同的相对比例，并通过定期审阅与监察维持适</w:t>
        <w:br w:type="page"/>
      </w:r>
      <w:r>
        <w:rPr>
          <w:color w:val="000000"/>
          <w:spacing w:val="0"/>
          <w:w w:val="100"/>
          <w:position w:val="0"/>
          <w:sz w:val="22"/>
          <w:szCs w:val="22"/>
        </w:rPr>
        <w:t>当的固定和浮动利率工具组合。</w:t>
      </w:r>
    </w:p>
    <w:p>
      <w:pPr>
        <w:pStyle w:val="Style25"/>
        <w:keepNext w:val="0"/>
        <w:keepLines w:val="0"/>
        <w:widowControl w:val="0"/>
        <w:shd w:val="clear" w:color="auto" w:fill="auto"/>
        <w:bidi w:val="0"/>
        <w:spacing w:before="0" w:after="0" w:line="240" w:lineRule="auto"/>
        <w:ind w:left="24" w:right="0" w:firstLine="0"/>
        <w:jc w:val="left"/>
        <w:rPr>
          <w:sz w:val="22"/>
          <w:szCs w:val="22"/>
        </w:rPr>
      </w:pPr>
      <w:r>
        <w:rPr>
          <w:color w:val="000000"/>
          <w:spacing w:val="0"/>
          <w:w w:val="100"/>
          <w:position w:val="0"/>
          <w:sz w:val="22"/>
          <w:szCs w:val="22"/>
        </w:rPr>
        <w:t>本集团密切关注利率变动对本集团利率风险的影响。本集团目前并未采取利率对冲政策。但</w:t>
      </w:r>
    </w:p>
    <w:tbl>
      <w:tblPr>
        <w:tblOverlap w:val="never"/>
        <w:jc w:val="center"/>
        <w:tblLayout w:type="fixed"/>
      </w:tblPr>
      <w:tblGrid>
        <w:gridCol w:w="4243"/>
        <w:gridCol w:w="3288"/>
        <w:gridCol w:w="1680"/>
      </w:tblGrid>
      <w:tr>
        <w:trPr>
          <w:trHeight w:val="403"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管理层负责监控利率风险，并将于需要时考虑对冲重大利率风险。</w:t>
            </w:r>
          </w:p>
        </w:tc>
      </w:tr>
      <w:tr>
        <w:trPr>
          <w:trHeight w:val="55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本集团持有的计息金融工具如下（单位:</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人民币万元）：</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4"/>
                <w:szCs w:val="24"/>
              </w:rPr>
            </w:pPr>
            <w:r>
              <w:rPr>
                <w:b/>
                <w:bCs/>
                <w:color w:val="000000"/>
                <w:spacing w:val="0"/>
                <w:w w:val="100"/>
                <w:position w:val="0"/>
                <w:sz w:val="24"/>
                <w:szCs w:val="24"/>
              </w:rPr>
              <w:t>本年数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上年数</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固定利率金融工具</w:t>
            </w:r>
          </w:p>
        </w:tc>
      </w:tr>
      <w:tr>
        <w:trPr>
          <w:trHeight w:val="35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金融资产</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其中：其他流动资产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理财产品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1,894.00</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300.00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1,600.00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b/>
                <w:bCs/>
                <w:color w:val="000000"/>
                <w:spacing w:val="0"/>
                <w:w w:val="100"/>
                <w:position w:val="0"/>
                <w:sz w:val="24"/>
                <w:szCs w:val="24"/>
              </w:rPr>
              <w:t>300.00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b/>
                <w:bCs/>
                <w:color w:val="000000"/>
                <w:spacing w:val="0"/>
                <w:w w:val="100"/>
                <w:position w:val="0"/>
                <w:sz w:val="24"/>
                <w:szCs w:val="24"/>
              </w:rPr>
              <w:t>3,494.00</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浮动利率金融工具</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金融资产</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其中：货币资金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43,814.59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28,766.24</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335.42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622.92</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b/>
                <w:bCs/>
                <w:color w:val="000000"/>
                <w:spacing w:val="0"/>
                <w:w w:val="100"/>
                <w:position w:val="0"/>
                <w:sz w:val="24"/>
                <w:szCs w:val="24"/>
              </w:rPr>
              <w:t>44,150.01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b/>
                <w:bCs/>
                <w:color w:val="000000"/>
                <w:spacing w:val="0"/>
                <w:w w:val="100"/>
                <w:position w:val="0"/>
                <w:sz w:val="24"/>
                <w:szCs w:val="24"/>
              </w:rPr>
              <w:t>11,146.04</w:t>
            </w:r>
          </w:p>
        </w:tc>
      </w:tr>
    </w:tbl>
    <w:p>
      <w:pPr>
        <w:widowControl w:val="0"/>
        <w:spacing w:after="159" w:line="1" w:lineRule="exact"/>
      </w:pPr>
    </w:p>
    <w:p>
      <w:pPr>
        <w:pStyle w:val="Style35"/>
        <w:keepNext w:val="0"/>
        <w:keepLines w:val="0"/>
        <w:widowControl w:val="0"/>
        <w:shd w:val="clear" w:color="auto" w:fill="auto"/>
        <w:bidi w:val="0"/>
        <w:spacing w:before="0" w:after="220" w:line="317" w:lineRule="exact"/>
        <w:ind w:left="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日，如果以浮动利率计算的借款利率上升或下降</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2"/>
          <w:szCs w:val="22"/>
        </w:rPr>
        <w:t>个基点，而其它因素 保持不变，本集团的净利润及股东权益将减少或增加约</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4"/>
          <w:szCs w:val="24"/>
        </w:rPr>
        <w:t>3.11</w:t>
      </w:r>
      <w:r>
        <w:rPr>
          <w:color w:val="000000"/>
          <w:spacing w:val="0"/>
          <w:w w:val="100"/>
          <w:position w:val="0"/>
          <w:sz w:val="22"/>
          <w:szCs w:val="22"/>
        </w:rPr>
        <w:t>万 元）。</w:t>
      </w:r>
    </w:p>
    <w:p>
      <w:pPr>
        <w:pStyle w:val="Style35"/>
        <w:keepNext w:val="0"/>
        <w:keepLines w:val="0"/>
        <w:widowControl w:val="0"/>
        <w:shd w:val="clear" w:color="auto" w:fill="auto"/>
        <w:bidi w:val="0"/>
        <w:spacing w:before="0" w:after="160" w:line="313" w:lineRule="exact"/>
        <w:ind w:left="0" w:right="0" w:firstLine="0"/>
        <w:jc w:val="both"/>
        <w:rPr>
          <w:sz w:val="22"/>
          <w:szCs w:val="22"/>
        </w:rPr>
      </w:pPr>
      <w:r>
        <w:rPr>
          <w:color w:val="000000"/>
          <w:spacing w:val="0"/>
          <w:w w:val="100"/>
          <w:position w:val="0"/>
          <w:sz w:val="22"/>
          <w:szCs w:val="22"/>
        </w:rPr>
        <w:t>对于资产负债表日持有的、使本集团面临公允价值利率风险的金融工具，上述敏感性分析中 的净利润及股东权益的影响是假设在资产负债表日利率发生变动，按照新利率对上述金融工 具进行重新计量后的影响。对于资产负债表日持有的、使本集团面临现金流量利率风险的浮 动利率非衍生工具，上述敏感性分析中的净利润及股东权益的影响是上述利率变动对按年度 估算的利息费用或收入的影响。上一年度的分析基于同样的假设和方法。</w:t>
      </w:r>
    </w:p>
    <w:p>
      <w:pPr>
        <w:pStyle w:val="Style35"/>
        <w:keepNext w:val="0"/>
        <w:keepLines w:val="0"/>
        <w:widowControl w:val="0"/>
        <w:shd w:val="clear" w:color="auto" w:fill="auto"/>
        <w:bidi w:val="0"/>
        <w:spacing w:before="0" w:after="220" w:line="314" w:lineRule="exact"/>
        <w:ind w:left="0" w:right="0" w:firstLine="0"/>
        <w:jc w:val="both"/>
        <w:rPr>
          <w:sz w:val="22"/>
          <w:szCs w:val="22"/>
        </w:rPr>
      </w:pPr>
      <w:r>
        <w:rPr>
          <w:color w:val="000000"/>
          <w:spacing w:val="0"/>
          <w:w w:val="100"/>
          <w:position w:val="0"/>
          <w:sz w:val="22"/>
          <w:szCs w:val="22"/>
        </w:rPr>
        <w:t>汇率风险</w:t>
      </w:r>
    </w:p>
    <w:p>
      <w:pPr>
        <w:pStyle w:val="Style35"/>
        <w:keepNext w:val="0"/>
        <w:keepLines w:val="0"/>
        <w:widowControl w:val="0"/>
        <w:shd w:val="clear" w:color="auto" w:fill="auto"/>
        <w:bidi w:val="0"/>
        <w:spacing w:before="0" w:after="220" w:line="312" w:lineRule="exact"/>
        <w:ind w:left="0" w:right="0" w:firstLine="0"/>
        <w:jc w:val="both"/>
        <w:rPr>
          <w:sz w:val="22"/>
          <w:szCs w:val="22"/>
        </w:rPr>
      </w:pPr>
      <w:r>
        <w:rPr>
          <w:color w:val="000000"/>
          <w:spacing w:val="0"/>
          <w:w w:val="100"/>
          <w:position w:val="0"/>
          <w:sz w:val="22"/>
          <w:szCs w:val="22"/>
        </w:rPr>
        <w:t>汇率风险，是指金融工具的公允价值或未来现金流量因外汇汇率变动而发生波动的风险。汇 率风险可源于以记账本位币之外的外币进行计价的金融工具。</w:t>
      </w:r>
    </w:p>
    <w:p>
      <w:pPr>
        <w:pStyle w:val="Style35"/>
        <w:keepNext w:val="0"/>
        <w:keepLines w:val="0"/>
        <w:widowControl w:val="0"/>
        <w:shd w:val="clear" w:color="auto" w:fill="auto"/>
        <w:bidi w:val="0"/>
        <w:spacing w:before="0" w:after="220" w:line="314" w:lineRule="exact"/>
        <w:ind w:left="0" w:right="0" w:firstLine="0"/>
        <w:jc w:val="both"/>
        <w:rPr>
          <w:sz w:val="22"/>
          <w:szCs w:val="22"/>
        </w:rPr>
      </w:pPr>
      <w:r>
        <w:rPr>
          <w:color w:val="000000"/>
          <w:spacing w:val="0"/>
          <w:w w:val="100"/>
          <w:position w:val="0"/>
          <w:sz w:val="22"/>
          <w:szCs w:val="22"/>
        </w:rPr>
        <w:t>汇率风险主要为本集团的财务状况和现金流量受外汇汇率波动的影响。除了在澳大利亚设立 的子公司持有以澳元为结算货币的资产外，本集团持有的外币资产及负债占整体的资产及负 债比例并不重大。因此本集团认为面临的汇率风险并不重大。</w:t>
      </w:r>
    </w:p>
    <w:p>
      <w:pPr>
        <w:pStyle w:val="Style35"/>
        <w:keepNext w:val="0"/>
        <w:keepLines w:val="0"/>
        <w:widowControl w:val="0"/>
        <w:shd w:val="clear" w:color="auto" w:fill="auto"/>
        <w:bidi w:val="0"/>
        <w:spacing w:before="0" w:after="220" w:line="317" w:lineRule="exact"/>
        <w:ind w:left="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日，本集团持有的外币金融资产和外币金融负债折算成人民币的金额列示 如下（单位：人民币元）：</w:t>
      </w:r>
    </w:p>
    <w:tbl>
      <w:tblPr>
        <w:tblOverlap w:val="never"/>
        <w:jc w:val="center"/>
        <w:tblLayout w:type="fixed"/>
      </w:tblPr>
      <w:tblGrid>
        <w:gridCol w:w="1656"/>
        <w:gridCol w:w="4224"/>
        <w:gridCol w:w="2064"/>
        <w:gridCol w:w="1253"/>
      </w:tblGrid>
      <w:tr>
        <w:trPr>
          <w:trHeight w:val="355"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外币负债</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外币资产</w:t>
            </w:r>
          </w:p>
        </w:tc>
      </w:tr>
      <w:tr>
        <w:trPr>
          <w:trHeight w:val="346" w:hRule="exact"/>
        </w:trPr>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tabs>
                <w:tab w:pos="3104" w:val="left"/>
              </w:tabs>
              <w:bidi w:val="0"/>
              <w:spacing w:before="0" w:after="0" w:line="240" w:lineRule="auto"/>
              <w:ind w:left="1280" w:right="0" w:firstLine="0"/>
              <w:jc w:val="left"/>
              <w:rPr>
                <w:sz w:val="24"/>
                <w:szCs w:val="24"/>
              </w:rPr>
            </w:pPr>
            <w:r>
              <w:rPr>
                <w:b/>
                <w:bCs/>
                <w:color w:val="000000"/>
                <w:spacing w:val="0"/>
                <w:w w:val="100"/>
                <w:position w:val="0"/>
                <w:sz w:val="24"/>
                <w:szCs w:val="24"/>
              </w:rPr>
              <w:t>期末数</w:t>
              <w:tab/>
              <w:t>期初数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期末数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期初数</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美元</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582" w:val="left"/>
              </w:tabs>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195,382.75</w:t>
              <w:tab/>
              <w:t>1,517,715.03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633,054.81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257,225.07</w:t>
            </w:r>
          </w:p>
        </w:tc>
      </w:tr>
    </w:tbl>
    <w:p>
      <w:pPr>
        <w:widowControl w:val="0"/>
        <w:spacing w:line="1" w:lineRule="exact"/>
      </w:pPr>
    </w:p>
    <w:tbl>
      <w:tblPr>
        <w:tblOverlap w:val="never"/>
        <w:jc w:val="center"/>
        <w:tblLayout w:type="fixed"/>
      </w:tblPr>
      <w:tblGrid>
        <w:gridCol w:w="1656"/>
        <w:gridCol w:w="2304"/>
        <w:gridCol w:w="1829"/>
        <w:gridCol w:w="1819"/>
        <w:gridCol w:w="1589"/>
      </w:tblGrid>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英镑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54,836.28</w:t>
            </w:r>
          </w:p>
        </w:tc>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61,966.78</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澳元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679,938.78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672,992.77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1,191,961.03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2,087,942.60</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b/>
                <w:bCs/>
                <w:color w:val="000000"/>
                <w:spacing w:val="0"/>
                <w:w w:val="100"/>
                <w:position w:val="0"/>
                <w:sz w:val="24"/>
                <w:szCs w:val="24"/>
              </w:rPr>
              <w:t>930,157.81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2,252,674.58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1,825,015.84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b/>
                <w:bCs/>
                <w:color w:val="000000"/>
                <w:spacing w:val="0"/>
                <w:w w:val="100"/>
                <w:position w:val="0"/>
                <w:sz w:val="24"/>
                <w:szCs w:val="24"/>
              </w:rPr>
              <w:t>2,345,167.67</w:t>
            </w:r>
          </w:p>
        </w:tc>
      </w:tr>
    </w:tbl>
    <w:p>
      <w:pPr>
        <w:widowControl w:val="0"/>
        <w:spacing w:after="119" w:line="1" w:lineRule="exact"/>
      </w:pPr>
    </w:p>
    <w:p>
      <w:pPr>
        <w:pStyle w:val="Style35"/>
        <w:keepNext w:val="0"/>
        <w:keepLines w:val="0"/>
        <w:widowControl w:val="0"/>
        <w:shd w:val="clear" w:color="auto" w:fill="auto"/>
        <w:bidi w:val="0"/>
        <w:spacing w:before="0" w:after="220" w:line="278" w:lineRule="exact"/>
        <w:ind w:left="0" w:right="0" w:firstLine="0"/>
        <w:jc w:val="left"/>
        <w:rPr>
          <w:sz w:val="22"/>
          <w:szCs w:val="22"/>
        </w:rPr>
      </w:pPr>
      <w:r>
        <w:rPr>
          <w:color w:val="000000"/>
          <w:spacing w:val="0"/>
          <w:w w:val="100"/>
          <w:position w:val="0"/>
          <w:sz w:val="22"/>
          <w:szCs w:val="22"/>
        </w:rPr>
        <w:t>本集团密切关注汇率变动对本集团汇率风险的影响。本集团目前并未采取任何措施规避汇率 风险。但管理层负责监控汇率风险，并将于需要时考虑对冲重大汇率风险。</w:t>
      </w:r>
    </w:p>
    <w:p>
      <w:pPr>
        <w:pStyle w:val="Style35"/>
        <w:keepNext w:val="0"/>
        <w:keepLines w:val="0"/>
        <w:widowControl w:val="0"/>
        <w:shd w:val="clear" w:color="auto" w:fill="auto"/>
        <w:bidi w:val="0"/>
        <w:spacing w:before="0" w:after="280" w:line="310" w:lineRule="exact"/>
        <w:ind w:left="0" w:right="0" w:firstLine="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日，对于本集团以外币计价的货币资金、应收账款、其他应收款、应付账款、 其他应付款等外币资产、负债，假设人民币对外币（主要为对美元、英镑和澳元）升值或贬 值顶％,而其他因素保持不变，则会导致本集团股东权益及净利润均增加或减少约人民币</w:t>
      </w:r>
      <w:r>
        <w:rPr>
          <w:rFonts w:ascii="Times New Roman" w:eastAsia="Times New Roman" w:hAnsi="Times New Roman" w:cs="Times New Roman"/>
          <w:color w:val="000000"/>
          <w:spacing w:val="0"/>
          <w:w w:val="100"/>
          <w:position w:val="0"/>
          <w:sz w:val="24"/>
          <w:szCs w:val="24"/>
        </w:rPr>
        <w:t xml:space="preserve">8.95 </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0.92</w:t>
      </w:r>
      <w:r>
        <w:rPr>
          <w:color w:val="000000"/>
          <w:spacing w:val="0"/>
          <w:w w:val="100"/>
          <w:position w:val="0"/>
          <w:sz w:val="22"/>
          <w:szCs w:val="22"/>
        </w:rPr>
        <w:t>万元）。</w:t>
      </w:r>
    </w:p>
    <w:p>
      <w:pPr>
        <w:pStyle w:val="Style35"/>
        <w:keepNext w:val="0"/>
        <w:keepLines w:val="0"/>
        <w:widowControl w:val="0"/>
        <w:shd w:val="clear" w:color="auto" w:fill="auto"/>
        <w:bidi w:val="0"/>
        <w:spacing w:before="0" w:after="160" w:line="27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、资本管理</w:t>
      </w:r>
    </w:p>
    <w:p>
      <w:pPr>
        <w:pStyle w:val="Style35"/>
        <w:keepNext w:val="0"/>
        <w:keepLines w:val="0"/>
        <w:widowControl w:val="0"/>
        <w:shd w:val="clear" w:color="auto" w:fill="auto"/>
        <w:bidi w:val="0"/>
        <w:spacing w:before="0" w:after="220" w:line="312" w:lineRule="exact"/>
        <w:ind w:left="0" w:right="0" w:firstLine="0"/>
        <w:jc w:val="left"/>
        <w:rPr>
          <w:sz w:val="22"/>
          <w:szCs w:val="22"/>
        </w:rPr>
      </w:pPr>
      <w:r>
        <w:rPr>
          <w:color w:val="000000"/>
          <w:spacing w:val="0"/>
          <w:w w:val="100"/>
          <w:position w:val="0"/>
          <w:sz w:val="22"/>
          <w:szCs w:val="22"/>
        </w:rPr>
        <w:t>本集团资本管理政策的目标是为了保障本集团能够持续经营，从而为股东提供回报，并使其 他利益相关者获益，同时维持最佳的资本结构以降低资本成本。</w:t>
      </w:r>
    </w:p>
    <w:p>
      <w:pPr>
        <w:pStyle w:val="Style35"/>
        <w:keepNext w:val="0"/>
        <w:keepLines w:val="0"/>
        <w:widowControl w:val="0"/>
        <w:shd w:val="clear" w:color="auto" w:fill="auto"/>
        <w:bidi w:val="0"/>
        <w:spacing w:before="0" w:after="220" w:line="312" w:lineRule="exact"/>
        <w:ind w:left="0" w:right="0" w:firstLine="0"/>
        <w:jc w:val="left"/>
        <w:rPr>
          <w:sz w:val="22"/>
          <w:szCs w:val="22"/>
        </w:rPr>
      </w:pPr>
      <w:r>
        <w:rPr>
          <w:color w:val="000000"/>
          <w:spacing w:val="0"/>
          <w:w w:val="100"/>
          <w:position w:val="0"/>
          <w:sz w:val="22"/>
          <w:szCs w:val="22"/>
        </w:rPr>
        <w:t>为了维持或调整资本结构，本集团可能会调整支付给股东的股利金额、向股东返还资本、发 行新股或出售资产以减低债务。</w:t>
      </w:r>
    </w:p>
    <w:p>
      <w:pPr>
        <w:pStyle w:val="Style35"/>
        <w:keepNext w:val="0"/>
        <w:keepLines w:val="0"/>
        <w:widowControl w:val="0"/>
        <w:shd w:val="clear" w:color="auto" w:fill="auto"/>
        <w:tabs>
          <w:tab w:pos="5802" w:val="left"/>
        </w:tabs>
        <w:bidi w:val="0"/>
        <w:spacing w:before="0" w:after="840" w:line="302" w:lineRule="exact"/>
        <w:ind w:left="0" w:right="0" w:firstLine="0"/>
        <w:jc w:val="left"/>
        <w:rPr>
          <w:sz w:val="22"/>
          <w:szCs w:val="22"/>
        </w:rPr>
      </w:pPr>
      <w:r>
        <w:rPr>
          <w:color w:val="000000"/>
          <w:spacing w:val="0"/>
          <w:w w:val="100"/>
          <w:position w:val="0"/>
          <w:sz w:val="22"/>
          <w:szCs w:val="22"/>
        </w:rPr>
        <w:t>本集团以资产负债率（即总负债除以总资产）为基础对资本结构进行监控。于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2"/>
          <w:szCs w:val="22"/>
        </w:rPr>
        <w:t>日，本集团的资产负债率为</w:t>
      </w:r>
      <w:r>
        <w:rPr>
          <w:rFonts w:ascii="Times New Roman" w:eastAsia="Times New Roman" w:hAnsi="Times New Roman" w:cs="Times New Roman"/>
          <w:color w:val="000000"/>
          <w:spacing w:val="0"/>
          <w:w w:val="100"/>
          <w:position w:val="0"/>
          <w:sz w:val="24"/>
          <w:szCs w:val="24"/>
        </w:rPr>
        <w:t>22.83%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17.01%</w:t>
      </w:r>
      <w:r>
        <w:rPr>
          <w:color w:val="000000"/>
          <w:spacing w:val="0"/>
          <w:w w:val="100"/>
          <w:position w:val="0"/>
          <w:sz w:val="22"/>
          <w:szCs w:val="22"/>
        </w:rPr>
        <w:t>）。</w:t>
      </w:r>
    </w:p>
    <w:p>
      <w:pPr>
        <w:pStyle w:val="Style23"/>
        <w:keepNext/>
        <w:keepLines/>
        <w:widowControl w:val="0"/>
        <w:shd w:val="clear" w:color="auto" w:fill="auto"/>
        <w:bidi w:val="0"/>
        <w:spacing w:before="0" w:line="312" w:lineRule="exact"/>
        <w:ind w:left="0" w:right="0" w:firstLine="0"/>
        <w:jc w:val="left"/>
      </w:pPr>
      <w:bookmarkStart w:id="1489" w:name="bookmark1489"/>
      <w:bookmarkStart w:id="1490" w:name="bookmark1490"/>
      <w:bookmarkStart w:id="1491" w:name="bookmark1491"/>
      <w:r>
        <w:rPr>
          <w:color w:val="000000"/>
          <w:spacing w:val="0"/>
          <w:w w:val="100"/>
          <w:position w:val="0"/>
          <w:sz w:val="24"/>
          <w:szCs w:val="24"/>
        </w:rPr>
        <w:t>十一、公允价值的披露</w:t>
      </w:r>
      <w:bookmarkEnd w:id="1489"/>
      <w:bookmarkEnd w:id="1490"/>
      <w:bookmarkEnd w:id="1491"/>
    </w:p>
    <w:p>
      <w:pPr>
        <w:pStyle w:val="Style32"/>
        <w:keepNext/>
        <w:keepLines/>
        <w:widowControl w:val="0"/>
        <w:shd w:val="clear" w:color="auto" w:fill="auto"/>
        <w:bidi w:val="0"/>
        <w:spacing w:before="0" w:after="28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、不以公允价值计量的金融资产和金融负债的公允价值情况</w:t>
      </w:r>
      <w:bookmarkEnd w:id="1492"/>
      <w:bookmarkEnd w:id="1493"/>
      <w:bookmarkEnd w:id="1494"/>
    </w:p>
    <w:p>
      <w:pPr>
        <w:pStyle w:val="Style35"/>
        <w:keepNext w:val="0"/>
        <w:keepLines w:val="0"/>
        <w:widowControl w:val="0"/>
        <w:shd w:val="clear" w:color="auto" w:fill="auto"/>
        <w:bidi w:val="0"/>
        <w:spacing w:before="0" w:after="220" w:line="312" w:lineRule="exact"/>
        <w:ind w:left="0" w:right="0" w:firstLine="0"/>
        <w:jc w:val="left"/>
        <w:rPr>
          <w:sz w:val="22"/>
          <w:szCs w:val="22"/>
        </w:rPr>
      </w:pPr>
      <w:r>
        <w:rPr>
          <w:color w:val="000000"/>
          <w:spacing w:val="0"/>
          <w:w w:val="100"/>
          <w:position w:val="0"/>
          <w:sz w:val="22"/>
          <w:szCs w:val="22"/>
        </w:rPr>
        <w:t>本公司以摊余成本计量的金融资产和金融负债主要包括：货币资金、应收票据、应收账款、 其他应收款、可供出售金融资产、短期借款、应付票据、应付账款、其他应付款、一年内到 期的长期借款、长期借款等。</w:t>
      </w:r>
    </w:p>
    <w:p>
      <w:pPr>
        <w:pStyle w:val="Style35"/>
        <w:keepNext w:val="0"/>
        <w:keepLines w:val="0"/>
        <w:widowControl w:val="0"/>
        <w:shd w:val="clear" w:color="auto" w:fill="auto"/>
        <w:bidi w:val="0"/>
        <w:spacing w:before="0" w:after="280" w:line="312" w:lineRule="exact"/>
        <w:ind w:left="0" w:right="0" w:firstLine="0"/>
        <w:jc w:val="left"/>
        <w:rPr>
          <w:sz w:val="22"/>
          <w:szCs w:val="22"/>
        </w:rPr>
      </w:pPr>
      <w:r>
        <w:rPr>
          <w:color w:val="000000"/>
          <w:spacing w:val="0"/>
          <w:w w:val="100"/>
          <w:position w:val="0"/>
          <w:sz w:val="22"/>
          <w:szCs w:val="22"/>
        </w:rPr>
        <w:t>本公司不以公允价值计量的金融资产和金融负债的账面价值与公允价值相差很小。</w:t>
      </w:r>
    </w:p>
    <w:p>
      <w:pPr>
        <w:pStyle w:val="Style23"/>
        <w:keepNext/>
        <w:keepLines/>
        <w:widowControl w:val="0"/>
        <w:shd w:val="clear" w:color="auto" w:fill="auto"/>
        <w:bidi w:val="0"/>
        <w:spacing w:before="0" w:line="312" w:lineRule="exact"/>
        <w:ind w:left="0" w:right="0" w:firstLine="0"/>
        <w:jc w:val="left"/>
      </w:pPr>
      <w:bookmarkStart w:id="1495" w:name="bookmark1495"/>
      <w:bookmarkStart w:id="1496" w:name="bookmark1496"/>
      <w:bookmarkStart w:id="1497" w:name="bookmark1497"/>
      <w:r>
        <w:rPr>
          <w:color w:val="000000"/>
          <w:spacing w:val="0"/>
          <w:w w:val="100"/>
          <w:position w:val="0"/>
          <w:sz w:val="24"/>
          <w:szCs w:val="24"/>
        </w:rPr>
        <w:t>十二、关联方及关联交易</w:t>
      </w:r>
      <w:bookmarkEnd w:id="1495"/>
      <w:bookmarkEnd w:id="1496"/>
      <w:bookmarkEnd w:id="1497"/>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498" w:name="bookmark14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bookmarkEnd w:id="1498"/>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本公司没有母公司。杨保田持股比例为</w:t>
      </w:r>
      <w:r>
        <w:rPr>
          <w:rFonts w:ascii="Times New Roman" w:eastAsia="Times New Roman" w:hAnsi="Times New Roman" w:cs="Times New Roman"/>
          <w:color w:val="000000"/>
          <w:spacing w:val="0"/>
          <w:w w:val="100"/>
          <w:position w:val="0"/>
          <w:sz w:val="18"/>
          <w:szCs w:val="18"/>
        </w:rPr>
        <w:t>44.02%</w:t>
      </w:r>
      <w:r>
        <w:rPr>
          <w:color w:val="000000"/>
          <w:spacing w:val="0"/>
          <w:w w:val="100"/>
          <w:position w:val="0"/>
        </w:rPr>
        <w:t>，杨成持股比例为</w:t>
      </w:r>
      <w:r>
        <w:rPr>
          <w:rFonts w:ascii="Times New Roman" w:eastAsia="Times New Roman" w:hAnsi="Times New Roman" w:cs="Times New Roman"/>
          <w:color w:val="000000"/>
          <w:spacing w:val="0"/>
          <w:w w:val="100"/>
          <w:position w:val="0"/>
          <w:sz w:val="18"/>
          <w:szCs w:val="18"/>
        </w:rPr>
        <w:t>13.69%</w:t>
      </w:r>
      <w:r>
        <w:rPr>
          <w:color w:val="000000"/>
          <w:spacing w:val="0"/>
          <w:w w:val="100"/>
          <w:position w:val="0"/>
        </w:rPr>
        <w:t xml:space="preserve">,杨成与杨保田是父子关系，两人合计持有公司 </w:t>
      </w:r>
      <w:r>
        <w:rPr>
          <w:rFonts w:ascii="Times New Roman" w:eastAsia="Times New Roman" w:hAnsi="Times New Roman" w:cs="Times New Roman"/>
          <w:color w:val="000000"/>
          <w:spacing w:val="0"/>
          <w:w w:val="100"/>
          <w:position w:val="0"/>
          <w:sz w:val="18"/>
          <w:szCs w:val="18"/>
        </w:rPr>
        <w:t>163,751,155</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57.71%</w:t>
      </w:r>
      <w:r>
        <w:rPr>
          <w:color w:val="000000"/>
          <w:spacing w:val="0"/>
          <w:w w:val="100"/>
          <w:position w:val="0"/>
        </w:rPr>
        <w:t>，是公司的实际控制人。</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本企业最终控制方是杨保田、杨成。</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99"/>
      <w:bookmarkEnd w:id="1500"/>
      <w:bookmarkEnd w:id="150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本企业子公司的情况详见附注九、在其他主体中的权益。</w:t>
      </w:r>
    </w:p>
    <w:p>
      <w:pPr>
        <w:pStyle w:val="Style32"/>
        <w:keepNext/>
        <w:keepLines/>
        <w:widowControl w:val="0"/>
        <w:shd w:val="clear" w:color="auto" w:fill="auto"/>
        <w:bidi w:val="0"/>
        <w:spacing w:before="0" w:after="32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color w:val="000000"/>
          <w:spacing w:val="0"/>
          <w:w w:val="100"/>
          <w:position w:val="0"/>
        </w:rPr>
        <w:t>、其他关联方情况</w:t>
      </w:r>
      <w:bookmarkEnd w:id="1502"/>
      <w:bookmarkEnd w:id="1503"/>
      <w:bookmarkEnd w:id="150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本公司股东长江成长资本投资有限公司的母公司</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color w:val="000000"/>
          <w:spacing w:val="0"/>
          <w:w w:val="100"/>
          <w:position w:val="0"/>
        </w:rPr>
        <w:t>、关联交易情况</w:t>
      </w:r>
      <w:bookmarkEnd w:id="1506"/>
      <w:bookmarkEnd w:id="1507"/>
      <w:bookmarkEnd w:id="1509"/>
    </w:p>
    <w:p>
      <w:pPr>
        <w:pStyle w:val="Style45"/>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510"/>
      <w:bookmarkEnd w:id="1511"/>
      <w:bookmarkEnd w:id="1512"/>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股东杨成和澳洲红相董</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事 </w:t>
            </w:r>
            <w:r>
              <w:rPr>
                <w:rFonts w:ascii="Times New Roman" w:eastAsia="Times New Roman" w:hAnsi="Times New Roman" w:cs="Times New Roman"/>
                <w:color w:val="000000"/>
                <w:spacing w:val="0"/>
                <w:w w:val="100"/>
                <w:position w:val="0"/>
                <w:sz w:val="18"/>
                <w:szCs w:val="18"/>
              </w:rPr>
              <w:t>Richard Michael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Dowling</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关联担保情况说明</w:t>
      </w:r>
    </w:p>
    <w:p>
      <w:pPr>
        <w:pStyle w:val="Style35"/>
        <w:keepNext w:val="0"/>
        <w:keepLines w:val="0"/>
        <w:widowControl w:val="0"/>
        <w:shd w:val="clear" w:color="auto" w:fill="auto"/>
        <w:bidi w:val="0"/>
        <w:spacing w:before="0" w:after="680" w:line="307" w:lineRule="exact"/>
        <w:ind w:left="0" w:right="0" w:firstLine="0"/>
        <w:jc w:val="both"/>
      </w:pPr>
      <w:r>
        <w:rPr>
          <w:color w:val="000000"/>
          <w:spacing w:val="0"/>
          <w:w w:val="100"/>
          <w:position w:val="0"/>
        </w:rPr>
        <w:t>股东杨成和澳洲红相董事</w:t>
      </w:r>
      <w:r>
        <w:rPr>
          <w:rFonts w:ascii="Times New Roman" w:eastAsia="Times New Roman" w:hAnsi="Times New Roman" w:cs="Times New Roman"/>
          <w:color w:val="000000"/>
          <w:spacing w:val="0"/>
          <w:w w:val="100"/>
          <w:position w:val="0"/>
        </w:rPr>
        <w:t>Richard Michael Dowling</w:t>
      </w:r>
      <w:r>
        <w:rPr>
          <w:color w:val="000000"/>
          <w:spacing w:val="0"/>
          <w:w w:val="100"/>
          <w:position w:val="0"/>
        </w:rPr>
        <w:t>对子公司澳洲红相的房租提供了担保，担保起始日为</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日，担保到期日为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45"/>
        <w:keepNext/>
        <w:keepLines/>
        <w:widowControl w:val="0"/>
        <w:shd w:val="clear" w:color="auto" w:fill="auto"/>
        <w:bidi w:val="0"/>
        <w:spacing w:before="0" w:line="240" w:lineRule="auto"/>
        <w:ind w:left="0" w:right="0" w:firstLine="14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513"/>
      <w:bookmarkEnd w:id="1514"/>
      <w:bookmarkEnd w:id="15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4,256,648.35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4,036,259.65</w:t>
            </w:r>
          </w:p>
        </w:tc>
      </w:tr>
    </w:tbl>
    <w:p>
      <w:pPr>
        <w:widowControl w:val="0"/>
        <w:spacing w:after="279" w:line="1" w:lineRule="exact"/>
      </w:pPr>
    </w:p>
    <w:p>
      <w:pPr>
        <w:pStyle w:val="Style45"/>
        <w:keepNext/>
        <w:keepLines/>
        <w:widowControl w:val="0"/>
        <w:shd w:val="clear" w:color="auto" w:fill="auto"/>
        <w:bidi w:val="0"/>
        <w:spacing w:before="0" w:after="280" w:line="312" w:lineRule="exact"/>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516"/>
      <w:bookmarkEnd w:id="1517"/>
      <w:bookmarkEnd w:id="1519"/>
    </w:p>
    <w:p>
      <w:pPr>
        <w:pStyle w:val="Style35"/>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日，公司向长江证券股份有限公司购买两项保本理财型产品，合计</w:t>
      </w:r>
      <w:r>
        <w:rPr>
          <w:rFonts w:ascii="Times New Roman" w:eastAsia="Times New Roman" w:hAnsi="Times New Roman" w:cs="Times New Roman"/>
          <w:color w:val="000000"/>
          <w:spacing w:val="0"/>
          <w:w w:val="100"/>
          <w:position w:val="0"/>
        </w:rPr>
        <w:t>1.4</w:t>
      </w:r>
      <w:r>
        <w:rPr>
          <w:color w:val="000000"/>
          <w:spacing w:val="0"/>
          <w:w w:val="100"/>
          <w:position w:val="0"/>
        </w:rPr>
        <w:t>亿元。报告期内理财产 品投资收益为</w:t>
      </w:r>
      <w:r>
        <w:rPr>
          <w:rFonts w:ascii="Times New Roman" w:eastAsia="Times New Roman" w:hAnsi="Times New Roman" w:cs="Times New Roman"/>
          <w:color w:val="000000"/>
          <w:spacing w:val="0"/>
          <w:w w:val="100"/>
          <w:position w:val="0"/>
        </w:rPr>
        <w:t>411,802.30</w:t>
      </w:r>
      <w:r>
        <w:rPr>
          <w:color w:val="000000"/>
          <w:spacing w:val="0"/>
          <w:w w:val="100"/>
          <w:position w:val="0"/>
        </w:rPr>
        <w:t>元。</w:t>
      </w:r>
      <w:r>
        <w:br w:type="page"/>
      </w:r>
    </w:p>
    <w:p>
      <w:pPr>
        <w:pStyle w:val="Style32"/>
        <w:keepNext/>
        <w:keepLines/>
        <w:widowControl w:val="0"/>
        <w:shd w:val="clear" w:color="auto" w:fill="auto"/>
        <w:bidi w:val="0"/>
        <w:spacing w:before="0" w:after="36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color w:val="000000"/>
          <w:spacing w:val="0"/>
          <w:w w:val="100"/>
          <w:position w:val="0"/>
        </w:rPr>
        <w:t>、关联方应收应付款项</w:t>
      </w:r>
      <w:bookmarkEnd w:id="1520"/>
      <w:bookmarkEnd w:id="1521"/>
      <w:bookmarkEnd w:id="1523"/>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524" w:name="bookmark152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）应收项目</w:t>
      </w:r>
      <w:bookmarkEnd w:id="15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长江证券股份有限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746,391.67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525" w:name="bookmark1525"/>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、关联方承诺</w:t>
      </w:r>
      <w:bookmarkEnd w:id="1525"/>
    </w:p>
    <w:p>
      <w:pPr>
        <w:widowControl w:val="0"/>
        <w:spacing w:after="35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7</w:t>
      </w:r>
      <w:bookmarkEnd w:id="1528"/>
      <w:r>
        <w:rPr>
          <w:color w:val="000000"/>
          <w:spacing w:val="0"/>
          <w:w w:val="100"/>
          <w:position w:val="0"/>
        </w:rPr>
        <w:t>、其他</w:t>
      </w:r>
      <w:bookmarkEnd w:id="1526"/>
      <w:bookmarkEnd w:id="1527"/>
      <w:bookmarkEnd w:id="152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r>
        <w:rPr>
          <w:color w:val="000000"/>
          <w:spacing w:val="0"/>
          <w:w w:val="100"/>
          <w:position w:val="0"/>
          <w:sz w:val="24"/>
          <w:szCs w:val="24"/>
        </w:rPr>
        <w:t>十三、承诺及或有事项</w:t>
      </w:r>
      <w:bookmarkEnd w:id="1530"/>
      <w:bookmarkEnd w:id="1531"/>
      <w:bookmarkEnd w:id="1532"/>
    </w:p>
    <w:p>
      <w:pPr>
        <w:pStyle w:val="Style32"/>
        <w:keepNext/>
        <w:keepLines/>
        <w:widowControl w:val="0"/>
        <w:shd w:val="clear" w:color="auto" w:fill="auto"/>
        <w:bidi w:val="0"/>
        <w:spacing w:before="0" w:after="360" w:line="240" w:lineRule="auto"/>
        <w:ind w:left="0" w:right="0" w:firstLine="0"/>
        <w:jc w:val="both"/>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33"/>
      <w:bookmarkEnd w:id="1534"/>
      <w:bookmarkEnd w:id="1535"/>
    </w:p>
    <w:p>
      <w:pPr>
        <w:pStyle w:val="Style25"/>
        <w:keepNext w:val="0"/>
        <w:keepLines w:val="0"/>
        <w:widowControl w:val="0"/>
        <w:shd w:val="clear" w:color="auto" w:fill="auto"/>
        <w:bidi w:val="0"/>
        <w:spacing w:before="0" w:after="120" w:line="240" w:lineRule="auto"/>
        <w:ind w:left="29"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0" w:line="240" w:lineRule="auto"/>
        <w:ind w:left="29"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）资本承诺</w:t>
      </w:r>
    </w:p>
    <w:tbl>
      <w:tblPr>
        <w:tblOverlap w:val="never"/>
        <w:jc w:val="center"/>
        <w:tblLayout w:type="fixed"/>
      </w:tblPr>
      <w:tblGrid>
        <w:gridCol w:w="5256"/>
        <w:gridCol w:w="2227"/>
        <w:gridCol w:w="1766"/>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已签约但尚未于财务报表中确认的资本承诺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60" w:firstLine="0"/>
              <w:jc w:val="right"/>
              <w:rPr>
                <w:sz w:val="24"/>
                <w:szCs w:val="24"/>
              </w:rPr>
            </w:pPr>
            <w:r>
              <w:rPr>
                <w:b/>
                <w:bCs/>
                <w:color w:val="000000"/>
                <w:spacing w:val="0"/>
                <w:w w:val="100"/>
                <w:position w:val="0"/>
                <w:sz w:val="24"/>
                <w:szCs w:val="24"/>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期初数</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购建长期资产承诺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1,714,224.00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3,046,940.00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对外投资承诺：浙江涵普剩余股权收购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对外投资承诺：投资合资售电公司（注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33,000,000.00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33,000,000.00</w:t>
            </w: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1700" w:right="0" w:firstLine="0"/>
              <w:jc w:val="left"/>
              <w:rPr>
                <w:sz w:val="22"/>
                <w:szCs w:val="22"/>
              </w:rPr>
            </w:pPr>
            <w:r>
              <w:rPr>
                <w:color w:val="000000"/>
                <w:spacing w:val="0"/>
                <w:w w:val="100"/>
                <w:position w:val="0"/>
                <w:sz w:val="22"/>
                <w:szCs w:val="22"/>
              </w:rPr>
              <w:t>对外投资承诺：发行股份及支付</w:t>
            </w:r>
          </w:p>
          <w:p>
            <w:pPr>
              <w:pStyle w:val="Style2"/>
              <w:keepNext w:val="0"/>
              <w:keepLines w:val="0"/>
              <w:widowControl w:val="0"/>
              <w:shd w:val="clear" w:color="auto" w:fill="auto"/>
              <w:bidi w:val="0"/>
              <w:spacing w:before="0" w:after="0" w:line="240" w:lineRule="auto"/>
              <w:ind w:left="1700" w:right="0" w:firstLine="0"/>
              <w:jc w:val="left"/>
              <w:rPr>
                <w:sz w:val="22"/>
                <w:szCs w:val="22"/>
              </w:rPr>
            </w:pPr>
            <w:r>
              <w:rPr>
                <w:color w:val="000000"/>
                <w:spacing w:val="0"/>
                <w:w w:val="100"/>
                <w:position w:val="0"/>
                <w:sz w:val="22"/>
                <w:szCs w:val="22"/>
              </w:rPr>
              <w:t>现金购买星波通信股份（注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522,767,951.00</w:t>
            </w:r>
          </w:p>
        </w:tc>
        <w:tc>
          <w:tcPr>
            <w:tcBorders>
              <w:top w:val="single" w:sz="4"/>
            </w:tcBorders>
            <w:shd w:val="clear" w:color="auto" w:fill="FFFFFF"/>
            <w:vAlign w:val="top"/>
          </w:tcPr>
          <w:p>
            <w:pPr>
              <w:widowControl w:val="0"/>
              <w:rPr>
                <w:sz w:val="10"/>
                <w:szCs w:val="10"/>
              </w:rPr>
            </w:pPr>
          </w:p>
        </w:tc>
      </w:tr>
      <w:tr>
        <w:trPr>
          <w:trHeight w:val="67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1700" w:right="0" w:firstLine="0"/>
              <w:jc w:val="left"/>
              <w:rPr>
                <w:sz w:val="22"/>
                <w:szCs w:val="22"/>
              </w:rPr>
            </w:pPr>
            <w:r>
              <w:rPr>
                <w:color w:val="000000"/>
                <w:spacing w:val="0"/>
                <w:w w:val="100"/>
                <w:position w:val="0"/>
                <w:sz w:val="22"/>
                <w:szCs w:val="22"/>
              </w:rPr>
              <w:t>对外投资承诺：发行股份及支付</w:t>
            </w:r>
          </w:p>
          <w:p>
            <w:pPr>
              <w:pStyle w:val="Style2"/>
              <w:keepNext w:val="0"/>
              <w:keepLines w:val="0"/>
              <w:widowControl w:val="0"/>
              <w:shd w:val="clear" w:color="auto" w:fill="auto"/>
              <w:bidi w:val="0"/>
              <w:spacing w:before="0" w:after="0" w:line="240" w:lineRule="auto"/>
              <w:ind w:left="1700" w:right="0" w:firstLine="0"/>
              <w:jc w:val="left"/>
              <w:rPr>
                <w:sz w:val="22"/>
                <w:szCs w:val="22"/>
              </w:rPr>
            </w:pPr>
            <w:r>
              <w:rPr>
                <w:color w:val="000000"/>
                <w:spacing w:val="0"/>
                <w:w w:val="100"/>
                <w:position w:val="0"/>
                <w:sz w:val="22"/>
                <w:szCs w:val="22"/>
              </w:rPr>
              <w:t>现金购买银川卧龙股份（注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1,170,000,000.00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5"/>
        <w:keepNext w:val="0"/>
        <w:keepLines w:val="0"/>
        <w:widowControl w:val="0"/>
        <w:shd w:val="clear" w:color="auto" w:fill="auto"/>
        <w:tabs>
          <w:tab w:pos="622" w:val="left"/>
        </w:tabs>
        <w:bidi w:val="0"/>
        <w:spacing w:before="0" w:after="0" w:line="307" w:lineRule="exact"/>
        <w:ind w:left="0" w:right="0" w:firstLine="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日，本公司与与浙江涵普（标的公司）和标的公司的原股东特盟国际经贸</w:t>
      </w:r>
    </w:p>
    <w:p>
      <w:pPr>
        <w:pStyle w:val="Style35"/>
        <w:keepNext w:val="0"/>
        <w:keepLines w:val="0"/>
        <w:widowControl w:val="0"/>
        <w:shd w:val="clear" w:color="auto" w:fill="auto"/>
        <w:bidi w:val="0"/>
        <w:spacing w:before="0" w:after="180" w:line="307" w:lineRule="exact"/>
        <w:ind w:left="0" w:right="0" w:firstLine="0"/>
        <w:jc w:val="both"/>
        <w:rPr>
          <w:sz w:val="22"/>
          <w:szCs w:val="22"/>
        </w:rPr>
      </w:pPr>
      <w:r>
        <w:rPr>
          <w:color w:val="000000"/>
          <w:spacing w:val="0"/>
          <w:w w:val="100"/>
          <w:position w:val="0"/>
          <w:sz w:val="22"/>
          <w:szCs w:val="22"/>
        </w:rPr>
        <w:t>有限公司、海盐众普电力科技有限公司和海盐城普电子科技有限公司签订投资协议，约定本 公司以人民币现金</w:t>
      </w:r>
      <w:r>
        <w:rPr>
          <w:rFonts w:ascii="Times New Roman" w:eastAsia="Times New Roman" w:hAnsi="Times New Roman" w:cs="Times New Roman"/>
          <w:color w:val="000000"/>
          <w:spacing w:val="0"/>
          <w:w w:val="100"/>
          <w:position w:val="0"/>
          <w:sz w:val="24"/>
          <w:szCs w:val="24"/>
        </w:rPr>
        <w:t>54,925,589.52</w:t>
      </w:r>
      <w:r>
        <w:rPr>
          <w:color w:val="000000"/>
          <w:spacing w:val="0"/>
          <w:w w:val="100"/>
          <w:position w:val="0"/>
          <w:sz w:val="22"/>
          <w:szCs w:val="22"/>
        </w:rPr>
        <w:t>元对浙江涵普增资，增资后本公司持有浙江涵普</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2"/>
          <w:szCs w:val="22"/>
        </w:rPr>
        <w:t>股权。</w:t>
      </w:r>
    </w:p>
    <w:p>
      <w:pPr>
        <w:pStyle w:val="Style35"/>
        <w:keepNext w:val="0"/>
        <w:keepLines w:val="0"/>
        <w:widowControl w:val="0"/>
        <w:shd w:val="clear" w:color="auto" w:fill="auto"/>
        <w:bidi w:val="0"/>
        <w:spacing w:before="0" w:after="740" w:line="307" w:lineRule="exact"/>
        <w:ind w:left="0" w:right="0" w:firstLine="0"/>
        <w:jc w:val="both"/>
        <w:rPr>
          <w:sz w:val="22"/>
          <w:szCs w:val="22"/>
        </w:rPr>
      </w:pPr>
      <w:r>
        <w:rPr>
          <w:color w:val="000000"/>
          <w:spacing w:val="0"/>
          <w:w w:val="100"/>
          <w:position w:val="0"/>
          <w:sz w:val="22"/>
          <w:szCs w:val="22"/>
        </w:rPr>
        <w:t>增资完成后，协议各方同意，在浙江涵普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年的实际税后净利润（扣除非经常性 损益后）分别不低于人民币</w:t>
      </w:r>
      <w:r>
        <w:rPr>
          <w:rFonts w:ascii="Times New Roman" w:eastAsia="Times New Roman" w:hAnsi="Times New Roman" w:cs="Times New Roman"/>
          <w:color w:val="000000"/>
          <w:spacing w:val="0"/>
          <w:w w:val="100"/>
          <w:position w:val="0"/>
          <w:sz w:val="24"/>
          <w:szCs w:val="24"/>
        </w:rPr>
        <w:t>1800</w:t>
      </w:r>
      <w:r>
        <w:rPr>
          <w:color w:val="000000"/>
          <w:spacing w:val="0"/>
          <w:w w:val="100"/>
          <w:position w:val="0"/>
          <w:sz w:val="22"/>
          <w:szCs w:val="22"/>
        </w:rPr>
        <w:t>万元和</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年三年累计净利润（扣除非 经常性损益后）不低于人民币</w:t>
      </w:r>
      <w:r>
        <w:rPr>
          <w:rFonts w:ascii="Times New Roman" w:eastAsia="Times New Roman" w:hAnsi="Times New Roman" w:cs="Times New Roman"/>
          <w:color w:val="000000"/>
          <w:spacing w:val="0"/>
          <w:w w:val="100"/>
          <w:position w:val="0"/>
          <w:sz w:val="24"/>
          <w:szCs w:val="24"/>
        </w:rPr>
        <w:t>5500</w:t>
      </w:r>
      <w:r>
        <w:rPr>
          <w:color w:val="000000"/>
          <w:spacing w:val="0"/>
          <w:w w:val="100"/>
          <w:position w:val="0"/>
          <w:sz w:val="22"/>
          <w:szCs w:val="22"/>
        </w:rPr>
        <w:t>万元的情形下，本公司承诺在浙江涵普</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 xml:space="preserve">年审计完成后 </w:t>
      </w:r>
      <w:r>
        <w:rPr>
          <w:color w:val="000000"/>
          <w:spacing w:val="0"/>
          <w:w w:val="100"/>
          <w:position w:val="0"/>
          <w:sz w:val="22"/>
          <w:szCs w:val="22"/>
        </w:rPr>
        <w:t>的</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个月内，以各方确认的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年经审计的扣除非经常性损益后的税后净利润为依据，以不高 于</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倍市盈率且不超过人民币</w:t>
      </w:r>
      <w:r>
        <w:rPr>
          <w:rFonts w:ascii="Times New Roman" w:eastAsia="Times New Roman" w:hAnsi="Times New Roman" w:cs="Times New Roman"/>
          <w:color w:val="000000"/>
          <w:spacing w:val="0"/>
          <w:w w:val="100"/>
          <w:position w:val="0"/>
          <w:sz w:val="24"/>
          <w:szCs w:val="24"/>
        </w:rPr>
        <w:t>45000</w:t>
      </w:r>
      <w:r>
        <w:rPr>
          <w:color w:val="000000"/>
          <w:spacing w:val="0"/>
          <w:w w:val="100"/>
          <w:position w:val="0"/>
          <w:sz w:val="22"/>
          <w:szCs w:val="22"/>
        </w:rPr>
        <w:t>万元对浙江涵普进行股权收购前的整体估值，由本公司以 现金及股份支付相结合的方式收购特盟国际经贸有限公司、海盐众普电力科技有限公司和海 盐城普电子科技有限公司所持有的剩余</w:t>
      </w:r>
      <w:r>
        <w:rPr>
          <w:rFonts w:ascii="Times New Roman" w:eastAsia="Times New Roman" w:hAnsi="Times New Roman" w:cs="Times New Roman"/>
          <w:color w:val="000000"/>
          <w:spacing w:val="0"/>
          <w:w w:val="100"/>
          <w:position w:val="0"/>
          <w:sz w:val="24"/>
          <w:szCs w:val="24"/>
        </w:rPr>
        <w:t>29%-39%</w:t>
      </w:r>
      <w:r>
        <w:rPr>
          <w:color w:val="000000"/>
          <w:spacing w:val="0"/>
          <w:w w:val="100"/>
          <w:position w:val="0"/>
          <w:sz w:val="22"/>
          <w:szCs w:val="22"/>
        </w:rPr>
        <w:t>的股权（具体股权比例届时由各方另行商议 确定）。</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日，本公司与厦门火炬集团有限公司、厦门信息集团有限公司签订《合作 框架协议》，约定各方共同出资设立合资售电公司，注册资本人民币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亿元。合资售电公司经 营范围暂定为：售电业务、电力工程设备及维修、电力技术开发与转让、技术咨询、电力项 目投资、新能源的技术开发与技术服务。本公司拟出资人民币</w:t>
      </w:r>
      <w:r>
        <w:rPr>
          <w:rFonts w:ascii="Times New Roman" w:eastAsia="Times New Roman" w:hAnsi="Times New Roman" w:cs="Times New Roman"/>
          <w:color w:val="000000"/>
          <w:spacing w:val="0"/>
          <w:w w:val="100"/>
          <w:position w:val="0"/>
          <w:sz w:val="24"/>
          <w:szCs w:val="24"/>
        </w:rPr>
        <w:t>3300</w:t>
      </w:r>
      <w:r>
        <w:rPr>
          <w:color w:val="000000"/>
          <w:spacing w:val="0"/>
          <w:w w:val="100"/>
          <w:position w:val="0"/>
          <w:sz w:val="22"/>
          <w:szCs w:val="22"/>
        </w:rPr>
        <w:t xml:space="preserve">万元，持有合资公司股权 </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2"/>
          <w:szCs w:val="22"/>
        </w:rPr>
        <w:t>。截至本财务报告日，各方尚未出资。</w:t>
      </w:r>
    </w:p>
    <w:p>
      <w:pPr>
        <w:pStyle w:val="Style35"/>
        <w:keepNext w:val="0"/>
        <w:keepLines w:val="0"/>
        <w:widowControl w:val="0"/>
        <w:shd w:val="clear" w:color="auto" w:fill="auto"/>
        <w:bidi w:val="0"/>
        <w:spacing w:before="0" w:after="200" w:line="313" w:lineRule="exact"/>
        <w:ind w:left="0" w:right="0" w:firstLine="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月，本公司与陈剑虹、张青、吴松、徐建平、王长乐、刘宏胜、陈小杰、左克 刚、胡万云、谢安安、王加玉、王延慧、魏京保、奚银春、蒋磊、袁长亮、刘朝、刘玉、邢 成林、合肥星睿股权投资合伙企业（有限合伙）、新余丰睿投资管理合伙企业（有限合伙）、 安徽兴皖创业投资有限公司、刘启斌、程小虎、上海兆戈投资管理合伙企业（有限合伙）签 订《发行股份及支付现金购买资产协议》拟以发行股份及支付现金相结合的方式购买合肥星 波通信股份有限公司（以下简称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星波通信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67.54%</w:t>
      </w:r>
      <w:r>
        <w:rPr>
          <w:color w:val="000000"/>
          <w:spacing w:val="0"/>
          <w:w w:val="100"/>
          <w:position w:val="0"/>
          <w:sz w:val="22"/>
          <w:szCs w:val="22"/>
        </w:rPr>
        <w:t>股权，初步交易价格为</w:t>
      </w:r>
      <w:r>
        <w:rPr>
          <w:rFonts w:ascii="Times New Roman" w:eastAsia="Times New Roman" w:hAnsi="Times New Roman" w:cs="Times New Roman"/>
          <w:color w:val="000000"/>
          <w:spacing w:val="0"/>
          <w:w w:val="100"/>
          <w:position w:val="0"/>
          <w:sz w:val="24"/>
          <w:szCs w:val="24"/>
        </w:rPr>
        <w:t>52,276.8</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万元， 其中现金对价</w:t>
      </w:r>
      <w:r>
        <w:rPr>
          <w:rFonts w:ascii="Times New Roman" w:eastAsia="Times New Roman" w:hAnsi="Times New Roman" w:cs="Times New Roman"/>
          <w:color w:val="000000"/>
          <w:spacing w:val="0"/>
          <w:w w:val="100"/>
          <w:position w:val="0"/>
          <w:sz w:val="24"/>
          <w:szCs w:val="24"/>
        </w:rPr>
        <w:t>17,436.88</w:t>
      </w:r>
      <w:r>
        <w:rPr>
          <w:color w:val="000000"/>
          <w:spacing w:val="0"/>
          <w:w w:val="100"/>
          <w:position w:val="0"/>
          <w:sz w:val="22"/>
          <w:szCs w:val="22"/>
        </w:rPr>
        <w:t>万元，股份对价为</w:t>
      </w:r>
      <w:r>
        <w:rPr>
          <w:rFonts w:ascii="Times New Roman" w:eastAsia="Times New Roman" w:hAnsi="Times New Roman" w:cs="Times New Roman"/>
          <w:color w:val="000000"/>
          <w:spacing w:val="0"/>
          <w:w w:val="100"/>
          <w:position w:val="0"/>
          <w:sz w:val="24"/>
          <w:szCs w:val="24"/>
        </w:rPr>
        <w:t>34,839.91</w:t>
      </w:r>
      <w:r>
        <w:rPr>
          <w:color w:val="000000"/>
          <w:spacing w:val="0"/>
          <w:w w:val="100"/>
          <w:position w:val="0"/>
          <w:sz w:val="22"/>
          <w:szCs w:val="22"/>
        </w:rPr>
        <w:t>万元，股份发行价格为</w:t>
      </w:r>
      <w:r>
        <w:rPr>
          <w:rFonts w:ascii="Times New Roman" w:eastAsia="Times New Roman" w:hAnsi="Times New Roman" w:cs="Times New Roman"/>
          <w:color w:val="000000"/>
          <w:spacing w:val="0"/>
          <w:w w:val="100"/>
          <w:position w:val="0"/>
          <w:sz w:val="24"/>
          <w:szCs w:val="24"/>
        </w:rPr>
        <w:t>16.87</w:t>
      </w:r>
      <w:r>
        <w:rPr>
          <w:color w:val="000000"/>
          <w:spacing w:val="0"/>
          <w:w w:val="100"/>
          <w:position w:val="0"/>
          <w:sz w:val="22"/>
          <w:szCs w:val="22"/>
        </w:rPr>
        <w:t>元，按照不低 于定价基准日前</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个交易日公司股票交易均价（除权除息后）的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，本公司将就本次交易 向星波通信交易对方共计发行普通股股票数量为</w:t>
      </w:r>
      <w:r>
        <w:rPr>
          <w:rFonts w:ascii="Times New Roman" w:eastAsia="Times New Roman" w:hAnsi="Times New Roman" w:cs="Times New Roman"/>
          <w:color w:val="000000"/>
          <w:spacing w:val="0"/>
          <w:w w:val="100"/>
          <w:position w:val="0"/>
          <w:sz w:val="24"/>
          <w:szCs w:val="24"/>
        </w:rPr>
        <w:t>20,651,994</w:t>
      </w:r>
      <w:r>
        <w:rPr>
          <w:color w:val="000000"/>
          <w:spacing w:val="0"/>
          <w:w w:val="100"/>
          <w:position w:val="0"/>
          <w:sz w:val="22"/>
          <w:szCs w:val="22"/>
        </w:rPr>
        <w:t>股，本次交易构成中国证券监督管 理委员会（以下简称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）规定的上市公司重大资产重组。截至本财务报告日，本 次交易的进度见附注十四、</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p>
      <w:pPr>
        <w:pStyle w:val="Style35"/>
        <w:keepNext w:val="0"/>
        <w:keepLines w:val="0"/>
        <w:widowControl w:val="0"/>
        <w:shd w:val="clear" w:color="auto" w:fill="auto"/>
        <w:bidi w:val="0"/>
        <w:spacing w:before="0" w:after="200" w:line="311" w:lineRule="exact"/>
        <w:ind w:left="0" w:right="0" w:firstLine="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月，本公司与卧龙电气集团股份有限公司（以下简称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卧龙电气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）、席立功、 何东武、吴国敏签订《发行股份及支付现金购买资产协议》拟以发行股份及支付现金相结合 的方式购买卧龙电气银川变压器有限公司（以下简称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银川卧龙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股权，初步交易价格 为</w:t>
      </w:r>
      <w:r>
        <w:rPr>
          <w:rFonts w:ascii="Times New Roman" w:eastAsia="Times New Roman" w:hAnsi="Times New Roman" w:cs="Times New Roman"/>
          <w:color w:val="000000"/>
          <w:spacing w:val="0"/>
          <w:w w:val="100"/>
          <w:position w:val="0"/>
          <w:sz w:val="24"/>
          <w:szCs w:val="24"/>
        </w:rPr>
        <w:t>117,000.00</w:t>
      </w:r>
      <w:r>
        <w:rPr>
          <w:color w:val="000000"/>
          <w:spacing w:val="0"/>
          <w:w w:val="100"/>
          <w:position w:val="0"/>
          <w:sz w:val="22"/>
          <w:szCs w:val="22"/>
        </w:rPr>
        <w:t>万元，其中现金对价</w:t>
      </w:r>
      <w:r>
        <w:rPr>
          <w:rFonts w:ascii="Times New Roman" w:eastAsia="Times New Roman" w:hAnsi="Times New Roman" w:cs="Times New Roman"/>
          <w:color w:val="000000"/>
          <w:spacing w:val="0"/>
          <w:w w:val="100"/>
          <w:position w:val="0"/>
          <w:sz w:val="24"/>
          <w:szCs w:val="24"/>
        </w:rPr>
        <w:t>35,977.50</w:t>
      </w:r>
      <w:r>
        <w:rPr>
          <w:color w:val="000000"/>
          <w:spacing w:val="0"/>
          <w:w w:val="100"/>
          <w:position w:val="0"/>
          <w:sz w:val="22"/>
          <w:szCs w:val="22"/>
        </w:rPr>
        <w:t>万元，股份对价为</w:t>
      </w:r>
      <w:r>
        <w:rPr>
          <w:rFonts w:ascii="Times New Roman" w:eastAsia="Times New Roman" w:hAnsi="Times New Roman" w:cs="Times New Roman"/>
          <w:color w:val="000000"/>
          <w:spacing w:val="0"/>
          <w:w w:val="100"/>
          <w:position w:val="0"/>
          <w:sz w:val="24"/>
          <w:szCs w:val="24"/>
        </w:rPr>
        <w:t>81,022.50</w:t>
      </w:r>
      <w:r>
        <w:rPr>
          <w:color w:val="000000"/>
          <w:spacing w:val="0"/>
          <w:w w:val="100"/>
          <w:position w:val="0"/>
          <w:sz w:val="22"/>
          <w:szCs w:val="22"/>
        </w:rPr>
        <w:t xml:space="preserve">万元，股份发行价格为 </w:t>
      </w:r>
      <w:r>
        <w:rPr>
          <w:rFonts w:ascii="Times New Roman" w:eastAsia="Times New Roman" w:hAnsi="Times New Roman" w:cs="Times New Roman"/>
          <w:color w:val="000000"/>
          <w:spacing w:val="0"/>
          <w:w w:val="100"/>
          <w:position w:val="0"/>
          <w:sz w:val="24"/>
          <w:szCs w:val="24"/>
        </w:rPr>
        <w:t>16.87</w:t>
      </w:r>
      <w:r>
        <w:rPr>
          <w:color w:val="000000"/>
          <w:spacing w:val="0"/>
          <w:w w:val="100"/>
          <w:position w:val="0"/>
          <w:sz w:val="22"/>
          <w:szCs w:val="22"/>
        </w:rPr>
        <w:t>元，按照不低于定价基准日前</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个交易日公司股票交易均价（除权除息后）的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，本 公司将就本次交易向银川卧龙交易对方共计发行普通股股票数量为</w:t>
      </w:r>
      <w:r>
        <w:rPr>
          <w:rFonts w:ascii="Times New Roman" w:eastAsia="Times New Roman" w:hAnsi="Times New Roman" w:cs="Times New Roman"/>
          <w:color w:val="000000"/>
          <w:spacing w:val="0"/>
          <w:w w:val="100"/>
          <w:position w:val="0"/>
          <w:sz w:val="24"/>
          <w:szCs w:val="24"/>
        </w:rPr>
        <w:t>48,027,562</w:t>
      </w:r>
      <w:r>
        <w:rPr>
          <w:color w:val="000000"/>
          <w:spacing w:val="0"/>
          <w:w w:val="100"/>
          <w:position w:val="0"/>
          <w:sz w:val="22"/>
          <w:szCs w:val="22"/>
        </w:rPr>
        <w:t>股，本次交易构 成中国证监会规定的上市公司重大资产重组。截至本财务报告日，本次交易的进度见附注十 四、</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）经营租赁承诺</w:t>
      </w:r>
    </w:p>
    <w:p>
      <w:pPr>
        <w:pStyle w:val="Style35"/>
        <w:keepNext w:val="0"/>
        <w:keepLines w:val="0"/>
        <w:widowControl w:val="0"/>
        <w:shd w:val="clear" w:color="auto" w:fill="auto"/>
        <w:bidi w:val="0"/>
        <w:spacing w:before="0" w:after="240" w:line="312" w:lineRule="exact"/>
        <w:ind w:left="0" w:right="0" w:firstLine="0"/>
        <w:jc w:val="left"/>
        <w:rPr>
          <w:sz w:val="22"/>
          <w:szCs w:val="22"/>
        </w:rPr>
      </w:pPr>
      <w:r>
        <w:rPr>
          <w:color w:val="000000"/>
          <w:spacing w:val="0"/>
          <w:w w:val="100"/>
          <w:position w:val="0"/>
          <w:sz w:val="22"/>
          <w:szCs w:val="22"/>
        </w:rPr>
        <w:t>至资产负债表日止，本公司对外签订的不可撤销的经营租赁合约情况如下：</w:t>
      </w:r>
    </w:p>
    <w:tbl>
      <w:tblPr>
        <w:tblOverlap w:val="never"/>
        <w:jc w:val="left"/>
        <w:tblLayout w:type="fixed"/>
      </w:tblPr>
      <w:tblGrid>
        <w:gridCol w:w="4526"/>
        <w:gridCol w:w="2606"/>
        <w:gridCol w:w="2016"/>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不可撤销经营租赁的最低租赁付款额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720" w:firstLine="0"/>
              <w:jc w:val="right"/>
              <w:rPr>
                <w:sz w:val="24"/>
                <w:szCs w:val="24"/>
              </w:rPr>
            </w:pPr>
            <w:r>
              <w:rPr>
                <w:b/>
                <w:bCs/>
                <w:color w:val="000000"/>
                <w:spacing w:val="0"/>
                <w:w w:val="100"/>
                <w:position w:val="0"/>
                <w:sz w:val="24"/>
                <w:szCs w:val="24"/>
              </w:rPr>
              <w:t>期末数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期初数</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1,431,019.20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1,482,522.48</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1,042,359.20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1,025,859.20</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988,045.12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1,005,859.20</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以后年度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981,045.12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1,962,090.24</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b/>
                <w:bCs/>
                <w:color w:val="000000"/>
                <w:spacing w:val="0"/>
                <w:w w:val="100"/>
                <w:position w:val="0"/>
                <w:sz w:val="24"/>
                <w:szCs w:val="24"/>
              </w:rPr>
              <w:t>4,442,468.64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b/>
                <w:bCs/>
                <w:color w:val="000000"/>
                <w:spacing w:val="0"/>
                <w:w w:val="100"/>
                <w:position w:val="0"/>
                <w:sz w:val="24"/>
                <w:szCs w:val="24"/>
              </w:rPr>
              <w:t>5,476,331.12</w:t>
            </w:r>
          </w:p>
        </w:tc>
      </w:tr>
    </w:tbl>
    <w:p>
      <w:pPr>
        <w:pStyle w:val="Style35"/>
        <w:keepNext w:val="0"/>
        <w:keepLines w:val="0"/>
        <w:widowControl w:val="0"/>
        <w:shd w:val="clear" w:color="auto" w:fill="auto"/>
        <w:bidi w:val="0"/>
        <w:spacing w:before="0" w:after="220" w:line="310" w:lineRule="exact"/>
        <w:ind w:left="0" w:right="0" w:firstLine="0"/>
        <w:jc w:val="both"/>
        <w:rPr>
          <w:sz w:val="22"/>
          <w:szCs w:val="22"/>
        </w:rPr>
      </w:pPr>
      <w:bookmarkStart w:id="1536" w:name="bookmark1536"/>
      <w:r>
        <w:rPr>
          <w:color w:val="000000"/>
          <w:spacing w:val="0"/>
          <w:w w:val="100"/>
          <w:position w:val="0"/>
          <w:sz w:val="22"/>
          <w:szCs w:val="22"/>
        </w:rPr>
        <w:t>（</w:t>
      </w:r>
      <w:bookmarkEnd w:id="153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）其他承诺事项</w:t>
      </w:r>
    </w:p>
    <w:p>
      <w:pPr>
        <w:pStyle w:val="Style35"/>
        <w:keepNext w:val="0"/>
        <w:keepLines w:val="0"/>
        <w:widowControl w:val="0"/>
        <w:shd w:val="clear" w:color="auto" w:fill="auto"/>
        <w:bidi w:val="0"/>
        <w:spacing w:before="0" w:after="220" w:line="310" w:lineRule="exact"/>
        <w:ind w:left="0" w:right="0" w:firstLine="0"/>
        <w:jc w:val="both"/>
        <w:rPr>
          <w:sz w:val="22"/>
          <w:szCs w:val="22"/>
        </w:rPr>
      </w:pPr>
      <w:r>
        <w:rPr>
          <w:color w:val="000000"/>
          <w:spacing w:val="0"/>
          <w:w w:val="100"/>
          <w:position w:val="0"/>
          <w:sz w:val="22"/>
          <w:szCs w:val="22"/>
        </w:rPr>
        <w:t>利润分配承诺</w:t>
      </w:r>
    </w:p>
    <w:p>
      <w:pPr>
        <w:pStyle w:val="Style35"/>
        <w:keepNext w:val="0"/>
        <w:keepLines w:val="0"/>
        <w:widowControl w:val="0"/>
        <w:shd w:val="clear" w:color="auto" w:fill="auto"/>
        <w:bidi w:val="0"/>
        <w:spacing w:before="0" w:after="220" w:line="310" w:lineRule="exact"/>
        <w:ind w:left="0" w:right="0" w:firstLine="0"/>
        <w:jc w:val="both"/>
        <w:rPr>
          <w:sz w:val="22"/>
          <w:szCs w:val="22"/>
        </w:rPr>
      </w:pPr>
      <w:r>
        <w:rPr>
          <w:color w:val="000000"/>
          <w:spacing w:val="0"/>
          <w:w w:val="100"/>
          <w:position w:val="0"/>
          <w:sz w:val="22"/>
          <w:szCs w:val="22"/>
        </w:rPr>
        <w:t>根据本公司章程，在满足公司正常生产经营资金需求的情况下，如无重大投资计划或重大现 金支出等事项，公司应该采取现金方式分配股利，并且以现金方式分配的利润不少于当年实 现的可分配利润的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w:t>
      </w:r>
    </w:p>
    <w:p>
      <w:pPr>
        <w:pStyle w:val="Style35"/>
        <w:keepNext w:val="0"/>
        <w:keepLines w:val="0"/>
        <w:widowControl w:val="0"/>
        <w:shd w:val="clear" w:color="auto" w:fill="auto"/>
        <w:bidi w:val="0"/>
        <w:spacing w:before="0" w:after="1440" w:line="310" w:lineRule="exact"/>
        <w:ind w:left="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日，本公司不存在其他应披露的承诺事项。</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color w:val="000000"/>
          <w:spacing w:val="0"/>
          <w:w w:val="100"/>
          <w:position w:val="0"/>
        </w:rPr>
        <w:t>、</w:t>
        <w:tab/>
        <w:t>或有事项</w:t>
      </w:r>
      <w:bookmarkEnd w:id="1537"/>
      <w:bookmarkEnd w:id="1538"/>
      <w:bookmarkEnd w:id="1540"/>
    </w:p>
    <w:p>
      <w:pPr>
        <w:pStyle w:val="Style45"/>
        <w:keepNext/>
        <w:keepLines/>
        <w:widowControl w:val="0"/>
        <w:shd w:val="clear" w:color="auto" w:fill="auto"/>
        <w:tabs>
          <w:tab w:pos="493" w:val="left"/>
        </w:tabs>
        <w:bidi w:val="0"/>
        <w:spacing w:before="0" w:after="32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41"/>
      <w:bookmarkEnd w:id="1542"/>
      <w:bookmarkEnd w:id="1544"/>
    </w:p>
    <w:p>
      <w:pPr>
        <w:pStyle w:val="Style35"/>
        <w:keepNext w:val="0"/>
        <w:keepLines w:val="0"/>
        <w:widowControl w:val="0"/>
        <w:shd w:val="clear" w:color="auto" w:fill="auto"/>
        <w:bidi w:val="0"/>
        <w:spacing w:before="0" w:after="900" w:line="310" w:lineRule="exact"/>
        <w:ind w:left="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日，本公司不存在应披露的或有事项。</w:t>
      </w:r>
    </w:p>
    <w:p>
      <w:pPr>
        <w:pStyle w:val="Style45"/>
        <w:keepNext/>
        <w:keepLines/>
        <w:widowControl w:val="0"/>
        <w:shd w:val="clear" w:color="auto" w:fill="auto"/>
        <w:bidi w:val="0"/>
        <w:spacing w:before="0" w:line="240" w:lineRule="auto"/>
        <w:ind w:left="0" w:right="0" w:firstLine="0"/>
        <w:jc w:val="both"/>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 公司没有需要披露的重要或有事项，也应予以说明</w:t>
      </w:r>
      <w:bookmarkEnd w:id="1545"/>
      <w:bookmarkEnd w:id="1546"/>
      <w:bookmarkEnd w:id="154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color w:val="000000"/>
          <w:spacing w:val="0"/>
          <w:w w:val="100"/>
          <w:position w:val="0"/>
        </w:rPr>
        <w:t>、</w:t>
        <w:tab/>
        <w:t>其他</w:t>
      </w:r>
      <w:bookmarkEnd w:id="1549"/>
      <w:bookmarkEnd w:id="1550"/>
      <w:bookmarkEnd w:id="1552"/>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310" w:lineRule="exact"/>
        <w:ind w:left="0" w:right="0" w:firstLine="0"/>
        <w:jc w:val="both"/>
      </w:pPr>
      <w:bookmarkStart w:id="1553" w:name="bookmark1553"/>
      <w:bookmarkStart w:id="1554" w:name="bookmark1554"/>
      <w:bookmarkStart w:id="1555" w:name="bookmark1555"/>
      <w:r>
        <w:rPr>
          <w:color w:val="000000"/>
          <w:spacing w:val="0"/>
          <w:w w:val="100"/>
          <w:position w:val="0"/>
          <w:sz w:val="24"/>
          <w:szCs w:val="24"/>
        </w:rPr>
        <w:t>十四、资产负债表日后事项</w:t>
      </w:r>
      <w:bookmarkEnd w:id="1553"/>
      <w:bookmarkEnd w:id="1554"/>
      <w:bookmarkEnd w:id="1555"/>
    </w:p>
    <w:p>
      <w:pPr>
        <w:pStyle w:val="Style32"/>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56"/>
      <w:bookmarkEnd w:id="1557"/>
      <w:bookmarkEnd w:id="15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、销售退回</w:t>
      </w:r>
      <w:bookmarkEnd w:id="1559"/>
      <w:bookmarkEnd w:id="1560"/>
      <w:bookmarkEnd w:id="1561"/>
    </w:p>
    <w:p>
      <w:pPr>
        <w:pStyle w:val="Style35"/>
        <w:keepNext w:val="0"/>
        <w:keepLines w:val="0"/>
        <w:widowControl w:val="0"/>
        <w:shd w:val="clear" w:color="auto" w:fill="auto"/>
        <w:bidi w:val="0"/>
        <w:spacing w:before="0" w:after="380" w:line="240" w:lineRule="auto"/>
        <w:ind w:left="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日，本公司不存在重要销售退回。</w:t>
      </w:r>
    </w:p>
    <w:p>
      <w:pPr>
        <w:pStyle w:val="Style32"/>
        <w:keepNext/>
        <w:keepLines/>
        <w:widowControl w:val="0"/>
        <w:shd w:val="clear" w:color="auto" w:fill="auto"/>
        <w:bidi w:val="0"/>
        <w:spacing w:before="0" w:after="34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color w:val="000000"/>
          <w:spacing w:val="0"/>
          <w:w w:val="100"/>
          <w:position w:val="0"/>
        </w:rPr>
        <w:t>、其他资产负债表日后事项说明</w:t>
      </w:r>
      <w:bookmarkEnd w:id="1562"/>
      <w:bookmarkEnd w:id="1563"/>
      <w:bookmarkEnd w:id="1565"/>
    </w:p>
    <w:p>
      <w:pPr>
        <w:pStyle w:val="Style3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）本公司拟以发行股份及支付现金方式购买卧龙电气、席立功、何东武和吴国敏等</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名 交易对方合计持有的银川卧龙</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股权以及张青等</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 xml:space="preserve">名交易对方合计持有的星波通信 </w:t>
      </w:r>
      <w:r>
        <w:rPr>
          <w:rFonts w:ascii="Times New Roman" w:eastAsia="Times New Roman" w:hAnsi="Times New Roman" w:cs="Times New Roman"/>
          <w:color w:val="000000"/>
          <w:spacing w:val="0"/>
          <w:w w:val="100"/>
          <w:position w:val="0"/>
          <w:sz w:val="24"/>
          <w:szCs w:val="24"/>
        </w:rPr>
        <w:t>67.54%</w:t>
      </w:r>
      <w:r>
        <w:rPr>
          <w:color w:val="000000"/>
          <w:spacing w:val="0"/>
          <w:w w:val="100"/>
          <w:position w:val="0"/>
          <w:sz w:val="22"/>
          <w:szCs w:val="22"/>
        </w:rPr>
        <w:t>股份；同时拟向长江证券（上海）资产管理有限公司、唐艳媛、厦门蜜呆贰号股权 投资合伙企业（有限合伙）、宁波梅山保税港区厚扬启航二期股权投资中心（有限合伙）和 天堂硅谷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定增融源</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号私募投资基金等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 xml:space="preserve">名特定投资者非公开发行股份募集配套资金不超过 </w:t>
      </w:r>
      <w:r>
        <w:rPr>
          <w:rFonts w:ascii="Times New Roman" w:eastAsia="Times New Roman" w:hAnsi="Times New Roman" w:cs="Times New Roman"/>
          <w:color w:val="000000"/>
          <w:spacing w:val="0"/>
          <w:w w:val="100"/>
          <w:position w:val="0"/>
          <w:sz w:val="24"/>
          <w:szCs w:val="24"/>
        </w:rPr>
        <w:t>96,923.39</w:t>
      </w:r>
      <w:r>
        <w:rPr>
          <w:color w:val="000000"/>
          <w:spacing w:val="0"/>
          <w:w w:val="100"/>
          <w:position w:val="0"/>
          <w:sz w:val="22"/>
          <w:szCs w:val="22"/>
        </w:rPr>
        <w:t xml:space="preserve">万元，且募集配套资金总额不超过以发行股份方式购买标的资产的交易价格的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。对于上述交易，本公司已于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日收到中国证监会出具的《中国证监会行政 许可申请受理通知书》；于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日收到中国证监会出具的《中国证监会行政许可项 目审查一次反馈意见通知书》。</w:t>
      </w:r>
    </w:p>
    <w:p>
      <w:pPr>
        <w:pStyle w:val="Style35"/>
        <w:keepNext w:val="0"/>
        <w:keepLines w:val="0"/>
        <w:widowControl w:val="0"/>
        <w:shd w:val="clear" w:color="auto" w:fill="auto"/>
        <w:bidi w:val="0"/>
        <w:spacing w:before="0" w:after="340" w:line="312" w:lineRule="exact"/>
        <w:ind w:left="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日，本公司不存在其他应披露的资产负债表日后事项。</w:t>
      </w:r>
    </w:p>
    <w:p>
      <w:pPr>
        <w:pStyle w:val="Style23"/>
        <w:keepNext/>
        <w:keepLines/>
        <w:widowControl w:val="0"/>
        <w:shd w:val="clear" w:color="auto" w:fill="auto"/>
        <w:bidi w:val="0"/>
        <w:spacing w:before="0" w:after="340" w:line="312" w:lineRule="exact"/>
        <w:ind w:left="0" w:right="0" w:firstLine="0"/>
        <w:jc w:val="both"/>
      </w:pPr>
      <w:bookmarkStart w:id="1566" w:name="bookmark1566"/>
      <w:bookmarkStart w:id="1567" w:name="bookmark1567"/>
      <w:bookmarkStart w:id="1568" w:name="bookmark1568"/>
      <w:r>
        <w:rPr>
          <w:color w:val="000000"/>
          <w:spacing w:val="0"/>
          <w:w w:val="100"/>
          <w:position w:val="0"/>
          <w:sz w:val="24"/>
          <w:szCs w:val="24"/>
        </w:rPr>
        <w:t>十五、其他重要事项</w:t>
      </w:r>
      <w:bookmarkEnd w:id="1566"/>
      <w:bookmarkEnd w:id="1567"/>
      <w:bookmarkEnd w:id="1568"/>
    </w:p>
    <w:p>
      <w:pPr>
        <w:pStyle w:val="Style32"/>
        <w:keepNext/>
        <w:keepLines/>
        <w:widowControl w:val="0"/>
        <w:shd w:val="clear" w:color="auto" w:fill="auto"/>
        <w:bidi w:val="0"/>
        <w:spacing w:before="0" w:after="340" w:line="240" w:lineRule="auto"/>
        <w:ind w:left="0" w:right="0" w:firstLine="0"/>
        <w:jc w:val="both"/>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69"/>
      <w:bookmarkEnd w:id="1570"/>
      <w:bookmarkEnd w:id="1571"/>
    </w:p>
    <w:p>
      <w:pPr>
        <w:pStyle w:val="Style45"/>
        <w:keepNext/>
        <w:keepLines/>
        <w:widowControl w:val="0"/>
        <w:shd w:val="clear" w:color="auto" w:fill="auto"/>
        <w:tabs>
          <w:tab w:pos="493" w:val="left"/>
        </w:tabs>
        <w:bidi w:val="0"/>
        <w:spacing w:before="0" w:after="340" w:line="240" w:lineRule="auto"/>
        <w:ind w:left="0" w:right="0" w:firstLine="0"/>
        <w:jc w:val="both"/>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72"/>
      <w:bookmarkEnd w:id="1573"/>
      <w:bookmarkEnd w:id="1575"/>
    </w:p>
    <w:p>
      <w:pPr>
        <w:pStyle w:val="Style25"/>
        <w:keepNext w:val="0"/>
        <w:keepLines w:val="0"/>
        <w:widowControl w:val="0"/>
        <w:shd w:val="clear" w:color="auto" w:fill="auto"/>
        <w:tabs>
          <w:tab w:pos="413" w:val="left"/>
        </w:tabs>
        <w:bidi w:val="0"/>
        <w:spacing w:before="0" w:after="0" w:line="240" w:lineRule="auto"/>
        <w:ind w:left="0" w:right="0" w:firstLine="0"/>
        <w:jc w:val="left"/>
        <w:rPr>
          <w:sz w:val="20"/>
          <w:szCs w:val="20"/>
        </w:rPr>
      </w:pPr>
      <w:bookmarkStart w:id="1576" w:name="bookmark157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报告分部的财务信息</w:t>
      </w:r>
      <w:bookmarkEnd w:id="15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577" w:name="bookmark157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）公司无报告分部的，或者不能披露各报告分部的资产总额和负债总额的，应说明原因</w:t>
      </w:r>
      <w:bookmarkEnd w:id="1577"/>
    </w:p>
    <w:p>
      <w:pPr>
        <w:widowControl w:val="0"/>
        <w:spacing w:after="339" w:line="1" w:lineRule="exact"/>
      </w:pPr>
    </w:p>
    <w:p>
      <w:pPr>
        <w:pStyle w:val="Style35"/>
        <w:keepNext w:val="0"/>
        <w:keepLines w:val="0"/>
        <w:widowControl w:val="0"/>
        <w:shd w:val="clear" w:color="auto" w:fill="auto"/>
        <w:bidi w:val="0"/>
        <w:spacing w:before="0" w:after="880" w:line="240" w:lineRule="auto"/>
        <w:ind w:left="0" w:right="0" w:firstLine="0"/>
        <w:jc w:val="both"/>
        <w:rPr>
          <w:sz w:val="22"/>
          <w:szCs w:val="22"/>
        </w:rPr>
      </w:pPr>
      <w:r>
        <w:rPr>
          <w:color w:val="000000"/>
          <w:spacing w:val="0"/>
          <w:w w:val="100"/>
          <w:position w:val="0"/>
          <w:sz w:val="22"/>
          <w:szCs w:val="22"/>
        </w:rPr>
        <w:t>本公司主要从事电力设备生产与销售，基于公司现有情况，公司无需进行分部信息披露。</w:t>
      </w:r>
    </w:p>
    <w:p>
      <w:pPr>
        <w:pStyle w:val="Style45"/>
        <w:keepNext/>
        <w:keepLines/>
        <w:widowControl w:val="0"/>
        <w:shd w:val="clear" w:color="auto" w:fill="auto"/>
        <w:bidi w:val="0"/>
        <w:spacing w:before="0" w:after="340" w:line="240" w:lineRule="auto"/>
        <w:ind w:left="0" w:right="0" w:firstLine="0"/>
        <w:jc w:val="both"/>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578"/>
      <w:bookmarkEnd w:id="1579"/>
      <w:bookmarkEnd w:id="1581"/>
    </w:p>
    <w:p>
      <w:pPr>
        <w:pStyle w:val="Style32"/>
        <w:keepNext/>
        <w:keepLines/>
        <w:widowControl w:val="0"/>
        <w:shd w:val="clear" w:color="auto" w:fill="auto"/>
        <w:bidi w:val="0"/>
        <w:spacing w:before="0" w:after="340" w:line="240" w:lineRule="auto"/>
        <w:ind w:left="0" w:right="0" w:firstLine="0"/>
        <w:jc w:val="both"/>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582"/>
      <w:bookmarkEnd w:id="1583"/>
      <w:bookmarkEnd w:id="1584"/>
    </w:p>
    <w:p>
      <w:pPr>
        <w:pStyle w:val="Style35"/>
        <w:keepNext w:val="0"/>
        <w:keepLines w:val="0"/>
        <w:widowControl w:val="0"/>
        <w:shd w:val="clear" w:color="auto" w:fill="auto"/>
        <w:bidi w:val="0"/>
        <w:spacing w:before="0" w:after="880" w:line="240" w:lineRule="auto"/>
        <w:ind w:left="0" w:right="0" w:firstLine="0"/>
        <w:jc w:val="both"/>
        <w:rPr>
          <w:sz w:val="22"/>
          <w:szCs w:val="22"/>
        </w:rPr>
      </w:pPr>
      <w:r>
        <w:rPr>
          <w:color w:val="000000"/>
          <w:spacing w:val="0"/>
          <w:w w:val="100"/>
          <w:position w:val="0"/>
          <w:sz w:val="22"/>
          <w:szCs w:val="22"/>
        </w:rPr>
        <w:t>无</w:t>
      </w:r>
    </w:p>
    <w:p>
      <w:pPr>
        <w:pStyle w:val="Style32"/>
        <w:keepNext/>
        <w:keepLines/>
        <w:widowControl w:val="0"/>
        <w:shd w:val="clear" w:color="auto" w:fill="auto"/>
        <w:bidi w:val="0"/>
        <w:spacing w:before="0" w:after="34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3</w:t>
      </w:r>
      <w:bookmarkEnd w:id="1587"/>
      <w:r>
        <w:rPr>
          <w:color w:val="000000"/>
          <w:spacing w:val="0"/>
          <w:w w:val="100"/>
          <w:position w:val="0"/>
        </w:rPr>
        <w:t>、其他</w:t>
      </w:r>
      <w:bookmarkEnd w:id="1585"/>
      <w:bookmarkEnd w:id="1586"/>
      <w:bookmarkEnd w:id="1588"/>
    </w:p>
    <w:p>
      <w:pPr>
        <w:pStyle w:val="Style35"/>
        <w:keepNext w:val="0"/>
        <w:keepLines w:val="0"/>
        <w:widowControl w:val="0"/>
        <w:shd w:val="clear" w:color="auto" w:fill="auto"/>
        <w:bidi w:val="0"/>
        <w:spacing w:before="0" w:after="240" w:line="307"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日，本公司第三届董事会第二十一次会议审议通过《厦门红相电力设备股份有 限公司第一期员工持股计划（草案）（非公开发行方式认购）》的议案，本员工持股计划的 股票来源为认购本公司非公开发行的股票。员工持股计划拟通过参与长江资管红相电力</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号定 向资产管理计划认购本公司非公开发行股票的金额不超过</w:t>
      </w:r>
      <w:r>
        <w:rPr>
          <w:rFonts w:ascii="Times New Roman" w:eastAsia="Times New Roman" w:hAnsi="Times New Roman" w:cs="Times New Roman"/>
          <w:color w:val="000000"/>
          <w:spacing w:val="0"/>
          <w:w w:val="100"/>
          <w:position w:val="0"/>
          <w:sz w:val="24"/>
          <w:szCs w:val="24"/>
        </w:rPr>
        <w:t>59,189,555</w:t>
      </w:r>
      <w:r>
        <w:rPr>
          <w:color w:val="000000"/>
          <w:spacing w:val="0"/>
          <w:w w:val="100"/>
          <w:position w:val="0"/>
          <w:sz w:val="22"/>
          <w:szCs w:val="22"/>
        </w:rPr>
        <w:t xml:space="preserve">元。本员工持股计划设立 </w:t>
      </w:r>
      <w:r>
        <w:rPr>
          <w:color w:val="000000"/>
          <w:spacing w:val="0"/>
          <w:w w:val="100"/>
          <w:position w:val="0"/>
          <w:sz w:val="22"/>
          <w:szCs w:val="22"/>
        </w:rPr>
        <w:t>时的资金总额上限为</w:t>
      </w:r>
      <w:r>
        <w:rPr>
          <w:rFonts w:ascii="Times New Roman" w:eastAsia="Times New Roman" w:hAnsi="Times New Roman" w:cs="Times New Roman"/>
          <w:color w:val="000000"/>
          <w:spacing w:val="0"/>
          <w:w w:val="100"/>
          <w:position w:val="0"/>
          <w:sz w:val="24"/>
          <w:szCs w:val="24"/>
        </w:rPr>
        <w:t>59,189,555</w:t>
      </w:r>
      <w:r>
        <w:rPr>
          <w:color w:val="000000"/>
          <w:spacing w:val="0"/>
          <w:w w:val="100"/>
          <w:position w:val="0"/>
          <w:sz w:val="22"/>
          <w:szCs w:val="22"/>
        </w:rPr>
        <w:t>元</w:t>
      </w:r>
      <w:r>
        <w:rPr>
          <w:color w:val="000000"/>
          <w:spacing w:val="0"/>
          <w:w w:val="100"/>
          <w:position w:val="0"/>
          <w:sz w:val="24"/>
          <w:szCs w:val="24"/>
        </w:rPr>
        <w:t>，</w:t>
      </w:r>
      <w:r>
        <w:rPr>
          <w:color w:val="000000"/>
          <w:spacing w:val="0"/>
          <w:w w:val="100"/>
          <w:position w:val="0"/>
          <w:sz w:val="22"/>
          <w:szCs w:val="22"/>
        </w:rPr>
        <w:t>具体金额根据实际出资缴款金额确定，资金来源为公司员 工合法薪酬、自筹资金及法律、行政法规允许的其他方式。预计本次非公开发行事项拟采用 定价方式认购发行，发行价格为</w:t>
      </w:r>
      <w:r>
        <w:rPr>
          <w:rFonts w:ascii="Times New Roman" w:eastAsia="Times New Roman" w:hAnsi="Times New Roman" w:cs="Times New Roman"/>
          <w:color w:val="000000"/>
          <w:spacing w:val="0"/>
          <w:w w:val="100"/>
          <w:position w:val="0"/>
          <w:sz w:val="24"/>
          <w:szCs w:val="24"/>
        </w:rPr>
        <w:t>16.87</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股，本公司如有派息、送股、资本公积金转增股本等 除权、除息事项</w:t>
      </w:r>
      <w:r>
        <w:rPr>
          <w:color w:val="000000"/>
          <w:spacing w:val="0"/>
          <w:w w:val="100"/>
          <w:position w:val="0"/>
          <w:sz w:val="24"/>
          <w:szCs w:val="24"/>
        </w:rPr>
        <w:t>，</w:t>
      </w:r>
      <w:r>
        <w:rPr>
          <w:color w:val="000000"/>
          <w:spacing w:val="0"/>
          <w:w w:val="100"/>
          <w:position w:val="0"/>
          <w:sz w:val="22"/>
          <w:szCs w:val="22"/>
        </w:rPr>
        <w:t>本次发行价格亦将作相应调整。员工持股计划通过长江资管红相电力</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号定 向资产管理计划认购非公开发行股票的锁定期为</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2"/>
          <w:szCs w:val="22"/>
        </w:rPr>
        <w:t>个月，自本次新增股份上市首日起算。本 员工持股计划的存续期为</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个月，自上市公司公告标的股票登记至员工持股计划名下时起算。</w:t>
      </w:r>
    </w:p>
    <w:p>
      <w:pPr>
        <w:pStyle w:val="Style35"/>
        <w:keepNext w:val="0"/>
        <w:keepLines w:val="0"/>
        <w:widowControl w:val="0"/>
        <w:shd w:val="clear" w:color="auto" w:fill="auto"/>
        <w:bidi w:val="0"/>
        <w:spacing w:before="0" w:after="240" w:line="312" w:lineRule="exact"/>
        <w:ind w:left="0" w:right="0" w:firstLine="0"/>
        <w:jc w:val="both"/>
        <w:rPr>
          <w:sz w:val="22"/>
          <w:szCs w:val="22"/>
        </w:rPr>
      </w:pPr>
      <w:r>
        <w:rPr>
          <w:color w:val="000000"/>
          <w:spacing w:val="0"/>
          <w:w w:val="100"/>
          <w:position w:val="0"/>
          <w:sz w:val="22"/>
          <w:szCs w:val="22"/>
        </w:rPr>
        <w:t>除上述事项外，截至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日，本集团不存在其他应披露的其他重要事项。</w:t>
      </w:r>
    </w:p>
    <w:p>
      <w:pPr>
        <w:pStyle w:val="Style23"/>
        <w:keepNext/>
        <w:keepLines/>
        <w:widowControl w:val="0"/>
        <w:shd w:val="clear" w:color="auto" w:fill="auto"/>
        <w:bidi w:val="0"/>
        <w:spacing w:before="0" w:line="312" w:lineRule="exact"/>
        <w:ind w:left="0" w:right="0" w:firstLine="0"/>
        <w:jc w:val="both"/>
      </w:pPr>
      <w:bookmarkStart w:id="1589" w:name="bookmark1589"/>
      <w:bookmarkStart w:id="1590" w:name="bookmark1590"/>
      <w:bookmarkStart w:id="1591" w:name="bookmark1591"/>
      <w:r>
        <w:rPr>
          <w:color w:val="000000"/>
          <w:spacing w:val="0"/>
          <w:w w:val="100"/>
          <w:position w:val="0"/>
          <w:sz w:val="24"/>
          <w:szCs w:val="24"/>
        </w:rPr>
        <w:t>十六、母公司财务报表主要项目注释</w:t>
      </w:r>
      <w:bookmarkEnd w:id="1589"/>
      <w:bookmarkEnd w:id="1590"/>
      <w:bookmarkEnd w:id="1591"/>
    </w:p>
    <w:p>
      <w:pPr>
        <w:pStyle w:val="Style32"/>
        <w:keepNext/>
        <w:keepLines/>
        <w:widowControl w:val="0"/>
        <w:shd w:val="clear" w:color="auto" w:fill="auto"/>
        <w:bidi w:val="0"/>
        <w:spacing w:before="0" w:after="360" w:line="240" w:lineRule="auto"/>
        <w:ind w:left="0" w:right="0" w:firstLine="0"/>
        <w:jc w:val="both"/>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92"/>
      <w:bookmarkEnd w:id="1593"/>
      <w:bookmarkEnd w:id="1594"/>
    </w:p>
    <w:p>
      <w:pPr>
        <w:pStyle w:val="Style45"/>
        <w:keepNext/>
        <w:keepLines/>
        <w:widowControl w:val="0"/>
        <w:shd w:val="clear" w:color="auto" w:fill="auto"/>
        <w:bidi w:val="0"/>
        <w:spacing w:before="0" w:after="360" w:line="240" w:lineRule="auto"/>
        <w:ind w:left="0" w:right="0" w:firstLine="0"/>
        <w:jc w:val="both"/>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5"/>
      <w:bookmarkEnd w:id="1596"/>
      <w:bookmarkEnd w:id="15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24,696,2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24,696,2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225,926,51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139,553,667.43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6,977,683.37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57,020,649.18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5,702,064.92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22,885,497.85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4,577,099.57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12,453,898.86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3,736,169.66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line="1" w:lineRule="exact"/>
      </w:pP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1,617,441.96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2,085,768.90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2,085,768.90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237,234,366.14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24,696,228.38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460" w:line="240" w:lineRule="auto"/>
        <w:ind w:left="0" w:right="0" w:firstLine="0"/>
        <w:jc w:val="left"/>
      </w:pPr>
      <w:r>
        <w:rPr>
          <w:color w:val="000000"/>
          <w:spacing w:val="0"/>
          <w:w w:val="100"/>
          <w:position w:val="0"/>
        </w:rPr>
        <w:t>确定该等应收账款组合的依据是各个明细项目的账龄。</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5"/>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公司对于应收账款之组合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：合并范围内的关联方应收款不计提坏账。</w:t>
      </w:r>
    </w:p>
    <w:p>
      <w:pPr>
        <w:pStyle w:val="Style45"/>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8"/>
      <w:bookmarkEnd w:id="1599"/>
      <w:bookmarkEnd w:id="160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3,077,027.26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461,040.00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01"/>
      <w:bookmarkEnd w:id="1602"/>
      <w:bookmarkEnd w:id="16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西安中格电力设备有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已生效的和解协议 确定无法收回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根据第三届董事会 第二十三次会议决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应收账款核销说明：</w:t>
      </w:r>
    </w:p>
    <w:p>
      <w:pPr>
        <w:pStyle w:val="Style45"/>
        <w:keepNext/>
        <w:keepLines/>
        <w:widowControl w:val="0"/>
        <w:shd w:val="clear" w:color="auto" w:fill="auto"/>
        <w:bidi w:val="0"/>
        <w:spacing w:before="0" w:after="32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05"/>
      <w:bookmarkEnd w:id="1606"/>
      <w:bookmarkEnd w:id="1608"/>
    </w:p>
    <w:p>
      <w:pPr>
        <w:pStyle w:val="Style35"/>
        <w:keepNext w:val="0"/>
        <w:keepLines w:val="0"/>
        <w:widowControl w:val="0"/>
        <w:shd w:val="clear" w:color="auto" w:fill="auto"/>
        <w:bidi w:val="0"/>
        <w:spacing w:before="0" w:line="307" w:lineRule="exact"/>
        <w:ind w:left="0" w:right="0" w:firstLine="0"/>
        <w:jc w:val="both"/>
        <w:rPr>
          <w:sz w:val="22"/>
          <w:szCs w:val="22"/>
        </w:rPr>
      </w:pPr>
      <w:r>
        <w:rPr>
          <w:color w:val="000000"/>
          <w:spacing w:val="0"/>
          <w:w w:val="100"/>
          <w:position w:val="0"/>
          <w:sz w:val="22"/>
          <w:szCs w:val="22"/>
        </w:rPr>
        <w:t>本期按欠款方归集的期末余额前五名应收账款汇总金额</w:t>
      </w:r>
      <w:r>
        <w:rPr>
          <w:rFonts w:ascii="Times New Roman" w:eastAsia="Times New Roman" w:hAnsi="Times New Roman" w:cs="Times New Roman"/>
          <w:color w:val="000000"/>
          <w:spacing w:val="0"/>
          <w:w w:val="100"/>
          <w:position w:val="0"/>
          <w:sz w:val="24"/>
          <w:szCs w:val="24"/>
        </w:rPr>
        <w:t>89,863,718.95</w:t>
      </w:r>
      <w:r>
        <w:rPr>
          <w:color w:val="000000"/>
          <w:spacing w:val="0"/>
          <w:w w:val="100"/>
          <w:position w:val="0"/>
          <w:sz w:val="22"/>
          <w:szCs w:val="22"/>
        </w:rPr>
        <w:t>元，占应收账款期末余 额合计数的比例</w:t>
      </w:r>
      <w:r>
        <w:rPr>
          <w:rFonts w:ascii="Times New Roman" w:eastAsia="Times New Roman" w:hAnsi="Times New Roman" w:cs="Times New Roman"/>
          <w:color w:val="000000"/>
          <w:spacing w:val="0"/>
          <w:w w:val="100"/>
          <w:position w:val="0"/>
          <w:sz w:val="24"/>
          <w:szCs w:val="24"/>
        </w:rPr>
        <w:t>37.55%</w:t>
      </w:r>
      <w:r>
        <w:rPr>
          <w:color w:val="000000"/>
          <w:spacing w:val="0"/>
          <w:w w:val="100"/>
          <w:position w:val="0"/>
          <w:sz w:val="22"/>
          <w:szCs w:val="22"/>
        </w:rPr>
        <w:t>，相应计提的坏账准备期末余额汇总金额</w:t>
      </w:r>
      <w:r>
        <w:rPr>
          <w:rFonts w:ascii="Times New Roman" w:eastAsia="Times New Roman" w:hAnsi="Times New Roman" w:cs="Times New Roman"/>
          <w:color w:val="000000"/>
          <w:spacing w:val="0"/>
          <w:w w:val="100"/>
          <w:position w:val="0"/>
          <w:sz w:val="24"/>
          <w:szCs w:val="24"/>
        </w:rPr>
        <w:t>6,890,856.40</w:t>
      </w:r>
      <w:r>
        <w:rPr>
          <w:color w:val="000000"/>
          <w:spacing w:val="0"/>
          <w:w w:val="100"/>
          <w:position w:val="0"/>
          <w:sz w:val="22"/>
          <w:szCs w:val="22"/>
        </w:rPr>
        <w:t>元。</w:t>
      </w:r>
      <w:r>
        <w:br w:type="page"/>
      </w:r>
    </w:p>
    <w:p>
      <w:pPr>
        <w:pStyle w:val="Style32"/>
        <w:keepNext/>
        <w:keepLines/>
        <w:widowControl w:val="0"/>
        <w:shd w:val="clear" w:color="auto" w:fill="auto"/>
        <w:bidi w:val="0"/>
        <w:spacing w:before="0" w:after="360" w:line="240" w:lineRule="auto"/>
        <w:ind w:left="0" w:right="0" w:firstLine="0"/>
        <w:jc w:val="both"/>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9"/>
      <w:bookmarkEnd w:id="1610"/>
      <w:bookmarkEnd w:id="1611"/>
    </w:p>
    <w:p>
      <w:pPr>
        <w:pStyle w:val="Style45"/>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12"/>
      <w:bookmarkEnd w:id="1613"/>
      <w:bookmarkEnd w:id="16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7,886,43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5,772,823.7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7,886,43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6,328,213.7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448,724.90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768,724.90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确定该等其他应收账款组合的依据是各个明细项目的账龄。</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line="326" w:lineRule="exact"/>
        <w:ind w:left="0" w:right="0" w:firstLine="0"/>
        <w:jc w:val="left"/>
      </w:pPr>
      <w:r>
        <w:rPr>
          <w:color w:val="000000"/>
          <w:spacing w:val="0"/>
          <w:w w:val="100"/>
          <w:position w:val="0"/>
        </w:rPr>
        <w:t>采用其他方法计提坏账准备的其他应收款包括组合</w:t>
      </w:r>
      <w:r>
        <w:rPr>
          <w:rFonts w:ascii="Times New Roman" w:eastAsia="Times New Roman" w:hAnsi="Times New Roman" w:cs="Times New Roman"/>
          <w:color w:val="000000"/>
          <w:spacing w:val="0"/>
          <w:w w:val="100"/>
          <w:position w:val="0"/>
        </w:rPr>
        <w:t>3</w:t>
      </w:r>
      <w:r>
        <w:rPr>
          <w:color w:val="000000"/>
          <w:spacing w:val="0"/>
          <w:w w:val="100"/>
          <w:position w:val="0"/>
        </w:rPr>
        <w:t>其他应收款之应收备用金、组合</w:t>
      </w:r>
      <w:r>
        <w:rPr>
          <w:rFonts w:ascii="Times New Roman" w:eastAsia="Times New Roman" w:hAnsi="Times New Roman" w:cs="Times New Roman"/>
          <w:color w:val="000000"/>
          <w:spacing w:val="0"/>
          <w:w w:val="100"/>
          <w:position w:val="0"/>
        </w:rPr>
        <w:t>4</w:t>
      </w:r>
      <w:r>
        <w:rPr>
          <w:color w:val="000000"/>
          <w:spacing w:val="0"/>
          <w:w w:val="100"/>
          <w:position w:val="0"/>
        </w:rPr>
        <w:t>其他应收款之应收保 证金，按个别认定法根据具体情况确定坏账计提比例，具体的明细如下：</w:t>
      </w:r>
    </w:p>
    <w:p>
      <w:pPr>
        <w:pStyle w:val="Style35"/>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b/>
          <w:bCs/>
          <w:color w:val="000000"/>
          <w:spacing w:val="0"/>
          <w:w w:val="100"/>
          <w:position w:val="0"/>
        </w:rPr>
        <w:t>期末数</w:t>
      </w:r>
      <w:r>
        <w:br w:type="page"/>
      </w:r>
    </w:p>
    <w:tbl>
      <w:tblPr>
        <w:tblOverlap w:val="never"/>
        <w:jc w:val="left"/>
        <w:tblLayout w:type="fixed"/>
      </w:tblPr>
      <w:tblGrid>
        <w:gridCol w:w="2525"/>
        <w:gridCol w:w="1531"/>
        <w:gridCol w:w="2280"/>
        <w:gridCol w:w="1382"/>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坏账准备计提比例</w:t>
            </w:r>
            <w:r>
              <w:rPr>
                <w:b/>
                <w:bCs/>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净额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：应收员工备用金等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tabs>
                <w:tab w:pos="1181"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：应收保证金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7,117,710.10</w:t>
            </w:r>
          </w:p>
        </w:tc>
        <w:tc>
          <w:tcPr>
            <w:tcBorders>
              <w:top w:val="single" w:sz="4"/>
            </w:tcBorders>
            <w:shd w:val="clear" w:color="auto" w:fill="FFFFFF"/>
            <w:vAlign w:val="center"/>
          </w:tcPr>
          <w:p>
            <w:pPr>
              <w:pStyle w:val="Style2"/>
              <w:keepNext w:val="0"/>
              <w:keepLines w:val="0"/>
              <w:widowControl w:val="0"/>
              <w:shd w:val="clear" w:color="auto" w:fill="auto"/>
              <w:tabs>
                <w:tab w:pos="1181"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7,117,710.10</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7,117,710.10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7,117,710.10</w:t>
            </w:r>
          </w:p>
        </w:tc>
      </w:tr>
    </w:tbl>
    <w:p>
      <w:pPr>
        <w:widowControl w:val="0"/>
        <w:spacing w:after="1019" w:line="1" w:lineRule="exact"/>
      </w:pPr>
    </w:p>
    <w:p>
      <w:pPr>
        <w:pStyle w:val="Style45"/>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15"/>
      <w:bookmarkEnd w:id="1616"/>
      <w:bookmarkEnd w:id="161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160,921.52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442,700.00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618"/>
      <w:bookmarkEnd w:id="1619"/>
      <w:bookmarkEnd w:id="16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225,380.00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西安中格电力设备有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225,380.00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法院驳回诉讼确定 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根据第三届董事会 第二十三次会议决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225,380.00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5"/>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622"/>
      <w:bookmarkEnd w:id="1623"/>
      <w:bookmarkEnd w:id="16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7,117,710.10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5,362,934.10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1,594,874.40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7,886,435.00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6,957,808.50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626"/>
      <w:bookmarkEnd w:id="1627"/>
      <w:bookmarkEnd w:id="1629"/>
    </w:p>
    <w:p>
      <w:pPr>
        <w:pStyle w:val="Style27"/>
        <w:keepNext w:val="0"/>
        <w:keepLines w:val="0"/>
        <w:widowControl w:val="0"/>
        <w:shd w:val="clear" w:color="auto" w:fill="auto"/>
        <w:bidi w:val="0"/>
        <w:spacing w:before="0" w:after="360" w:line="240" w:lineRule="auto"/>
        <w:ind w:left="8860" w:right="0" w:firstLine="0"/>
        <w:jc w:val="lef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卧龙控股集团有限公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兰州文远物资有限责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海南电网有限责任公 司物流服务中心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166,000.00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255,000.00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宁波三维电测设备有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河南立新监理咨询有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4,561,900.00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color w:val="000000"/>
          <w:spacing w:val="0"/>
          <w:w w:val="100"/>
          <w:position w:val="0"/>
        </w:rPr>
        <w:t>、长期股权投资</w:t>
      </w:r>
      <w:bookmarkEnd w:id="1630"/>
      <w:bookmarkEnd w:id="1631"/>
      <w:bookmarkEnd w:id="163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73,628,064.26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73,628,064.26</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4"/>
      <w:bookmarkEnd w:id="1635"/>
      <w:bookmarkEnd w:id="16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REDPHASEINST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RUMENTSAUST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RALIAPTY.LTD.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5,019,865.00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5,019,865.00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红相电力(上海)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10,682,609.74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10,682,609.74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厦门红相软件有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浙江涵普电力科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54,925,589.52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54,925,589.52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厦门红相信息科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73,628,064.26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7"/>
      <w:bookmarkEnd w:id="1638"/>
      <w:bookmarkEnd w:id="16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45"/>
        <w:keepNext/>
        <w:keepLines/>
        <w:widowControl w:val="0"/>
        <w:numPr>
          <w:ilvl w:val="0"/>
          <w:numId w:val="71"/>
        </w:numPr>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其他说明</w:t>
      </w:r>
      <w:bookmarkEnd w:id="1640"/>
      <w:bookmarkEnd w:id="1641"/>
      <w:bookmarkEnd w:id="1643"/>
    </w:p>
    <w:p>
      <w:pPr>
        <w:pStyle w:val="Style32"/>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color w:val="000000"/>
          <w:spacing w:val="0"/>
          <w:w w:val="100"/>
          <w:position w:val="0"/>
        </w:rPr>
        <w:t>、营业收入和营业成本</w:t>
      </w:r>
      <w:bookmarkEnd w:id="1644"/>
      <w:bookmarkEnd w:id="1645"/>
      <w:bookmarkEnd w:id="16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280,745,588.70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148,868,696.55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264,029,378.41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143,249,534.42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280,941,931.31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148,875,112.88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264,189,261.61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143,268,720.40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color w:val="000000"/>
          <w:spacing w:val="0"/>
          <w:w w:val="100"/>
          <w:position w:val="0"/>
        </w:rPr>
        <w:t>、投资收益</w:t>
      </w:r>
      <w:bookmarkEnd w:id="1648"/>
      <w:bookmarkEnd w:id="1649"/>
      <w:bookmarkEnd w:id="16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子公司现金分红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8,677,121.04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投资理财产品取得的投资收益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9,088,923.34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4,746,518.94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color w:val="000000"/>
          <w:spacing w:val="0"/>
          <w:w w:val="100"/>
          <w:position w:val="0"/>
        </w:rPr>
        <w:t>、其他</w:t>
      </w:r>
      <w:bookmarkEnd w:id="1652"/>
      <w:bookmarkEnd w:id="1653"/>
      <w:bookmarkEnd w:id="165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20" w:line="240" w:lineRule="auto"/>
        <w:ind w:left="0" w:right="0" w:firstLine="0"/>
        <w:jc w:val="left"/>
      </w:pPr>
      <w:bookmarkStart w:id="1656" w:name="bookmark1656"/>
      <w:bookmarkStart w:id="1657" w:name="bookmark1657"/>
      <w:bookmarkStart w:id="1658" w:name="bookmark1658"/>
      <w:r>
        <w:rPr>
          <w:color w:val="000000"/>
          <w:spacing w:val="0"/>
          <w:w w:val="100"/>
          <w:position w:val="0"/>
          <w:sz w:val="24"/>
          <w:szCs w:val="24"/>
        </w:rPr>
        <w:t>十七、补充资料</w:t>
      </w:r>
      <w:bookmarkEnd w:id="1656"/>
      <w:bookmarkEnd w:id="1657"/>
      <w:bookmarkEnd w:id="1658"/>
    </w:p>
    <w:p>
      <w:pPr>
        <w:pStyle w:val="Style32"/>
        <w:keepNext/>
        <w:keepLines/>
        <w:widowControl w:val="0"/>
        <w:shd w:val="clear" w:color="auto" w:fill="auto"/>
        <w:bidi w:val="0"/>
        <w:spacing w:before="0" w:after="36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9"/>
      <w:bookmarkEnd w:id="1660"/>
      <w:bookmarkEnd w:id="166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104,406.86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4,741,601.67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903,740.00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130,862.42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517,952.98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可供出售金融资产取得现金股利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971,806.43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567,416.98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5,228,978.60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62"/>
      <w:bookmarkEnd w:id="1663"/>
      <w:bookmarkEnd w:id="166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color w:val="000000"/>
          <w:spacing w:val="0"/>
          <w:w w:val="100"/>
          <w:position w:val="0"/>
        </w:rPr>
        <w:t>、境内外会计准则下会计数据差异</w:t>
      </w:r>
      <w:bookmarkEnd w:id="1665"/>
      <w:bookmarkEnd w:id="1666"/>
      <w:bookmarkEnd w:id="1668"/>
    </w:p>
    <w:p>
      <w:pPr>
        <w:pStyle w:val="Style45"/>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69"/>
      <w:bookmarkEnd w:id="1670"/>
      <w:bookmarkEnd w:id="1671"/>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73"/>
        </w:numPr>
        <w:shd w:val="clear" w:color="auto" w:fill="auto"/>
        <w:tabs>
          <w:tab w:pos="493" w:val="left"/>
        </w:tabs>
        <w:bidi w:val="0"/>
        <w:spacing w:before="0" w:line="326" w:lineRule="exact"/>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同时按照境外会计准则与按中国会计准则披露的财务报告中净利润和净资产差异情况</w:t>
      </w:r>
      <w:bookmarkEnd w:id="1672"/>
      <w:bookmarkEnd w:id="1673"/>
      <w:bookmarkEnd w:id="1675"/>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73"/>
        </w:numPr>
        <w:shd w:val="clear" w:color="auto" w:fill="auto"/>
        <w:bidi w:val="0"/>
        <w:spacing w:before="0" w:after="280" w:line="326" w:lineRule="exact"/>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 xml:space="preserve"> 境内外会计准则下会计数据差异原因说明，对已经境外审计机构审计的数据进行差异调节的，应注 明该境外机构的名称</w:t>
      </w:r>
      <w:bookmarkEnd w:id="1676"/>
      <w:bookmarkEnd w:id="1677"/>
      <w:bookmarkEnd w:id="1679"/>
    </w:p>
    <w:p>
      <w:pPr>
        <w:pStyle w:val="Style32"/>
        <w:keepNext/>
        <w:keepLines/>
        <w:widowControl w:val="0"/>
        <w:shd w:val="clear" w:color="auto" w:fill="auto"/>
        <w:bidi w:val="0"/>
        <w:spacing w:before="0" w:after="340" w:line="326" w:lineRule="exact"/>
        <w:ind w:left="0" w:right="0" w:firstLine="0"/>
        <w:jc w:val="left"/>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43" w:right="1037" w:bottom="1481" w:left="1042" w:header="0" w:footer="3" w:gutter="0"/>
          <w:cols w:space="720"/>
          <w:noEndnote/>
          <w:titlePg/>
          <w:rtlGutter w:val="0"/>
          <w:docGrid w:linePitch="360"/>
        </w:sectPr>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color w:val="000000"/>
          <w:spacing w:val="0"/>
          <w:w w:val="100"/>
          <w:position w:val="0"/>
        </w:rPr>
        <w:t>、其他</w:t>
      </w:r>
      <w:bookmarkEnd w:id="1680"/>
      <w:bookmarkEnd w:id="1681"/>
      <w:bookmarkEnd w:id="1683"/>
    </w:p>
    <w:p>
      <w:pPr>
        <w:pStyle w:val="Style14"/>
        <w:keepNext/>
        <w:keepLines/>
        <w:widowControl w:val="0"/>
        <w:shd w:val="clear" w:color="auto" w:fill="auto"/>
        <w:bidi w:val="0"/>
        <w:spacing w:before="0" w:after="580" w:line="240" w:lineRule="auto"/>
        <w:ind w:left="0" w:right="0" w:firstLine="0"/>
        <w:jc w:val="center"/>
      </w:pPr>
      <w:bookmarkStart w:id="1684" w:name="bookmark1684"/>
      <w:bookmarkStart w:id="1685" w:name="bookmark1685"/>
      <w:bookmarkStart w:id="1686" w:name="bookmark1686"/>
      <w:r>
        <w:rPr>
          <w:color w:val="000000"/>
          <w:spacing w:val="0"/>
          <w:w w:val="100"/>
          <w:position w:val="0"/>
        </w:rPr>
        <w:t>第十二节备查文件目录</w:t>
      </w:r>
      <w:bookmarkEnd w:id="1684"/>
      <w:bookmarkEnd w:id="1685"/>
      <w:bookmarkEnd w:id="1686"/>
    </w:p>
    <w:p>
      <w:pPr>
        <w:pStyle w:val="Style35"/>
        <w:keepNext w:val="0"/>
        <w:keepLines w:val="0"/>
        <w:widowControl w:val="0"/>
        <w:shd w:val="clear" w:color="auto" w:fill="auto"/>
        <w:tabs>
          <w:tab w:pos="469" w:val="left"/>
        </w:tabs>
        <w:bidi w:val="0"/>
        <w:spacing w:before="0" w:after="80" w:line="240" w:lineRule="auto"/>
        <w:ind w:left="0" w:right="0" w:firstLine="0"/>
        <w:jc w:val="left"/>
      </w:pPr>
      <w:bookmarkStart w:id="1687" w:name="bookmark1687"/>
      <w:r>
        <w:rPr>
          <w:color w:val="000000"/>
          <w:spacing w:val="0"/>
          <w:w w:val="100"/>
          <w:position w:val="0"/>
        </w:rPr>
        <w:t>一</w:t>
      </w:r>
      <w:bookmarkEnd w:id="1687"/>
      <w:r>
        <w:rPr>
          <w:color w:val="000000"/>
          <w:spacing w:val="0"/>
          <w:w w:val="100"/>
          <w:position w:val="0"/>
        </w:rPr>
        <w:t>、</w:t>
        <w:tab/>
        <w:t>载有法定代表人、主管会计工作负责人、会计机构负责人签名并盖章的</w:t>
      </w:r>
      <w:r>
        <w:rPr>
          <w:rFonts w:ascii="Times New Roman" w:eastAsia="Times New Roman" w:hAnsi="Times New Roman" w:cs="Times New Roman"/>
          <w:color w:val="000000"/>
          <w:spacing w:val="0"/>
          <w:w w:val="100"/>
          <w:position w:val="0"/>
        </w:rPr>
        <w:t>2016</w:t>
      </w:r>
      <w:r>
        <w:rPr>
          <w:color w:val="000000"/>
          <w:spacing w:val="0"/>
          <w:w w:val="100"/>
          <w:position w:val="0"/>
        </w:rPr>
        <w:t>年财务报表。</w:t>
      </w:r>
    </w:p>
    <w:p>
      <w:pPr>
        <w:pStyle w:val="Style35"/>
        <w:keepNext w:val="0"/>
        <w:keepLines w:val="0"/>
        <w:widowControl w:val="0"/>
        <w:shd w:val="clear" w:color="auto" w:fill="auto"/>
        <w:tabs>
          <w:tab w:pos="469" w:val="left"/>
        </w:tabs>
        <w:bidi w:val="0"/>
        <w:spacing w:before="0" w:after="80" w:line="240" w:lineRule="auto"/>
        <w:ind w:left="0" w:right="0" w:firstLine="0"/>
        <w:jc w:val="left"/>
      </w:pPr>
      <w:bookmarkStart w:id="1688" w:name="bookmark1688"/>
      <w:r>
        <w:rPr>
          <w:color w:val="000000"/>
          <w:spacing w:val="0"/>
          <w:w w:val="100"/>
          <w:position w:val="0"/>
        </w:rPr>
        <w:t>二</w:t>
      </w:r>
      <w:bookmarkEnd w:id="1688"/>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474" w:val="left"/>
        </w:tabs>
        <w:bidi w:val="0"/>
        <w:spacing w:before="0" w:after="80" w:line="240" w:lineRule="auto"/>
        <w:ind w:left="0" w:right="0" w:firstLine="0"/>
        <w:jc w:val="left"/>
      </w:pPr>
      <w:bookmarkStart w:id="1689" w:name="bookmark1689"/>
      <w:r>
        <w:rPr>
          <w:color w:val="000000"/>
          <w:spacing w:val="0"/>
          <w:w w:val="100"/>
          <w:position w:val="0"/>
        </w:rPr>
        <w:t>三</w:t>
      </w:r>
      <w:bookmarkEnd w:id="1689"/>
      <w:r>
        <w:rPr>
          <w:color w:val="000000"/>
          <w:spacing w:val="0"/>
          <w:w w:val="100"/>
          <w:position w:val="0"/>
        </w:rPr>
        <w:t>、</w:t>
        <w:tab/>
        <w:t>报告期内在中国证监会指定网站上公告披露过的所有公司文件的正本及公告原稿。</w:t>
      </w:r>
    </w:p>
    <w:p>
      <w:pPr>
        <w:pStyle w:val="Style35"/>
        <w:keepNext w:val="0"/>
        <w:keepLines w:val="0"/>
        <w:widowControl w:val="0"/>
        <w:shd w:val="clear" w:color="auto" w:fill="auto"/>
        <w:tabs>
          <w:tab w:pos="474" w:val="left"/>
        </w:tabs>
        <w:bidi w:val="0"/>
        <w:spacing w:before="0" w:after="80" w:line="240" w:lineRule="auto"/>
        <w:ind w:left="0" w:right="0" w:firstLine="0"/>
        <w:jc w:val="left"/>
      </w:pPr>
      <w:bookmarkStart w:id="1690" w:name="bookmark1690"/>
      <w:r>
        <w:rPr>
          <w:color w:val="000000"/>
          <w:spacing w:val="0"/>
          <w:w w:val="100"/>
          <w:position w:val="0"/>
        </w:rPr>
        <w:t>四</w:t>
      </w:r>
      <w:bookmarkEnd w:id="1690"/>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年度报告文本原件。</w:t>
      </w:r>
    </w:p>
    <w:p>
      <w:pPr>
        <w:pStyle w:val="Style35"/>
        <w:keepNext w:val="0"/>
        <w:keepLines w:val="0"/>
        <w:widowControl w:val="0"/>
        <w:shd w:val="clear" w:color="auto" w:fill="auto"/>
        <w:tabs>
          <w:tab w:pos="474" w:val="left"/>
        </w:tabs>
        <w:bidi w:val="0"/>
        <w:spacing w:before="0" w:after="380" w:line="240" w:lineRule="auto"/>
        <w:ind w:left="0" w:right="0" w:firstLine="0"/>
        <w:jc w:val="left"/>
      </w:pPr>
      <w:bookmarkStart w:id="1691" w:name="bookmark1691"/>
      <w:r>
        <w:rPr>
          <w:color w:val="000000"/>
          <w:spacing w:val="0"/>
          <w:w w:val="100"/>
          <w:position w:val="0"/>
        </w:rPr>
        <w:t>五</w:t>
      </w:r>
      <w:bookmarkEnd w:id="1691"/>
      <w:r>
        <w:rPr>
          <w:color w:val="000000"/>
          <w:spacing w:val="0"/>
          <w:w w:val="100"/>
          <w:position w:val="0"/>
        </w:rPr>
        <w:t>、</w:t>
        <w:tab/>
        <w:t>其他备查文件。</w:t>
      </w:r>
    </w:p>
    <w:p>
      <w:pPr>
        <w:pStyle w:val="Style35"/>
        <w:keepNext w:val="0"/>
        <w:keepLines w:val="0"/>
        <w:widowControl w:val="0"/>
        <w:shd w:val="clear" w:color="auto" w:fill="auto"/>
        <w:bidi w:val="0"/>
        <w:spacing w:before="0" w:after="1480" w:line="240" w:lineRule="auto"/>
        <w:ind w:left="0" w:right="0" w:firstLine="0"/>
        <w:jc w:val="left"/>
      </w:pPr>
      <w:r>
        <w:rPr>
          <w:color w:val="000000"/>
          <w:spacing w:val="0"/>
          <w:w w:val="100"/>
          <w:position w:val="0"/>
        </w:rPr>
        <w:t>以上备查文件的备置地点：公司证券部。</w:t>
      </w:r>
    </w:p>
    <w:p>
      <w:pPr>
        <w:pStyle w:val="Style35"/>
        <w:keepNext w:val="0"/>
        <w:keepLines w:val="0"/>
        <w:widowControl w:val="0"/>
        <w:shd w:val="clear" w:color="auto" w:fill="auto"/>
        <w:bidi w:val="0"/>
        <w:spacing w:before="0" w:after="380" w:line="240" w:lineRule="auto"/>
        <w:ind w:left="0" w:right="640" w:firstLine="0"/>
        <w:jc w:val="right"/>
      </w:pPr>
      <w:r>
        <w:rPr>
          <w:b/>
          <w:bCs/>
          <w:color w:val="000000"/>
          <w:spacing w:val="0"/>
          <w:w w:val="100"/>
          <w:position w:val="0"/>
        </w:rPr>
        <w:t>厦门红相电力设备股份有限公司</w:t>
      </w:r>
    </w:p>
    <w:p>
      <w:pPr>
        <w:pStyle w:val="Style35"/>
        <w:keepNext w:val="0"/>
        <w:keepLines w:val="0"/>
        <w:widowControl w:val="0"/>
        <w:shd w:val="clear" w:color="auto" w:fill="auto"/>
        <w:bidi w:val="0"/>
        <w:spacing w:before="0" w:after="380" w:line="240" w:lineRule="auto"/>
        <w:ind w:left="0" w:right="640" w:firstLine="0"/>
        <w:jc w:val="right"/>
      </w:pPr>
      <w:r>
        <w:rPr>
          <w:b/>
          <w:bCs/>
          <w:color w:val="000000"/>
          <w:spacing w:val="0"/>
          <w:w w:val="100"/>
          <w:position w:val="0"/>
        </w:rPr>
        <w:t>法定代表人：杨成</w:t>
      </w:r>
    </w:p>
    <w:p>
      <w:pPr>
        <w:pStyle w:val="Style92"/>
        <w:keepNext w:val="0"/>
        <w:keepLines w:val="0"/>
        <w:widowControl w:val="0"/>
        <w:shd w:val="clear" w:color="auto" w:fill="auto"/>
        <w:bidi w:val="0"/>
        <w:spacing w:before="0" w:line="240" w:lineRule="auto"/>
        <w:ind w:left="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40404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40404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6741795</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85000000000002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6337300</wp:posOffset>
              </wp:positionH>
              <wp:positionV relativeFrom="page">
                <wp:posOffset>9756140</wp:posOffset>
              </wp:positionV>
              <wp:extent cx="499745" cy="106680"/>
              <wp:wrapNone/>
              <wp:docPr id="33" name="Shape 3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9" type="#_x0000_t202" style="position:absolute;margin-left:499.pt;margin-top:768.20000000000005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6681470</wp:posOffset>
              </wp:positionH>
              <wp:positionV relativeFrom="page">
                <wp:posOffset>10213340</wp:posOffset>
              </wp:positionV>
              <wp:extent cx="155575" cy="79375"/>
              <wp:wrapNone/>
              <wp:docPr id="35" name="Shape 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6.10000000000002pt;margin-top:804.20000000000005pt;width:12.25pt;height:6.25pt;z-index:-18874405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6741795</wp:posOffset>
              </wp:positionH>
              <wp:positionV relativeFrom="page">
                <wp:posOffset>9958070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30.85000000000002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6337300</wp:posOffset>
              </wp:positionH>
              <wp:positionV relativeFrom="page">
                <wp:posOffset>9756140</wp:posOffset>
              </wp:positionV>
              <wp:extent cx="499745" cy="106680"/>
              <wp:wrapNone/>
              <wp:docPr id="65" name="Shape 6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1" type="#_x0000_t202" style="position:absolute;margin-left:499.pt;margin-top:768.20000000000005pt;width:39.3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6681470</wp:posOffset>
              </wp:positionH>
              <wp:positionV relativeFrom="page">
                <wp:posOffset>10213340</wp:posOffset>
              </wp:positionV>
              <wp:extent cx="155575" cy="79375"/>
              <wp:wrapNone/>
              <wp:docPr id="67" name="Shape 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6.10000000000002pt;margin-top:804.20000000000005pt;width:12.25pt;height:6.25pt;z-index:-18874404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6741795</wp:posOffset>
              </wp:positionH>
              <wp:positionV relativeFrom="page">
                <wp:posOffset>9958070</wp:posOffset>
              </wp:positionV>
              <wp:extent cx="97790" cy="79375"/>
              <wp:wrapNone/>
              <wp:docPr id="72" name="Shape 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30.85000000000002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6741795</wp:posOffset>
              </wp:positionH>
              <wp:positionV relativeFrom="page">
                <wp:posOffset>9958070</wp:posOffset>
              </wp:positionV>
              <wp:extent cx="97790" cy="79375"/>
              <wp:wrapNone/>
              <wp:docPr id="77" name="Shape 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0.85000000000002pt;margin-top:784.10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6337300</wp:posOffset>
              </wp:positionH>
              <wp:positionV relativeFrom="page">
                <wp:posOffset>9756140</wp:posOffset>
              </wp:positionV>
              <wp:extent cx="499745" cy="106680"/>
              <wp:wrapNone/>
              <wp:docPr id="82" name="Shape 8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8" type="#_x0000_t202" style="position:absolute;margin-left:499.pt;margin-top:768.20000000000005pt;width:39.35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6681470</wp:posOffset>
              </wp:positionH>
              <wp:positionV relativeFrom="page">
                <wp:posOffset>10213340</wp:posOffset>
              </wp:positionV>
              <wp:extent cx="155575" cy="79375"/>
              <wp:wrapNone/>
              <wp:docPr id="84" name="Shape 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26.10000000000002pt;margin-top:804.20000000000005pt;width:12.25pt;height:6.25pt;z-index:-18874402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478790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60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4159885</wp:posOffset>
              </wp:positionH>
              <wp:positionV relativeFrom="page">
                <wp:posOffset>542290</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55000000000001pt;margin-top:42.70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4163695</wp:posOffset>
              </wp:positionH>
              <wp:positionV relativeFrom="page">
                <wp:posOffset>561340</wp:posOffset>
              </wp:positionV>
              <wp:extent cx="2673350" cy="106680"/>
              <wp:wrapNone/>
              <wp:docPr id="30" name="Shape 3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327.85000000000002pt;margin-top:44.200000000000003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925830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72.90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4159885</wp:posOffset>
              </wp:positionH>
              <wp:positionV relativeFrom="page">
                <wp:posOffset>542290</wp:posOffset>
              </wp:positionV>
              <wp:extent cx="2673350" cy="106680"/>
              <wp:wrapNone/>
              <wp:docPr id="37" name="Shape 3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27.55000000000001pt;margin-top:42.700000000000003pt;width:210.5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4163695</wp:posOffset>
              </wp:positionH>
              <wp:positionV relativeFrom="page">
                <wp:posOffset>561340</wp:posOffset>
              </wp:positionV>
              <wp:extent cx="2673350" cy="106680"/>
              <wp:wrapNone/>
              <wp:docPr id="62" name="Shape 6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327.85000000000002pt;margin-top:44.200000000000003pt;width:210.5pt;height:8.4000000000000004pt;z-index:-18874404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925830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72.900000000000006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4159885</wp:posOffset>
              </wp:positionH>
              <wp:positionV relativeFrom="page">
                <wp:posOffset>542290</wp:posOffset>
              </wp:positionV>
              <wp:extent cx="2673350" cy="106680"/>
              <wp:wrapNone/>
              <wp:docPr id="69" name="Shape 6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5" type="#_x0000_t202" style="position:absolute;margin-left:327.55000000000001pt;margin-top:42.700000000000003pt;width:210.5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4159885</wp:posOffset>
              </wp:positionH>
              <wp:positionV relativeFrom="page">
                <wp:posOffset>542290</wp:posOffset>
              </wp:positionV>
              <wp:extent cx="2673350" cy="106680"/>
              <wp:wrapNone/>
              <wp:docPr id="74" name="Shape 7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0" type="#_x0000_t202" style="position:absolute;margin-left:327.55000000000001pt;margin-top:42.700000000000003pt;width:210.5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厦门红相电力设备股份有限公司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4163695</wp:posOffset>
              </wp:positionH>
              <wp:positionV relativeFrom="page">
                <wp:posOffset>561340</wp:posOffset>
              </wp:positionV>
              <wp:extent cx="2673350" cy="106680"/>
              <wp:wrapNone/>
              <wp:docPr id="79" name="Shape 7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327.85000000000002pt;margin-top:44.200000000000003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925830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72.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2016.1.%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2016.3.%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2019.1.%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character" w:customStyle="1" w:styleId="CharStyle82">
    <w:name w:val="正文文本 (6)_"/>
    <w:basedOn w:val="DefaultParagraphFont"/>
    <w:link w:val="Style81"/>
    <w:rPr>
      <w:rFonts w:ascii="SimSun" w:eastAsia="SimSun" w:hAnsi="SimSun" w:cs="SimSun"/>
      <w:b/>
      <w:bCs/>
      <w:i w:val="0"/>
      <w:iCs w:val="0"/>
      <w:smallCaps w:val="0"/>
      <w:strike w:val="0"/>
      <w:u w:val="none"/>
      <w:shd w:val="clear" w:color="auto" w:fill="auto"/>
    </w:rPr>
  </w:style>
  <w:style w:type="character" w:customStyle="1" w:styleId="CharStyle93">
    <w:name w:val="正文文本 (7)_"/>
    <w:basedOn w:val="DefaultParagraphFont"/>
    <w:link w:val="Style92"/>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4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2)"/>
    <w:basedOn w:val="Normal"/>
    <w:link w:val="CharStyle28"/>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after="12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标题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1">
    <w:name w:val="正文文本 (6)"/>
    <w:basedOn w:val="Normal"/>
    <w:link w:val="CharStyle82"/>
    <w:pPr>
      <w:widowControl w:val="0"/>
      <w:shd w:val="clear" w:color="auto" w:fill="auto"/>
      <w:spacing w:line="257" w:lineRule="auto"/>
    </w:pPr>
    <w:rPr>
      <w:rFonts w:ascii="SimSun" w:eastAsia="SimSun" w:hAnsi="SimSun" w:cs="SimSun"/>
      <w:b/>
      <w:bCs/>
      <w:i w:val="0"/>
      <w:iCs w:val="0"/>
      <w:smallCaps w:val="0"/>
      <w:strike w:val="0"/>
      <w:u w:val="none"/>
      <w:shd w:val="clear" w:color="auto" w:fill="auto"/>
    </w:rPr>
  </w:style>
  <w:style w:type="paragraph" w:customStyle="1" w:styleId="Style92">
    <w:name w:val="正文文本 (7)"/>
    <w:basedOn w:val="Normal"/>
    <w:link w:val="CharStyle93"/>
    <w:pPr>
      <w:widowControl w:val="0"/>
      <w:shd w:val="clear" w:color="auto" w:fill="auto"/>
      <w:spacing w:after="380"/>
      <w:ind w:right="640"/>
      <w:jc w:val="right"/>
    </w:pPr>
    <w:rPr>
      <w:rFonts w:ascii="Times New Roman" w:eastAsia="Times New Roman" w:hAnsi="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厦门红相电力设备股份有限公司2016年年度报告全文</dc:title>
  <dc:subject/>
  <dc:creator>厦门红相电力设备股份有限公司</dc:creator>
  <cp:keywords/>
</cp:coreProperties>
</file>