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4090" w:right="4090" w:firstLine="0"/>
        <w:jc w:val="center"/>
        <w:rPr>
          <w:rFonts w:ascii="宋体" w:hAnsi="宋体" w:cs="宋体" w:eastAsia="宋体" w:hint="default"/>
          <w:sz w:val="36"/>
          <w:szCs w:val="36"/>
        </w:rPr>
      </w:pPr>
      <w:r>
        <w:rPr>
          <w:rFonts w:ascii="宋体" w:hAnsi="宋体" w:cs="宋体" w:eastAsia="宋体" w:hint="default"/>
          <w:b/>
          <w:bCs/>
          <w:sz w:val="36"/>
          <w:szCs w:val="36"/>
        </w:rPr>
        <w:t>红相股份有限公司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089" w:right="40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090" w:right="4089" w:firstLine="0"/>
        <w:jc w:val="center"/>
        <w:rPr>
          <w:rFonts w:ascii="Times New Roman" w:hAnsi="Times New Roman" w:cs="Times New Roman" w:eastAsia="Times New Roman" w:hint="default"/>
          <w:sz w:val="22"/>
          <w:szCs w:val="22"/>
        </w:rPr>
      </w:pPr>
      <w:r>
        <w:rPr>
          <w:rFonts w:ascii="Times New Roman"/>
          <w:b/>
          <w:sz w:val="22"/>
        </w:rPr>
        <w:t>2018-037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4090" w:right="408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公司负责人杨成、主管会计工作负责人廖雪林及会计机构负责人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黄雅琼声明：保证年度报告中财务报告的真实、准确、完整。</w:t>
      </w:r>
      <w:r>
        <w:rPr>
          <w:rFonts w:ascii="宋体" w:hAnsi="宋体" w:cs="宋体" w:eastAsia="宋体" w:hint="default"/>
          <w:sz w:val="28"/>
          <w:szCs w:val="28"/>
        </w:rPr>
      </w:r>
    </w:p>
    <w:p>
      <w:pPr>
        <w:spacing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0" w:lineRule="auto" w:before="0"/>
        <w:ind w:left="1134"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1</w:t>
      </w:r>
      <w:r>
        <w:rPr>
          <w:rFonts w:ascii="宋体" w:hAnsi="宋体" w:cs="宋体" w:eastAsia="宋体" w:hint="default"/>
          <w:b/>
          <w:bCs/>
          <w:spacing w:val="-2"/>
          <w:w w:val="95"/>
          <w:sz w:val="28"/>
          <w:szCs w:val="28"/>
        </w:rPr>
        <w:t>、未来电力、军工、铁路与轨道交通产业投资可能存在低于预期的风险公</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司主要业务一定程度上依赖于国家对电力、军工、铁路与轨道交通的投资建设</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力度，如果以上产业受宏观环境、国家产业政策等因素的不利变化，国家投资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低于预期，均会对公司产生不利的影响。</w:t>
      </w:r>
      <w:r>
        <w:rPr>
          <w:rFonts w:ascii="宋体" w:hAnsi="宋体" w:cs="宋体" w:eastAsia="宋体" w:hint="default"/>
          <w:sz w:val="28"/>
          <w:szCs w:val="28"/>
        </w:rPr>
      </w:r>
    </w:p>
    <w:p>
      <w:pPr>
        <w:spacing w:line="446" w:lineRule="auto" w:before="170"/>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、备货生产增加导致期末库存无法及时结转销售收入的风险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公司主要通过招投标方式取得销售合同，并主要采取</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以销定产</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的模式组</w:t>
      </w:r>
      <w:r>
        <w:rPr>
          <w:rFonts w:ascii="宋体" w:hAnsi="宋体" w:cs="宋体" w:eastAsia="宋体" w:hint="default"/>
          <w:spacing w:val="3"/>
          <w:sz w:val="28"/>
          <w:szCs w:val="28"/>
        </w:rPr>
      </w:r>
    </w:p>
    <w:p>
      <w:pPr>
        <w:spacing w:line="336" w:lineRule="exact" w:before="0"/>
        <w:ind w:left="113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织生产。但随着市场需求的增加，公司为确保如期交货，根据市场潜在需求以</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408" w:lineRule="auto" w:before="0"/>
        <w:ind w:left="1134"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及预期中标成功率情况，提前安排销售把握较大产品的生产。公司库存商品与</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pacing w:val="3"/>
          <w:w w:val="95"/>
          <w:sz w:val="28"/>
          <w:szCs w:val="28"/>
        </w:rPr>
        <w:t>发出商品期末余额的高低主要取决于生产交货、客户验收确认速度的快慢以及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预先备货生产项目的增减变动。公司报告期期末存货的总体金额不大，但随着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备货生产的增加，公司存在因客户项目取消、变更以及未能成功中标等情况而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无法及时结转销售收入的风险。</w:t>
      </w:r>
      <w:r>
        <w:rPr>
          <w:rFonts w:ascii="宋体" w:hAnsi="宋体" w:cs="宋体" w:eastAsia="宋体" w:hint="default"/>
          <w:sz w:val="28"/>
          <w:szCs w:val="28"/>
        </w:rPr>
      </w:r>
    </w:p>
    <w:p>
      <w:pPr>
        <w:spacing w:before="161"/>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、应收账款无法及时收回的风险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133" w:right="1135"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公司主要客户来自电力、军工、铁路等国有大型企业和部分海外客户，受</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到其结算惯例的影响，公司应收账款收款周期相对较长，导致期末应收账款相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对较高。随着公司经营规模的不断扩大，应收账款的规模可能会持续增长，如</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果国内外经济环境、客户信用状况等发生变化，公司存在应收账款不能够及时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回收，从而影响公司资金流动性和利用效率的风险。</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、技术跟不上行业发展的风险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公司在电力、军工、铁路与轨道交通三大板块的主营业务均属于技术密集</w:t>
      </w:r>
      <w:r>
        <w:rPr>
          <w:rFonts w:ascii="宋体" w:hAnsi="宋体" w:cs="宋体" w:eastAsia="宋体" w:hint="default"/>
          <w:spacing w:val="3"/>
          <w:sz w:val="28"/>
          <w:szCs w:val="28"/>
        </w:rPr>
      </w:r>
    </w:p>
    <w:p>
      <w:pPr>
        <w:spacing w:line="408" w:lineRule="auto" w:before="14"/>
        <w:ind w:left="1133" w:right="1141"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型产品，不仅涉及电力电子技术、信号处理技术、通信技术、控制技术、计算</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机技术等前沿学科，自身存在多学科交叉、融合的技术特征，而且所面向的客</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户对象均属于对科学技术发展动向有迫切跟踪、追赶、超越需求的重大行业，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产品的自我技术更迭周期较短。如果公司未来在研发的基础平台、研发的人员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数量、研发人员的知识结构更新无法跟上上述相关领域技术发展的趋势或者公</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pacing w:val="3"/>
          <w:w w:val="95"/>
          <w:sz w:val="28"/>
          <w:szCs w:val="28"/>
        </w:rPr>
        <w:t>司研发项目储备、研发投入不足，则可能导致公司的技术研发能力无法跟上整</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个行业发展步伐，从而给公司的可持续发展带来不利影响。</w:t>
      </w:r>
      <w:r>
        <w:rPr>
          <w:rFonts w:ascii="宋体" w:hAnsi="宋体" w:cs="宋体" w:eastAsia="宋体" w:hint="default"/>
          <w:sz w:val="28"/>
          <w:szCs w:val="28"/>
        </w:rPr>
      </w:r>
    </w:p>
    <w:p>
      <w:pPr>
        <w:spacing w:line="446"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、规模快速扩张引致的风险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随着公司战略发展规划的实施，公司的组织架构、业务种类、资产规模和</w:t>
      </w:r>
      <w:r>
        <w:rPr>
          <w:rFonts w:ascii="宋体" w:hAnsi="宋体" w:cs="宋体" w:eastAsia="宋体" w:hint="default"/>
          <w:spacing w:val="3"/>
          <w:sz w:val="28"/>
          <w:szCs w:val="28"/>
        </w:rPr>
      </w:r>
    </w:p>
    <w:p>
      <w:pPr>
        <w:spacing w:line="408"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人员数量等都快速扩张，这将对公司现有的战略规划、制度建设、组织设置、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营运管理、财务管理、内部控制等方面带来较大挑战。如果公司管理层不能及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时调整公司管理体制，未能良好把握调整时机或者选任相关职位的管理人员决</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策不当，都可能阻碍公司业务的正常开展或者错失发展良机。</w:t>
      </w:r>
      <w:r>
        <w:rPr>
          <w:rFonts w:ascii="宋体" w:hAnsi="宋体" w:cs="宋体" w:eastAsia="宋体" w:hint="default"/>
          <w:sz w:val="28"/>
          <w:szCs w:val="28"/>
        </w:rPr>
      </w:r>
    </w:p>
    <w:p>
      <w:pPr>
        <w:spacing w:before="162"/>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、人才流失的风险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133"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人才是企业发展的基石。公司之前的发展与公司建立起的高管团队、营销</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团队及研发团队有着密切的关系。随着公司发展战略的逐步实施，公司对生产、</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管理、技术、研发、销售等方面的人才的需求将会逐步增加。如果公司无法制</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定行之有效的人力资源管理制度来留住人才、吸引人才，那么，公司将会面临</w:t>
      </w:r>
      <w:r>
        <w:rPr>
          <w:rFonts w:ascii="宋体" w:hAnsi="宋体" w:cs="宋体" w:eastAsia="宋体" w:hint="default"/>
          <w:b/>
          <w:bCs/>
          <w:w w:val="99"/>
          <w:sz w:val="28"/>
          <w:szCs w:val="28"/>
        </w:rPr>
        <w:t> </w:t>
      </w:r>
      <w:r>
        <w:rPr>
          <w:rFonts w:ascii="宋体" w:hAnsi="宋体" w:cs="宋体" w:eastAsia="宋体" w:hint="default"/>
          <w:b/>
          <w:bCs/>
          <w:sz w:val="28"/>
          <w:szCs w:val="28"/>
        </w:rPr>
        <w:t>人才流失的风险和无法引进优秀人才的风险，从而影响公司的长远发展。</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352,586,786</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0.73</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4090" w:right="408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spacing w:val="-6"/>
              </w:rPr>
              <w:t>110</w:t>
            </w:r>
            <w:r>
              <w:rPr>
                <w:rFonts w:ascii="Times New Roman" w:hAnsi="Times New Roman" w:cs="Times New Roman" w:eastAsia="Times New Roman" w:hint="default"/>
                <w:b w:val="0"/>
                <w:bCs w:val="0"/>
                <w:spacing w:val="-6"/>
              </w:rPr>
            </w:r>
          </w:hyperlink>
        </w:p>
        <w:p>
          <w:pPr>
            <w:pStyle w:val="TOC1"/>
            <w:tabs>
              <w:tab w:pos="10748" w:val="right" w:leader="dot"/>
            </w:tabs>
            <w:spacing w:line="240" w:lineRule="auto"/>
            <w:ind w:left="113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16"/>
              </w:rPr>
              <w:t>111</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left="113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120</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126</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247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4090" w:right="408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厦门红相电力设备进出口有限公司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19"/>
                <w:sz w:val="18"/>
              </w:rPr>
              <w:t> </w:t>
            </w:r>
            <w:r>
              <w:rPr>
                <w:rFonts w:ascii="Times New Roman"/>
                <w:sz w:val="18"/>
              </w:rPr>
              <w:t>Ltd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涵普电力、浙江涵普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合肥星波通信科技有限公司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状态检修（</w:t>
            </w:r>
            <w:r>
              <w:rPr>
                <w:rFonts w:ascii="Times New Roman" w:hAnsi="Times New Roman" w:cs="Times New Roman" w:eastAsia="Times New Roman" w:hint="default"/>
                <w:sz w:val="18"/>
                <w:szCs w:val="18"/>
              </w:rPr>
              <w:t>CBM</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Condition Based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Maintenance</w:t>
            </w:r>
            <w:r>
              <w:rPr>
                <w:rFonts w:ascii="宋体" w:hAnsi="宋体" w:cs="宋体" w:eastAsia="宋体" w:hint="default"/>
                <w:sz w:val="18"/>
                <w:szCs w:val="18"/>
              </w:rPr>
              <w:t>，一种以设备状态为基础的预防性检修，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利用电磁感应原理能够将电力系统中一个电压等级下的电压和电流 转换为另一个电压等级下的电压和电流的电力设备。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铁路牵引变压器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牵引供电系统的关键设备，主要功能是将电力系统供给的高压交流电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变换成适合电力机车使用的单相交流电</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互感器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1"/>
              <w:ind w:left="27"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Instrument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Transformer</w:t>
            </w:r>
            <w:r>
              <w:rPr>
                <w:rFonts w:ascii="宋体" w:hAnsi="宋体" w:cs="宋体" w:eastAsia="宋体" w:hint="default"/>
                <w:sz w:val="18"/>
                <w:szCs w:val="18"/>
              </w:rPr>
              <w:t>，是指按比例变换电压或电流的设备。其功能</w:t>
            </w:r>
            <w:r>
              <w:rPr>
                <w:rFonts w:ascii="宋体" w:hAnsi="宋体" w:cs="宋体" w:eastAsia="宋体" w:hint="default"/>
                <w:w w:val="99"/>
                <w:sz w:val="18"/>
                <w:szCs w:val="18"/>
              </w:rPr>
              <w:t> </w:t>
            </w:r>
            <w:r>
              <w:rPr>
                <w:rFonts w:ascii="宋体" w:hAnsi="宋体" w:cs="宋体" w:eastAsia="宋体" w:hint="default"/>
                <w:spacing w:val="-2"/>
                <w:sz w:val="18"/>
                <w:szCs w:val="18"/>
              </w:rPr>
              <w:t>主要是将高电压或大电流按比例变换成标准低电压或标准小电流，以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便实现测量仪表、保护设备及自动控制设备的标准化、小型化，同时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互感器还可用来隔开高电压系统，以保证人身和设备的安全。互感器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可分电流互感器（简称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CT</w:t>
            </w:r>
            <w:r>
              <w:rPr>
                <w:rFonts w:ascii="宋体" w:hAnsi="宋体" w:cs="宋体" w:eastAsia="宋体" w:hint="default"/>
                <w:sz w:val="18"/>
                <w:szCs w:val="18"/>
              </w:rPr>
              <w:t>）和电压互感器（简称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PT</w:t>
            </w:r>
            <w:r>
              <w:rPr>
                <w:rFonts w:ascii="宋体" w:hAnsi="宋体" w:cs="宋体" w:eastAsia="宋体" w:hint="default"/>
                <w:sz w:val="18"/>
                <w:szCs w:val="18"/>
              </w:rPr>
              <w:t>）两类。</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296"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用电管理系统</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对电力用户的用电信息进行采集、处理和实时监控的系统产品，实现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用电信息的自动采集、计量异常监测、电能质量监测、用电分析和管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理、相关信息发布、分布式能源监控、智能用电设备的信息交互等功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298"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2"/>
                <w:sz w:val="18"/>
                <w:szCs w:val="18"/>
              </w:rPr>
              <w:t>能的终端产品，主要包含用电信息采集终端、专变采集终端、集中抄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表终端（集中器、采集器等）、分布式能源监控终端、电力负荷配变</w:t>
            </w:r>
            <w:r>
              <w:rPr>
                <w:rFonts w:ascii="宋体" w:hAnsi="宋体" w:cs="宋体" w:eastAsia="宋体" w:hint="default"/>
                <w:sz w:val="18"/>
                <w:szCs w:val="18"/>
              </w:rPr>
              <w:t> 监测终端等。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一次设备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在电网中直接承担电力输送及电压转换的输配电设备，如发电机、变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压器、断路器、隔离开关、电压及电流互感器等。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以物理电网为基础，将现代先进的传感测量技术、通讯技术、信息技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术、计算机技术和控制技术与物理电网高度集成而形成的具备智能判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断与自适应调节能力的多种能源兼容、分布式管理的安全、可靠、经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济、节能、环保、高效的互动式智能化网络。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射频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高频交流变化电磁波，频率范围在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300KHz</w:t>
            </w:r>
            <w:r>
              <w:rPr>
                <w:rFonts w:ascii="宋体" w:hAnsi="宋体" w:cs="宋体" w:eastAsia="宋体" w:hint="default"/>
                <w:sz w:val="18"/>
                <w:szCs w:val="18"/>
              </w:rPr>
              <w:t>～</w:t>
            </w:r>
            <w:r>
              <w:rPr>
                <w:rFonts w:ascii="Times New Roman" w:hAnsi="Times New Roman" w:cs="Times New Roman" w:eastAsia="Times New Roman" w:hint="default"/>
                <w:sz w:val="18"/>
                <w:szCs w:val="18"/>
              </w:rPr>
              <w:t>300GHz</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之间</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频率为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300MHz~300GHz</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的电磁波，是无线电波中一个有限频带的简 称，即波长在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毫米</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米之间的电磁波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毫米波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波长为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10 </w:t>
            </w:r>
            <w:r>
              <w:rPr>
                <w:rFonts w:ascii="宋体" w:hAnsi="宋体" w:cs="宋体" w:eastAsia="宋体" w:hint="default"/>
                <w:sz w:val="18"/>
                <w:szCs w:val="18"/>
              </w:rPr>
              <w:t>毫米的电磁波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kV</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千伏（</w:t>
            </w:r>
            <w:r>
              <w:rPr>
                <w:rFonts w:ascii="Times New Roman" w:hAnsi="Times New Roman" w:cs="Times New Roman" w:eastAsia="Times New Roman" w:hint="default"/>
                <w:sz w:val="18"/>
                <w:szCs w:val="18"/>
              </w:rPr>
              <w:t>Kilo</w:t>
            </w:r>
            <w:r>
              <w:rPr>
                <w:rFonts w:ascii="Times New Roman" w:hAnsi="Times New Roman" w:cs="Times New Roman" w:eastAsia="Times New Roman" w:hint="default"/>
                <w:spacing w:val="-23"/>
                <w:w w:val="99"/>
                <w:sz w:val="18"/>
                <w:szCs w:val="18"/>
              </w:rPr>
              <w:t>V</w:t>
            </w:r>
            <w:r>
              <w:rPr>
                <w:rFonts w:ascii="Times New Roman" w:hAnsi="Times New Roman" w:cs="Times New Roman" w:eastAsia="Times New Roman" w:hint="default"/>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的缩写</w:t>
            </w:r>
            <w:r>
              <w:rPr>
                <w:rFonts w:ascii="宋体" w:hAnsi="宋体" w:cs="宋体" w:eastAsia="宋体" w:hint="default"/>
                <w:spacing w:val="-90"/>
                <w:sz w:val="18"/>
                <w:szCs w:val="18"/>
              </w:rPr>
              <w:t>）</w:t>
            </w:r>
            <w:r>
              <w:rPr>
                <w:rFonts w:ascii="宋体" w:hAnsi="宋体" w:cs="宋体" w:eastAsia="宋体" w:hint="default"/>
                <w:sz w:val="18"/>
                <w:szCs w:val="18"/>
              </w:rPr>
              <w:t>，计量电压的单位</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kVA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7"/>
              <w:jc w:val="left"/>
              <w:rPr>
                <w:rFonts w:ascii="宋体" w:hAnsi="宋体" w:cs="宋体" w:eastAsia="宋体" w:hint="default"/>
                <w:sz w:val="18"/>
                <w:szCs w:val="18"/>
              </w:rPr>
            </w:pPr>
            <w:r>
              <w:rPr>
                <w:rFonts w:ascii="宋体" w:hAnsi="宋体" w:cs="宋体" w:eastAsia="宋体" w:hint="default"/>
                <w:spacing w:val="-2"/>
                <w:w w:val="99"/>
                <w:sz w:val="18"/>
                <w:szCs w:val="18"/>
              </w:rPr>
              <w:t>千伏安（</w:t>
            </w:r>
            <w:r>
              <w:rPr>
                <w:rFonts w:ascii="Times New Roman" w:hAnsi="Times New Roman" w:cs="Times New Roman" w:eastAsia="Times New Roman" w:hint="default"/>
                <w:spacing w:val="-2"/>
                <w:w w:val="99"/>
                <w:sz w:val="18"/>
                <w:szCs w:val="18"/>
              </w:rPr>
              <w:t>KiloVolt-Ampere</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5"/>
                <w:w w:val="99"/>
                <w:sz w:val="18"/>
                <w:szCs w:val="18"/>
              </w:rPr>
              <w:t>的缩写），变压器在额定状态下的输出能力</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的保证值，即通常所指的变压器的容量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红相股份有限公司及其子公司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46120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300427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红相股份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Red phase</w:t>
            </w:r>
            <w:r>
              <w:rPr>
                <w:rFonts w:ascii="Times New Roman"/>
                <w:spacing w:val="-1"/>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杨成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单元之一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http://www.redphase.com.cn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厦门市思明区南投路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单元之一</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0592-8126108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0592-2107581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securities@redphase.com.cn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刘维、王肖生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号凯 恒中心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王万里、罗贵均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中国（上海）自由贸易试验区 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1589 </w:t>
            </w:r>
            <w:r>
              <w:rPr>
                <w:rFonts w:ascii="宋体" w:hAnsi="宋体" w:cs="宋体" w:eastAsia="宋体" w:hint="default"/>
                <w:sz w:val="18"/>
                <w:szCs w:val="18"/>
              </w:rPr>
              <w:t>号长泰国际金</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蒋庆华、赖洁楠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743,861,467.27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410,557,480.83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305,254,632.75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117,949,954.85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73,815,900.71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70,937,874.33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113,422,835.94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68,586,922.11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56,682,597.45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293,321,816.69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130,539,761.27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42,473,127.37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3,193,075,062.37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894,116,361.80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759,728,039.91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1,872,649,302.13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620,940,854.04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564,009,974.16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32,406,227.76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105,310,763.28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108,744,219.22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497,400,257.01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-5,309,499.48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19,637,285.97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10,480,400.94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93,141,767.42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-5,526,770.78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19,419,241.92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8,867,926.17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90,662,438.63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-13,137,476.33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42,877,903.74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43,844,105.52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219,737,283.76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-586,819.59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104,406.86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-125,055.12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4,142,431.57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76,838.08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5,566,723.32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4,741,601.67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3,734,543.51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7,449,573.49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903,740.00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97,827.16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130,862.42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-8,430.53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-6,268,969.12</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主要为星波通信的股 份支付</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517,952.98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4,746,518.94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-162,725.09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971,806.43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1,252,136.52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-1,413,200.48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567,416.98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289,736.89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4,527,118.91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5,228,978.60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14,255,276.88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80"/>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公司主营业务、主要产品、服务及其用途</w:t>
      </w:r>
      <w:r>
        <w:rPr>
          <w:rFonts w:ascii="宋体" w:hAnsi="宋体" w:cs="宋体" w:eastAsia="宋体" w:hint="default"/>
          <w:sz w:val="21"/>
          <w:szCs w:val="21"/>
        </w:rPr>
      </w:r>
    </w:p>
    <w:p>
      <w:pPr>
        <w:pStyle w:val="BodyText"/>
        <w:spacing w:line="312" w:lineRule="exact" w:before="147"/>
        <w:ind w:right="1131" w:firstLine="420"/>
        <w:jc w:val="both"/>
      </w:pPr>
      <w:r>
        <w:rPr>
          <w:spacing w:val="2"/>
        </w:rPr>
        <w:t>公司主要从事电力检测及电力设备、铁路与轨道交通牵引供电装备、军工电子等产品的</w:t>
      </w:r>
      <w:r>
        <w:rPr/>
        <w:t> 研发、生产、销售以及相关技术服务，新能源</w:t>
      </w:r>
      <w:r>
        <w:rPr>
          <w:rFonts w:ascii="Times New Roman" w:hAnsi="Times New Roman" w:cs="Times New Roman" w:eastAsia="Times New Roman" w:hint="default"/>
        </w:rPr>
        <w:t>EPC</w:t>
      </w:r>
      <w:r>
        <w:rPr/>
        <w:t>项目。报告期内，公司通过收购银川卧龙</w:t>
      </w:r>
      <w:r>
        <w:rPr>
          <w:spacing w:val="-58"/>
        </w:rPr>
        <w:t> </w:t>
      </w:r>
      <w:r>
        <w:rPr>
          <w:spacing w:val="-58"/>
        </w:rPr>
      </w:r>
      <w:r>
        <w:rPr>
          <w:rFonts w:ascii="Times New Roman" w:hAnsi="Times New Roman" w:cs="Times New Roman" w:eastAsia="Times New Roman" w:hint="default"/>
          <w:spacing w:val="-2"/>
        </w:rPr>
        <w:t>100%</w:t>
      </w:r>
      <w:r>
        <w:rPr>
          <w:spacing w:val="-2"/>
        </w:rPr>
        <w:t>股权和星波通信</w:t>
      </w:r>
      <w:r>
        <w:rPr>
          <w:rFonts w:ascii="Times New Roman" w:hAnsi="Times New Roman" w:cs="Times New Roman" w:eastAsia="Times New Roman" w:hint="default"/>
          <w:spacing w:val="-2"/>
        </w:rPr>
        <w:t>67.54%</w:t>
      </w:r>
      <w:r>
        <w:rPr>
          <w:spacing w:val="-2"/>
        </w:rPr>
        <w:t>股权实施了外延式战略部署，在原有电力业务的基础上，实现了</w:t>
      </w:r>
      <w:r>
        <w:rPr>
          <w:spacing w:val="-94"/>
        </w:rPr>
        <w:t> </w:t>
      </w:r>
      <w:r>
        <w:rPr>
          <w:spacing w:val="-94"/>
        </w:rPr>
      </w:r>
      <w:r>
        <w:rPr/>
        <w:t>在军工和铁路与轨道交通领域的业务布局，使公司业务朝着多元化的方向发展，目前公司的 业务主要涉及电力、军工、铁路与轨道交通等三大领域。</w:t>
      </w:r>
    </w:p>
    <w:p>
      <w:pPr>
        <w:pStyle w:val="BodyText"/>
        <w:spacing w:line="331" w:lineRule="auto" w:before="89"/>
        <w:ind w:left="1553" w:right="1137"/>
        <w:jc w:val="left"/>
      </w:pPr>
      <w:r>
        <w:rPr/>
        <w:t>电力领域 </w:t>
      </w:r>
      <w:r>
        <w:rPr>
          <w:spacing w:val="2"/>
        </w:rPr>
        <w:t>公司在电力领域的主要业务包括电力状态检测、监测产品、电测产品、智能配网及其他</w:t>
      </w:r>
    </w:p>
    <w:p>
      <w:pPr>
        <w:pStyle w:val="BodyText"/>
        <w:spacing w:line="220" w:lineRule="exact"/>
        <w:ind w:right="0"/>
        <w:jc w:val="both"/>
      </w:pPr>
      <w:r>
        <w:rPr/>
        <w:t>电力设备等，涵盖电力领域中发电、输电、变电、配电、用电的各个环节，主要客户为国家</w:t>
      </w:r>
    </w:p>
    <w:p>
      <w:pPr>
        <w:pStyle w:val="BodyText"/>
        <w:spacing w:line="237" w:lineRule="auto" w:before="1"/>
        <w:ind w:right="1137"/>
        <w:jc w:val="both"/>
      </w:pPr>
      <w:r>
        <w:rPr/>
        <w:t>电网和南方电网及其下属成员企业、发电企业、石油石化冶金等大型电力用户。公司的电力 状态检测、监测、电测产品、智能配网产品是保障电网安全、稳定、可靠运行的重要设备， 也是建设智能电网和实施状态检修的重要设备。变压器等电力设备是电力生产和传送等各个 环节的必备和重要设备；</w:t>
      </w:r>
    </w:p>
    <w:p>
      <w:pPr>
        <w:pStyle w:val="BodyText"/>
        <w:spacing w:line="432" w:lineRule="exact" w:before="53"/>
        <w:ind w:left="1553" w:right="1118"/>
        <w:jc w:val="left"/>
      </w:pPr>
      <w:r>
        <w:rPr/>
        <w:t>军工领域 控股子公司星波通信专业从事射频</w:t>
      </w:r>
      <w:r>
        <w:rPr>
          <w:rFonts w:ascii="Times New Roman" w:hAnsi="Times New Roman" w:cs="Times New Roman" w:eastAsia="Times New Roman" w:hint="default"/>
        </w:rPr>
        <w:t>/</w:t>
      </w:r>
      <w:r>
        <w:rPr/>
        <w:t>微波器件、组件、子系统及其混合集成电路模块的研</w:t>
      </w:r>
    </w:p>
    <w:p>
      <w:pPr>
        <w:pStyle w:val="BodyText"/>
        <w:spacing w:line="258" w:lineRule="exact"/>
        <w:ind w:right="0"/>
        <w:jc w:val="both"/>
      </w:pPr>
      <w:r>
        <w:rPr/>
        <w:t>发、生产、销售和服务。微波混合集成电路广泛应用于军用通信、雷达、电子对抗系统中，</w:t>
      </w:r>
    </w:p>
    <w:p>
      <w:pPr>
        <w:pStyle w:val="BodyText"/>
        <w:spacing w:line="312" w:lineRule="exact" w:before="29"/>
        <w:ind w:right="1137"/>
        <w:jc w:val="both"/>
      </w:pPr>
      <w:r>
        <w:rPr/>
        <w:t>是国防信息化、数字化、现代化建设的重要基础。星波通信一直致力于微波混合集成电路相 关技术在机载、弹载、舰载等多种武器平台上的应用，产品主要为雷达、通信和电子对抗系 统提供配套，主要客户为军工科研院所和军事装备生产企业。随着高精尖装备的研制及配套 需求的旺盛，未来市场需求前景广阔。</w:t>
      </w:r>
    </w:p>
    <w:p>
      <w:pPr>
        <w:pStyle w:val="BodyText"/>
        <w:spacing w:line="331" w:lineRule="auto" w:before="89"/>
        <w:ind w:left="1554" w:right="1136"/>
        <w:jc w:val="left"/>
      </w:pPr>
      <w:r>
        <w:rPr/>
        <w:t>铁路与轨道交通领域 </w:t>
      </w:r>
      <w:r>
        <w:rPr>
          <w:spacing w:val="2"/>
        </w:rPr>
        <w:t>全资子公司银川卧龙是国内最早进入电气化铁路市场的牵引变压器生产厂家之一，也是</w:t>
      </w:r>
    </w:p>
    <w:p>
      <w:pPr>
        <w:pStyle w:val="BodyText"/>
        <w:spacing w:line="220" w:lineRule="exact"/>
        <w:ind w:left="1134" w:right="0"/>
        <w:jc w:val="both"/>
      </w:pPr>
      <w:r>
        <w:rPr/>
        <w:t>铁道部牵引变压器科技创新的重要合作单位之一，在国内铁路牵引变压器市场拥有较高且稳</w:t>
      </w:r>
    </w:p>
    <w:p>
      <w:pPr>
        <w:pStyle w:val="BodyText"/>
        <w:spacing w:line="235" w:lineRule="auto" w:before="4"/>
        <w:ind w:left="1134" w:right="1127"/>
        <w:jc w:val="both"/>
      </w:pPr>
      <w:r>
        <w:rPr/>
        <w:t>定的市场份额。铁路牵引变压器承担着从电网或电厂等电源点获取电能，并向电气化铁路的 接触网进行供电的重要作用，是电气化铁路的主要动力源泉，银川卧龙的铁路牵引变压器覆 </w:t>
      </w:r>
      <w:r>
        <w:rPr>
          <w:spacing w:val="2"/>
        </w:rPr>
        <w:t>盖了我国电气化铁路上</w:t>
      </w:r>
      <w:r>
        <w:rPr>
          <w:rFonts w:ascii="Times New Roman" w:hAnsi="Times New Roman" w:cs="Times New Roman" w:eastAsia="Times New Roman" w:hint="default"/>
          <w:spacing w:val="2"/>
        </w:rPr>
        <w:t>27.5kV</w:t>
      </w:r>
      <w:r>
        <w:rPr>
          <w:spacing w:val="2"/>
        </w:rPr>
        <w:t>至</w:t>
      </w:r>
      <w:r>
        <w:rPr>
          <w:rFonts w:ascii="Times New Roman" w:hAnsi="Times New Roman" w:cs="Times New Roman" w:eastAsia="Times New Roman" w:hint="default"/>
          <w:spacing w:val="2"/>
        </w:rPr>
        <w:t>330kV</w:t>
      </w:r>
      <w:r>
        <w:rPr>
          <w:spacing w:val="2"/>
        </w:rPr>
        <w:t>的全部电压等级，具备多个铁路局的运行业绩证明，</w:t>
      </w:r>
      <w:r>
        <w:rPr>
          <w:spacing w:val="-108"/>
        </w:rPr>
        <w:t> </w:t>
      </w:r>
      <w:r>
        <w:rPr>
          <w:spacing w:val="-108"/>
        </w:rPr>
      </w:r>
      <w:r>
        <w:rPr/>
        <w:t>主要客户包括中国铁建、中国中铁、阿尔斯通等铁路建设单位，以及铁路总公司及其下属的</w:t>
      </w:r>
      <w:r>
        <w:rPr/>
        <w:t> 多个铁路局。长期以来，为我国铁路建设的快速、安全、稳定的发展，以及国家铁路建设品 牌迈出国门，走向世界做出重要的贡献。</w:t>
      </w:r>
    </w:p>
    <w:p>
      <w:pPr>
        <w:pStyle w:val="Heading2"/>
        <w:spacing w:line="240" w:lineRule="auto" w:before="118"/>
        <w:ind w:left="1556" w:right="0"/>
        <w:jc w:val="left"/>
        <w:rPr>
          <w:b w:val="0"/>
          <w:bCs w:val="0"/>
        </w:rPr>
      </w:pPr>
      <w:r>
        <w:rPr/>
        <w:t>（二）经营模式</w:t>
      </w:r>
      <w:r>
        <w:rPr>
          <w:b w:val="0"/>
          <w:bCs w:val="0"/>
        </w:rPr>
      </w:r>
    </w:p>
    <w:p>
      <w:pPr>
        <w:pStyle w:val="BodyText"/>
        <w:spacing w:line="254" w:lineRule="auto" w:before="119"/>
        <w:ind w:left="1554" w:right="1136"/>
        <w:jc w:val="left"/>
      </w:pPr>
      <w:r>
        <w:rPr>
          <w:rFonts w:ascii="Times New Roman" w:hAnsi="Times New Roman" w:cs="Times New Roman" w:eastAsia="Times New Roman" w:hint="default"/>
        </w:rPr>
        <w:t>1</w:t>
      </w:r>
      <w:r>
        <w:rPr/>
        <w:t>、采购模式 </w:t>
      </w:r>
      <w:r>
        <w:rPr>
          <w:spacing w:val="2"/>
        </w:rPr>
        <w:t>公司根据生产计划确定采购原材料的品名、规格、数量等，并进行供应商评估与选择，</w:t>
      </w:r>
    </w:p>
    <w:p>
      <w:pPr>
        <w:spacing w:after="0" w:line="254"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1139"/>
        <w:jc w:val="both"/>
      </w:pPr>
      <w:r>
        <w:rPr/>
        <w:t>采取批量采购和按需即时采购相结合的模式，进行定制化零部件采购和标准化零部件采购。 为了有效控制产品质量和成本，公司建立了一套严格的采购管理制度，以规范原材料采购环 节的质量控制和审批流程。</w:t>
      </w:r>
    </w:p>
    <w:p>
      <w:pPr>
        <w:pStyle w:val="BodyText"/>
        <w:spacing w:line="254" w:lineRule="auto" w:before="37"/>
        <w:ind w:left="1554" w:right="1119"/>
        <w:jc w:val="left"/>
      </w:pPr>
      <w:r>
        <w:rPr>
          <w:rFonts w:ascii="Times New Roman" w:hAnsi="Times New Roman" w:cs="Times New Roman" w:eastAsia="Times New Roman" w:hint="default"/>
        </w:rPr>
        <w:t>2</w:t>
      </w:r>
      <w:r>
        <w:rPr/>
        <w:t>、生产模式 </w:t>
      </w:r>
      <w:r>
        <w:rPr>
          <w:spacing w:val="-3"/>
          <w:w w:val="100"/>
        </w:rPr>
        <w:t>公司生产组织方式主要根据客户需求进行相应产品的生产，采取</w:t>
      </w:r>
      <w:r>
        <w:rPr>
          <w:rFonts w:ascii="Times New Roman" w:hAnsi="Times New Roman" w:cs="Times New Roman" w:eastAsia="Times New Roman" w:hint="default"/>
          <w:spacing w:val="-3"/>
          <w:w w:val="100"/>
        </w:rPr>
        <w:t>“</w:t>
      </w:r>
      <w:r>
        <w:rPr>
          <w:spacing w:val="-3"/>
          <w:w w:val="100"/>
        </w:rPr>
        <w:t>以销定产</w:t>
      </w:r>
      <w:r>
        <w:rPr>
          <w:rFonts w:ascii="Times New Roman" w:hAnsi="Times New Roman" w:cs="Times New Roman" w:eastAsia="Times New Roman" w:hint="default"/>
          <w:spacing w:val="-3"/>
          <w:w w:val="100"/>
        </w:rPr>
        <w:t>”</w:t>
      </w:r>
      <w:r>
        <w:rPr>
          <w:spacing w:val="-3"/>
          <w:w w:val="100"/>
        </w:rPr>
        <w:t>为主的生产模</w:t>
      </w:r>
    </w:p>
    <w:p>
      <w:pPr>
        <w:pStyle w:val="BodyText"/>
        <w:spacing w:line="277" w:lineRule="exact"/>
        <w:ind w:right="0"/>
        <w:jc w:val="both"/>
      </w:pPr>
      <w:r>
        <w:rPr/>
        <w:t>式，包括在签订合同、获取客户中标通知书或备产通知书后才进行的订单生产；根据对客户</w:t>
      </w:r>
    </w:p>
    <w:p>
      <w:pPr>
        <w:pStyle w:val="BodyText"/>
        <w:spacing w:line="261" w:lineRule="auto"/>
        <w:ind w:left="1553" w:right="1137" w:hanging="420"/>
        <w:jc w:val="left"/>
      </w:pPr>
      <w:r>
        <w:rPr/>
        <w:t>的需求以及预期中标成功率预测，提前安排销售把握程度较高的产品的备货生产等。 </w:t>
      </w:r>
      <w:r>
        <w:rPr>
          <w:rFonts w:ascii="Times New Roman" w:hAnsi="Times New Roman" w:cs="Times New Roman" w:eastAsia="Times New Roman" w:hint="default"/>
        </w:rPr>
        <w:t>3</w:t>
      </w:r>
      <w:r>
        <w:rPr/>
        <w:t>、销售模式 </w:t>
      </w:r>
      <w:r>
        <w:rPr>
          <w:spacing w:val="2"/>
        </w:rPr>
        <w:t>公司客户以电力、军工、铁路与轨道交通行业中的国有大中型企业、海外企业为主。公</w:t>
      </w:r>
    </w:p>
    <w:p>
      <w:pPr>
        <w:pStyle w:val="BodyText"/>
        <w:spacing w:line="314" w:lineRule="exact" w:before="5"/>
        <w:ind w:left="1134" w:right="1139"/>
        <w:jc w:val="both"/>
      </w:pPr>
      <w:r>
        <w:rPr/>
        <w:t>司根据客户颁布的招标采购需求、定制化开发需求等为电力、军工、铁路与轨道交通客户提 供商品和服务，公司的销售订单主要通过投标方式获得，采用直销的方式销售。</w:t>
      </w:r>
    </w:p>
    <w:p>
      <w:pPr>
        <w:pStyle w:val="BodyText"/>
        <w:spacing w:line="252" w:lineRule="auto" w:before="9"/>
        <w:ind w:left="1554" w:right="1136"/>
        <w:jc w:val="left"/>
      </w:pPr>
      <w:r>
        <w:rPr>
          <w:rFonts w:ascii="Times New Roman" w:hAnsi="Times New Roman" w:cs="Times New Roman" w:eastAsia="Times New Roman" w:hint="default"/>
        </w:rPr>
        <w:t>4</w:t>
      </w:r>
      <w:r>
        <w:rPr/>
        <w:t>、研发模式 </w:t>
      </w:r>
      <w:r>
        <w:rPr>
          <w:spacing w:val="2"/>
        </w:rPr>
        <w:t>根据公司的既定发展战略，加强重点项目研发跟进，将公司的传统技术优势和高端智能</w:t>
      </w:r>
    </w:p>
    <w:p>
      <w:pPr>
        <w:pStyle w:val="BodyText"/>
        <w:spacing w:line="235" w:lineRule="auto"/>
        <w:ind w:left="1134" w:right="1130"/>
        <w:jc w:val="both"/>
      </w:pPr>
      <w:r>
        <w:rPr/>
        <w:t>技术有机地结合起来，根据市场特点持续进行各个技术领域的创新和开发，满足细分技术领 域的个性化产品需求。推进产品平台化、数字化、智能化、信息化的升级改造，引领电力设 备状态检测监测的技术革新，完善配套的运维管理技术解决方案。提升电力设备的智能化装 </w:t>
      </w:r>
      <w:r>
        <w:rPr>
          <w:spacing w:val="-1"/>
        </w:rPr>
        <w:t>配技术，建立电力变、牵引变等大型电力设备全寿命周期管理的服务体系。持续进行射频</w:t>
      </w:r>
      <w:r>
        <w:rPr>
          <w:rFonts w:ascii="Times New Roman" w:hAnsi="Times New Roman" w:cs="Times New Roman" w:eastAsia="Times New Roman" w:hint="default"/>
          <w:spacing w:val="-1"/>
        </w:rPr>
        <w:t>/</w:t>
      </w:r>
      <w:r>
        <w:rPr>
          <w:spacing w:val="-1"/>
        </w:rPr>
        <w:t>微</w:t>
      </w:r>
      <w:r>
        <w:rPr>
          <w:spacing w:val="-108"/>
        </w:rPr>
        <w:t> </w:t>
      </w:r>
      <w:r>
        <w:rPr/>
        <w:t>波技术领域军品的技术开发。同时推进整合公司与子公司之间的研发技术资源，提升技术协 同效应，达成有效创新技术流转机制。</w:t>
      </w:r>
    </w:p>
    <w:p>
      <w:pPr>
        <w:spacing w:line="331" w:lineRule="auto" w:before="117"/>
        <w:ind w:left="1554" w:right="1136" w:firstLine="2"/>
        <w:jc w:val="left"/>
        <w:rPr>
          <w:rFonts w:ascii="宋体" w:hAnsi="宋体" w:cs="宋体" w:eastAsia="宋体" w:hint="default"/>
          <w:sz w:val="24"/>
          <w:szCs w:val="24"/>
        </w:rPr>
      </w:pPr>
      <w:r>
        <w:rPr>
          <w:rFonts w:ascii="宋体" w:hAnsi="宋体" w:cs="宋体" w:eastAsia="宋体" w:hint="default"/>
          <w:b/>
          <w:bCs/>
          <w:sz w:val="24"/>
          <w:szCs w:val="24"/>
        </w:rPr>
        <w:t>（三）公司所属行业的基本情况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公司主要从事电力检测及电力设备、铁路与轨道交通牵引供电装备、军工电子等产品的</w:t>
      </w:r>
    </w:p>
    <w:p>
      <w:pPr>
        <w:pStyle w:val="BodyText"/>
        <w:spacing w:line="229" w:lineRule="exact"/>
        <w:ind w:left="1134" w:right="0"/>
        <w:jc w:val="both"/>
      </w:pPr>
      <w:r>
        <w:rPr/>
        <w:t>研发、生产、销售以及相关技术服务，新能源</w:t>
      </w:r>
      <w:r>
        <w:rPr>
          <w:rFonts w:ascii="Times New Roman" w:hAnsi="Times New Roman" w:cs="Times New Roman" w:eastAsia="Times New Roman" w:hint="default"/>
        </w:rPr>
        <w:t>EPC</w:t>
      </w:r>
      <w:r>
        <w:rPr/>
        <w:t>项目，主要涉及电力、军工、铁路与轨道</w:t>
      </w:r>
    </w:p>
    <w:p>
      <w:pPr>
        <w:pStyle w:val="BodyText"/>
        <w:spacing w:line="304" w:lineRule="exact"/>
        <w:ind w:left="1134" w:right="0"/>
        <w:jc w:val="both"/>
      </w:pPr>
      <w:r>
        <w:rPr/>
        <w:t>交通等三大行业。</w:t>
      </w:r>
    </w:p>
    <w:p>
      <w:pPr>
        <w:pStyle w:val="BodyText"/>
        <w:spacing w:line="312" w:lineRule="auto" w:before="118"/>
        <w:ind w:left="1554" w:right="1011"/>
        <w:jc w:val="left"/>
      </w:pPr>
      <w:r>
        <w:rPr>
          <w:rFonts w:ascii="Times New Roman" w:hAnsi="Times New Roman" w:cs="Times New Roman" w:eastAsia="Times New Roman" w:hint="default"/>
        </w:rPr>
        <w:t>1</w:t>
      </w:r>
      <w:r>
        <w:rPr/>
        <w:t>、电力行业 </w:t>
      </w:r>
      <w:r>
        <w:rPr>
          <w:spacing w:val="-1"/>
        </w:rPr>
        <w:t>公司电力行业主要涉及电力状态检测、监测产品、电测产品、智能配网、其他电力设备、</w:t>
      </w:r>
    </w:p>
    <w:p>
      <w:pPr>
        <w:pStyle w:val="BodyText"/>
        <w:spacing w:line="258" w:lineRule="exact"/>
        <w:ind w:left="1134" w:right="0"/>
        <w:jc w:val="both"/>
      </w:pPr>
      <w:r>
        <w:rPr/>
        <w:t>新能源</w:t>
      </w:r>
      <w:r>
        <w:rPr>
          <w:rFonts w:ascii="Times New Roman" w:hAnsi="Times New Roman" w:cs="Times New Roman" w:eastAsia="Times New Roman" w:hint="default"/>
        </w:rPr>
        <w:t>EPC</w:t>
      </w:r>
      <w:r>
        <w:rPr/>
        <w:t>项目等。</w:t>
      </w:r>
    </w:p>
    <w:p>
      <w:pPr>
        <w:pStyle w:val="BodyText"/>
        <w:spacing w:line="312" w:lineRule="exact" w:before="130"/>
        <w:ind w:right="1132" w:firstLine="420"/>
        <w:jc w:val="both"/>
      </w:pPr>
      <w:r>
        <w:rPr/>
        <w:t>根据电力</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规划，到</w:t>
      </w:r>
      <w:r>
        <w:rPr>
          <w:rFonts w:ascii="Times New Roman" w:hAnsi="Times New Roman" w:cs="Times New Roman" w:eastAsia="Times New Roman" w:hint="default"/>
        </w:rPr>
        <w:t>2020</w:t>
      </w:r>
      <w:r>
        <w:rPr/>
        <w:t>年我国可再生能源发电装机</w:t>
      </w:r>
      <w:r>
        <w:rPr>
          <w:rFonts w:ascii="Times New Roman" w:hAnsi="Times New Roman" w:cs="Times New Roman" w:eastAsia="Times New Roman" w:hint="default"/>
        </w:rPr>
        <w:t>6.8</w:t>
      </w:r>
      <w:r>
        <w:rPr/>
        <w:t>亿千瓦，发电量</w:t>
      </w:r>
      <w:r>
        <w:rPr>
          <w:rFonts w:ascii="Times New Roman" w:hAnsi="Times New Roman" w:cs="Times New Roman" w:eastAsia="Times New Roman" w:hint="default"/>
        </w:rPr>
        <w:t>1.9</w:t>
      </w:r>
      <w:r>
        <w:rPr/>
        <w:t>万亿千 瓦时，占全部发电量的</w:t>
      </w:r>
      <w:r>
        <w:rPr>
          <w:rFonts w:ascii="Times New Roman" w:hAnsi="Times New Roman" w:cs="Times New Roman" w:eastAsia="Times New Roman" w:hint="default"/>
        </w:rPr>
        <w:t>27%</w:t>
      </w:r>
      <w:r>
        <w:rPr/>
        <w:t>，非化石能源占一次能源消费比重将达到</w:t>
      </w:r>
      <w:r>
        <w:rPr>
          <w:rFonts w:ascii="Times New Roman" w:hAnsi="Times New Roman" w:cs="Times New Roman" w:eastAsia="Times New Roman" w:hint="default"/>
        </w:rPr>
        <w:t>15%</w:t>
      </w:r>
      <w:r>
        <w:rPr/>
        <w:t>。</w:t>
      </w:r>
    </w:p>
    <w:p>
      <w:pPr>
        <w:pStyle w:val="BodyText"/>
        <w:spacing w:line="312" w:lineRule="exact" w:before="120"/>
        <w:ind w:right="1130" w:firstLine="420"/>
        <w:jc w:val="both"/>
      </w:pPr>
      <w:r>
        <w:rPr>
          <w:spacing w:val="-3"/>
        </w:rPr>
        <w:t>根据国家能源局《配电网建设改造行动计划（</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期间我国配电</w:t>
      </w:r>
      <w:r>
        <w:rPr/>
        <w:t> 网建设改造投资不低于</w:t>
      </w:r>
      <w:r>
        <w:rPr>
          <w:rFonts w:ascii="Times New Roman" w:hAnsi="Times New Roman" w:cs="Times New Roman" w:eastAsia="Times New Roman" w:hint="default"/>
        </w:rPr>
        <w:t>1.7</w:t>
      </w:r>
      <w:r>
        <w:rPr/>
        <w:t>万亿元，与</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电网基础建设总投资额接近。</w:t>
      </w:r>
    </w:p>
    <w:p>
      <w:pPr>
        <w:pStyle w:val="BodyText"/>
        <w:spacing w:line="312" w:lineRule="exact" w:before="120"/>
        <w:ind w:right="1139" w:firstLine="420"/>
        <w:jc w:val="both"/>
      </w:pPr>
      <w:r>
        <w:rPr>
          <w:spacing w:val="2"/>
        </w:rPr>
        <w:t>在经历了十一五、十二五电网投资后，电网资产的保有量维持在一个极高的水平，并且</w:t>
      </w:r>
      <w:r>
        <w:rPr/>
        <w:t> 随着电力十三五规划的逐步实施，电力行业庞大的存量和增量资产将酝酿巨大的设备检测监 测和运维需求。</w:t>
      </w:r>
    </w:p>
    <w:p>
      <w:pPr>
        <w:pStyle w:val="BodyText"/>
        <w:spacing w:line="312" w:lineRule="auto" w:before="89"/>
        <w:ind w:left="1650" w:right="0" w:hanging="97"/>
        <w:jc w:val="left"/>
      </w:pPr>
      <w:r>
        <w:rPr>
          <w:rFonts w:ascii="Times New Roman" w:hAnsi="Times New Roman" w:cs="Times New Roman" w:eastAsia="Times New Roman" w:hint="default"/>
        </w:rPr>
        <w:t>2</w:t>
      </w:r>
      <w:r>
        <w:rPr/>
        <w:t>、军工行业 </w:t>
      </w:r>
      <w:r>
        <w:rPr>
          <w:spacing w:val="-4"/>
        </w:rPr>
        <w:t>微波混合集成电路相关技术作为新一代信息技术产业的重要组成部分，广泛应用于雷达、</w:t>
      </w:r>
    </w:p>
    <w:p>
      <w:pPr>
        <w:pStyle w:val="BodyText"/>
        <w:spacing w:line="240" w:lineRule="exact"/>
        <w:ind w:left="1134" w:right="0"/>
        <w:jc w:val="both"/>
      </w:pPr>
      <w:r>
        <w:rPr/>
        <w:t>通信、电子对抗等国防军事领域，是国防信息化、数字化、现代化建设的重要基础。</w:t>
      </w:r>
    </w:p>
    <w:p>
      <w:pPr>
        <w:pStyle w:val="BodyText"/>
        <w:spacing w:line="312" w:lineRule="exact" w:before="149"/>
        <w:ind w:right="1135" w:firstLine="420"/>
        <w:jc w:val="both"/>
      </w:pPr>
      <w:r>
        <w:rPr>
          <w:spacing w:val="2"/>
        </w:rPr>
        <w:t>我国国家经济实力不断增强，国防投入持续加大并有进一步提升空间。现代信息化战争</w:t>
      </w:r>
      <w:r>
        <w:rPr/>
        <w:t> 的实质就是对信息优势的争夺和控制，国防信息化建设已经成为国防建设中增长最迅猛的领 域之一。在国防信息化系统中，各种波段的主被动雷达、通信传输以及数据链设备是国防信 息化系统的核心组成，射频微波等基础技术是国防信息化发展的基石。</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35" w:lineRule="auto" w:before="31"/>
        <w:ind w:right="1133" w:firstLine="420"/>
        <w:jc w:val="both"/>
      </w:pPr>
      <w:r>
        <w:rPr/>
        <w:t>根据《国防科技工业中长期科学和技术发展规划纲要（</w:t>
      </w:r>
      <w:r>
        <w:rPr>
          <w:rFonts w:ascii="Times New Roman" w:hAnsi="Times New Roman" w:cs="Times New Roman" w:eastAsia="Times New Roman" w:hint="default"/>
        </w:rPr>
        <w:t>2006-2020</w:t>
      </w:r>
      <w:r>
        <w:rPr/>
        <w:t>）》，未来国防科技工 业将把增强自主创新能力作为发展国防科技的战略基点，加快转型升级，实现高新技术武器 装备研制能力等国防科技重大跨越，提升高新技术武器装备的自主研发和快速供给能力，满 足军队智能化、机械化、信息化复合发展的战略需求。因此，微波混合集成电路产品作为提 升我国武器装备信息化水平的重要产业，仍将会保持持续稳步增长。</w:t>
      </w:r>
    </w:p>
    <w:p>
      <w:pPr>
        <w:pStyle w:val="BodyText"/>
        <w:spacing w:line="312" w:lineRule="exact" w:before="149"/>
        <w:ind w:right="1126" w:firstLine="420"/>
        <w:jc w:val="both"/>
      </w:pPr>
      <w:r>
        <w:rPr>
          <w:spacing w:val="2"/>
        </w:rPr>
        <w:t>此外，军民融合式发展已成为顺应世界新军事变革发展的大趋势。根据国防大学国防经</w:t>
      </w:r>
      <w:r>
        <w:rPr/>
        <w:t> 济研究中心发布的《中国军民融合发展报告</w:t>
      </w:r>
      <w:r>
        <w:rPr>
          <w:rFonts w:ascii="Times New Roman" w:hAnsi="Times New Roman" w:cs="Times New Roman" w:eastAsia="Times New Roman" w:hint="default"/>
        </w:rPr>
        <w:t>2014</w:t>
      </w:r>
      <w:r>
        <w:rPr/>
        <w:t>》显示，我国目前军民融合度在</w:t>
      </w:r>
      <w:r>
        <w:rPr>
          <w:rFonts w:ascii="Times New Roman" w:hAnsi="Times New Roman" w:cs="Times New Roman" w:eastAsia="Times New Roman" w:hint="default"/>
        </w:rPr>
        <w:t>30%</w:t>
      </w:r>
      <w:r>
        <w:rPr/>
        <w:t>左右，</w:t>
      </w:r>
      <w:r>
        <w:rPr>
          <w:spacing w:val="-50"/>
        </w:rPr>
        <w:t> </w:t>
      </w:r>
      <w:r>
        <w:rPr/>
        <w:t>意味着我国的军民融合正处于由发展初期向中期迈进的阶段，处于由初步融合向深度融合推</w:t>
      </w:r>
      <w:r>
        <w:rPr/>
        <w:t> 进的阶段。未来，随着军民融资的深度推进，具有强大研发实力、优秀管理团队、良好市场 声誉的民营企业将迎来巨大的成长空间。</w:t>
      </w:r>
    </w:p>
    <w:p>
      <w:pPr>
        <w:pStyle w:val="BodyText"/>
        <w:spacing w:line="312" w:lineRule="auto" w:before="89"/>
        <w:ind w:left="1554" w:right="1136"/>
        <w:jc w:val="left"/>
      </w:pPr>
      <w:r>
        <w:rPr>
          <w:rFonts w:ascii="Times New Roman" w:hAnsi="Times New Roman" w:cs="Times New Roman" w:eastAsia="Times New Roman" w:hint="default"/>
        </w:rPr>
        <w:t>3</w:t>
      </w:r>
      <w:r>
        <w:rPr/>
        <w:t>、铁路与轨道交通板块 </w:t>
      </w:r>
      <w:r>
        <w:rPr>
          <w:spacing w:val="2"/>
        </w:rPr>
        <w:t>铁路是关系国计民生的交通大动脉，对促进国民经济的发展和社会进步都起到了重要作</w:t>
      </w:r>
    </w:p>
    <w:p>
      <w:pPr>
        <w:pStyle w:val="BodyText"/>
        <w:spacing w:line="248" w:lineRule="exact"/>
        <w:ind w:right="0"/>
        <w:jc w:val="both"/>
      </w:pPr>
      <w:r>
        <w:rPr/>
        <w:t>用，是国家大力扶植的产业。根据国家《铁路</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规划》，到</w:t>
      </w:r>
      <w:r>
        <w:rPr>
          <w:rFonts w:ascii="Times New Roman" w:hAnsi="Times New Roman" w:cs="Times New Roman" w:eastAsia="Times New Roman" w:hint="default"/>
        </w:rPr>
        <w:t>2020</w:t>
      </w:r>
      <w:r>
        <w:rPr/>
        <w:t>年全国铁路营业里程</w:t>
      </w:r>
    </w:p>
    <w:p>
      <w:pPr>
        <w:pStyle w:val="BodyText"/>
        <w:spacing w:line="312" w:lineRule="exact" w:before="20"/>
        <w:ind w:right="1132"/>
        <w:jc w:val="both"/>
      </w:pPr>
      <w:r>
        <w:rPr/>
        <w:t>达到</w:t>
      </w:r>
      <w:r>
        <w:rPr>
          <w:rFonts w:ascii="Times New Roman" w:hAnsi="Times New Roman" w:cs="Times New Roman" w:eastAsia="Times New Roman" w:hint="default"/>
        </w:rPr>
        <w:t>15</w:t>
      </w:r>
      <w:r>
        <w:rPr/>
        <w:t>万公里，其中高速铁路</w:t>
      </w:r>
      <w:r>
        <w:rPr>
          <w:rFonts w:ascii="Times New Roman" w:hAnsi="Times New Roman" w:cs="Times New Roman" w:eastAsia="Times New Roman" w:hint="default"/>
        </w:rPr>
        <w:t>3</w:t>
      </w:r>
      <w:r>
        <w:rPr/>
        <w:t>万公里，复线率和电气化率分别达到</w:t>
      </w:r>
      <w:r>
        <w:rPr>
          <w:rFonts w:ascii="Times New Roman" w:hAnsi="Times New Roman" w:cs="Times New Roman" w:eastAsia="Times New Roman" w:hint="default"/>
        </w:rPr>
        <w:t>60%</w:t>
      </w:r>
      <w:r>
        <w:rPr/>
        <w:t>和</w:t>
      </w:r>
      <w:r>
        <w:rPr>
          <w:rFonts w:ascii="Times New Roman" w:hAnsi="Times New Roman" w:cs="Times New Roman" w:eastAsia="Times New Roman" w:hint="default"/>
        </w:rPr>
        <w:t>70%</w:t>
      </w:r>
      <w:r>
        <w:rPr/>
        <w:t>左右，基本形 成布局合理、覆盖广泛、层次分明、安全高效的铁路网络。</w:t>
      </w:r>
    </w:p>
    <w:p>
      <w:pPr>
        <w:pStyle w:val="BodyText"/>
        <w:spacing w:line="230" w:lineRule="auto" w:before="100"/>
        <w:ind w:right="995" w:firstLine="420"/>
        <w:jc w:val="left"/>
      </w:pPr>
      <w:r>
        <w:rPr>
          <w:spacing w:val="-3"/>
        </w:rPr>
        <w:t>随着国家</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战略的逐步实施，高铁作为</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中互联互通的重要纽带，将获</w:t>
      </w:r>
      <w:r>
        <w:rPr/>
        <w:t> 得良好的发展机遇。我国拥有先进的高铁建设能力和丰富的管理经验。高铁运行里程世界最 </w:t>
      </w:r>
      <w:r>
        <w:rPr>
          <w:spacing w:val="-7"/>
        </w:rPr>
        <w:t>长，地质构造、气候最为复杂。近年来，</w:t>
      </w:r>
      <w:r>
        <w:rPr>
          <w:rFonts w:ascii="Times New Roman" w:hAnsi="Times New Roman" w:cs="Times New Roman" w:eastAsia="Times New Roman" w:hint="default"/>
          <w:spacing w:val="-7"/>
        </w:rPr>
        <w:t>“</w:t>
      </w:r>
      <w:r>
        <w:rPr>
          <w:spacing w:val="-7"/>
        </w:rPr>
        <w:t>中国高铁</w:t>
      </w:r>
      <w:r>
        <w:rPr>
          <w:rFonts w:ascii="Times New Roman" w:hAnsi="Times New Roman" w:cs="Times New Roman" w:eastAsia="Times New Roman" w:hint="default"/>
          <w:spacing w:val="-7"/>
        </w:rPr>
        <w:t>”</w:t>
      </w:r>
      <w:r>
        <w:rPr>
          <w:spacing w:val="-7"/>
        </w:rPr>
        <w:t>已是国家领导人出访的新外交名片，在</w:t>
      </w:r>
      <w:r>
        <w:rPr>
          <w:rFonts w:ascii="Times New Roman" w:hAnsi="Times New Roman" w:cs="Times New Roman" w:eastAsia="Times New Roman" w:hint="default"/>
          <w:spacing w:val="-7"/>
        </w:rPr>
        <w:t>“</w:t>
      </w:r>
      <w:r>
        <w:rPr>
          <w:spacing w:val="-7"/>
        </w:rPr>
        <w:t>高</w:t>
      </w:r>
      <w:r>
        <w:rPr>
          <w:spacing w:val="-103"/>
        </w:rPr>
        <w:t> </w:t>
      </w:r>
      <w:r>
        <w:rPr/>
        <w:t>铁外交</w:t>
      </w:r>
      <w:r>
        <w:rPr>
          <w:rFonts w:ascii="Times New Roman" w:hAnsi="Times New Roman" w:cs="Times New Roman" w:eastAsia="Times New Roman" w:hint="default"/>
        </w:rPr>
        <w:t>”</w:t>
      </w:r>
      <w:r>
        <w:rPr/>
        <w:t>的带动下，经过多年积淀的中国铁路技术，正加快走出去的步伐，展现了高层对我国 </w:t>
      </w:r>
      <w:r>
        <w:rPr>
          <w:spacing w:val="-2"/>
        </w:rPr>
        <w:t>高铁技术的自信，基于政府主导下的高铁外交，在国际场合持续推荐中国的高铁技术和设备，</w:t>
      </w:r>
      <w:r>
        <w:rPr/>
        <w:t> 对于我国的高铁行业积极走出国门，开拓海外市场具有非常强的促进作用，并已取得丰硕的 成果，中国企业中标海外高铁建设项目数量和规模逐步增多。截至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BHI</w:t>
      </w:r>
      <w:r>
        <w:rPr/>
        <w:t>已收 </w:t>
      </w:r>
      <w:r>
        <w:rPr>
          <w:spacing w:val="3"/>
        </w:rPr>
        <w:t>录中国意向</w:t>
      </w:r>
      <w:r>
        <w:rPr>
          <w:rFonts w:ascii="Times New Roman" w:hAnsi="Times New Roman" w:cs="Times New Roman" w:eastAsia="Times New Roman" w:hint="default"/>
          <w:spacing w:val="3"/>
        </w:rPr>
        <w:t>/</w:t>
      </w:r>
      <w:r>
        <w:rPr>
          <w:spacing w:val="3"/>
        </w:rPr>
        <w:t>参与的海外高铁项目</w:t>
      </w:r>
      <w:r>
        <w:rPr>
          <w:rFonts w:ascii="Times New Roman" w:hAnsi="Times New Roman" w:cs="Times New Roman" w:eastAsia="Times New Roman" w:hint="default"/>
          <w:spacing w:val="3"/>
        </w:rPr>
        <w:t>14</w:t>
      </w:r>
      <w:r>
        <w:rPr>
          <w:spacing w:val="3"/>
        </w:rPr>
        <w:t>个，涉及印尼、新加坡、俄罗斯、塞尔维亚等</w:t>
      </w:r>
      <w:r>
        <w:rPr>
          <w:rFonts w:ascii="Times New Roman" w:hAnsi="Times New Roman" w:cs="Times New Roman" w:eastAsia="Times New Roman" w:hint="default"/>
          <w:spacing w:val="3"/>
        </w:rPr>
        <w:t>12</w:t>
      </w:r>
      <w:r>
        <w:rPr>
          <w:spacing w:val="3"/>
        </w:rPr>
        <w:t>个国家</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6"/>
        </w:rPr>
        <w:t> </w:t>
      </w:r>
      <w:r>
        <w:rPr/>
        <w:t>目前海外高铁建设规模已超过人民币</w:t>
      </w:r>
      <w:r>
        <w:rPr>
          <w:rFonts w:ascii="Times New Roman" w:hAnsi="Times New Roman" w:cs="Times New Roman" w:eastAsia="Times New Roman" w:hint="default"/>
        </w:rPr>
        <w:t>3</w:t>
      </w:r>
      <w:r>
        <w:rPr/>
        <w:t>万亿元。</w:t>
      </w:r>
    </w:p>
    <w:p>
      <w:pPr>
        <w:spacing w:line="331" w:lineRule="auto" w:before="102"/>
        <w:ind w:left="1553" w:right="1137" w:firstLine="2"/>
        <w:jc w:val="left"/>
        <w:rPr>
          <w:rFonts w:ascii="宋体" w:hAnsi="宋体" w:cs="宋体" w:eastAsia="宋体" w:hint="default"/>
          <w:sz w:val="24"/>
          <w:szCs w:val="24"/>
        </w:rPr>
      </w:pPr>
      <w:r>
        <w:rPr>
          <w:rFonts w:ascii="宋体" w:hAnsi="宋体" w:cs="宋体" w:eastAsia="宋体" w:hint="default"/>
          <w:b/>
          <w:bCs/>
          <w:sz w:val="24"/>
          <w:szCs w:val="24"/>
        </w:rPr>
        <w:t>（四）公司所处的行业地位</w:t>
      </w:r>
      <w:r>
        <w:rPr>
          <w:rFonts w:ascii="宋体" w:hAnsi="宋体" w:cs="宋体" w:eastAsia="宋体" w:hint="default"/>
          <w:b/>
          <w:bCs/>
          <w:w w:val="99"/>
          <w:sz w:val="24"/>
          <w:szCs w:val="24"/>
        </w:rPr>
        <w:t> </w:t>
      </w:r>
      <w:r>
        <w:rPr>
          <w:rFonts w:ascii="宋体" w:hAnsi="宋体" w:cs="宋体" w:eastAsia="宋体" w:hint="default"/>
          <w:spacing w:val="2"/>
          <w:sz w:val="24"/>
          <w:szCs w:val="24"/>
        </w:rPr>
        <w:t>公司是国内较早推广电力设备状态检测、监测产品的企业，在行业中具有先发优势，积</w:t>
      </w:r>
    </w:p>
    <w:p>
      <w:pPr>
        <w:pStyle w:val="BodyText"/>
        <w:spacing w:line="220" w:lineRule="exact"/>
        <w:ind w:right="0"/>
        <w:jc w:val="both"/>
      </w:pPr>
      <w:r>
        <w:rPr/>
        <w:t>极参与了一些行业标准和电网公司企业标准的制定。全资子公司银川卧龙是国内最早进入电</w:t>
      </w:r>
    </w:p>
    <w:p>
      <w:pPr>
        <w:pStyle w:val="BodyText"/>
        <w:spacing w:line="312" w:lineRule="exact" w:before="29"/>
        <w:ind w:right="1139"/>
        <w:jc w:val="both"/>
      </w:pPr>
      <w:r>
        <w:rPr/>
        <w:t>气化铁路市场的牵引变压器生产厂家之一，也是铁道部牵引变压器科技创新的重要合作单位 之一，在国内铁路牵引变压器市场拥有较高且稳定的市场份额。子公司星波通信一直致力于 微波混合集成电路相关技术在机载、弹载、舰载等多种武器平台上的应用，在该类型军工产 品上保持高质量的水平。同时，公司及子公司将持续不断的进行技术创新，加快发挥多领域 技术协作、业务互助，促成更大的共赢未来。</w:t>
      </w:r>
    </w:p>
    <w:p>
      <w:pPr>
        <w:spacing w:line="331" w:lineRule="auto" w:before="89"/>
        <w:ind w:left="1554" w:right="1136" w:firstLine="2"/>
        <w:jc w:val="left"/>
        <w:rPr>
          <w:rFonts w:ascii="宋体" w:hAnsi="宋体" w:cs="宋体" w:eastAsia="宋体" w:hint="default"/>
          <w:sz w:val="24"/>
          <w:szCs w:val="24"/>
        </w:rPr>
      </w:pPr>
      <w:r>
        <w:rPr>
          <w:rFonts w:ascii="宋体" w:hAnsi="宋体" w:cs="宋体" w:eastAsia="宋体" w:hint="default"/>
          <w:b/>
          <w:bCs/>
          <w:sz w:val="24"/>
          <w:szCs w:val="24"/>
        </w:rPr>
        <w:t>（五）主要的业绩驱动因素</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报告期内，公司继续专注于主营业务、巩固经营成果、稳步发展。一方面，充分利用公</w:t>
      </w:r>
    </w:p>
    <w:p>
      <w:pPr>
        <w:pStyle w:val="BodyText"/>
        <w:spacing w:line="229" w:lineRule="exact"/>
        <w:ind w:left="1134" w:right="0"/>
        <w:jc w:val="both"/>
      </w:pPr>
      <w:r>
        <w:rPr/>
        <w:t>司在电网市场深厚的积淀，积极发展主营业务，做好与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月取得控股权的浙江涵普间</w:t>
      </w:r>
    </w:p>
    <w:p>
      <w:pPr>
        <w:pStyle w:val="BodyText"/>
        <w:spacing w:line="312" w:lineRule="exact" w:before="20"/>
        <w:ind w:left="1134" w:right="1139"/>
        <w:jc w:val="both"/>
      </w:pPr>
      <w:r>
        <w:rPr/>
        <w:t>的协同效应，实现电力设备状态检测监测、智能配网等业务的稳步增长。另一方面，通过借 助资本市场的力量，完成了对银川卧龙、星波通信两家优质企业的并购，银川卧龙、星波通 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月起实现纳入公司合并报表范围，提升公司整体业绩水平。</w:t>
      </w:r>
    </w:p>
    <w:p>
      <w:pPr>
        <w:pStyle w:val="BodyText"/>
        <w:spacing w:line="312" w:lineRule="exact" w:before="120"/>
        <w:ind w:right="1132" w:firstLine="420"/>
        <w:jc w:val="both"/>
      </w:pPr>
      <w:r>
        <w:rPr>
          <w:spacing w:val="2"/>
        </w:rPr>
        <w:t>未来，公司将围绕星波通信着重布局军工电子信息化领域，并继续巩固和加强电力、军</w:t>
      </w:r>
      <w:r>
        <w:rPr/>
        <w:t> 工、铁路与轨道交通各个板块的核心业务，拓展新能源</w:t>
      </w:r>
      <w:r>
        <w:rPr>
          <w:rFonts w:ascii="Times New Roman" w:hAnsi="Times New Roman" w:cs="Times New Roman" w:eastAsia="Times New Roman" w:hint="default"/>
        </w:rPr>
        <w:t>EPC</w:t>
      </w:r>
      <w:r>
        <w:rPr/>
        <w:t>项目，充分发挥各成员企业间的</w:t>
      </w:r>
      <w:r>
        <w:rPr>
          <w:spacing w:val="-60"/>
        </w:rPr>
        <w:t> </w:t>
      </w:r>
      <w:r>
        <w:rPr>
          <w:spacing w:val="-60"/>
        </w:rPr>
      </w:r>
      <w:r>
        <w:rPr/>
        <w:t>技术和渠道优势，拓展公司的销售渠道、夯实公司的技术沉淀、提升公司产品的市场竞争力</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spacing w:line="470" w:lineRule="auto" w:before="26"/>
        <w:ind w:left="1133" w:right="2833" w:firstLine="0"/>
        <w:jc w:val="left"/>
        <w:rPr>
          <w:rFonts w:ascii="宋体" w:hAnsi="宋体" w:cs="宋体" w:eastAsia="宋体" w:hint="default"/>
          <w:sz w:val="24"/>
          <w:szCs w:val="24"/>
        </w:rPr>
      </w:pPr>
      <w:r>
        <w:rPr>
          <w:rFonts w:ascii="宋体" w:hAnsi="宋体" w:cs="宋体" w:eastAsia="宋体" w:hint="default"/>
          <w:sz w:val="24"/>
          <w:szCs w:val="24"/>
        </w:rPr>
        <w:t>和盈利能力，实现各企业协同效应的充分利用，努力为股东创造更大利益。 </w:t>
      </w:r>
      <w:bookmarkStart w:name="二、主要资产重大变化情况" w:id="18"/>
      <w:bookmarkEnd w:id="18"/>
      <w:r>
        <w:rPr>
          <w:rFonts w:ascii="宋体" w:hAnsi="宋体" w:cs="宋体" w:eastAsia="宋体" w:hint="default"/>
          <w:sz w:val="24"/>
          <w:szCs w:val="24"/>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spacing w:before="92"/>
        <w:ind w:left="1133" w:right="0"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11"/>
              <w:jc w:val="right"/>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宋体" w:hAnsi="宋体" w:cs="宋体" w:eastAsia="宋体" w:hint="default"/>
                <w:sz w:val="18"/>
                <w:szCs w:val="18"/>
              </w:rPr>
              <w:t>报告期末，股本较期初增长了</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24.26%</w:t>
            </w:r>
            <w:r>
              <w:rPr>
                <w:rFonts w:ascii="宋体" w:hAnsi="宋体" w:cs="宋体" w:eastAsia="宋体" w:hint="default"/>
                <w:sz w:val="18"/>
                <w:szCs w:val="18"/>
              </w:rPr>
              <w:t>，资本公积较期初增长了</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24214.21%</w:t>
            </w:r>
            <w:r>
              <w:rPr>
                <w:rFonts w:ascii="宋体" w:hAnsi="宋体" w:cs="宋体" w:eastAsia="宋体" w:hint="default"/>
                <w:sz w:val="18"/>
                <w:szCs w:val="18"/>
              </w:rPr>
              <w:t>。主要是 报告期内公司发行股份及现金支付购买银川卧龙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股权和星波通信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67.54%</w:t>
            </w:r>
            <w:r>
              <w:rPr>
                <w:rFonts w:ascii="宋体" w:hAnsi="宋体" w:cs="宋体" w:eastAsia="宋体" w:hint="default"/>
                <w:sz w:val="18"/>
                <w:szCs w:val="18"/>
              </w:rPr>
              <w:t>股权 导致的。</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73"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报告期末，固定资产较期初增长了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288.99%</w:t>
            </w:r>
            <w:r>
              <w:rPr>
                <w:rFonts w:ascii="宋体" w:hAnsi="宋体" w:cs="宋体" w:eastAsia="宋体" w:hint="default"/>
                <w:sz w:val="18"/>
                <w:szCs w:val="18"/>
              </w:rPr>
              <w:t>，主要是由于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w:t>
            </w:r>
          </w:p>
          <w:p>
            <w:pPr>
              <w:pStyle w:val="TableParagraph"/>
              <w:spacing w:line="309" w:lineRule="auto" w:before="61"/>
              <w:ind w:left="16" w:right="21"/>
              <w:jc w:val="left"/>
              <w:rPr>
                <w:rFonts w:ascii="宋体" w:hAnsi="宋体" w:cs="宋体" w:eastAsia="宋体" w:hint="default"/>
                <w:sz w:val="18"/>
                <w:szCs w:val="18"/>
              </w:rPr>
            </w:pPr>
            <w:r>
              <w:rPr>
                <w:rFonts w:ascii="宋体" w:hAnsi="宋体" w:cs="宋体" w:eastAsia="宋体" w:hint="default"/>
                <w:sz w:val="18"/>
                <w:szCs w:val="18"/>
              </w:rPr>
              <w:t>成了银川卧龙和星波通信的兼并收购的交接工作，并从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 </w:t>
            </w:r>
            <w:r>
              <w:rPr>
                <w:rFonts w:ascii="宋体" w:hAnsi="宋体" w:cs="宋体" w:eastAsia="宋体" w:hint="default"/>
                <w:spacing w:val="-1"/>
                <w:sz w:val="18"/>
                <w:szCs w:val="18"/>
              </w:rPr>
              <w:t>入合并范围，因此增加的固定资产主要是银川卧龙和星波通信的固定资产，包括房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屋建筑物、机器设备、运输工具、办公设备等。</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73"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pacing w:val="-3"/>
                <w:sz w:val="18"/>
                <w:szCs w:val="18"/>
              </w:rPr>
              <w:t>报告期末，无形资产较期初增长了</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1998.83%</w:t>
            </w:r>
            <w:r>
              <w:rPr>
                <w:rFonts w:ascii="宋体" w:hAnsi="宋体" w:cs="宋体" w:eastAsia="宋体" w:hint="default"/>
                <w:spacing w:val="-3"/>
                <w:sz w:val="18"/>
                <w:szCs w:val="18"/>
              </w:rPr>
              <w:t>，主要是由于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w:t>
            </w:r>
          </w:p>
          <w:p>
            <w:pPr>
              <w:pStyle w:val="TableParagraph"/>
              <w:spacing w:line="309" w:lineRule="auto" w:before="61"/>
              <w:ind w:left="16" w:right="20"/>
              <w:jc w:val="left"/>
              <w:rPr>
                <w:rFonts w:ascii="宋体" w:hAnsi="宋体" w:cs="宋体" w:eastAsia="宋体" w:hint="default"/>
                <w:sz w:val="18"/>
                <w:szCs w:val="18"/>
              </w:rPr>
            </w:pPr>
            <w:r>
              <w:rPr>
                <w:rFonts w:ascii="宋体" w:hAnsi="宋体" w:cs="宋体" w:eastAsia="宋体" w:hint="default"/>
                <w:sz w:val="18"/>
                <w:szCs w:val="18"/>
              </w:rPr>
              <w:t>成了银川卧龙和星波通信的兼并收购的交接工作，并从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 </w:t>
            </w:r>
            <w:r>
              <w:rPr>
                <w:rFonts w:ascii="宋体" w:hAnsi="宋体" w:cs="宋体" w:eastAsia="宋体" w:hint="default"/>
                <w:spacing w:val="-1"/>
                <w:sz w:val="18"/>
                <w:szCs w:val="18"/>
              </w:rPr>
              <w:t>入合并范围，因此增加的无形资产主要银川卧龙和星波通信的无形资产，包括土地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使用权、专利技术等。</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702"/>
              <w:jc w:val="right"/>
              <w:rPr>
                <w:rFonts w:ascii="宋体" w:hAnsi="宋体" w:cs="宋体" w:eastAsia="宋体" w:hint="default"/>
                <w:sz w:val="18"/>
                <w:szCs w:val="18"/>
              </w:rPr>
            </w:pPr>
            <w:r>
              <w:rPr>
                <w:rFonts w:ascii="宋体" w:hAnsi="宋体" w:cs="宋体" w:eastAsia="宋体" w:hint="default"/>
                <w:sz w:val="18"/>
                <w:szCs w:val="18"/>
              </w:rPr>
              <w:t>报告期末，期初的在建工程都已完工验收入库。</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报告期末，存货较年初增长了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180.97%</w:t>
            </w:r>
            <w:r>
              <w:rPr>
                <w:rFonts w:ascii="宋体" w:hAnsi="宋体" w:cs="宋体" w:eastAsia="宋体" w:hint="default"/>
                <w:sz w:val="18"/>
                <w:szCs w:val="18"/>
              </w:rPr>
              <w:t>，主要是由于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日公司完成了</w:t>
            </w:r>
          </w:p>
          <w:p>
            <w:pPr>
              <w:pStyle w:val="TableParagraph"/>
              <w:spacing w:line="302" w:lineRule="auto" w:before="61"/>
              <w:ind w:left="22" w:right="91"/>
              <w:jc w:val="left"/>
              <w:rPr>
                <w:rFonts w:ascii="宋体" w:hAnsi="宋体" w:cs="宋体" w:eastAsia="宋体" w:hint="default"/>
                <w:sz w:val="18"/>
                <w:szCs w:val="18"/>
              </w:rPr>
            </w:pPr>
            <w:r>
              <w:rPr>
                <w:rFonts w:ascii="宋体" w:hAnsi="宋体" w:cs="宋体" w:eastAsia="宋体" w:hint="default"/>
                <w:sz w:val="18"/>
                <w:szCs w:val="18"/>
              </w:rPr>
              <w:t>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日起将其纳入合 并范围，因此增加的存货主要是银川卧龙和星波通信的存货。</w:t>
            </w:r>
          </w:p>
        </w:tc>
      </w:tr>
      <w:tr>
        <w:trPr>
          <w:trHeight w:val="1338"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报告期末，其他应收款较期初增长了</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89.37%</w:t>
            </w:r>
            <w:r>
              <w:rPr>
                <w:rFonts w:ascii="宋体" w:hAnsi="宋体" w:cs="宋体" w:eastAsia="宋体" w:hint="default"/>
                <w:spacing w:val="-4"/>
                <w:sz w:val="18"/>
                <w:szCs w:val="18"/>
              </w:rPr>
              <w:t>，主要是由于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日公司完</w:t>
            </w:r>
          </w:p>
          <w:p>
            <w:pPr>
              <w:pStyle w:val="TableParagraph"/>
              <w:spacing w:line="309"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成了银川卧龙和星波通信的兼并收购的交接工作，并从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 </w:t>
            </w:r>
            <w:r>
              <w:rPr>
                <w:rFonts w:ascii="宋体" w:hAnsi="宋体" w:cs="宋体" w:eastAsia="宋体" w:hint="default"/>
                <w:spacing w:val="-1"/>
                <w:sz w:val="18"/>
                <w:szCs w:val="18"/>
              </w:rPr>
              <w:t>入合并范围，因此增加的其他应收款主要是银川卧龙的其他应收款，主要是包括投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标保证金。</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报告期末，应收账款较期初增加了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152.53%</w:t>
            </w:r>
            <w:r>
              <w:rPr>
                <w:rFonts w:ascii="宋体" w:hAnsi="宋体" w:cs="宋体" w:eastAsia="宋体" w:hint="default"/>
                <w:sz w:val="18"/>
                <w:szCs w:val="18"/>
              </w:rPr>
              <w:t>，主要是由于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w:t>
            </w:r>
          </w:p>
          <w:p>
            <w:pPr>
              <w:pStyle w:val="TableParagraph"/>
              <w:spacing w:line="302" w:lineRule="auto" w:before="61"/>
              <w:ind w:left="22" w:right="92"/>
              <w:jc w:val="left"/>
              <w:rPr>
                <w:rFonts w:ascii="宋体" w:hAnsi="宋体" w:cs="宋体" w:eastAsia="宋体" w:hint="default"/>
                <w:sz w:val="18"/>
                <w:szCs w:val="18"/>
              </w:rPr>
            </w:pPr>
            <w:r>
              <w:rPr>
                <w:rFonts w:ascii="宋体" w:hAnsi="宋体" w:cs="宋体" w:eastAsia="宋体" w:hint="default"/>
                <w:sz w:val="18"/>
                <w:szCs w:val="18"/>
              </w:rPr>
              <w:t>成了银川卧龙和星波通信的兼并收购的交接工作，并从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 入合并范围，因此增加的应收账款主要是银川卧龙和星波通信的应收账款。</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报告期末，应收票据较期初增加了</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2171.54%</w:t>
            </w:r>
            <w:r>
              <w:rPr>
                <w:rFonts w:ascii="宋体" w:hAnsi="宋体" w:cs="宋体" w:eastAsia="宋体" w:hint="default"/>
                <w:spacing w:val="-3"/>
                <w:sz w:val="18"/>
                <w:szCs w:val="18"/>
              </w:rPr>
              <w:t>，主要是由于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日公司完</w:t>
            </w:r>
          </w:p>
          <w:p>
            <w:pPr>
              <w:pStyle w:val="TableParagraph"/>
              <w:spacing w:line="302" w:lineRule="auto" w:before="61"/>
              <w:ind w:left="22" w:right="92"/>
              <w:jc w:val="left"/>
              <w:rPr>
                <w:rFonts w:ascii="宋体" w:hAnsi="宋体" w:cs="宋体" w:eastAsia="宋体" w:hint="default"/>
                <w:sz w:val="18"/>
                <w:szCs w:val="18"/>
              </w:rPr>
            </w:pPr>
            <w:r>
              <w:rPr>
                <w:rFonts w:ascii="宋体" w:hAnsi="宋体" w:cs="宋体" w:eastAsia="宋体" w:hint="default"/>
                <w:sz w:val="18"/>
                <w:szCs w:val="18"/>
              </w:rPr>
              <w:t>成了银川卧龙和星波通信的兼并收购的交接工作，并从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日起将其纳 入合并范围，因此增加的应收票据主要是银川卧龙和星波通信的票据。</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报告期末，商誉较期初增长了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25995.01%</w:t>
            </w:r>
            <w:r>
              <w:rPr>
                <w:rFonts w:ascii="宋体" w:hAnsi="宋体" w:cs="宋体" w:eastAsia="宋体" w:hint="default"/>
                <w:sz w:val="18"/>
                <w:szCs w:val="18"/>
              </w:rPr>
              <w:t>，主要是增加是报告期内公司收购兼并银 川卧龙和星波通信形成的商誉。</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12" w:lineRule="auto" w:before="59"/>
        <w:ind w:left="1553" w:right="113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、技术和研发优势</w:t>
      </w:r>
      <w:r>
        <w:rPr>
          <w:rFonts w:ascii="宋体" w:hAnsi="宋体" w:cs="宋体" w:eastAsia="宋体" w:hint="default"/>
          <w:b/>
          <w:bCs/>
          <w:w w:val="99"/>
          <w:sz w:val="24"/>
          <w:szCs w:val="24"/>
        </w:rPr>
        <w:t> </w:t>
      </w:r>
      <w:r>
        <w:rPr>
          <w:rFonts w:ascii="宋体" w:hAnsi="宋体" w:cs="宋体" w:eastAsia="宋体" w:hint="default"/>
          <w:spacing w:val="2"/>
          <w:sz w:val="24"/>
          <w:szCs w:val="24"/>
        </w:rPr>
        <w:t>作为国内较早涉足电力设备状态检测、监测行业的企业之一，公司在该领域积累了丰富</w:t>
      </w:r>
    </w:p>
    <w:p>
      <w:pPr>
        <w:pStyle w:val="BodyText"/>
        <w:spacing w:line="239" w:lineRule="exact"/>
        <w:ind w:right="0"/>
        <w:jc w:val="left"/>
      </w:pPr>
      <w:r>
        <w:rPr/>
        <w:t>的技术和经验。在互感器检测、局部放电检测、电测装置、配网自动化等系列产品的开发和</w:t>
      </w:r>
    </w:p>
    <w:p>
      <w:pPr>
        <w:pStyle w:val="BodyText"/>
        <w:spacing w:line="312" w:lineRule="exact" w:before="29"/>
        <w:ind w:right="0"/>
        <w:jc w:val="left"/>
      </w:pPr>
      <w:r>
        <w:rPr>
          <w:spacing w:val="-3"/>
        </w:rPr>
        <w:t>持续完善。在红外、声学、变频等专业技术领域完成一定的技术积累并开发相关的系列产品。</w:t>
      </w:r>
      <w:r>
        <w:rPr>
          <w:spacing w:val="-81"/>
        </w:rPr>
        <w:t> </w:t>
      </w:r>
      <w:r>
        <w:rPr>
          <w:spacing w:val="-81"/>
        </w:rPr>
      </w:r>
      <w:r>
        <w:rPr/>
        <w:t>拥有专业化的研发团队和相对完备的研发平台并形成了一系列的先进技术成果。</w:t>
      </w:r>
    </w:p>
    <w:p>
      <w:pPr>
        <w:pStyle w:val="BodyText"/>
        <w:spacing w:line="312" w:lineRule="exact" w:before="120"/>
        <w:ind w:right="1133" w:firstLine="420"/>
        <w:jc w:val="both"/>
      </w:pPr>
      <w:r>
        <w:rPr/>
        <w:t>报告期内，公司收购的星波通信主要工程技术人员在射频</w:t>
      </w:r>
      <w:r>
        <w:rPr>
          <w:rFonts w:ascii="Times New Roman" w:hAnsi="Times New Roman" w:cs="Times New Roman" w:eastAsia="Times New Roman" w:hint="default"/>
        </w:rPr>
        <w:t>/</w:t>
      </w:r>
      <w:r>
        <w:rPr/>
        <w:t>微波领域拥有十年以上设计开 发经验，在射频滤波技术、频率综合技术、多芯片微组装技术等方面积累了丰富的经验和知 识，在微波电路与机械结构一体化设计方面具备优良的综合能力。凭借十余年来的技术应用 积累，星波通信具备了将研发技术成果转化为产品并规模化生产的能力，产品受到客户的高 度认可。</w:t>
      </w:r>
    </w:p>
    <w:p>
      <w:pPr>
        <w:pStyle w:val="BodyText"/>
        <w:spacing w:line="235" w:lineRule="auto" w:before="95"/>
        <w:ind w:right="1129" w:firstLine="420"/>
        <w:jc w:val="both"/>
      </w:pPr>
      <w:r>
        <w:rPr>
          <w:spacing w:val="2"/>
        </w:rPr>
        <w:t>报告期内，公司收购的银川卧龙是国内最早进入电气化铁路市场的牵引变压器生产厂家</w:t>
      </w:r>
      <w:r>
        <w:rPr/>
        <w:t> 之一，在铁路牵引变压器方面拥有丰富的研发设计经验，配备了经验丰富且年龄结构层次合</w:t>
      </w:r>
      <w:r>
        <w:rPr>
          <w:spacing w:val="-113"/>
        </w:rPr>
        <w:t> </w:t>
      </w:r>
      <w:r>
        <w:rPr>
          <w:spacing w:val="-113"/>
        </w:rPr>
      </w:r>
      <w:r>
        <w:rPr/>
        <w:t>理的研发团队，掌握了多项铁路牵引变压器相关核心技术，研发、生产技术处于行业内领先 水平。银川卧龙注重新产品的研究和开发，长期同西南交大等院校和国内多名工程院院士进 行科技创新合作，同时也是铁道部牵引变压器科技创新的重要合作单位之一，参与了原铁道 部</w:t>
      </w:r>
      <w:r>
        <w:rPr>
          <w:rFonts w:ascii="Times New Roman" w:hAnsi="Times New Roman" w:cs="Times New Roman" w:eastAsia="Times New Roman" w:hint="default"/>
        </w:rPr>
        <w:t>110kV</w:t>
      </w:r>
      <w:r>
        <w:rPr/>
        <w:t>平衡牵引变压器项目、胶济线</w:t>
      </w:r>
      <w:r>
        <w:rPr>
          <w:rFonts w:ascii="Times New Roman" w:hAnsi="Times New Roman" w:cs="Times New Roman" w:eastAsia="Times New Roman" w:hint="default"/>
        </w:rPr>
        <w:t>220kV</w:t>
      </w:r>
      <w:r>
        <w:rPr/>
        <w:t>单相牵引变压器项目、浙赣线</w:t>
      </w:r>
      <w:r>
        <w:rPr>
          <w:rFonts w:ascii="Times New Roman" w:hAnsi="Times New Roman" w:cs="Times New Roman" w:eastAsia="Times New Roman" w:hint="default"/>
        </w:rPr>
        <w:t>220kV</w:t>
      </w:r>
      <w:r>
        <w:rPr/>
        <w:t>的</w:t>
      </w:r>
      <w:r>
        <w:rPr>
          <w:rFonts w:ascii="Times New Roman" w:hAnsi="Times New Roman" w:cs="Times New Roman" w:eastAsia="Times New Roman" w:hint="default"/>
        </w:rPr>
        <w:t>V/V</w:t>
      </w:r>
      <w:r>
        <w:rPr/>
        <w:t>牵引</w:t>
      </w:r>
      <w:r>
        <w:rPr>
          <w:spacing w:val="-71"/>
        </w:rPr>
        <w:t> </w:t>
      </w:r>
      <w:r>
        <w:rPr/>
        <w:t>变压器项目、移动式牵引变电站项目、武广高铁牵引变压器项目等多项重点科技项目。</w:t>
      </w:r>
    </w:p>
    <w:p>
      <w:pPr>
        <w:pStyle w:val="BodyText"/>
        <w:spacing w:line="312" w:lineRule="exact" w:before="149"/>
        <w:ind w:left="1134" w:right="1132" w:firstLine="420"/>
        <w:jc w:val="both"/>
      </w:pPr>
      <w:r>
        <w:rPr>
          <w:spacing w:val="-6"/>
        </w:rPr>
        <w:t>截至本报告期末，公司已获得</w:t>
      </w:r>
      <w:r>
        <w:rPr>
          <w:rFonts w:ascii="Times New Roman" w:hAnsi="Times New Roman" w:cs="Times New Roman" w:eastAsia="Times New Roman" w:hint="default"/>
          <w:spacing w:val="-6"/>
        </w:rPr>
        <w:t>25</w:t>
      </w:r>
      <w:r>
        <w:rPr>
          <w:spacing w:val="-6"/>
        </w:rPr>
        <w:t>项发明专利，</w:t>
      </w:r>
      <w:r>
        <w:rPr>
          <w:rFonts w:ascii="Times New Roman" w:hAnsi="Times New Roman" w:cs="Times New Roman" w:eastAsia="Times New Roman" w:hint="default"/>
          <w:spacing w:val="-6"/>
        </w:rPr>
        <w:t>125</w:t>
      </w:r>
      <w:r>
        <w:rPr>
          <w:spacing w:val="-6"/>
        </w:rPr>
        <w:t>项实用新型专利，</w:t>
      </w:r>
      <w:r>
        <w:rPr>
          <w:rFonts w:ascii="Times New Roman" w:hAnsi="Times New Roman" w:cs="Times New Roman" w:eastAsia="Times New Roman" w:hint="default"/>
          <w:spacing w:val="-6"/>
        </w:rPr>
        <w:t>76</w:t>
      </w:r>
      <w:r>
        <w:rPr>
          <w:spacing w:val="-6"/>
        </w:rPr>
        <w:t>项软件著作权。</w:t>
      </w:r>
      <w:r>
        <w:rPr>
          <w:rFonts w:ascii="Times New Roman" w:hAnsi="Times New Roman" w:cs="Times New Roman" w:eastAsia="Times New Roman" w:hint="default"/>
          <w:spacing w:val="-6"/>
        </w:rPr>
        <w:t>2009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2015</w:t>
      </w:r>
      <w:r>
        <w:rPr/>
        <w:t>年公司被认定为</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w:t>
      </w:r>
    </w:p>
    <w:p>
      <w:pPr>
        <w:pStyle w:val="BodyText"/>
        <w:spacing w:line="312" w:lineRule="auto" w:before="89"/>
        <w:ind w:left="1554" w:right="1136" w:firstLine="2"/>
        <w:jc w:val="left"/>
      </w:pPr>
      <w:r>
        <w:rPr>
          <w:rFonts w:ascii="Times New Roman" w:hAnsi="Times New Roman" w:cs="Times New Roman" w:eastAsia="Times New Roman" w:hint="default"/>
          <w:b/>
          <w:bCs/>
        </w:rPr>
        <w:t>2</w:t>
      </w:r>
      <w:r>
        <w:rPr>
          <w:rFonts w:ascii="宋体" w:hAnsi="宋体" w:cs="宋体" w:eastAsia="宋体" w:hint="default"/>
          <w:b/>
          <w:bCs/>
        </w:rPr>
        <w:t>、营销优势</w:t>
      </w:r>
      <w:r>
        <w:rPr>
          <w:rFonts w:ascii="宋体" w:hAnsi="宋体" w:cs="宋体" w:eastAsia="宋体" w:hint="default"/>
          <w:b/>
          <w:bCs/>
          <w:w w:val="99"/>
        </w:rPr>
        <w:t> </w:t>
      </w:r>
      <w:r>
        <w:rPr>
          <w:spacing w:val="2"/>
        </w:rPr>
        <w:t>公司拥有一支经验丰富、业务能力较强、忠诚度较高的营销团队，建立了完善、高效、</w:t>
      </w:r>
    </w:p>
    <w:p>
      <w:pPr>
        <w:pStyle w:val="BodyText"/>
        <w:spacing w:line="239" w:lineRule="exact"/>
        <w:ind w:left="1134" w:right="0"/>
        <w:jc w:val="left"/>
      </w:pPr>
      <w:r>
        <w:rPr/>
        <w:t>灵活的营销管理体系，设立了覆盖电力、军工、铁路与轨道交通行业内各级用户的营销服务</w:t>
      </w:r>
    </w:p>
    <w:p>
      <w:pPr>
        <w:pStyle w:val="BodyText"/>
        <w:spacing w:line="313" w:lineRule="exact"/>
        <w:ind w:left="1134" w:right="0"/>
        <w:jc w:val="left"/>
      </w:pPr>
      <w:r>
        <w:rPr/>
        <w:t>网络。</w:t>
      </w:r>
    </w:p>
    <w:p>
      <w:pPr>
        <w:pStyle w:val="BodyText"/>
        <w:spacing w:line="240" w:lineRule="auto" w:before="118"/>
        <w:ind w:left="1554" w:right="0"/>
        <w:jc w:val="left"/>
      </w:pPr>
      <w:r>
        <w:rPr/>
        <w:t>公司及各重要子公司均具有深厚的历史沉淀和良好的市场口碑，其中：</w:t>
      </w:r>
    </w:p>
    <w:p>
      <w:pPr>
        <w:pStyle w:val="BodyText"/>
        <w:spacing w:line="312" w:lineRule="exact" w:before="148"/>
        <w:ind w:right="995" w:firstLine="420"/>
        <w:jc w:val="left"/>
      </w:pPr>
      <w:r>
        <w:rPr/>
        <w:t>（</w:t>
      </w:r>
      <w:r>
        <w:rPr>
          <w:rFonts w:ascii="Times New Roman" w:hAnsi="Times New Roman" w:cs="Times New Roman" w:eastAsia="Times New Roman" w:hint="default"/>
        </w:rPr>
        <w:t>1</w:t>
      </w:r>
      <w:r>
        <w:rPr/>
        <w:t>）作为国内较早推广电力设备状态检测、监测业务的企业，公司自成立初始即开始从 事电力设备状态检测、监测产品的销售和技术服务业务。在国内电力行业对状态检测、监测 </w:t>
      </w:r>
      <w:r>
        <w:rPr>
          <w:spacing w:val="-2"/>
        </w:rPr>
        <w:t>尚缺乏认识、行业整体上处于萌芽阶段的时候，公司进行了大量的技术宣贯和推广应用工作，</w:t>
      </w:r>
      <w:r>
        <w:rPr/>
        <w:t> 为推动行业的发展做出了贡献，并在用户中树立了良好的形象。公司受邀参与上海世博会、 广州亚运会、博鳌亚洲论坛、厦门金砖国家领导人会晤等国家重大事项的保供电任务，树立 起了</w:t>
      </w:r>
      <w:r>
        <w:rPr>
          <w:rFonts w:ascii="Times New Roman" w:hAnsi="Times New Roman" w:cs="Times New Roman" w:eastAsia="Times New Roman" w:hint="default"/>
        </w:rPr>
        <w:t>“</w:t>
      </w:r>
      <w:r>
        <w:rPr/>
        <w:t>红相</w:t>
      </w:r>
      <w:r>
        <w:rPr>
          <w:rFonts w:ascii="Times New Roman" w:hAnsi="Times New Roman" w:cs="Times New Roman" w:eastAsia="Times New Roman" w:hint="default"/>
        </w:rPr>
        <w:t>”</w:t>
      </w:r>
      <w:r>
        <w:rPr/>
        <w:t>品牌的良好市场形象。</w:t>
      </w:r>
    </w:p>
    <w:p>
      <w:pPr>
        <w:pStyle w:val="BodyText"/>
        <w:spacing w:line="312" w:lineRule="exact" w:before="120"/>
        <w:ind w:left="1134" w:right="1131" w:firstLine="420"/>
        <w:jc w:val="both"/>
      </w:pPr>
      <w:r>
        <w:rPr>
          <w:spacing w:val="-1"/>
        </w:rPr>
        <w:t>（</w:t>
      </w:r>
      <w:r>
        <w:rPr>
          <w:rFonts w:ascii="Times New Roman" w:hAnsi="Times New Roman" w:cs="Times New Roman" w:eastAsia="Times New Roman" w:hint="default"/>
          <w:spacing w:val="-1"/>
        </w:rPr>
        <w:t>2</w:t>
      </w:r>
      <w:r>
        <w:rPr>
          <w:spacing w:val="-1"/>
        </w:rPr>
        <w:t>）涵普电力的品牌创办已有</w:t>
      </w:r>
      <w:r>
        <w:rPr>
          <w:rFonts w:ascii="Times New Roman" w:hAnsi="Times New Roman" w:cs="Times New Roman" w:eastAsia="Times New Roman" w:hint="default"/>
          <w:spacing w:val="-1"/>
        </w:rPr>
        <w:t>20</w:t>
      </w:r>
      <w:r>
        <w:rPr>
          <w:spacing w:val="-1"/>
        </w:rPr>
        <w:t>多年的历史，其产品已广泛应用于国内三分之二的发电</w:t>
      </w:r>
      <w:r>
        <w:rPr/>
        <w:t> 企业，其产品在国内发电领域的细分市场具有较高的市场份额和优质的客户资源。</w:t>
      </w:r>
    </w:p>
    <w:p>
      <w:pPr>
        <w:pStyle w:val="BodyText"/>
        <w:spacing w:line="312" w:lineRule="exact" w:before="120"/>
        <w:ind w:right="1131" w:firstLine="420"/>
        <w:jc w:val="both"/>
      </w:pPr>
      <w:r>
        <w:rPr>
          <w:spacing w:val="-1"/>
        </w:rPr>
        <w:t>（</w:t>
      </w:r>
      <w:r>
        <w:rPr>
          <w:rFonts w:ascii="Times New Roman" w:hAnsi="Times New Roman" w:cs="Times New Roman" w:eastAsia="Times New Roman" w:hint="default"/>
          <w:spacing w:val="-1"/>
        </w:rPr>
        <w:t>3</w:t>
      </w:r>
      <w:r>
        <w:rPr>
          <w:spacing w:val="-1"/>
        </w:rPr>
        <w:t>）银川卧龙的牵引变压器是保障铁路运输的主要动力来源，多年来银川卧龙提供的产</w:t>
      </w:r>
      <w:r>
        <w:rPr/>
        <w:t> 品一直保持着较高的产品可靠性和稳定性，运行记录良好，且参与了多项牵引变压器的重点</w:t>
      </w:r>
      <w:r>
        <w:rPr>
          <w:spacing w:val="-115"/>
        </w:rPr>
        <w:t> </w:t>
      </w:r>
      <w:r>
        <w:rPr>
          <w:spacing w:val="-115"/>
        </w:rPr>
      </w:r>
      <w:r>
        <w:rPr/>
        <w:t>科技创新项目，在业内享有较高的声誉。</w:t>
      </w:r>
    </w:p>
    <w:p>
      <w:pPr>
        <w:pStyle w:val="BodyText"/>
        <w:spacing w:line="240" w:lineRule="auto" w:before="89"/>
        <w:ind w:left="1554" w:right="0"/>
        <w:jc w:val="left"/>
      </w:pPr>
      <w:r>
        <w:rPr/>
        <w:t>（</w:t>
      </w:r>
      <w:r>
        <w:rPr>
          <w:rFonts w:ascii="Times New Roman" w:hAnsi="Times New Roman" w:cs="Times New Roman" w:eastAsia="Times New Roman" w:hint="default"/>
        </w:rPr>
        <w:t>4</w:t>
      </w:r>
      <w:r>
        <w:rPr/>
        <w:t>）星波通信是国内民营军工企业中从事射频</w:t>
      </w:r>
      <w:r>
        <w:rPr>
          <w:rFonts w:ascii="Times New Roman" w:hAnsi="Times New Roman" w:cs="Times New Roman" w:eastAsia="Times New Roman" w:hint="default"/>
        </w:rPr>
        <w:t>/</w:t>
      </w:r>
      <w:r>
        <w:rPr/>
        <w:t>微波专业的知名企业，其射频</w:t>
      </w:r>
      <w:r>
        <w:rPr>
          <w:rFonts w:ascii="Times New Roman" w:hAnsi="Times New Roman" w:cs="Times New Roman" w:eastAsia="Times New Roman" w:hint="default"/>
        </w:rPr>
        <w:t>/</w:t>
      </w:r>
      <w:r>
        <w:rPr/>
        <w:t>微波产品</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自交付部队以来一直保持着优秀的历史运行业绩和良好的品牌效应，在客户中树立了良好的 市场知名度和美誉度。</w:t>
      </w:r>
    </w:p>
    <w:p>
      <w:pPr>
        <w:pStyle w:val="BodyText"/>
        <w:spacing w:line="312" w:lineRule="auto" w:before="89"/>
        <w:ind w:left="1553" w:right="1137" w:firstLine="2"/>
        <w:jc w:val="left"/>
      </w:pPr>
      <w:r>
        <w:rPr>
          <w:rFonts w:ascii="Times New Roman" w:hAnsi="Times New Roman" w:cs="Times New Roman" w:eastAsia="Times New Roman" w:hint="default"/>
          <w:b/>
          <w:bCs/>
        </w:rPr>
        <w:t>3</w:t>
      </w:r>
      <w:r>
        <w:rPr>
          <w:rFonts w:ascii="宋体" w:hAnsi="宋体" w:cs="宋体" w:eastAsia="宋体" w:hint="default"/>
          <w:b/>
          <w:bCs/>
        </w:rPr>
        <w:t>、人才优势</w:t>
      </w:r>
      <w:r>
        <w:rPr>
          <w:rFonts w:ascii="宋体" w:hAnsi="宋体" w:cs="宋体" w:eastAsia="宋体" w:hint="default"/>
          <w:b/>
          <w:bCs/>
          <w:w w:val="99"/>
        </w:rPr>
        <w:t> </w:t>
      </w:r>
      <w:r>
        <w:rPr>
          <w:spacing w:val="2"/>
        </w:rPr>
        <w:t>人才是企业发展的基石，公司一直以来都非常重视人才队伍的建设。经过多年的发展，</w:t>
      </w:r>
    </w:p>
    <w:p>
      <w:pPr>
        <w:pStyle w:val="BodyText"/>
        <w:spacing w:line="239" w:lineRule="exact"/>
        <w:ind w:right="0"/>
        <w:jc w:val="both"/>
      </w:pPr>
      <w:r>
        <w:rPr/>
        <w:t>公司已建立起一支稳定且富有创新精神的人才队伍。公司的经营管理层除依托自身敏锐的洞</w:t>
      </w:r>
    </w:p>
    <w:p>
      <w:pPr>
        <w:pStyle w:val="BodyText"/>
        <w:spacing w:line="312" w:lineRule="exact" w:before="29"/>
        <w:ind w:right="1139"/>
        <w:jc w:val="both"/>
      </w:pPr>
      <w:r>
        <w:rPr/>
        <w:t>察力和良好的机会把握能力外，还不断的寻求和建立外部决策咨询机制，与众多高校、行业 专家保持着密切的沟通和交流机制，及时获取行业前沿咨询和人才信息，从而确保公司实时 跟进市场发展动向和源源不断的人才输入。</w:t>
      </w:r>
    </w:p>
    <w:p>
      <w:pPr>
        <w:spacing w:after="0" w:line="312" w:lineRule="exact"/>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28"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t>公司积极推进并落实</w:t>
      </w:r>
      <w:r>
        <w:rPr>
          <w:rFonts w:ascii="Times New Roman" w:hAnsi="Times New Roman" w:cs="Times New Roman" w:eastAsia="Times New Roman" w:hint="default"/>
        </w:rPr>
        <w:t>“</w:t>
      </w:r>
      <w:r>
        <w:rPr/>
        <w:t>内生</w:t>
      </w:r>
      <w:r>
        <w:rPr>
          <w:rFonts w:ascii="Times New Roman" w:hAnsi="Times New Roman" w:cs="Times New Roman" w:eastAsia="Times New Roman" w:hint="default"/>
        </w:rPr>
        <w:t>+</w:t>
      </w:r>
      <w:r>
        <w:rPr/>
        <w:t>外延</w:t>
      </w:r>
      <w:r>
        <w:rPr>
          <w:rFonts w:ascii="Times New Roman" w:hAnsi="Times New Roman" w:cs="Times New Roman" w:eastAsia="Times New Roman" w:hint="default"/>
        </w:rPr>
        <w:t>”</w:t>
      </w:r>
      <w:r>
        <w:rPr/>
        <w:t>的发展战略，一方面，完成银川卧龙</w:t>
      </w:r>
      <w:r>
        <w:rPr>
          <w:rFonts w:ascii="Times New Roman" w:hAnsi="Times New Roman" w:cs="Times New Roman" w:eastAsia="Times New Roman" w:hint="default"/>
        </w:rPr>
        <w:t>100%</w:t>
      </w:r>
      <w:r>
        <w:rPr/>
        <w:t>股权</w:t>
      </w:r>
      <w:r>
        <w:rPr>
          <w:spacing w:val="2"/>
        </w:rPr>
        <w:t> 和星波通信</w:t>
      </w:r>
      <w:r>
        <w:rPr>
          <w:rFonts w:ascii="Times New Roman" w:hAnsi="Times New Roman" w:cs="Times New Roman" w:eastAsia="Times New Roman" w:hint="default"/>
          <w:spacing w:val="2"/>
        </w:rPr>
        <w:t>67.54%</w:t>
      </w:r>
      <w:r>
        <w:rPr>
          <w:spacing w:val="2"/>
        </w:rPr>
        <w:t>股权收购的重大资产重组项目，并于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月实现纳入公司合并报表范</w:t>
      </w:r>
      <w:r>
        <w:rPr>
          <w:spacing w:val="-90"/>
        </w:rPr>
        <w:t> </w:t>
      </w:r>
      <w:r>
        <w:rPr>
          <w:spacing w:val="-90"/>
        </w:rPr>
      </w:r>
      <w:r>
        <w:rPr/>
        <w:t>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月启动创业板非公开发行股票事项。另一方面，通过自有资金投入和优化募集</w:t>
      </w:r>
      <w:r>
        <w:rPr>
          <w:spacing w:val="-108"/>
        </w:rPr>
        <w:t> </w:t>
      </w:r>
      <w:r>
        <w:rPr>
          <w:spacing w:val="-108"/>
        </w:rPr>
      </w:r>
      <w:r>
        <w:rPr/>
        <w:t>资金配置实施的</w:t>
      </w:r>
      <w:r>
        <w:rPr>
          <w:rFonts w:ascii="Times New Roman" w:hAnsi="Times New Roman" w:cs="Times New Roman" w:eastAsia="Times New Roman" w:hint="default"/>
        </w:rPr>
        <w:t>“</w:t>
      </w:r>
      <w:r>
        <w:rPr/>
        <w:t>研发中心扩建项目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高压电气设备故障仿真试验室建设项目</w:t>
      </w:r>
      <w:r>
        <w:rPr>
          <w:rFonts w:ascii="Times New Roman" w:hAnsi="Times New Roman" w:cs="Times New Roman" w:eastAsia="Times New Roman" w:hint="default"/>
        </w:rPr>
        <w:t>”</w:t>
      </w:r>
      <w:r>
        <w:rPr/>
        <w:t>也完成了主</w:t>
      </w:r>
      <w:r>
        <w:rPr>
          <w:spacing w:val="-42"/>
        </w:rPr>
        <w:t> </w:t>
      </w:r>
      <w:r>
        <w:rPr/>
        <w:t>体建设和设备安装、调试，公司的研发实力和实验能力得到进一步的提升。</w:t>
      </w:r>
    </w:p>
    <w:p>
      <w:pPr>
        <w:pStyle w:val="BodyText"/>
        <w:spacing w:line="225" w:lineRule="auto" w:before="106"/>
        <w:ind w:left="1134" w:right="1132" w:firstLine="480"/>
        <w:jc w:val="both"/>
      </w:pPr>
      <w:r>
        <w:rPr>
          <w:spacing w:val="-2"/>
        </w:rPr>
        <w:t>报告期内，公司在合并报表范围内实现营业收入</w:t>
      </w:r>
      <w:r>
        <w:rPr>
          <w:rFonts w:ascii="Times New Roman" w:hAnsi="Times New Roman" w:cs="Times New Roman" w:eastAsia="Times New Roman" w:hint="default"/>
          <w:spacing w:val="-2"/>
        </w:rPr>
        <w:t>743,861,467.27</w:t>
      </w:r>
      <w:r>
        <w:rPr>
          <w:spacing w:val="-2"/>
        </w:rPr>
        <w:t>元，同比增长</w:t>
      </w:r>
      <w:r>
        <w:rPr>
          <w:rFonts w:ascii="Times New Roman" w:hAnsi="Times New Roman" w:cs="Times New Roman" w:eastAsia="Times New Roman" w:hint="default"/>
          <w:spacing w:val="-2"/>
        </w:rPr>
        <w:t>81.18%</w:t>
      </w:r>
      <w:r>
        <w:rPr>
          <w:spacing w:val="-2"/>
        </w:rPr>
        <w:t>；营</w:t>
      </w:r>
      <w:r>
        <w:rPr>
          <w:spacing w:val="-15"/>
        </w:rPr>
        <w:t> </w:t>
      </w:r>
      <w:r>
        <w:rPr/>
        <w:t>业利润</w:t>
      </w:r>
      <w:r>
        <w:rPr>
          <w:rFonts w:ascii="Times New Roman" w:hAnsi="Times New Roman" w:cs="Times New Roman" w:eastAsia="Times New Roman" w:hint="default"/>
        </w:rPr>
        <w:t>157,534,690.10</w:t>
      </w:r>
      <w:r>
        <w:rPr/>
        <w:t>元，同比增长</w:t>
      </w:r>
      <w:r>
        <w:rPr>
          <w:rFonts w:ascii="Times New Roman" w:hAnsi="Times New Roman" w:cs="Times New Roman" w:eastAsia="Times New Roman" w:hint="default"/>
        </w:rPr>
        <w:t>74.99%</w:t>
      </w:r>
      <w:r>
        <w:rPr/>
        <w:t>；利润总额</w:t>
      </w:r>
      <w:r>
        <w:rPr>
          <w:rFonts w:ascii="Times New Roman" w:hAnsi="Times New Roman" w:cs="Times New Roman" w:eastAsia="Times New Roman" w:hint="default"/>
        </w:rPr>
        <w:t>157,052,712.52</w:t>
      </w:r>
      <w:r>
        <w:rPr/>
        <w:t>元，同比增长</w:t>
      </w:r>
      <w:r>
        <w:rPr>
          <w:rFonts w:ascii="Times New Roman" w:hAnsi="Times New Roman" w:cs="Times New Roman" w:eastAsia="Times New Roman" w:hint="default"/>
        </w:rPr>
        <w:t>55.83%</w:t>
      </w:r>
      <w:r>
        <w:rPr/>
        <w:t>，</w:t>
      </w:r>
      <w:r>
        <w:rPr>
          <w:spacing w:val="-20"/>
        </w:rPr>
        <w:t> </w:t>
      </w:r>
      <w:r>
        <w:rPr/>
        <w:t>归属于上市公司普通股股东的净利润</w:t>
      </w:r>
      <w:r>
        <w:rPr>
          <w:rFonts w:ascii="Times New Roman" w:hAnsi="Times New Roman" w:cs="Times New Roman" w:eastAsia="Times New Roman" w:hint="default"/>
        </w:rPr>
        <w:t>117,949,954.85</w:t>
      </w:r>
      <w:r>
        <w:rPr/>
        <w:t>元，同比增长</w:t>
      </w:r>
      <w:r>
        <w:rPr>
          <w:rFonts w:ascii="Times New Roman" w:hAnsi="Times New Roman" w:cs="Times New Roman" w:eastAsia="Times New Roman" w:hint="default"/>
        </w:rPr>
        <w:t>59.79%</w:t>
      </w:r>
      <w:r>
        <w:rPr/>
        <w:t>。</w:t>
      </w:r>
    </w:p>
    <w:p>
      <w:pPr>
        <w:pStyle w:val="BodyText"/>
        <w:spacing w:line="240" w:lineRule="auto" w:before="101"/>
        <w:ind w:left="1553" w:right="0"/>
        <w:jc w:val="left"/>
      </w:pPr>
      <w:r>
        <w:rPr/>
        <w:t>报告期内，公司主要开展以下工作：</w:t>
      </w:r>
    </w:p>
    <w:p>
      <w:pPr>
        <w:pStyle w:val="Heading2"/>
        <w:spacing w:line="240" w:lineRule="auto" w:before="118"/>
        <w:ind w:left="1542" w:right="0"/>
        <w:jc w:val="left"/>
        <w:rPr>
          <w:b w:val="0"/>
          <w:bCs w:val="0"/>
        </w:rPr>
      </w:pPr>
      <w:r>
        <w:rPr>
          <w:rFonts w:ascii="Times New Roman" w:hAnsi="Times New Roman" w:cs="Times New Roman" w:eastAsia="Times New Roman" w:hint="default"/>
        </w:rPr>
        <w:t>1</w:t>
      </w:r>
      <w:r>
        <w:rPr/>
        <w:t>、充分利用资本平台推动公司外延式发展</w:t>
      </w:r>
      <w:r>
        <w:rPr>
          <w:b w:val="0"/>
          <w:bCs w:val="0"/>
        </w:rPr>
      </w:r>
    </w:p>
    <w:p>
      <w:pPr>
        <w:pStyle w:val="BodyText"/>
        <w:spacing w:line="232" w:lineRule="auto" w:before="108"/>
        <w:ind w:right="1133" w:firstLine="420"/>
        <w:jc w:val="both"/>
      </w:pPr>
      <w:r>
        <w:rPr>
          <w:rFonts w:ascii="Times New Roman" w:hAnsi="Times New Roman" w:cs="Times New Roman" w:eastAsia="Times New Roman" w:hint="default"/>
        </w:rPr>
        <w:t>2017</w:t>
      </w:r>
      <w:r>
        <w:rPr/>
        <w:t>年公司顺利完成上市以来首例重大资产重组事项，完成银川卧龙</w:t>
      </w:r>
      <w:r>
        <w:rPr>
          <w:rFonts w:ascii="Times New Roman" w:hAnsi="Times New Roman" w:cs="Times New Roman" w:eastAsia="Times New Roman" w:hint="default"/>
        </w:rPr>
        <w:t>100%</w:t>
      </w:r>
      <w:r>
        <w:rPr/>
        <w:t>股权和星波通 信</w:t>
      </w:r>
      <w:r>
        <w:rPr>
          <w:rFonts w:ascii="Times New Roman" w:hAnsi="Times New Roman" w:cs="Times New Roman" w:eastAsia="Times New Roman" w:hint="default"/>
        </w:rPr>
        <w:t>67.54%</w:t>
      </w:r>
      <w:r>
        <w:rPr/>
        <w:t>股权收购并实现纳入合并报表范围，增厚公司整体利润。本次重大重组是公司践行 发展战略，实现公司主营业务向铁路与轨道交通、军工等其他行业快速布局的重要举措，通 过本次重组，公司实现了电力、军工、铁路与轨道交通三大业务板块协同发展的业务格局， 公司与各子公司在产品、技术、资本等多方面进行了较强且高效的协同整合，公司的持续盈 利能力、抗风险能力得到进一步的提升。</w:t>
      </w:r>
    </w:p>
    <w:p>
      <w:pPr>
        <w:spacing w:line="312" w:lineRule="auto" w:before="119"/>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、建立公司和子公司两级化的管理架构</w:t>
      </w:r>
      <w:r>
        <w:rPr>
          <w:rFonts w:ascii="宋体" w:hAnsi="宋体" w:cs="宋体" w:eastAsia="宋体" w:hint="default"/>
          <w:b/>
          <w:bCs/>
          <w:w w:val="99"/>
          <w:sz w:val="24"/>
          <w:szCs w:val="24"/>
        </w:rPr>
        <w:t> </w:t>
      </w:r>
      <w:r>
        <w:rPr>
          <w:rFonts w:ascii="宋体" w:hAnsi="宋体" w:cs="宋体" w:eastAsia="宋体" w:hint="default"/>
          <w:spacing w:val="2"/>
          <w:sz w:val="24"/>
          <w:szCs w:val="24"/>
        </w:rPr>
        <w:t>为适应公司产业结构不断多元化的变化，报告期内，公司建立并完善公司和子公司两级</w:t>
      </w:r>
    </w:p>
    <w:p>
      <w:pPr>
        <w:pStyle w:val="BodyText"/>
        <w:spacing w:line="239" w:lineRule="exact"/>
        <w:ind w:left="1134" w:right="0"/>
        <w:jc w:val="both"/>
      </w:pPr>
      <w:r>
        <w:rPr/>
        <w:t>化管理架构，公司规划整体战略目标，主导投资方向及风险把控，统筹协调各子公司和各部</w:t>
      </w:r>
    </w:p>
    <w:p>
      <w:pPr>
        <w:pStyle w:val="BodyText"/>
        <w:spacing w:line="312" w:lineRule="exact" w:before="29"/>
        <w:ind w:left="1134" w:right="1139"/>
        <w:jc w:val="both"/>
      </w:pPr>
      <w:r>
        <w:rPr/>
        <w:t>门落实践行，优化、突出各部门的管理职能，着力提升工作效率，实现公司及子公司整体运 行效率及业务水平的提升。</w:t>
      </w:r>
    </w:p>
    <w:p>
      <w:pPr>
        <w:spacing w:line="312" w:lineRule="auto" w:before="89"/>
        <w:ind w:left="1554" w:right="1132"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、加大研发投入，促进技术持续创新</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报告期内，公司继续加大研发投入，</w:t>
      </w:r>
      <w:r>
        <w:rPr>
          <w:rFonts w:ascii="Times New Roman" w:hAnsi="Times New Roman" w:cs="Times New Roman" w:eastAsia="Times New Roman" w:hint="default"/>
          <w:spacing w:val="2"/>
          <w:sz w:val="24"/>
          <w:szCs w:val="24"/>
        </w:rPr>
        <w:t>2017</w:t>
      </w:r>
      <w:r>
        <w:rPr>
          <w:rFonts w:ascii="宋体" w:hAnsi="宋体" w:cs="宋体" w:eastAsia="宋体" w:hint="default"/>
          <w:spacing w:val="2"/>
          <w:sz w:val="24"/>
          <w:szCs w:val="24"/>
        </w:rPr>
        <w:t>年度公司及子公司根据市场需求开展产品研发</w:t>
      </w:r>
    </w:p>
    <w:p>
      <w:pPr>
        <w:pStyle w:val="BodyText"/>
        <w:spacing w:line="222" w:lineRule="exact"/>
        <w:ind w:left="1134" w:right="0"/>
        <w:jc w:val="both"/>
      </w:pPr>
      <w:r>
        <w:rPr/>
        <w:t>共计投入研发费用</w:t>
      </w:r>
      <w:r>
        <w:rPr>
          <w:rFonts w:ascii="Times New Roman" w:hAnsi="Times New Roman" w:cs="Times New Roman" w:eastAsia="Times New Roman" w:hint="default"/>
        </w:rPr>
        <w:t>46,784,352.23</w:t>
      </w:r>
      <w:r>
        <w:rPr/>
        <w:t>元，较去年同期增加</w:t>
      </w:r>
      <w:r>
        <w:rPr>
          <w:rFonts w:ascii="Times New Roman" w:hAnsi="Times New Roman" w:cs="Times New Roman" w:eastAsia="Times New Roman" w:hint="default"/>
        </w:rPr>
        <w:t>74.70%</w:t>
      </w:r>
      <w:r>
        <w:rPr/>
        <w:t>，丰富了公司现有产品线，扩大</w:t>
      </w:r>
    </w:p>
    <w:p>
      <w:pPr>
        <w:pStyle w:val="BodyText"/>
        <w:spacing w:line="312" w:lineRule="exact" w:before="20"/>
        <w:ind w:left="1134" w:right="1013"/>
        <w:jc w:val="both"/>
      </w:pPr>
      <w:r>
        <w:rPr>
          <w:spacing w:val="-2"/>
        </w:rPr>
        <w:t>了公司产品的市场覆盖率，市场竞争力进一步提升。公司持续性的研发投入使产品在智能化、</w:t>
      </w:r>
      <w:r>
        <w:rPr/>
        <w:t> </w:t>
      </w:r>
      <w:r>
        <w:rPr>
          <w:spacing w:val="-3"/>
        </w:rPr>
        <w:t>互联网应用、分布式运算、大数据应用等方面深入发展，进一步巩固了公司的行业领先地位，</w:t>
      </w:r>
      <w:r>
        <w:rPr>
          <w:spacing w:val="-81"/>
        </w:rPr>
        <w:t> </w:t>
      </w:r>
      <w:r>
        <w:rPr>
          <w:spacing w:val="-81"/>
        </w:rPr>
      </w:r>
      <w:r>
        <w:rPr/>
        <w:t>抢占细分行业的发展先机，促进技术持续创新。</w:t>
      </w:r>
    </w:p>
    <w:p>
      <w:pPr>
        <w:spacing w:line="312" w:lineRule="auto" w:before="89"/>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、加强销售渠道建设，积极布局新市场领域</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报告期内，公司通过企业间产业协同整合、自主销售渠道建设等多种手段，在保持现有</w:t>
      </w:r>
    </w:p>
    <w:p>
      <w:pPr>
        <w:pStyle w:val="BodyText"/>
        <w:spacing w:line="239" w:lineRule="exact"/>
        <w:ind w:left="1134" w:right="0"/>
        <w:jc w:val="both"/>
      </w:pPr>
      <w:r>
        <w:rPr/>
        <w:t>电力设备状态检修业务在电网领域的市场份额的同时，积极寻求主营业务在发电、铁路与轨</w:t>
      </w:r>
    </w:p>
    <w:p>
      <w:pPr>
        <w:pStyle w:val="BodyText"/>
        <w:spacing w:line="312" w:lineRule="exact" w:before="29"/>
        <w:ind w:left="1134" w:right="1136"/>
        <w:jc w:val="both"/>
      </w:pPr>
      <w:r>
        <w:rPr/>
        <w:t>道交通领域的拓展，通过与浙江涵普、银川卧龙、星波通信市场渠道资源的协同整合，以及 公司自身销售渠道的开拓，</w:t>
      </w:r>
      <w:r>
        <w:rPr>
          <w:rFonts w:ascii="Times New Roman" w:hAnsi="Times New Roman" w:cs="Times New Roman" w:eastAsia="Times New Roman" w:hint="default"/>
        </w:rPr>
        <w:t>2017</w:t>
      </w:r>
      <w:r>
        <w:rPr/>
        <w:t>年公司实现了主营业务在发电、铁路与轨道交通领域的大幅</w:t>
      </w:r>
      <w:r>
        <w:rPr>
          <w:spacing w:val="-114"/>
        </w:rPr>
        <w:t> </w:t>
      </w:r>
      <w:r>
        <w:rPr>
          <w:spacing w:val="-114"/>
        </w:rPr>
      </w:r>
      <w:r>
        <w:rPr/>
        <w:t>增长，也同时促进子公司业务在电网领域的更进一步突破，为后续大幅度促进产业协作、业 务共赢奠定了良好的基础。</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Heading2"/>
        <w:spacing w:line="240" w:lineRule="auto" w:before="26"/>
        <w:ind w:left="1542" w:right="0"/>
        <w:jc w:val="left"/>
        <w:rPr>
          <w:b w:val="0"/>
          <w:bCs w:val="0"/>
        </w:rPr>
      </w:pPr>
      <w:r>
        <w:rPr>
          <w:rFonts w:ascii="Times New Roman" w:hAnsi="Times New Roman" w:cs="Times New Roman" w:eastAsia="Times New Roman" w:hint="default"/>
        </w:rPr>
        <w:t>5</w:t>
      </w:r>
      <w:r>
        <w:rPr/>
        <w:t>、启动非公开发行股票事项，布局企业未来发展蓝图</w:t>
      </w:r>
      <w:r>
        <w:rPr>
          <w:b w:val="0"/>
          <w:bCs w:val="0"/>
        </w:rPr>
      </w:r>
    </w:p>
    <w:p>
      <w:pPr>
        <w:pStyle w:val="BodyText"/>
        <w:spacing w:line="230" w:lineRule="auto" w:before="111"/>
        <w:ind w:right="1130"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月，公司启动创业板非公开发行股票方案，拟募集</w:t>
      </w:r>
      <w:r>
        <w:rPr>
          <w:rFonts w:ascii="Times New Roman" w:hAnsi="Times New Roman" w:cs="Times New Roman" w:eastAsia="Times New Roman" w:hint="default"/>
          <w:spacing w:val="-2"/>
        </w:rPr>
        <w:t>12.8</w:t>
      </w:r>
      <w:r>
        <w:rPr>
          <w:spacing w:val="-2"/>
        </w:rPr>
        <w:t>亿元，本次募集资金用途</w:t>
      </w:r>
      <w:r>
        <w:rPr/>
        <w:t> 除用于收购星波通信少数股权外，还包括微波毫米波技术中心及环境试验与测试中心建设项 </w:t>
      </w:r>
      <w:r>
        <w:rPr>
          <w:spacing w:val="-2"/>
        </w:rPr>
        <w:t>目、配网自动化产品扩产项目、高速铁路节能型牵引变压器产业化项目等</w:t>
      </w:r>
      <w:r>
        <w:rPr>
          <w:rFonts w:ascii="Times New Roman" w:hAnsi="Times New Roman" w:cs="Times New Roman" w:eastAsia="Times New Roman" w:hint="default"/>
          <w:spacing w:val="-2"/>
        </w:rPr>
        <w:t>6</w:t>
      </w:r>
      <w:r>
        <w:rPr>
          <w:spacing w:val="-2"/>
        </w:rPr>
        <w:t>个研发或产业化募</w:t>
      </w:r>
      <w:r>
        <w:rPr/>
        <w:t> 投项目。该些募投项目的实施将进一步提升企业研发实力，新产品开发能力和产业化能力。</w:t>
      </w:r>
    </w:p>
    <w:p>
      <w:pPr>
        <w:spacing w:line="312" w:lineRule="auto" w:before="119"/>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、敏锐洞察市场变化，适时强化技术服务团队建设</w:t>
      </w:r>
      <w:r>
        <w:rPr>
          <w:rFonts w:ascii="宋体" w:hAnsi="宋体" w:cs="宋体" w:eastAsia="宋体" w:hint="default"/>
          <w:b/>
          <w:bCs/>
          <w:w w:val="99"/>
          <w:sz w:val="24"/>
          <w:szCs w:val="24"/>
        </w:rPr>
        <w:t> </w:t>
      </w:r>
      <w:r>
        <w:rPr>
          <w:rFonts w:ascii="宋体" w:hAnsi="宋体" w:cs="宋体" w:eastAsia="宋体" w:hint="default"/>
          <w:spacing w:val="2"/>
          <w:sz w:val="24"/>
          <w:szCs w:val="24"/>
        </w:rPr>
        <w:t>公司始终坚持紧跟市场发展动态并遵循市场发展规律，从客户需求出发，不断加强产品</w:t>
      </w:r>
    </w:p>
    <w:p>
      <w:pPr>
        <w:pStyle w:val="BodyText"/>
        <w:spacing w:line="239" w:lineRule="exact"/>
        <w:ind w:left="1134" w:right="0"/>
        <w:jc w:val="left"/>
      </w:pPr>
      <w:r>
        <w:rPr/>
        <w:t>技术革新，及时加强技术服务团队和资质建设，使公司整体技术服务能力和水平更上一个新</w:t>
      </w:r>
    </w:p>
    <w:p>
      <w:pPr>
        <w:pStyle w:val="BodyText"/>
        <w:spacing w:line="313" w:lineRule="exact"/>
        <w:ind w:left="1134" w:right="0"/>
        <w:jc w:val="left"/>
      </w:pPr>
      <w:r>
        <w:rPr/>
        <w:t>的台阶。</w:t>
      </w:r>
    </w:p>
    <w:p>
      <w:pPr>
        <w:spacing w:line="312" w:lineRule="auto" w:before="118"/>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、贯彻实施精细化管理模式，加强子公司管理和监督</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报告期内，公司贯彻实施精细化管理模式，强化公司业务发展和扩张的同时，注重公司</w:t>
      </w:r>
    </w:p>
    <w:p>
      <w:pPr>
        <w:pStyle w:val="BodyText"/>
        <w:spacing w:line="239" w:lineRule="exact"/>
        <w:ind w:left="1134" w:right="0"/>
        <w:jc w:val="left"/>
      </w:pPr>
      <w:r>
        <w:rPr/>
        <w:t>内部挖潜，深入推进全员考核机制和目标责任管理；通过完善对外担保管理制度、投资决策</w:t>
      </w:r>
    </w:p>
    <w:p>
      <w:pPr>
        <w:pStyle w:val="BodyText"/>
        <w:spacing w:line="312" w:lineRule="exact" w:before="29"/>
        <w:ind w:left="1134" w:right="0"/>
        <w:jc w:val="left"/>
      </w:pPr>
      <w:r>
        <w:rPr/>
        <w:t>程序与规则、内部问责制度等进一步加强对公司及子公司的管理、把控及监督；优化公司整</w:t>
      </w:r>
      <w:r>
        <w:rPr>
          <w:spacing w:val="-117"/>
        </w:rPr>
        <w:t> </w:t>
      </w:r>
      <w:r>
        <w:rPr>
          <w:spacing w:val="-117"/>
        </w:rPr>
      </w:r>
      <w:r>
        <w:rPr/>
        <w:t>体管理机制，年度经营计划在报告期内得到了有效执行。</w:t>
      </w:r>
    </w:p>
    <w:p>
      <w:pPr>
        <w:spacing w:line="312" w:lineRule="auto" w:before="89"/>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、加大人才培养力度，健全人才梯队建设机制</w:t>
      </w:r>
      <w:r>
        <w:rPr>
          <w:rFonts w:ascii="宋体" w:hAnsi="宋体" w:cs="宋体" w:eastAsia="宋体" w:hint="default"/>
          <w:b/>
          <w:bCs/>
          <w:w w:val="99"/>
          <w:sz w:val="24"/>
          <w:szCs w:val="24"/>
        </w:rPr>
        <w:t> </w:t>
      </w:r>
      <w:r>
        <w:rPr>
          <w:rFonts w:ascii="宋体" w:hAnsi="宋体" w:cs="宋体" w:eastAsia="宋体" w:hint="default"/>
          <w:spacing w:val="2"/>
          <w:sz w:val="24"/>
          <w:szCs w:val="24"/>
        </w:rPr>
        <w:t>公司始终坚持人才第一、以人为本的经营理念，把提高员工素质、引进和培养高层次人</w:t>
      </w:r>
    </w:p>
    <w:p>
      <w:pPr>
        <w:pStyle w:val="BodyText"/>
        <w:spacing w:line="239" w:lineRule="exact"/>
        <w:ind w:left="1134" w:right="0"/>
        <w:jc w:val="left"/>
      </w:pPr>
      <w:r>
        <w:rPr/>
        <w:t>才作为企业发展的重中之重，不断完善人才培养和激励机制，以多种方式为员工谋福利，使</w:t>
      </w:r>
    </w:p>
    <w:p>
      <w:pPr>
        <w:pStyle w:val="BodyText"/>
        <w:spacing w:line="313" w:lineRule="exact"/>
        <w:ind w:left="1134" w:right="0"/>
        <w:jc w:val="left"/>
      </w:pPr>
      <w:r>
        <w:rPr/>
        <w:t>员工和公司共同成长。</w:t>
      </w:r>
    </w:p>
    <w:p>
      <w:pPr>
        <w:spacing w:line="312" w:lineRule="auto" w:before="118"/>
        <w:ind w:left="1554" w:right="1136" w:hanging="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、重视投资者关系管理，切实维护投资者权益</w:t>
      </w:r>
      <w:r>
        <w:rPr>
          <w:rFonts w:ascii="宋体" w:hAnsi="宋体" w:cs="宋体" w:eastAsia="宋体" w:hint="default"/>
          <w:b/>
          <w:bCs/>
          <w:w w:val="99"/>
          <w:sz w:val="24"/>
          <w:szCs w:val="24"/>
        </w:rPr>
        <w:t> </w:t>
      </w:r>
      <w:r>
        <w:rPr>
          <w:rFonts w:ascii="宋体" w:hAnsi="宋体" w:cs="宋体" w:eastAsia="宋体" w:hint="default"/>
          <w:spacing w:val="2"/>
          <w:sz w:val="24"/>
          <w:szCs w:val="24"/>
        </w:rPr>
        <w:t>公司建立多渠道、多样化的投资者沟通模式，保持与投资者，特别是中小投资者的沟通</w:t>
      </w:r>
    </w:p>
    <w:p>
      <w:pPr>
        <w:pStyle w:val="BodyText"/>
        <w:spacing w:line="239" w:lineRule="exact"/>
        <w:ind w:left="1134" w:right="0"/>
        <w:jc w:val="left"/>
      </w:pPr>
      <w:r>
        <w:rPr/>
        <w:t>交流，在日常工作中，始终认真对待投资者的每一次来访、来电及提问。同时，公司坚持不</w:t>
      </w:r>
    </w:p>
    <w:p>
      <w:pPr>
        <w:pStyle w:val="BodyText"/>
        <w:spacing w:line="312" w:lineRule="exact" w:before="29"/>
        <w:ind w:left="1134" w:right="0"/>
        <w:jc w:val="left"/>
      </w:pPr>
      <w:r>
        <w:rPr/>
        <w:t>断完善治理结构，规范运作董事会、监事会、股东大会；坚持加强内部控制，督促公司大股 </w:t>
      </w:r>
      <w:r>
        <w:rPr>
          <w:spacing w:val="-3"/>
        </w:rPr>
        <w:t>东、董事、监事、高级管理人员等根据公司章程、各项议事规则、制度等相关规定规范行为，</w:t>
      </w:r>
      <w:r>
        <w:rPr>
          <w:spacing w:val="-81"/>
        </w:rPr>
        <w:t> </w:t>
      </w:r>
      <w:r>
        <w:rPr>
          <w:spacing w:val="-81"/>
        </w:rPr>
      </w:r>
      <w:r>
        <w:rPr/>
        <w:t>及时履行职责，积极配合并切实履行信息披露义务，从实际工作出发切实维护广大投资者的 合法权益。最后，公司坚定积极执行利润分配政策，让广大投资者分享公司成长及收益，切 实保障投资者的合法权益。</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133" w:right="0"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3" w:right="6973"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38" w:lineRule="auto" w:before="26"/>
        <w:ind w:left="1133" w:right="139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line="338" w:lineRule="auto" w:before="44"/>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3"/>
        <w:ind w:left="1133" w:right="1136"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产业链相关业务》的披露要求： 否</w:t>
      </w:r>
    </w:p>
    <w:p>
      <w:pPr>
        <w:spacing w:line="340" w:lineRule="auto" w:before="42"/>
        <w:ind w:left="1133"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0"/>
        <w:ind w:left="113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743,861,467.27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410,557,480.83</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353,142,814.76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410,557,480.83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铁路与轨道交通板 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317,593,431.49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73,125,221.02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9"/>
                <w:sz w:val="18"/>
                <w:szCs w:val="18"/>
              </w:rPr>
              <w:t>一、电力检测及电力</w:t>
            </w:r>
            <w:r>
              <w:rPr>
                <w:rFonts w:ascii="宋体" w:hAnsi="宋体" w:cs="宋体" w:eastAsia="宋体" w:hint="default"/>
                <w:sz w:val="18"/>
                <w:szCs w:val="18"/>
              </w:rPr>
              <w:t> 设备产品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484,498,980.14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409,199,824.53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18.40%</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pacing w:val="-9"/>
                <w:sz w:val="18"/>
                <w:szCs w:val="18"/>
              </w:rPr>
              <w:t>二、铁路与轨道交通</w:t>
            </w:r>
            <w:r>
              <w:rPr>
                <w:rFonts w:ascii="宋体" w:hAnsi="宋体" w:cs="宋体" w:eastAsia="宋体" w:hint="default"/>
                <w:sz w:val="18"/>
                <w:szCs w:val="18"/>
              </w:rPr>
              <w:t> 牵引供电装备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77,935,844.30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三、新能源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93,724,245.46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四、军工电子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72,829,084.25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14,873,313.12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1,357,656.30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995.51%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737,625,282.12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404,413,283.52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6,236,185.15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6,144,197.31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4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353,142,814.76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173,089,836.43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铁路与轨道交通 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317,593,431.49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212,111,513.53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电力检测及电力 设备产品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484,498,980.14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243,528,386.00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铁路与轨道交通 牵引供电装备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77,935,844.30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58,702,734.50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93,724,245.46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80,902,560.87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276,416,984.76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160,485,034.48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146,673,109.35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85,562,249.48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108,858,018.83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56,621,636.52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83,583,456.47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47,860,282.23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-35.29%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141.45%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铁路与轨道交通板 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8"/>
                <w:sz w:val="18"/>
              </w:rPr>
              <w:t>KVA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报告期内公司由于收购兼并银川卧龙和星波通信，增加了铁路与轨道交通板块和军工板块的产品生产销售。电力板块的销售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量较去年同期下降了</w:t>
      </w:r>
      <w:r>
        <w:rPr>
          <w:rFonts w:ascii="Times New Roman" w:hAnsi="Times New Roman" w:cs="Times New Roman" w:eastAsia="Times New Roman" w:hint="default"/>
          <w:sz w:val="18"/>
          <w:szCs w:val="18"/>
        </w:rPr>
        <w:t>38.47%</w:t>
      </w:r>
      <w:r>
        <w:rPr>
          <w:rFonts w:ascii="宋体" w:hAnsi="宋体" w:cs="宋体" w:eastAsia="宋体" w:hint="default"/>
          <w:sz w:val="18"/>
          <w:szCs w:val="18"/>
        </w:rPr>
        <w:t>，主要是由于红相股份销售的电能表及用电管理系统受市场竞争环境以及国家电网和南方电网 </w:t>
      </w:r>
      <w:r>
        <w:rPr>
          <w:rFonts w:ascii="宋体" w:hAnsi="宋体" w:cs="宋体" w:eastAsia="宋体" w:hint="default"/>
          <w:spacing w:val="-2"/>
          <w:sz w:val="18"/>
          <w:szCs w:val="18"/>
        </w:rPr>
        <w:t>的采购模式的变化的影响，公司主动调整了市场战略，逐步减少了对电能表及用电管理系统的生产和销售，加大了对电力状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态监测、检测产品的销售。</w:t>
      </w:r>
    </w:p>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57"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1855" w:space="706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141,831,923.40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257,268,327.54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人工及制造费用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31,257,913.03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40,831,580.55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铁路与轨道交通 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196,073,581.26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铁路与轨道交通 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人工及制造费用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16,037,932.27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24,018,098.20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人工及制造费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13,432,869.47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19" w:lineRule="auto" w:before="0"/>
        <w:ind w:left="113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报告期内，公司实施了发行股份及现金支付购买银川卧龙</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股权以及星波通信</w:t>
      </w:r>
      <w:r>
        <w:rPr>
          <w:rFonts w:ascii="Times New Roman" w:hAnsi="Times New Roman" w:cs="Times New Roman" w:eastAsia="Times New Roman" w:hint="default"/>
          <w:spacing w:val="-2"/>
          <w:sz w:val="18"/>
          <w:szCs w:val="18"/>
        </w:rPr>
        <w:t>67.54%</w:t>
      </w:r>
      <w:r>
        <w:rPr>
          <w:rFonts w:ascii="宋体" w:hAnsi="宋体" w:cs="宋体" w:eastAsia="宋体" w:hint="default"/>
          <w:spacing w:val="-2"/>
          <w:sz w:val="18"/>
          <w:szCs w:val="18"/>
        </w:rPr>
        <w:t>股权的事项。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完成了银川卧龙和星波通信的交接工作，从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日将银川卧龙和星波通信纳入合并报表的范围。</w:t>
      </w:r>
    </w:p>
    <w:p>
      <w:pPr>
        <w:spacing w:line="240" w:lineRule="auto" w:before="11"/>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9" w:lineRule="auto"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报告期内，公司完成了银川卧龙和星波通信的收购的交接工作，从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日纳入合并报表的范围，因此报告期增加了银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川卧龙的铁路与轨道交通板块业务及产品和星波通信的军工板块的业务及产品。</w:t>
      </w:r>
    </w:p>
    <w:p>
      <w:pPr>
        <w:spacing w:line="240" w:lineRule="auto" w:before="5"/>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221,901,295.32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78,292,277.37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40,598,290.60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40,176,683.70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31,468,402.62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31,365,641.03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221,901,295.32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132,288,017.55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68,080,040.77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20,211,929.07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17,954,705.88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13,220,829.03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12,820,512.80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132,288,017.55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67,176,944.96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54,776,807.46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630"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99,060,129.14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61,119,519.14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62.08%</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管理费用较上年同期增加了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62.08%, </w:t>
            </w:r>
            <w:r>
              <w:rPr>
                <w:rFonts w:ascii="宋体" w:hAnsi="宋体" w:cs="宋体" w:eastAsia="宋体" w:hint="default"/>
                <w:spacing w:val="-2"/>
                <w:sz w:val="18"/>
                <w:szCs w:val="18"/>
              </w:rPr>
              <w:t>增加的主要是研发费用。报告期内研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发费用的投入较上年同期增加了 </w:t>
            </w:r>
            <w:r>
              <w:rPr>
                <w:rFonts w:ascii="Times New Roman" w:hAnsi="Times New Roman" w:cs="Times New Roman" w:eastAsia="Times New Roman" w:hint="default"/>
                <w:sz w:val="18"/>
                <w:szCs w:val="18"/>
              </w:rPr>
              <w:t>1716.76 </w:t>
            </w:r>
            <w:r>
              <w:rPr>
                <w:rFonts w:ascii="宋体" w:hAnsi="宋体" w:cs="宋体" w:eastAsia="宋体" w:hint="default"/>
                <w:sz w:val="18"/>
                <w:szCs w:val="18"/>
              </w:rPr>
              <w:t>万元，其增加的部分主要是 银川卧龙的研发投入。</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-949,536.54</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-1,075,210.74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5"/>
        <w:ind w:left="1133" w:right="1130"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报告期内，公司保持一贯重视研发投入的经营理念，始终坚持自主创新，</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年度公司及其子公司围</w:t>
      </w:r>
      <w:r>
        <w:rPr>
          <w:rFonts w:ascii="宋体" w:hAnsi="宋体" w:cs="宋体" w:eastAsia="宋体" w:hint="default"/>
          <w:sz w:val="21"/>
          <w:szCs w:val="21"/>
        </w:rPr>
        <w:t> 绕目前市场进行产品开发或升级的直接项目研发项目共计</w:t>
      </w:r>
      <w:r>
        <w:rPr>
          <w:rFonts w:ascii="Times New Roman" w:hAnsi="Times New Roman" w:cs="Times New Roman" w:eastAsia="Times New Roman" w:hint="default"/>
          <w:sz w:val="21"/>
          <w:szCs w:val="21"/>
        </w:rPr>
        <w:t>17</w:t>
      </w:r>
      <w:r>
        <w:rPr>
          <w:rFonts w:ascii="宋体" w:hAnsi="宋体" w:cs="宋体" w:eastAsia="宋体" w:hint="default"/>
          <w:sz w:val="21"/>
          <w:szCs w:val="21"/>
        </w:rPr>
        <w:t>个，研发费用</w:t>
      </w:r>
      <w:r>
        <w:rPr>
          <w:rFonts w:ascii="Times New Roman" w:hAnsi="Times New Roman" w:cs="Times New Roman" w:eastAsia="Times New Roman" w:hint="default"/>
          <w:sz w:val="21"/>
          <w:szCs w:val="21"/>
        </w:rPr>
        <w:t>46,784,352.23</w:t>
      </w:r>
      <w:r>
        <w:rPr>
          <w:rFonts w:ascii="宋体" w:hAnsi="宋体" w:cs="宋体" w:eastAsia="宋体" w:hint="default"/>
          <w:sz w:val="21"/>
          <w:szCs w:val="21"/>
        </w:rPr>
        <w:t>元，较去年同期增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加</w:t>
      </w:r>
      <w:r>
        <w:rPr>
          <w:rFonts w:ascii="Times New Roman" w:hAnsi="Times New Roman" w:cs="Times New Roman" w:eastAsia="Times New Roman" w:hint="default"/>
          <w:sz w:val="21"/>
          <w:szCs w:val="21"/>
        </w:rPr>
        <w:t>74.71%</w:t>
      </w:r>
      <w:r>
        <w:rPr>
          <w:rFonts w:ascii="宋体" w:hAnsi="宋体" w:cs="宋体" w:eastAsia="宋体" w:hint="default"/>
          <w:sz w:val="21"/>
          <w:szCs w:val="21"/>
        </w:rPr>
        <w:t>。</w:t>
      </w:r>
    </w:p>
    <w:tbl>
      <w:tblPr>
        <w:tblW w:w="0" w:type="auto"/>
        <w:jc w:val="left"/>
        <w:tblInd w:w="1126" w:type="dxa"/>
        <w:tblLayout w:type="fixed"/>
        <w:tblCellMar>
          <w:top w:w="0" w:type="dxa"/>
          <w:left w:w="0" w:type="dxa"/>
          <w:bottom w:w="0" w:type="dxa"/>
          <w:right w:w="0" w:type="dxa"/>
        </w:tblCellMar>
        <w:tblLook w:val="01E0"/>
      </w:tblPr>
      <w:tblGrid>
        <w:gridCol w:w="446"/>
        <w:gridCol w:w="1816"/>
        <w:gridCol w:w="2294"/>
        <w:gridCol w:w="1744"/>
        <w:gridCol w:w="2224"/>
      </w:tblGrid>
      <w:tr>
        <w:trPr>
          <w:trHeight w:val="34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06" w:right="0"/>
              <w:jc w:val="left"/>
              <w:rPr>
                <w:rFonts w:ascii="宋体" w:hAnsi="宋体" w:cs="宋体" w:eastAsia="宋体" w:hint="default"/>
                <w:sz w:val="21"/>
                <w:szCs w:val="21"/>
              </w:rPr>
            </w:pPr>
            <w:r>
              <w:rPr>
                <w:rFonts w:ascii="宋体" w:hAnsi="宋体" w:cs="宋体" w:eastAsia="宋体" w:hint="default"/>
                <w:b/>
                <w:bCs/>
                <w:sz w:val="21"/>
                <w:szCs w:val="21"/>
              </w:rPr>
              <w:t>项目进展情况</w:t>
            </w:r>
            <w:r>
              <w:rPr>
                <w:rFonts w:ascii="宋体" w:hAnsi="宋体" w:cs="宋体" w:eastAsia="宋体" w:hint="default"/>
                <w:sz w:val="21"/>
                <w:szCs w:val="21"/>
              </w:rPr>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31" w:right="0"/>
              <w:jc w:val="left"/>
              <w:rPr>
                <w:rFonts w:ascii="宋体" w:hAnsi="宋体" w:cs="宋体" w:eastAsia="宋体" w:hint="default"/>
                <w:sz w:val="21"/>
                <w:szCs w:val="21"/>
              </w:rPr>
            </w:pPr>
            <w:r>
              <w:rPr>
                <w:rFonts w:ascii="宋体" w:hAnsi="宋体" w:cs="宋体" w:eastAsia="宋体" w:hint="default"/>
                <w:b/>
                <w:bCs/>
                <w:sz w:val="21"/>
                <w:szCs w:val="21"/>
              </w:rPr>
              <w:t>拟达到的目标</w:t>
            </w:r>
            <w:r>
              <w:rPr>
                <w:rFonts w:ascii="宋体" w:hAnsi="宋体" w:cs="宋体" w:eastAsia="宋体" w:hint="default"/>
                <w:sz w:val="21"/>
                <w:szCs w:val="21"/>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对公司未来的影响</w:t>
            </w:r>
            <w:r>
              <w:rPr>
                <w:rFonts w:ascii="宋体" w:hAnsi="宋体" w:cs="宋体" w:eastAsia="宋体" w:hint="default"/>
                <w:sz w:val="21"/>
                <w:szCs w:val="21"/>
              </w:rPr>
            </w:r>
          </w:p>
        </w:tc>
      </w:tr>
      <w:tr>
        <w:trPr>
          <w:trHeight w:val="159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11"/>
                <w:sz w:val="21"/>
                <w:szCs w:val="21"/>
              </w:rPr>
              <w:t>小型化、传感器无线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化的综合型（五种传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感器）局部放电检测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产品开发</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both"/>
              <w:rPr>
                <w:rFonts w:ascii="宋体" w:hAnsi="宋体" w:cs="宋体" w:eastAsia="宋体" w:hint="default"/>
                <w:sz w:val="21"/>
                <w:szCs w:val="21"/>
              </w:rPr>
            </w:pPr>
            <w:r>
              <w:rPr>
                <w:rFonts w:ascii="宋体" w:hAnsi="宋体" w:cs="宋体" w:eastAsia="宋体" w:hint="default"/>
                <w:sz w:val="21"/>
                <w:szCs w:val="21"/>
              </w:rPr>
              <w:t>根据国网的新技术需求， </w:t>
            </w:r>
            <w:r>
              <w:rPr>
                <w:rFonts w:ascii="宋体" w:hAnsi="宋体" w:cs="宋体" w:eastAsia="宋体" w:hint="default"/>
                <w:spacing w:val="17"/>
                <w:sz w:val="21"/>
                <w:szCs w:val="21"/>
              </w:rPr>
              <w:t>修改数字平台以及人机</w:t>
            </w:r>
            <w:r>
              <w:rPr>
                <w:rFonts w:ascii="宋体" w:hAnsi="宋体" w:cs="宋体" w:eastAsia="宋体" w:hint="default"/>
                <w:spacing w:val="-86"/>
                <w:sz w:val="21"/>
                <w:szCs w:val="21"/>
              </w:rPr>
              <w:t> </w:t>
            </w:r>
            <w:r>
              <w:rPr>
                <w:rFonts w:ascii="宋体" w:hAnsi="宋体" w:cs="宋体" w:eastAsia="宋体" w:hint="default"/>
                <w:spacing w:val="-4"/>
                <w:sz w:val="21"/>
                <w:szCs w:val="21"/>
              </w:rPr>
              <w:t>交互软件的设计方案，按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照新需求进行开发。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进一步满足国网用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户在移动互联、物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联网等新技术领域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对现场巡检设备的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应用新需求。</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9"/>
                <w:sz w:val="21"/>
                <w:szCs w:val="21"/>
              </w:rPr>
              <w:t>丰富产品线，提升市场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竞争力。</w:t>
            </w:r>
          </w:p>
        </w:tc>
      </w:tr>
      <w:tr>
        <w:trPr>
          <w:trHeight w:val="159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13"/>
                <w:sz w:val="21"/>
                <w:szCs w:val="21"/>
              </w:rPr>
              <w:t>变压器有载调压开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w:t>
            </w:r>
            <w:r>
              <w:rPr>
                <w:rFonts w:ascii="宋体" w:hAnsi="宋体" w:cs="宋体" w:eastAsia="宋体" w:hint="default"/>
                <w:spacing w:val="-52"/>
                <w:sz w:val="21"/>
                <w:szCs w:val="21"/>
              </w:rPr>
              <w:t> </w:t>
            </w:r>
            <w:r>
              <w:rPr>
                <w:rFonts w:ascii="宋体" w:hAnsi="宋体" w:cs="宋体" w:eastAsia="宋体" w:hint="default"/>
                <w:sz w:val="21"/>
                <w:szCs w:val="21"/>
              </w:rPr>
              <w:t>故</w:t>
            </w:r>
            <w:r>
              <w:rPr>
                <w:rFonts w:ascii="宋体" w:hAnsi="宋体" w:cs="宋体" w:eastAsia="宋体" w:hint="default"/>
                <w:spacing w:val="-52"/>
                <w:sz w:val="21"/>
                <w:szCs w:val="21"/>
              </w:rPr>
              <w:t> </w:t>
            </w:r>
            <w:r>
              <w:rPr>
                <w:rFonts w:ascii="宋体" w:hAnsi="宋体" w:cs="宋体" w:eastAsia="宋体" w:hint="default"/>
                <w:sz w:val="21"/>
                <w:szCs w:val="21"/>
              </w:rPr>
              <w:t>障</w:t>
            </w:r>
            <w:r>
              <w:rPr>
                <w:rFonts w:ascii="宋体" w:hAnsi="宋体" w:cs="宋体" w:eastAsia="宋体" w:hint="default"/>
                <w:spacing w:val="-52"/>
                <w:sz w:val="21"/>
                <w:szCs w:val="21"/>
              </w:rPr>
              <w:t> </w:t>
            </w:r>
            <w:r>
              <w:rPr>
                <w:rFonts w:ascii="宋体" w:hAnsi="宋体" w:cs="宋体" w:eastAsia="宋体" w:hint="default"/>
                <w:sz w:val="21"/>
                <w:szCs w:val="21"/>
              </w:rPr>
              <w:t>检</w:t>
            </w:r>
            <w:r>
              <w:rPr>
                <w:rFonts w:ascii="宋体" w:hAnsi="宋体" w:cs="宋体" w:eastAsia="宋体" w:hint="default"/>
                <w:spacing w:val="-50"/>
                <w:sz w:val="21"/>
                <w:szCs w:val="21"/>
              </w:rPr>
              <w:t> </w:t>
            </w:r>
            <w:r>
              <w:rPr>
                <w:rFonts w:ascii="宋体" w:hAnsi="宋体" w:cs="宋体" w:eastAsia="宋体" w:hint="default"/>
                <w:sz w:val="21"/>
                <w:szCs w:val="21"/>
              </w:rPr>
              <w:t>测</w:t>
            </w:r>
            <w:r>
              <w:rPr>
                <w:rFonts w:ascii="宋体" w:hAnsi="宋体" w:cs="宋体" w:eastAsia="宋体" w:hint="default"/>
                <w:spacing w:val="-52"/>
                <w:sz w:val="21"/>
                <w:szCs w:val="21"/>
              </w:rPr>
              <w:t> </w:t>
            </w:r>
            <w:r>
              <w:rPr>
                <w:rFonts w:ascii="宋体" w:hAnsi="宋体" w:cs="宋体" w:eastAsia="宋体" w:hint="default"/>
                <w:sz w:val="21"/>
                <w:szCs w:val="21"/>
              </w:rPr>
              <w:t>产</w:t>
            </w:r>
            <w:r>
              <w:rPr>
                <w:rFonts w:ascii="宋体" w:hAnsi="宋体" w:cs="宋体" w:eastAsia="宋体" w:hint="default"/>
                <w:spacing w:val="-52"/>
                <w:sz w:val="21"/>
                <w:szCs w:val="21"/>
              </w:rPr>
              <w:t> </w:t>
            </w:r>
            <w:r>
              <w:rPr>
                <w:rFonts w:ascii="宋体" w:hAnsi="宋体" w:cs="宋体" w:eastAsia="宋体" w:hint="default"/>
                <w:sz w:val="21"/>
                <w:szCs w:val="21"/>
              </w:rPr>
              <w:t>品</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TCD-200)</w:t>
            </w:r>
            <w:r>
              <w:rPr>
                <w:rFonts w:ascii="宋体" w:hAnsi="宋体" w:cs="宋体" w:eastAsia="宋体" w:hint="default"/>
                <w:sz w:val="21"/>
                <w:szCs w:val="21"/>
              </w:rPr>
              <w:t>开发</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4"/>
                <w:sz w:val="21"/>
                <w:szCs w:val="21"/>
              </w:rPr>
              <w:t>完成开发，产品投入市场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销售。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实现公司在有载调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压开关故障检测方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面产品的自主化，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降低成本，提高产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品竞争力。</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满足国网在有载调压开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关新技术应用领域的应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用需求，扩充产品线，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提升公司市场竞争力。</w:t>
            </w:r>
          </w:p>
        </w:tc>
      </w:tr>
      <w:tr>
        <w:trPr>
          <w:trHeight w:val="315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13"/>
                <w:sz w:val="21"/>
                <w:szCs w:val="21"/>
              </w:rPr>
              <w:t>局部放电数据标准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4"/>
                <w:sz w:val="21"/>
                <w:szCs w:val="21"/>
              </w:rPr>
              <w:t>采集及综合服务平</w:t>
            </w:r>
            <w:r>
              <w:rPr>
                <w:rFonts w:ascii="宋体" w:hAnsi="宋体" w:cs="宋体" w:eastAsia="宋体" w:hint="default"/>
                <w:sz w:val="21"/>
                <w:szCs w:val="21"/>
              </w:rPr>
              <w:t> 台开发</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both"/>
              <w:rPr>
                <w:rFonts w:ascii="宋体" w:hAnsi="宋体" w:cs="宋体" w:eastAsia="宋体" w:hint="default"/>
                <w:sz w:val="21"/>
                <w:szCs w:val="21"/>
              </w:rPr>
            </w:pPr>
            <w:r>
              <w:rPr>
                <w:rFonts w:ascii="宋体" w:hAnsi="宋体" w:cs="宋体" w:eastAsia="宋体" w:hint="default"/>
                <w:spacing w:val="17"/>
                <w:sz w:val="21"/>
                <w:szCs w:val="21"/>
              </w:rPr>
              <w:t>完成数据标准采集平台</w:t>
            </w:r>
            <w:r>
              <w:rPr>
                <w:rFonts w:ascii="宋体" w:hAnsi="宋体" w:cs="宋体" w:eastAsia="宋体" w:hint="default"/>
                <w:spacing w:val="-86"/>
                <w:sz w:val="21"/>
                <w:szCs w:val="21"/>
              </w:rPr>
              <w:t> </w:t>
            </w:r>
            <w:r>
              <w:rPr>
                <w:rFonts w:ascii="宋体" w:hAnsi="宋体" w:cs="宋体" w:eastAsia="宋体" w:hint="default"/>
                <w:spacing w:val="-4"/>
                <w:sz w:val="21"/>
                <w:szCs w:val="21"/>
              </w:rPr>
              <w:t>软硬件开发，并基于采集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平台立足于公司高压实</w:t>
            </w:r>
            <w:r>
              <w:rPr>
                <w:rFonts w:ascii="宋体" w:hAnsi="宋体" w:cs="宋体" w:eastAsia="宋体" w:hint="default"/>
                <w:spacing w:val="-86"/>
                <w:sz w:val="21"/>
                <w:szCs w:val="21"/>
              </w:rPr>
              <w:t> </w:t>
            </w:r>
            <w:r>
              <w:rPr>
                <w:rFonts w:ascii="宋体" w:hAnsi="宋体" w:cs="宋体" w:eastAsia="宋体" w:hint="default"/>
                <w:spacing w:val="17"/>
                <w:sz w:val="21"/>
                <w:szCs w:val="21"/>
              </w:rPr>
              <w:t>验室进行各种典型故障</w:t>
            </w:r>
            <w:r>
              <w:rPr>
                <w:rFonts w:ascii="宋体" w:hAnsi="宋体" w:cs="宋体" w:eastAsia="宋体" w:hint="default"/>
                <w:spacing w:val="-86"/>
                <w:sz w:val="21"/>
                <w:szCs w:val="21"/>
              </w:rPr>
              <w:t> </w:t>
            </w:r>
            <w:r>
              <w:rPr>
                <w:rFonts w:ascii="宋体" w:hAnsi="宋体" w:cs="宋体" w:eastAsia="宋体" w:hint="default"/>
                <w:spacing w:val="17"/>
                <w:sz w:val="21"/>
                <w:szCs w:val="21"/>
              </w:rPr>
              <w:t>缺陷局部放电信号的收</w:t>
            </w:r>
            <w:r>
              <w:rPr>
                <w:rFonts w:ascii="宋体" w:hAnsi="宋体" w:cs="宋体" w:eastAsia="宋体" w:hint="default"/>
                <w:spacing w:val="-86"/>
                <w:sz w:val="21"/>
                <w:szCs w:val="21"/>
              </w:rPr>
              <w:t> </w:t>
            </w:r>
            <w:r>
              <w:rPr>
                <w:rFonts w:ascii="宋体" w:hAnsi="宋体" w:cs="宋体" w:eastAsia="宋体" w:hint="default"/>
                <w:spacing w:val="-4"/>
                <w:sz w:val="21"/>
                <w:szCs w:val="21"/>
              </w:rPr>
              <w:t>集，累积形成一个大规模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的局放标准数据库。综合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服务平台完成需求设计， </w:t>
            </w:r>
            <w:r>
              <w:rPr>
                <w:rFonts w:ascii="宋体" w:hAnsi="宋体" w:cs="宋体" w:eastAsia="宋体" w:hint="default"/>
                <w:spacing w:val="17"/>
                <w:sz w:val="21"/>
                <w:szCs w:val="21"/>
              </w:rPr>
              <w:t>接下将开展具体的开发</w:t>
            </w:r>
            <w:r>
              <w:rPr>
                <w:rFonts w:ascii="宋体" w:hAnsi="宋体" w:cs="宋体" w:eastAsia="宋体" w:hint="default"/>
                <w:spacing w:val="-86"/>
                <w:sz w:val="21"/>
                <w:szCs w:val="21"/>
              </w:rPr>
              <w:t> </w:t>
            </w:r>
            <w:r>
              <w:rPr>
                <w:rFonts w:ascii="宋体" w:hAnsi="宋体" w:cs="宋体" w:eastAsia="宋体" w:hint="default"/>
                <w:sz w:val="21"/>
                <w:szCs w:val="21"/>
              </w:rPr>
              <w:t>工作。</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顺应国网公司在智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能管控体系中对于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大</w:t>
            </w:r>
            <w:r>
              <w:rPr>
                <w:rFonts w:ascii="宋体" w:hAnsi="宋体" w:cs="宋体" w:eastAsia="宋体" w:hint="default"/>
                <w:spacing w:val="-64"/>
                <w:sz w:val="21"/>
                <w:szCs w:val="21"/>
              </w:rPr>
              <w:t> </w:t>
            </w:r>
            <w:r>
              <w:rPr>
                <w:rFonts w:ascii="宋体" w:hAnsi="宋体" w:cs="宋体" w:eastAsia="宋体" w:hint="default"/>
                <w:sz w:val="21"/>
                <w:szCs w:val="21"/>
              </w:rPr>
              <w:t>数</w:t>
            </w:r>
            <w:r>
              <w:rPr>
                <w:rFonts w:ascii="宋体" w:hAnsi="宋体" w:cs="宋体" w:eastAsia="宋体" w:hint="default"/>
                <w:spacing w:val="-64"/>
                <w:sz w:val="21"/>
                <w:szCs w:val="21"/>
              </w:rPr>
              <w:t> </w:t>
            </w:r>
            <w:r>
              <w:rPr>
                <w:rFonts w:ascii="宋体" w:hAnsi="宋体" w:cs="宋体" w:eastAsia="宋体" w:hint="default"/>
                <w:sz w:val="21"/>
                <w:szCs w:val="21"/>
              </w:rPr>
              <w:t>据</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2"/>
                <w:sz w:val="21"/>
                <w:szCs w:val="21"/>
              </w:rPr>
              <w:t> </w:t>
            </w:r>
            <w:r>
              <w:rPr>
                <w:rFonts w:ascii="宋体" w:hAnsi="宋体" w:cs="宋体" w:eastAsia="宋体" w:hint="default"/>
                <w:sz w:val="21"/>
                <w:szCs w:val="21"/>
              </w:rPr>
              <w:t>用</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需</w:t>
            </w:r>
            <w:r>
              <w:rPr>
                <w:rFonts w:ascii="宋体" w:hAnsi="宋体" w:cs="宋体" w:eastAsia="宋体" w:hint="default"/>
                <w:sz w:val="21"/>
                <w:szCs w:val="21"/>
              </w:rPr>
              <w:t> </w:t>
            </w:r>
            <w:r>
              <w:rPr>
                <w:rFonts w:ascii="宋体" w:hAnsi="宋体" w:cs="宋体" w:eastAsia="宋体" w:hint="default"/>
                <w:spacing w:val="4"/>
                <w:sz w:val="21"/>
                <w:szCs w:val="21"/>
              </w:rPr>
              <w:t>求，为国网公司提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供局部放电方面的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数据资源和管控平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台。</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提升公司在数据时代的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技术层次，通过建设该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服务平台，实现公司在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国网相关需求领域占据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一定的地位，有利于公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司技术形象和提升市场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竞争力。</w:t>
            </w:r>
          </w:p>
        </w:tc>
      </w:tr>
      <w:tr>
        <w:trPr>
          <w:trHeight w:val="2219"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局</w:t>
            </w:r>
            <w:r>
              <w:rPr>
                <w:rFonts w:ascii="宋体" w:hAnsi="宋体" w:cs="宋体" w:eastAsia="宋体" w:hint="default"/>
                <w:spacing w:val="-74"/>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放</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4"/>
                <w:sz w:val="21"/>
                <w:szCs w:val="21"/>
              </w:rPr>
              <w:t> </w:t>
            </w:r>
            <w:r>
              <w:rPr>
                <w:rFonts w:ascii="宋体" w:hAnsi="宋体" w:cs="宋体" w:eastAsia="宋体" w:hint="default"/>
                <w:sz w:val="21"/>
                <w:szCs w:val="21"/>
              </w:rPr>
              <w:t>在</w:t>
            </w:r>
            <w:r>
              <w:rPr>
                <w:rFonts w:ascii="宋体" w:hAnsi="宋体" w:cs="宋体" w:eastAsia="宋体" w:hint="default"/>
                <w:spacing w:val="-74"/>
                <w:sz w:val="21"/>
                <w:szCs w:val="21"/>
              </w:rPr>
              <w:t> </w:t>
            </w:r>
            <w:r>
              <w:rPr>
                <w:rFonts w:ascii="宋体" w:hAnsi="宋体" w:cs="宋体" w:eastAsia="宋体" w:hint="default"/>
                <w:sz w:val="21"/>
                <w:szCs w:val="21"/>
              </w:rPr>
              <w:t>线</w:t>
            </w:r>
            <w:r>
              <w:rPr>
                <w:rFonts w:ascii="宋体" w:hAnsi="宋体" w:cs="宋体" w:eastAsia="宋体" w:hint="default"/>
                <w:sz w:val="21"/>
                <w:szCs w:val="21"/>
              </w:rPr>
              <w:t> 监测系统的研究</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both"/>
              <w:rPr>
                <w:rFonts w:ascii="宋体" w:hAnsi="宋体" w:cs="宋体" w:eastAsia="宋体" w:hint="default"/>
                <w:sz w:val="21"/>
                <w:szCs w:val="21"/>
              </w:rPr>
            </w:pPr>
            <w:r>
              <w:rPr>
                <w:rFonts w:ascii="宋体" w:hAnsi="宋体" w:cs="宋体" w:eastAsia="宋体" w:hint="default"/>
                <w:spacing w:val="17"/>
                <w:sz w:val="21"/>
                <w:szCs w:val="21"/>
              </w:rPr>
              <w:t>进行了相关理论技术研</w:t>
            </w:r>
            <w:r>
              <w:rPr>
                <w:rFonts w:ascii="宋体" w:hAnsi="宋体" w:cs="宋体" w:eastAsia="宋体" w:hint="default"/>
                <w:spacing w:val="-86"/>
                <w:sz w:val="21"/>
                <w:szCs w:val="21"/>
              </w:rPr>
              <w:t> </w:t>
            </w:r>
            <w:r>
              <w:rPr>
                <w:rFonts w:ascii="宋体" w:hAnsi="宋体" w:cs="宋体" w:eastAsia="宋体" w:hint="default"/>
                <w:spacing w:val="-4"/>
                <w:sz w:val="21"/>
                <w:szCs w:val="21"/>
              </w:rPr>
              <w:t>究，并研制了相应的特高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频传感器及性能测试，继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续着手进行硬件模块开</w:t>
            </w:r>
            <w:r>
              <w:rPr>
                <w:rFonts w:ascii="宋体" w:hAnsi="宋体" w:cs="宋体" w:eastAsia="宋体" w:hint="default"/>
                <w:spacing w:val="-86"/>
                <w:sz w:val="21"/>
                <w:szCs w:val="21"/>
              </w:rPr>
              <w:t> </w:t>
            </w:r>
            <w:r>
              <w:rPr>
                <w:rFonts w:ascii="宋体" w:hAnsi="宋体" w:cs="宋体" w:eastAsia="宋体" w:hint="default"/>
                <w:sz w:val="21"/>
                <w:szCs w:val="21"/>
              </w:rPr>
              <w:t>发试制和软件代码编程、</w:t>
            </w:r>
            <w:r>
              <w:rPr>
                <w:rFonts w:ascii="宋体" w:hAnsi="宋体" w:cs="宋体" w:eastAsia="宋体" w:hint="default"/>
                <w:sz w:val="21"/>
                <w:szCs w:val="21"/>
              </w:rPr>
              <w:t> </w:t>
            </w:r>
            <w:r>
              <w:rPr>
                <w:rFonts w:ascii="宋体" w:hAnsi="宋体" w:cs="宋体" w:eastAsia="宋体" w:hint="default"/>
                <w:spacing w:val="17"/>
                <w:sz w:val="21"/>
                <w:szCs w:val="21"/>
              </w:rPr>
              <w:t>样机整体联调测试和现</w:t>
            </w:r>
            <w:r>
              <w:rPr>
                <w:rFonts w:ascii="宋体" w:hAnsi="宋体" w:cs="宋体" w:eastAsia="宋体" w:hint="default"/>
                <w:spacing w:val="-86"/>
                <w:sz w:val="21"/>
                <w:szCs w:val="21"/>
              </w:rPr>
              <w:t> </w:t>
            </w:r>
            <w:r>
              <w:rPr>
                <w:rFonts w:ascii="宋体" w:hAnsi="宋体" w:cs="宋体" w:eastAsia="宋体" w:hint="default"/>
                <w:sz w:val="21"/>
                <w:szCs w:val="21"/>
              </w:rPr>
              <w:t>场应用。</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
              <w:jc w:val="both"/>
              <w:rPr>
                <w:rFonts w:ascii="宋体" w:hAnsi="宋体" w:cs="宋体" w:eastAsia="宋体" w:hint="default"/>
                <w:sz w:val="21"/>
                <w:szCs w:val="21"/>
              </w:rPr>
            </w:pPr>
            <w:r>
              <w:rPr>
                <w:rFonts w:ascii="宋体" w:hAnsi="宋体" w:cs="宋体" w:eastAsia="宋体" w:hint="default"/>
                <w:spacing w:val="4"/>
                <w:sz w:val="21"/>
                <w:szCs w:val="21"/>
              </w:rPr>
              <w:t>完成相关技术研究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9"/>
                <w:sz w:val="21"/>
                <w:szCs w:val="21"/>
              </w:rPr>
              <w:t>工作，完成</w:t>
            </w:r>
            <w:r>
              <w:rPr>
                <w:rFonts w:ascii="Times New Roman" w:hAnsi="Times New Roman" w:cs="Times New Roman" w:eastAsia="Times New Roman" w:hint="default"/>
                <w:spacing w:val="-9"/>
                <w:sz w:val="21"/>
                <w:szCs w:val="21"/>
              </w:rPr>
              <w:t>GIS</w:t>
            </w:r>
            <w:r>
              <w:rPr>
                <w:rFonts w:ascii="宋体" w:hAnsi="宋体" w:cs="宋体" w:eastAsia="宋体" w:hint="default"/>
                <w:spacing w:val="-9"/>
                <w:sz w:val="21"/>
                <w:szCs w:val="21"/>
              </w:rPr>
              <w:t>局部</w:t>
            </w:r>
            <w:r>
              <w:rPr>
                <w:rFonts w:ascii="宋体" w:hAnsi="宋体" w:cs="宋体" w:eastAsia="宋体" w:hint="default"/>
                <w:spacing w:val="-103"/>
                <w:sz w:val="21"/>
                <w:szCs w:val="21"/>
              </w:rPr>
              <w:t> </w:t>
            </w:r>
            <w:r>
              <w:rPr>
                <w:rFonts w:ascii="宋体" w:hAnsi="宋体" w:cs="宋体" w:eastAsia="宋体" w:hint="default"/>
                <w:spacing w:val="4"/>
                <w:sz w:val="21"/>
                <w:szCs w:val="21"/>
              </w:rPr>
              <w:t>放电在线监测系统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具</w:t>
            </w:r>
            <w:r>
              <w:rPr>
                <w:rFonts w:ascii="宋体" w:hAnsi="宋体" w:cs="宋体" w:eastAsia="宋体" w:hint="default"/>
                <w:spacing w:val="-64"/>
                <w:sz w:val="21"/>
                <w:szCs w:val="21"/>
              </w:rPr>
              <w:t> </w:t>
            </w:r>
            <w:r>
              <w:rPr>
                <w:rFonts w:ascii="宋体" w:hAnsi="宋体" w:cs="宋体" w:eastAsia="宋体" w:hint="default"/>
                <w:sz w:val="21"/>
                <w:szCs w:val="21"/>
              </w:rPr>
              <w:t>体</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2"/>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与</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z w:val="21"/>
                <w:szCs w:val="21"/>
              </w:rPr>
              <w:t> 用。</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2"/>
              <w:jc w:val="both"/>
              <w:rPr>
                <w:rFonts w:ascii="宋体" w:hAnsi="宋体" w:cs="宋体" w:eastAsia="宋体" w:hint="default"/>
                <w:sz w:val="21"/>
                <w:szCs w:val="21"/>
              </w:rPr>
            </w:pPr>
            <w:r>
              <w:rPr>
                <w:rFonts w:ascii="宋体" w:hAnsi="宋体" w:cs="宋体" w:eastAsia="宋体" w:hint="default"/>
                <w:spacing w:val="9"/>
                <w:sz w:val="21"/>
                <w:szCs w:val="21"/>
              </w:rPr>
              <w:t>一方面能形成具备较强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竞争力的产品，降低公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司的成本压力，为公司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创造可观的经济效益；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6"/>
                <w:sz w:val="21"/>
                <w:szCs w:val="21"/>
              </w:rPr>
              <w:t>另一方面能提高</w:t>
            </w:r>
            <w:r>
              <w:rPr>
                <w:rFonts w:ascii="Times New Roman" w:hAnsi="Times New Roman" w:cs="Times New Roman" w:eastAsia="Times New Roman" w:hint="default"/>
                <w:spacing w:val="16"/>
                <w:sz w:val="21"/>
                <w:szCs w:val="21"/>
              </w:rPr>
              <w:t>GIS</w:t>
            </w:r>
            <w:r>
              <w:rPr>
                <w:rFonts w:ascii="宋体" w:hAnsi="宋体" w:cs="宋体" w:eastAsia="宋体" w:hint="default"/>
                <w:spacing w:val="16"/>
                <w:sz w:val="21"/>
                <w:szCs w:val="21"/>
              </w:rPr>
              <w:t>局</w:t>
            </w:r>
            <w:r>
              <w:rPr>
                <w:rFonts w:ascii="宋体" w:hAnsi="宋体" w:cs="宋体" w:eastAsia="宋体" w:hint="default"/>
                <w:spacing w:val="-103"/>
                <w:sz w:val="21"/>
                <w:szCs w:val="21"/>
              </w:rPr>
              <w:t> </w:t>
            </w:r>
            <w:r>
              <w:rPr>
                <w:rFonts w:ascii="宋体" w:hAnsi="宋体" w:cs="宋体" w:eastAsia="宋体" w:hint="default"/>
                <w:spacing w:val="9"/>
                <w:sz w:val="21"/>
                <w:szCs w:val="21"/>
              </w:rPr>
              <w:t>部放电在线监测应用研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究水平与经验。</w:t>
            </w:r>
          </w:p>
        </w:tc>
      </w:tr>
      <w:tr>
        <w:trPr>
          <w:trHeight w:val="2844"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TCD-1000</w:t>
            </w:r>
            <w:r>
              <w:rPr>
                <w:rFonts w:ascii="宋体" w:hAnsi="宋体" w:cs="宋体" w:eastAsia="宋体" w:hint="default"/>
                <w:spacing w:val="3"/>
                <w:sz w:val="21"/>
                <w:szCs w:val="21"/>
              </w:rPr>
              <w:t>型有载调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3"/>
                <w:sz w:val="21"/>
                <w:szCs w:val="21"/>
              </w:rPr>
              <w:t>压开关短时在线监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测系统</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both"/>
              <w:rPr>
                <w:rFonts w:ascii="宋体" w:hAnsi="宋体" w:cs="宋体" w:eastAsia="宋体" w:hint="default"/>
                <w:sz w:val="21"/>
                <w:szCs w:val="21"/>
              </w:rPr>
            </w:pPr>
            <w:r>
              <w:rPr>
                <w:rFonts w:ascii="宋体" w:hAnsi="宋体" w:cs="宋体" w:eastAsia="宋体" w:hint="default"/>
                <w:sz w:val="21"/>
                <w:szCs w:val="21"/>
              </w:rPr>
              <w:t>目前已经完成项目调研、 </w:t>
            </w:r>
            <w:r>
              <w:rPr>
                <w:rFonts w:ascii="宋体" w:hAnsi="宋体" w:cs="宋体" w:eastAsia="宋体" w:hint="default"/>
                <w:spacing w:val="-4"/>
                <w:sz w:val="21"/>
                <w:szCs w:val="21"/>
              </w:rPr>
              <w:t>立项、功能调研、声学指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纹检测技术理论研究总</w:t>
            </w:r>
            <w:r>
              <w:rPr>
                <w:rFonts w:ascii="宋体" w:hAnsi="宋体" w:cs="宋体" w:eastAsia="宋体" w:hint="default"/>
                <w:spacing w:val="-86"/>
                <w:sz w:val="21"/>
                <w:szCs w:val="21"/>
              </w:rPr>
              <w:t> </w:t>
            </w:r>
            <w:r>
              <w:rPr>
                <w:rFonts w:ascii="宋体" w:hAnsi="宋体" w:cs="宋体" w:eastAsia="宋体" w:hint="default"/>
                <w:spacing w:val="-4"/>
                <w:sz w:val="21"/>
                <w:szCs w:val="21"/>
              </w:rPr>
              <w:t>结、数据处理算法研究及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验证测试、系统信号调理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电路设计及测试、系统供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电等设计及测试等工作。</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完成项目部分研究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及部分设计工作，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着手进入项目数据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采集及管理系统部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分设计阶段。</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目前未见其他公司有类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似产品面世，市场竞争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压力小，且本项目功能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丰富，操作简单，数据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采集及分析完全自动化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完成，同时产品可适应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巡检、重症监测、在线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监测等多种应用需求，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因此本项目将市场前景</w:t>
            </w:r>
          </w:p>
        </w:tc>
      </w:tr>
    </w:tbl>
    <w:p>
      <w:pPr>
        <w:spacing w:after="0" w:line="273"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46"/>
        <w:gridCol w:w="1816"/>
        <w:gridCol w:w="2294"/>
        <w:gridCol w:w="1744"/>
        <w:gridCol w:w="2224"/>
      </w:tblGrid>
      <w:tr>
        <w:trPr>
          <w:trHeight w:val="347"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较好。</w:t>
            </w:r>
          </w:p>
        </w:tc>
      </w:tr>
      <w:tr>
        <w:trPr>
          <w:trHeight w:val="159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PD-6600</w:t>
            </w:r>
          </w:p>
          <w:p>
            <w:pPr>
              <w:pStyle w:val="TableParagraph"/>
              <w:spacing w:line="256" w:lineRule="auto" w:before="21"/>
              <w:ind w:left="2"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AGC/AVC</w:t>
            </w:r>
            <w:r>
              <w:rPr>
                <w:rFonts w:ascii="宋体" w:hAnsi="宋体" w:cs="宋体" w:eastAsia="宋体" w:hint="default"/>
                <w:sz w:val="21"/>
                <w:szCs w:val="21"/>
              </w:rPr>
              <w:t>调节电量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变送器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6"/>
              <w:jc w:val="both"/>
              <w:rPr>
                <w:rFonts w:ascii="宋体" w:hAnsi="宋体" w:cs="宋体" w:eastAsia="宋体" w:hint="default"/>
                <w:sz w:val="21"/>
                <w:szCs w:val="21"/>
              </w:rPr>
            </w:pPr>
            <w:r>
              <w:rPr>
                <w:rFonts w:ascii="宋体" w:hAnsi="宋体" w:cs="宋体" w:eastAsia="宋体" w:hint="default"/>
                <w:spacing w:val="-4"/>
                <w:sz w:val="21"/>
                <w:szCs w:val="21"/>
              </w:rPr>
              <w:t>样机设计已经完成，并已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经开始小批量生产和销</w:t>
            </w:r>
            <w:r>
              <w:rPr>
                <w:rFonts w:ascii="宋体" w:hAnsi="宋体" w:cs="宋体" w:eastAsia="宋体" w:hint="default"/>
                <w:spacing w:val="-86"/>
                <w:sz w:val="21"/>
                <w:szCs w:val="21"/>
              </w:rPr>
              <w:t> </w:t>
            </w:r>
            <w:r>
              <w:rPr>
                <w:rFonts w:ascii="宋体" w:hAnsi="宋体" w:cs="宋体" w:eastAsia="宋体" w:hint="default"/>
                <w:spacing w:val="-4"/>
                <w:sz w:val="21"/>
                <w:szCs w:val="21"/>
              </w:rPr>
              <w:t>售；后续会根据客户需求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完善产品；</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用数字化技术丰富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量</w:t>
            </w:r>
            <w:r>
              <w:rPr>
                <w:rFonts w:ascii="宋体" w:hAnsi="宋体" w:cs="宋体" w:eastAsia="宋体" w:hint="default"/>
                <w:spacing w:val="-64"/>
                <w:sz w:val="21"/>
                <w:szCs w:val="21"/>
              </w:rPr>
              <w:t> </w:t>
            </w:r>
            <w:r>
              <w:rPr>
                <w:rFonts w:ascii="宋体" w:hAnsi="宋体" w:cs="宋体" w:eastAsia="宋体" w:hint="default"/>
                <w:sz w:val="21"/>
                <w:szCs w:val="21"/>
              </w:rPr>
              <w:t>变</w:t>
            </w:r>
            <w:r>
              <w:rPr>
                <w:rFonts w:ascii="宋体" w:hAnsi="宋体" w:cs="宋体" w:eastAsia="宋体" w:hint="default"/>
                <w:spacing w:val="-64"/>
                <w:sz w:val="21"/>
                <w:szCs w:val="21"/>
              </w:rPr>
              <w:t> </w:t>
            </w:r>
            <w:r>
              <w:rPr>
                <w:rFonts w:ascii="宋体" w:hAnsi="宋体" w:cs="宋体" w:eastAsia="宋体" w:hint="default"/>
                <w:sz w:val="21"/>
                <w:szCs w:val="21"/>
              </w:rPr>
              <w:t>送</w:t>
            </w:r>
            <w:r>
              <w:rPr>
                <w:rFonts w:ascii="宋体" w:hAnsi="宋体" w:cs="宋体" w:eastAsia="宋体" w:hint="default"/>
                <w:spacing w:val="-62"/>
                <w:sz w:val="21"/>
                <w:szCs w:val="21"/>
              </w:rPr>
              <w:t> </w:t>
            </w:r>
            <w:r>
              <w:rPr>
                <w:rFonts w:ascii="宋体" w:hAnsi="宋体" w:cs="宋体" w:eastAsia="宋体" w:hint="default"/>
                <w:sz w:val="21"/>
                <w:szCs w:val="21"/>
              </w:rPr>
              <w:t>器</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品</w:t>
            </w:r>
            <w:r>
              <w:rPr>
                <w:rFonts w:ascii="宋体" w:hAnsi="宋体" w:cs="宋体" w:eastAsia="宋体" w:hint="default"/>
                <w:sz w:val="21"/>
                <w:szCs w:val="21"/>
              </w:rPr>
              <w:t> </w:t>
            </w:r>
            <w:r>
              <w:rPr>
                <w:rFonts w:ascii="宋体" w:hAnsi="宋体" w:cs="宋体" w:eastAsia="宋体" w:hint="default"/>
                <w:spacing w:val="4"/>
                <w:sz w:val="21"/>
                <w:szCs w:val="21"/>
              </w:rPr>
              <w:t>线，为水电厂提供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功率和电压控制的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产品。</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9"/>
                <w:sz w:val="21"/>
                <w:szCs w:val="21"/>
              </w:rPr>
              <w:t>扩展公司电量变送器产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品在水电厂的应用，支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持公司的持续发展。</w:t>
            </w:r>
          </w:p>
        </w:tc>
      </w:tr>
      <w:tr>
        <w:trPr>
          <w:trHeight w:val="1595"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PD-8800</w:t>
            </w:r>
          </w:p>
          <w:p>
            <w:pPr>
              <w:pStyle w:val="TableParagraph"/>
              <w:spacing w:line="273" w:lineRule="auto" w:before="21"/>
              <w:ind w:left="2" w:right="2"/>
              <w:jc w:val="left"/>
              <w:rPr>
                <w:rFonts w:ascii="宋体" w:hAnsi="宋体" w:cs="宋体" w:eastAsia="宋体" w:hint="default"/>
                <w:sz w:val="21"/>
                <w:szCs w:val="21"/>
              </w:rPr>
            </w:pPr>
            <w:r>
              <w:rPr>
                <w:rFonts w:ascii="宋体" w:hAnsi="宋体" w:cs="宋体" w:eastAsia="宋体" w:hint="default"/>
                <w:spacing w:val="13"/>
                <w:sz w:val="21"/>
                <w:szCs w:val="21"/>
              </w:rPr>
              <w:t>电能表接线智能仿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真装置</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6"/>
              <w:jc w:val="both"/>
              <w:rPr>
                <w:rFonts w:ascii="宋体" w:hAnsi="宋体" w:cs="宋体" w:eastAsia="宋体" w:hint="default"/>
                <w:sz w:val="21"/>
                <w:szCs w:val="21"/>
              </w:rPr>
            </w:pPr>
            <w:r>
              <w:rPr>
                <w:rFonts w:ascii="宋体" w:hAnsi="宋体" w:cs="宋体" w:eastAsia="宋体" w:hint="default"/>
                <w:spacing w:val="-4"/>
                <w:sz w:val="21"/>
                <w:szCs w:val="21"/>
              </w:rPr>
              <w:t>样机试制已经完成，并已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经开始小批量生产和销</w:t>
            </w:r>
            <w:r>
              <w:rPr>
                <w:rFonts w:ascii="宋体" w:hAnsi="宋体" w:cs="宋体" w:eastAsia="宋体" w:hint="default"/>
                <w:spacing w:val="-86"/>
                <w:sz w:val="21"/>
                <w:szCs w:val="21"/>
              </w:rPr>
              <w:t> </w:t>
            </w:r>
            <w:r>
              <w:rPr>
                <w:rFonts w:ascii="宋体" w:hAnsi="宋体" w:cs="宋体" w:eastAsia="宋体" w:hint="default"/>
                <w:sz w:val="21"/>
                <w:szCs w:val="21"/>
              </w:rPr>
              <w:t>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
              <w:jc w:val="both"/>
              <w:rPr>
                <w:rFonts w:ascii="宋体" w:hAnsi="宋体" w:cs="宋体" w:eastAsia="宋体" w:hint="default"/>
                <w:sz w:val="21"/>
                <w:szCs w:val="21"/>
              </w:rPr>
            </w:pPr>
            <w:r>
              <w:rPr>
                <w:rFonts w:ascii="宋体" w:hAnsi="宋体" w:cs="宋体" w:eastAsia="宋体" w:hint="default"/>
                <w:spacing w:val="10"/>
                <w:sz w:val="21"/>
                <w:szCs w:val="21"/>
              </w:rPr>
              <w:t>开发</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pacing w:val="16"/>
                <w:sz w:val="21"/>
                <w:szCs w:val="21"/>
              </w:rPr>
              <w:t>套适合电力</w:t>
            </w:r>
            <w:r>
              <w:rPr>
                <w:rFonts w:ascii="宋体" w:hAnsi="宋体" w:cs="宋体" w:eastAsia="宋体" w:hint="default"/>
                <w:sz w:val="21"/>
                <w:szCs w:val="21"/>
              </w:rPr>
              <w:t> </w:t>
            </w:r>
            <w:r>
              <w:rPr>
                <w:rFonts w:ascii="宋体" w:hAnsi="宋体" w:cs="宋体" w:eastAsia="宋体" w:hint="default"/>
                <w:spacing w:val="4"/>
                <w:sz w:val="21"/>
                <w:szCs w:val="21"/>
              </w:rPr>
              <w:t>培训中心的接线仿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真装置，可用于各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电</w:t>
            </w:r>
            <w:r>
              <w:rPr>
                <w:rFonts w:ascii="宋体" w:hAnsi="宋体" w:cs="宋体" w:eastAsia="宋体" w:hint="default"/>
                <w:spacing w:val="-64"/>
                <w:sz w:val="21"/>
                <w:szCs w:val="21"/>
              </w:rPr>
              <w:t> </w:t>
            </w:r>
            <w:r>
              <w:rPr>
                <w:rFonts w:ascii="宋体" w:hAnsi="宋体" w:cs="宋体" w:eastAsia="宋体" w:hint="default"/>
                <w:sz w:val="21"/>
                <w:szCs w:val="21"/>
              </w:rPr>
              <w:t>力</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2"/>
                <w:sz w:val="21"/>
                <w:szCs w:val="21"/>
              </w:rPr>
              <w:t> </w:t>
            </w:r>
            <w:r>
              <w:rPr>
                <w:rFonts w:ascii="宋体" w:hAnsi="宋体" w:cs="宋体" w:eastAsia="宋体" w:hint="default"/>
                <w:sz w:val="21"/>
                <w:szCs w:val="21"/>
              </w:rPr>
              <w:t>培</w:t>
            </w:r>
            <w:r>
              <w:rPr>
                <w:rFonts w:ascii="宋体" w:hAnsi="宋体" w:cs="宋体" w:eastAsia="宋体" w:hint="default"/>
                <w:spacing w:val="-64"/>
                <w:sz w:val="21"/>
                <w:szCs w:val="21"/>
              </w:rPr>
              <w:t> </w:t>
            </w:r>
            <w:r>
              <w:rPr>
                <w:rFonts w:ascii="宋体" w:hAnsi="宋体" w:cs="宋体" w:eastAsia="宋体" w:hint="default"/>
                <w:sz w:val="21"/>
                <w:szCs w:val="21"/>
              </w:rPr>
              <w:t>训</w:t>
            </w:r>
            <w:r>
              <w:rPr>
                <w:rFonts w:ascii="宋体" w:hAnsi="宋体" w:cs="宋体" w:eastAsia="宋体" w:hint="default"/>
                <w:spacing w:val="-64"/>
                <w:sz w:val="21"/>
                <w:szCs w:val="21"/>
              </w:rPr>
              <w:t> </w:t>
            </w:r>
            <w:r>
              <w:rPr>
                <w:rFonts w:ascii="宋体" w:hAnsi="宋体" w:cs="宋体" w:eastAsia="宋体" w:hint="default"/>
                <w:sz w:val="21"/>
                <w:szCs w:val="21"/>
              </w:rPr>
              <w:t>中</w:t>
            </w:r>
            <w:r>
              <w:rPr>
                <w:rFonts w:ascii="宋体" w:hAnsi="宋体" w:cs="宋体" w:eastAsia="宋体" w:hint="default"/>
                <w:sz w:val="21"/>
                <w:szCs w:val="21"/>
              </w:rPr>
              <w:t> 心。</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利用公司成熟的电气技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术，延伸产品线。支持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公司的持续发展。</w:t>
            </w:r>
          </w:p>
        </w:tc>
      </w:tr>
      <w:tr>
        <w:trPr>
          <w:trHeight w:val="190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HPU-3660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充电桩测试装置</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6"/>
              <w:jc w:val="both"/>
              <w:rPr>
                <w:rFonts w:ascii="宋体" w:hAnsi="宋体" w:cs="宋体" w:eastAsia="宋体" w:hint="default"/>
                <w:sz w:val="21"/>
                <w:szCs w:val="21"/>
              </w:rPr>
            </w:pPr>
            <w:r>
              <w:rPr>
                <w:rFonts w:ascii="宋体" w:hAnsi="宋体" w:cs="宋体" w:eastAsia="宋体" w:hint="default"/>
                <w:spacing w:val="-4"/>
                <w:sz w:val="21"/>
                <w:szCs w:val="21"/>
              </w:rPr>
              <w:t>样机还是试制过程中，因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为充电桩本身的技术还</w:t>
            </w:r>
            <w:r>
              <w:rPr>
                <w:rFonts w:ascii="宋体" w:hAnsi="宋体" w:cs="宋体" w:eastAsia="宋体" w:hint="default"/>
                <w:spacing w:val="-86"/>
                <w:sz w:val="21"/>
                <w:szCs w:val="21"/>
              </w:rPr>
              <w:t> </w:t>
            </w:r>
            <w:r>
              <w:rPr>
                <w:rFonts w:ascii="宋体" w:hAnsi="宋体" w:cs="宋体" w:eastAsia="宋体" w:hint="default"/>
                <w:spacing w:val="-4"/>
                <w:sz w:val="21"/>
                <w:szCs w:val="21"/>
              </w:rPr>
              <w:t>在进步中，所以还需要完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善测试软件，本项目新产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品还需要后续继续进行</w:t>
            </w:r>
            <w:r>
              <w:rPr>
                <w:rFonts w:ascii="宋体" w:hAnsi="宋体" w:cs="宋体" w:eastAsia="宋体" w:hint="default"/>
                <w:spacing w:val="-86"/>
                <w:sz w:val="21"/>
                <w:szCs w:val="21"/>
              </w:rPr>
              <w:t> </w:t>
            </w:r>
            <w:r>
              <w:rPr>
                <w:rFonts w:ascii="宋体" w:hAnsi="宋体" w:cs="宋体" w:eastAsia="宋体" w:hint="default"/>
                <w:sz w:val="21"/>
                <w:szCs w:val="21"/>
              </w:rPr>
              <w:t>开发。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开发一系列能对电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动汽车的充电桩设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备进行现场检测的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测试仪。满足技术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监督系统对充电桩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的监督测试要求。</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9"/>
                <w:sz w:val="21"/>
                <w:szCs w:val="21"/>
              </w:rPr>
              <w:t>在新能源汽车大发展的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大环境下，充电桩会大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量装备，所以充电桩的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测试需求将持续增长，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此产品的开发成功，能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有力支撑公司的发展。</w:t>
            </w:r>
          </w:p>
        </w:tc>
      </w:tr>
      <w:tr>
        <w:trPr>
          <w:trHeight w:val="2219"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HPU-DTU2200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自动化配电终端</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34"/>
              <w:jc w:val="both"/>
              <w:rPr>
                <w:rFonts w:ascii="宋体" w:hAnsi="宋体" w:cs="宋体" w:eastAsia="宋体" w:hint="default"/>
                <w:sz w:val="21"/>
                <w:szCs w:val="21"/>
              </w:rPr>
            </w:pPr>
            <w:r>
              <w:rPr>
                <w:rFonts w:ascii="宋体" w:hAnsi="宋体" w:cs="宋体" w:eastAsia="宋体" w:hint="default"/>
                <w:spacing w:val="14"/>
                <w:sz w:val="21"/>
                <w:szCs w:val="21"/>
              </w:rPr>
              <w:t>根据</w:t>
            </w:r>
            <w:r>
              <w:rPr>
                <w:rFonts w:ascii="Times New Roman" w:hAnsi="Times New Roman" w:cs="Times New Roman" w:eastAsia="Times New Roman" w:hint="default"/>
                <w:spacing w:val="14"/>
                <w:sz w:val="21"/>
                <w:szCs w:val="21"/>
              </w:rPr>
              <w:t>DTU</w:t>
            </w:r>
            <w:r>
              <w:rPr>
                <w:rFonts w:ascii="宋体" w:hAnsi="宋体" w:cs="宋体" w:eastAsia="宋体" w:hint="default"/>
                <w:spacing w:val="14"/>
                <w:sz w:val="21"/>
                <w:szCs w:val="21"/>
              </w:rPr>
              <w:t>配网终端最新</w:t>
            </w:r>
            <w:r>
              <w:rPr>
                <w:rFonts w:ascii="宋体" w:hAnsi="宋体" w:cs="宋体" w:eastAsia="宋体" w:hint="default"/>
                <w:spacing w:val="-101"/>
                <w:sz w:val="21"/>
                <w:szCs w:val="21"/>
              </w:rPr>
              <w:t> </w:t>
            </w:r>
            <w:r>
              <w:rPr>
                <w:rFonts w:ascii="宋体" w:hAnsi="宋体" w:cs="宋体" w:eastAsia="宋体" w:hint="default"/>
                <w:spacing w:val="-3"/>
                <w:sz w:val="21"/>
                <w:szCs w:val="21"/>
              </w:rPr>
              <w:t>技术的要求，对</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年开</w:t>
            </w:r>
            <w:r>
              <w:rPr>
                <w:rFonts w:ascii="宋体" w:hAnsi="宋体" w:cs="宋体" w:eastAsia="宋体" w:hint="default"/>
                <w:sz w:val="21"/>
                <w:szCs w:val="21"/>
              </w:rPr>
              <w:t> </w:t>
            </w:r>
            <w:r>
              <w:rPr>
                <w:rFonts w:ascii="宋体" w:hAnsi="宋体" w:cs="宋体" w:eastAsia="宋体" w:hint="default"/>
                <w:spacing w:val="17"/>
                <w:sz w:val="21"/>
                <w:szCs w:val="21"/>
              </w:rPr>
              <w:t>发的新产品重新进行了</w:t>
            </w:r>
            <w:r>
              <w:rPr>
                <w:rFonts w:ascii="宋体" w:hAnsi="宋体" w:cs="宋体" w:eastAsia="宋体" w:hint="default"/>
                <w:spacing w:val="-86"/>
                <w:sz w:val="21"/>
                <w:szCs w:val="21"/>
              </w:rPr>
              <w:t> </w:t>
            </w:r>
            <w:r>
              <w:rPr>
                <w:rFonts w:ascii="宋体" w:hAnsi="宋体" w:cs="宋体" w:eastAsia="宋体" w:hint="default"/>
                <w:sz w:val="21"/>
                <w:szCs w:val="21"/>
              </w:rPr>
              <w:t>改进并完成了迭代开发。</w:t>
            </w:r>
            <w:r>
              <w:rPr>
                <w:rFonts w:ascii="宋体" w:hAnsi="宋体" w:cs="宋体" w:eastAsia="宋体" w:hint="default"/>
                <w:sz w:val="21"/>
                <w:szCs w:val="21"/>
              </w:rPr>
              <w:t> </w:t>
            </w:r>
            <w:r>
              <w:rPr>
                <w:rFonts w:ascii="宋体" w:hAnsi="宋体" w:cs="宋体" w:eastAsia="宋体" w:hint="default"/>
                <w:spacing w:val="17"/>
                <w:sz w:val="21"/>
                <w:szCs w:val="21"/>
              </w:rPr>
              <w:t>样机已经通过国网电科</w:t>
            </w:r>
            <w:r>
              <w:rPr>
                <w:rFonts w:ascii="宋体" w:hAnsi="宋体" w:cs="宋体" w:eastAsia="宋体" w:hint="default"/>
                <w:spacing w:val="-86"/>
                <w:sz w:val="21"/>
                <w:szCs w:val="21"/>
              </w:rPr>
              <w:t> </w:t>
            </w:r>
            <w:r>
              <w:rPr>
                <w:rFonts w:ascii="宋体" w:hAnsi="宋体" w:cs="宋体" w:eastAsia="宋体" w:hint="default"/>
                <w:spacing w:val="-4"/>
                <w:sz w:val="21"/>
                <w:szCs w:val="21"/>
              </w:rPr>
              <w:t>院的测试，后续要送电科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院进行样机专相检测。</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7"/>
              <w:jc w:val="both"/>
              <w:rPr>
                <w:rFonts w:ascii="宋体" w:hAnsi="宋体" w:cs="宋体" w:eastAsia="宋体" w:hint="default"/>
                <w:sz w:val="21"/>
                <w:szCs w:val="21"/>
              </w:rPr>
            </w:pPr>
            <w:r>
              <w:rPr>
                <w:rFonts w:ascii="宋体" w:hAnsi="宋体" w:cs="宋体" w:eastAsia="宋体" w:hint="default"/>
                <w:spacing w:val="24"/>
                <w:sz w:val="21"/>
                <w:szCs w:val="21"/>
              </w:rPr>
              <w:t>完善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DTU</w:t>
            </w:r>
            <w:r>
              <w:rPr>
                <w:rFonts w:ascii="Times New Roman" w:hAnsi="Times New Roman" w:cs="Times New Roman" w:eastAsia="Times New Roman" w:hint="default"/>
                <w:spacing w:val="-4"/>
                <w:sz w:val="21"/>
                <w:szCs w:val="21"/>
              </w:rPr>
              <w:t> </w:t>
            </w:r>
            <w:r>
              <w:rPr>
                <w:rFonts w:ascii="宋体" w:hAnsi="宋体" w:cs="宋体" w:eastAsia="宋体" w:hint="default"/>
                <w:spacing w:val="24"/>
                <w:sz w:val="21"/>
                <w:szCs w:val="21"/>
              </w:rPr>
              <w:t>的产</w:t>
            </w:r>
            <w:r>
              <w:rPr>
                <w:rFonts w:ascii="宋体" w:hAnsi="宋体" w:cs="宋体" w:eastAsia="宋体" w:hint="default"/>
                <w:spacing w:val="-57"/>
                <w:sz w:val="21"/>
                <w:szCs w:val="21"/>
              </w:rPr>
              <w:t> </w:t>
            </w:r>
            <w:r>
              <w:rPr>
                <w:rFonts w:ascii="宋体" w:hAnsi="宋体" w:cs="宋体" w:eastAsia="宋体" w:hint="default"/>
                <w:sz w:val="21"/>
                <w:szCs w:val="21"/>
              </w:rPr>
              <w:t>品</w:t>
            </w:r>
            <w:r>
              <w:rPr>
                <w:rFonts w:ascii="宋体" w:hAnsi="宋体" w:cs="宋体" w:eastAsia="宋体" w:hint="default"/>
                <w:spacing w:val="-85"/>
                <w:sz w:val="21"/>
                <w:szCs w:val="21"/>
              </w:rPr>
              <w:t> </w:t>
            </w:r>
            <w:r>
              <w:rPr>
                <w:rFonts w:ascii="宋体" w:hAnsi="宋体" w:cs="宋体" w:eastAsia="宋体" w:hint="default"/>
                <w:sz w:val="21"/>
                <w:szCs w:val="21"/>
              </w:rPr>
              <w:t>线，实现</w:t>
            </w:r>
            <w:r>
              <w:rPr>
                <w:rFonts w:ascii="Times New Roman" w:hAnsi="Times New Roman" w:cs="Times New Roman" w:eastAsia="Times New Roman" w:hint="default"/>
                <w:sz w:val="21"/>
                <w:szCs w:val="21"/>
              </w:rPr>
              <w:t>DTU/FTU</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小型化设计。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在新标准出台的情况，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跟</w:t>
            </w:r>
            <w:r>
              <w:rPr>
                <w:rFonts w:ascii="宋体" w:hAnsi="宋体" w:cs="宋体" w:eastAsia="宋体" w:hint="default"/>
                <w:spacing w:val="-66"/>
                <w:sz w:val="21"/>
                <w:szCs w:val="21"/>
              </w:rPr>
              <w:t> </w:t>
            </w:r>
            <w:r>
              <w:rPr>
                <w:rFonts w:ascii="宋体" w:hAnsi="宋体" w:cs="宋体" w:eastAsia="宋体" w:hint="default"/>
                <w:sz w:val="21"/>
                <w:szCs w:val="21"/>
              </w:rPr>
              <w:t>踪</w:t>
            </w:r>
            <w:r>
              <w:rPr>
                <w:rFonts w:ascii="宋体" w:hAnsi="宋体" w:cs="宋体" w:eastAsia="宋体" w:hint="default"/>
                <w:spacing w:val="-66"/>
                <w:sz w:val="21"/>
                <w:szCs w:val="21"/>
              </w:rPr>
              <w:t> </w:t>
            </w:r>
            <w:r>
              <w:rPr>
                <w:rFonts w:ascii="宋体" w:hAnsi="宋体" w:cs="宋体" w:eastAsia="宋体" w:hint="default"/>
                <w:sz w:val="21"/>
                <w:szCs w:val="21"/>
              </w:rPr>
              <w:t>开</w:t>
            </w:r>
            <w:r>
              <w:rPr>
                <w:rFonts w:ascii="宋体" w:hAnsi="宋体" w:cs="宋体" w:eastAsia="宋体" w:hint="default"/>
                <w:spacing w:val="-67"/>
                <w:sz w:val="21"/>
                <w:szCs w:val="21"/>
              </w:rPr>
              <w:t> </w:t>
            </w:r>
            <w:r>
              <w:rPr>
                <w:rFonts w:ascii="宋体" w:hAnsi="宋体" w:cs="宋体" w:eastAsia="宋体" w:hint="default"/>
                <w:sz w:val="21"/>
                <w:szCs w:val="21"/>
              </w:rPr>
              <w:t>发</w:t>
            </w:r>
            <w:r>
              <w:rPr>
                <w:rFonts w:ascii="宋体" w:hAnsi="宋体" w:cs="宋体" w:eastAsia="宋体" w:hint="default"/>
                <w:spacing w:val="-67"/>
                <w:sz w:val="21"/>
                <w:szCs w:val="21"/>
              </w:rPr>
              <w:t> </w:t>
            </w:r>
            <w:r>
              <w:rPr>
                <w:rFonts w:ascii="宋体" w:hAnsi="宋体" w:cs="宋体" w:eastAsia="宋体" w:hint="default"/>
                <w:sz w:val="21"/>
                <w:szCs w:val="21"/>
              </w:rPr>
              <w:t>适</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r>
              <w:rPr>
                <w:rFonts w:ascii="宋体" w:hAnsi="宋体" w:cs="宋体" w:eastAsia="宋体" w:hint="default"/>
                <w:spacing w:val="9"/>
                <w:sz w:val="21"/>
                <w:szCs w:val="21"/>
              </w:rPr>
              <w:t>品，形成全系列的配电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自动化终端产品线，满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足</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7"/>
                <w:sz w:val="21"/>
                <w:szCs w:val="21"/>
              </w:rPr>
              <w:t> </w:t>
            </w:r>
            <w:r>
              <w:rPr>
                <w:rFonts w:ascii="宋体" w:hAnsi="宋体" w:cs="宋体" w:eastAsia="宋体" w:hint="default"/>
                <w:sz w:val="21"/>
                <w:szCs w:val="21"/>
              </w:rPr>
              <w:t>客</w:t>
            </w:r>
            <w:r>
              <w:rPr>
                <w:rFonts w:ascii="宋体" w:hAnsi="宋体" w:cs="宋体" w:eastAsia="宋体" w:hint="default"/>
                <w:spacing w:val="-67"/>
                <w:sz w:val="21"/>
                <w:szCs w:val="21"/>
              </w:rPr>
              <w:t> </w:t>
            </w:r>
            <w:r>
              <w:rPr>
                <w:rFonts w:ascii="宋体" w:hAnsi="宋体" w:cs="宋体" w:eastAsia="宋体" w:hint="default"/>
                <w:sz w:val="21"/>
                <w:szCs w:val="21"/>
              </w:rPr>
              <w:t>户</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spacing w:val="-67"/>
                <w:sz w:val="21"/>
                <w:szCs w:val="21"/>
              </w:rPr>
              <w:t> </w:t>
            </w:r>
            <w:r>
              <w:rPr>
                <w:rFonts w:ascii="宋体" w:hAnsi="宋体" w:cs="宋体" w:eastAsia="宋体" w:hint="default"/>
                <w:sz w:val="21"/>
                <w:szCs w:val="21"/>
              </w:rPr>
              <w:t>同</w:t>
            </w:r>
            <w:r>
              <w:rPr>
                <w:rFonts w:ascii="宋体" w:hAnsi="宋体" w:cs="宋体" w:eastAsia="宋体" w:hint="default"/>
                <w:spacing w:val="-66"/>
                <w:sz w:val="21"/>
                <w:szCs w:val="21"/>
              </w:rPr>
              <w:t> </w:t>
            </w:r>
            <w:r>
              <w:rPr>
                <w:rFonts w:ascii="宋体" w:hAnsi="宋体" w:cs="宋体" w:eastAsia="宋体" w:hint="default"/>
                <w:sz w:val="21"/>
                <w:szCs w:val="21"/>
              </w:rPr>
              <w:t>需</w:t>
            </w:r>
            <w:r>
              <w:rPr>
                <w:rFonts w:ascii="宋体" w:hAnsi="宋体" w:cs="宋体" w:eastAsia="宋体" w:hint="default"/>
                <w:sz w:val="21"/>
                <w:szCs w:val="21"/>
              </w:rPr>
              <w:t> 求，提高公司竞争力。</w:t>
            </w:r>
          </w:p>
        </w:tc>
      </w:tr>
      <w:tr>
        <w:trPr>
          <w:trHeight w:val="190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HPU-FTU2200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馈线终端</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6"/>
              <w:jc w:val="both"/>
              <w:rPr>
                <w:rFonts w:ascii="宋体" w:hAnsi="宋体" w:cs="宋体" w:eastAsia="宋体" w:hint="default"/>
                <w:sz w:val="21"/>
                <w:szCs w:val="21"/>
              </w:rPr>
            </w:pPr>
            <w:r>
              <w:rPr>
                <w:rFonts w:ascii="宋体" w:hAnsi="宋体" w:cs="宋体" w:eastAsia="宋体" w:hint="default"/>
                <w:spacing w:val="-4"/>
                <w:sz w:val="21"/>
                <w:szCs w:val="21"/>
              </w:rPr>
              <w:t>样机已经开发完成，并通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过了国网电科院的样机</w:t>
            </w:r>
            <w:r>
              <w:rPr>
                <w:rFonts w:ascii="宋体" w:hAnsi="宋体" w:cs="宋体" w:eastAsia="宋体" w:hint="default"/>
                <w:spacing w:val="-86"/>
                <w:sz w:val="21"/>
                <w:szCs w:val="21"/>
              </w:rPr>
              <w:t> </w:t>
            </w:r>
            <w:r>
              <w:rPr>
                <w:rFonts w:ascii="宋体" w:hAnsi="宋体" w:cs="宋体" w:eastAsia="宋体" w:hint="default"/>
                <w:spacing w:val="-4"/>
                <w:sz w:val="21"/>
                <w:szCs w:val="21"/>
              </w:rPr>
              <w:t>测试，后续要送国家电科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院做专项检测。产品全系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列开发要持续到到</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年度。</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开发全系列的</w:t>
            </w:r>
            <w:r>
              <w:rPr>
                <w:rFonts w:ascii="Times New Roman" w:hAnsi="Times New Roman" w:cs="Times New Roman" w:eastAsia="Times New Roman" w:hint="default"/>
                <w:spacing w:val="7"/>
                <w:sz w:val="21"/>
                <w:szCs w:val="21"/>
              </w:rPr>
              <w:t>FTU</w:t>
            </w:r>
            <w:r>
              <w:rPr>
                <w:rFonts w:ascii="Times New Roman" w:hAnsi="Times New Roman" w:cs="Times New Roman" w:eastAsia="Times New Roman" w:hint="default"/>
                <w:w w:val="99"/>
                <w:sz w:val="21"/>
                <w:szCs w:val="21"/>
              </w:rPr>
              <w:t> </w:t>
            </w:r>
            <w:r>
              <w:rPr>
                <w:rFonts w:ascii="宋体" w:hAnsi="宋体" w:cs="宋体" w:eastAsia="宋体" w:hint="default"/>
                <w:spacing w:val="4"/>
                <w:sz w:val="21"/>
                <w:szCs w:val="21"/>
              </w:rPr>
              <w:t>馈线终端产品，满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足配电自动化系统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客户需求。</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形成全系列的配电自动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化终端产品线，满足电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网客户的不同需求，提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高公司竞争力。</w:t>
            </w:r>
          </w:p>
        </w:tc>
      </w:tr>
      <w:tr>
        <w:trPr>
          <w:trHeight w:val="971"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车载牵引变压器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正处于设计阶段</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4"/>
                <w:sz w:val="21"/>
                <w:szCs w:val="21"/>
              </w:rPr>
              <w:t>完成样机、取得第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三方试验报告</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企业产品转型，进入铁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路机车车载牵引变压器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市场</w:t>
            </w:r>
          </w:p>
        </w:tc>
      </w:tr>
      <w:tr>
        <w:trPr>
          <w:trHeight w:val="971"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13"/>
                <w:sz w:val="21"/>
                <w:szCs w:val="21"/>
              </w:rPr>
              <w:t>高速铁路节能型牵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引变压器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处于研制阶段</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完成样机后取得第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三方试验报告，取</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得运行业绩</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9"/>
                <w:sz w:val="21"/>
                <w:szCs w:val="21"/>
              </w:rPr>
              <w:t>节能产品以后是各电网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9"/>
                <w:sz w:val="21"/>
                <w:szCs w:val="21"/>
              </w:rPr>
              <w:t>主推的产品，可优化公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司产业结构</w:t>
            </w:r>
          </w:p>
        </w:tc>
      </w:tr>
      <w:tr>
        <w:trPr>
          <w:trHeight w:val="971"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AT</w:t>
            </w:r>
            <w:r>
              <w:rPr>
                <w:rFonts w:ascii="宋体" w:hAnsi="宋体" w:cs="宋体" w:eastAsia="宋体" w:hint="default"/>
                <w:spacing w:val="4"/>
                <w:sz w:val="21"/>
                <w:szCs w:val="21"/>
              </w:rPr>
              <w:t>供电用斯科特牵</w:t>
            </w:r>
            <w:r>
              <w:rPr>
                <w:rFonts w:ascii="宋体" w:hAnsi="宋体" w:cs="宋体" w:eastAsia="宋体" w:hint="default"/>
                <w:sz w:val="21"/>
                <w:szCs w:val="21"/>
              </w:rPr>
              <w:t> 引变压器</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正处于设计阶段</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pacing w:val="4"/>
                <w:sz w:val="21"/>
                <w:szCs w:val="21"/>
              </w:rPr>
              <w:t>完成样机、取得第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三方试验报告</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z w:val="21"/>
                <w:szCs w:val="21"/>
              </w:rPr>
              <w:t>扩</w:t>
            </w:r>
            <w:r>
              <w:rPr>
                <w:rFonts w:ascii="宋体" w:hAnsi="宋体" w:cs="宋体" w:eastAsia="宋体" w:hint="default"/>
                <w:spacing w:val="-66"/>
                <w:sz w:val="21"/>
                <w:szCs w:val="21"/>
              </w:rPr>
              <w:t> </w:t>
            </w:r>
            <w:r>
              <w:rPr>
                <w:rFonts w:ascii="宋体" w:hAnsi="宋体" w:cs="宋体" w:eastAsia="宋体" w:hint="default"/>
                <w:sz w:val="21"/>
                <w:szCs w:val="21"/>
              </w:rPr>
              <w:t>展</w:t>
            </w:r>
            <w:r>
              <w:rPr>
                <w:rFonts w:ascii="宋体" w:hAnsi="宋体" w:cs="宋体" w:eastAsia="宋体" w:hint="default"/>
                <w:spacing w:val="-66"/>
                <w:sz w:val="21"/>
                <w:szCs w:val="21"/>
              </w:rPr>
              <w:t> </w:t>
            </w:r>
            <w:r>
              <w:rPr>
                <w:rFonts w:ascii="宋体" w:hAnsi="宋体" w:cs="宋体" w:eastAsia="宋体" w:hint="default"/>
                <w:sz w:val="21"/>
                <w:szCs w:val="21"/>
              </w:rPr>
              <w:t>铁</w:t>
            </w:r>
            <w:r>
              <w:rPr>
                <w:rFonts w:ascii="宋体" w:hAnsi="宋体" w:cs="宋体" w:eastAsia="宋体" w:hint="default"/>
                <w:spacing w:val="-67"/>
                <w:sz w:val="21"/>
                <w:szCs w:val="21"/>
              </w:rPr>
              <w:t> </w:t>
            </w:r>
            <w:r>
              <w:rPr>
                <w:rFonts w:ascii="宋体" w:hAnsi="宋体" w:cs="宋体" w:eastAsia="宋体" w:hint="default"/>
                <w:sz w:val="21"/>
                <w:szCs w:val="21"/>
              </w:rPr>
              <w:t>路</w:t>
            </w:r>
            <w:r>
              <w:rPr>
                <w:rFonts w:ascii="宋体" w:hAnsi="宋体" w:cs="宋体" w:eastAsia="宋体" w:hint="default"/>
                <w:spacing w:val="-67"/>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7"/>
                <w:sz w:val="21"/>
                <w:szCs w:val="21"/>
              </w:rPr>
              <w:t> </w:t>
            </w:r>
            <w:r>
              <w:rPr>
                <w:rFonts w:ascii="宋体" w:hAnsi="宋体" w:cs="宋体" w:eastAsia="宋体" w:hint="default"/>
                <w:sz w:val="21"/>
                <w:szCs w:val="21"/>
              </w:rPr>
              <w:t>品</w:t>
            </w:r>
            <w:r>
              <w:rPr>
                <w:rFonts w:ascii="宋体" w:hAnsi="宋体" w:cs="宋体" w:eastAsia="宋体" w:hint="default"/>
                <w:spacing w:val="-66"/>
                <w:sz w:val="21"/>
                <w:szCs w:val="21"/>
              </w:rPr>
              <w:t> </w:t>
            </w:r>
            <w:r>
              <w:rPr>
                <w:rFonts w:ascii="宋体" w:hAnsi="宋体" w:cs="宋体" w:eastAsia="宋体" w:hint="default"/>
                <w:sz w:val="21"/>
                <w:szCs w:val="21"/>
              </w:rPr>
              <w:t>类</w:t>
            </w:r>
            <w:r>
              <w:rPr>
                <w:rFonts w:ascii="宋体" w:hAnsi="宋体" w:cs="宋体" w:eastAsia="宋体" w:hint="default"/>
                <w:sz w:val="21"/>
                <w:szCs w:val="21"/>
              </w:rPr>
              <w:t> </w:t>
            </w:r>
            <w:r>
              <w:rPr>
                <w:rFonts w:ascii="宋体" w:hAnsi="宋体" w:cs="宋体" w:eastAsia="宋体" w:hint="default"/>
                <w:spacing w:val="9"/>
                <w:sz w:val="21"/>
                <w:szCs w:val="21"/>
              </w:rPr>
              <w:t>型，具备斯科特产品资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质</w:t>
            </w:r>
          </w:p>
        </w:tc>
      </w:tr>
      <w:tr>
        <w:trPr>
          <w:trHeight w:val="972"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新能源箱变</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设计准备阶段</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完成样机，进行投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标</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目</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spacing w:val="-62"/>
                <w:sz w:val="21"/>
                <w:szCs w:val="21"/>
              </w:rPr>
              <w:t> </w:t>
            </w:r>
            <w:r>
              <w:rPr>
                <w:rFonts w:ascii="宋体" w:hAnsi="宋体" w:cs="宋体" w:eastAsia="宋体" w:hint="default"/>
                <w:sz w:val="21"/>
                <w:szCs w:val="21"/>
              </w:rPr>
              <w:t>技</w:t>
            </w:r>
            <w:r>
              <w:rPr>
                <w:rFonts w:ascii="宋体" w:hAnsi="宋体" w:cs="宋体" w:eastAsia="宋体" w:hint="default"/>
                <w:spacing w:val="-64"/>
                <w:sz w:val="21"/>
                <w:szCs w:val="21"/>
              </w:rPr>
              <w:t> </w:t>
            </w:r>
            <w:r>
              <w:rPr>
                <w:rFonts w:ascii="宋体" w:hAnsi="宋体" w:cs="宋体" w:eastAsia="宋体" w:hint="default"/>
                <w:sz w:val="21"/>
                <w:szCs w:val="21"/>
              </w:rPr>
              <w:t>术</w:t>
            </w:r>
            <w:r>
              <w:rPr>
                <w:rFonts w:ascii="宋体" w:hAnsi="宋体" w:cs="宋体" w:eastAsia="宋体" w:hint="default"/>
                <w:spacing w:val="-64"/>
                <w:sz w:val="21"/>
                <w:szCs w:val="21"/>
              </w:rPr>
              <w:t> </w:t>
            </w:r>
            <w:r>
              <w:rPr>
                <w:rFonts w:ascii="宋体" w:hAnsi="宋体" w:cs="宋体" w:eastAsia="宋体" w:hint="default"/>
                <w:sz w:val="21"/>
                <w:szCs w:val="21"/>
              </w:rPr>
              <w:t>支</w:t>
            </w:r>
            <w:r>
              <w:rPr>
                <w:rFonts w:ascii="宋体" w:hAnsi="宋体" w:cs="宋体" w:eastAsia="宋体" w:hint="default"/>
                <w:sz w:val="21"/>
                <w:szCs w:val="21"/>
              </w:rPr>
              <w:t> 持，争取合同</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9"/>
                <w:sz w:val="21"/>
                <w:szCs w:val="21"/>
              </w:rPr>
              <w:t>开拓箱变市场，完善产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品链</w:t>
            </w:r>
          </w:p>
        </w:tc>
      </w:tr>
      <w:tr>
        <w:trPr>
          <w:trHeight w:val="347"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pacing w:val="13"/>
                <w:sz w:val="21"/>
                <w:szCs w:val="21"/>
              </w:rPr>
              <w:t>数模一体化综合信</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在公司已有的模拟</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适应市场发展动态，抓</w:t>
            </w:r>
          </w:p>
        </w:tc>
      </w:tr>
    </w:tbl>
    <w:p>
      <w:pPr>
        <w:spacing w:after="0" w:line="270"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46"/>
        <w:gridCol w:w="1816"/>
        <w:gridCol w:w="2294"/>
        <w:gridCol w:w="1744"/>
        <w:gridCol w:w="2224"/>
      </w:tblGrid>
      <w:tr>
        <w:trPr>
          <w:trHeight w:val="1283" w:hRule="exact"/>
        </w:trPr>
        <w:tc>
          <w:tcPr>
            <w:tcW w:w="446"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号处理模块</w:t>
            </w:r>
          </w:p>
        </w:tc>
        <w:tc>
          <w:tcPr>
            <w:tcW w:w="229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4"/>
                <w:sz w:val="21"/>
                <w:szCs w:val="21"/>
              </w:rPr>
              <w:t>电路技术水平的基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础上，增加数字处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理功能，同时提升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研发人员技术水平</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9"/>
                <w:sz w:val="21"/>
                <w:szCs w:val="21"/>
              </w:rPr>
              <w:t>住技术发展方向，抢占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市场先机</w:t>
            </w:r>
          </w:p>
        </w:tc>
      </w:tr>
      <w:tr>
        <w:trPr>
          <w:trHeight w:val="971"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16</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100M</w:t>
            </w:r>
            <w:r>
              <w:rPr>
                <w:rFonts w:ascii="宋体" w:hAnsi="宋体" w:cs="宋体" w:eastAsia="宋体" w:hint="default"/>
                <w:spacing w:val="3"/>
                <w:sz w:val="21"/>
                <w:szCs w:val="21"/>
              </w:rPr>
              <w:t>连续波功率放</w:t>
            </w:r>
            <w:r>
              <w:rPr>
                <w:rFonts w:ascii="宋体" w:hAnsi="宋体" w:cs="宋体" w:eastAsia="宋体" w:hint="default"/>
                <w:w w:val="99"/>
                <w:sz w:val="21"/>
                <w:szCs w:val="21"/>
              </w:rPr>
              <w:t> </w:t>
            </w:r>
            <w:r>
              <w:rPr>
                <w:rFonts w:ascii="宋体" w:hAnsi="宋体" w:cs="宋体" w:eastAsia="宋体" w:hint="default"/>
                <w:sz w:val="21"/>
                <w:szCs w:val="21"/>
              </w:rPr>
              <w:t>大器模块</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33"/>
              <w:jc w:val="both"/>
              <w:rPr>
                <w:rFonts w:ascii="宋体" w:hAnsi="宋体" w:cs="宋体" w:eastAsia="宋体" w:hint="default"/>
                <w:sz w:val="21"/>
                <w:szCs w:val="21"/>
              </w:rPr>
            </w:pPr>
            <w:r>
              <w:rPr>
                <w:rFonts w:ascii="宋体" w:hAnsi="宋体" w:cs="宋体" w:eastAsia="宋体" w:hint="default"/>
                <w:spacing w:val="17"/>
                <w:sz w:val="21"/>
                <w:szCs w:val="21"/>
              </w:rPr>
              <w:t>完成</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100M</w:t>
            </w:r>
            <w:r>
              <w:rPr>
                <w:rFonts w:ascii="Times New Roman" w:hAnsi="Times New Roman" w:cs="Times New Roman" w:eastAsia="Times New Roman" w:hint="default"/>
                <w:spacing w:val="-19"/>
                <w:sz w:val="21"/>
                <w:szCs w:val="21"/>
              </w:rPr>
              <w:t> </w:t>
            </w:r>
            <w:r>
              <w:rPr>
                <w:rFonts w:ascii="宋体" w:hAnsi="宋体" w:cs="宋体" w:eastAsia="宋体" w:hint="default"/>
                <w:spacing w:val="22"/>
                <w:sz w:val="21"/>
                <w:szCs w:val="21"/>
              </w:rPr>
              <w:t>连续波</w:t>
            </w:r>
            <w:r>
              <w:rPr>
                <w:rFonts w:ascii="宋体" w:hAnsi="宋体" w:cs="宋体" w:eastAsia="宋体" w:hint="default"/>
                <w:spacing w:val="-71"/>
                <w:sz w:val="21"/>
                <w:szCs w:val="21"/>
              </w:rPr>
              <w:t> </w:t>
            </w:r>
            <w:r>
              <w:rPr>
                <w:rFonts w:ascii="宋体" w:hAnsi="宋体" w:cs="宋体" w:eastAsia="宋体" w:hint="default"/>
                <w:spacing w:val="4"/>
                <w:sz w:val="21"/>
                <w:szCs w:val="21"/>
              </w:rPr>
              <w:t>功率放大器模块的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前瞻性生产</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9"/>
                <w:sz w:val="21"/>
                <w:szCs w:val="21"/>
              </w:rPr>
              <w:t>对公司正在生产的产品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的技术性能指标的提升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具有良好效应</w:t>
            </w:r>
          </w:p>
        </w:tc>
      </w:tr>
      <w:tr>
        <w:trPr>
          <w:trHeight w:val="2844"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17</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13"/>
                <w:sz w:val="21"/>
                <w:szCs w:val="21"/>
              </w:rPr>
              <w:t>快速锁定的超宽带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低相噪双环锁相本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振源</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已完成原理验证摸底</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left"/>
              <w:rPr>
                <w:rFonts w:ascii="宋体" w:hAnsi="宋体" w:cs="宋体" w:eastAsia="宋体" w:hint="default"/>
                <w:sz w:val="21"/>
                <w:szCs w:val="21"/>
              </w:rPr>
            </w:pPr>
            <w:r>
              <w:rPr>
                <w:rFonts w:ascii="宋体" w:hAnsi="宋体" w:cs="宋体" w:eastAsia="宋体" w:hint="default"/>
                <w:spacing w:val="12"/>
                <w:sz w:val="21"/>
                <w:szCs w:val="21"/>
              </w:rPr>
              <w:t>新原理架构确认</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已验证通过 </w:t>
            </w:r>
            <w:r>
              <w:rPr>
                <w:rFonts w:ascii="宋体" w:hAnsi="宋体" w:cs="宋体" w:eastAsia="宋体" w:hint="default"/>
                <w:spacing w:val="4"/>
                <w:sz w:val="21"/>
                <w:szCs w:val="21"/>
              </w:rPr>
              <w:t>单项货架产品发布</w:t>
            </w:r>
          </w:p>
          <w:p>
            <w:pPr>
              <w:pStyle w:val="TableParagraph"/>
              <w:spacing w:line="266" w:lineRule="auto" w:before="16"/>
              <w:ind w:left="2" w:right="0"/>
              <w:jc w:val="both"/>
              <w:rPr>
                <w:rFonts w:ascii="宋体" w:hAnsi="宋体" w:cs="宋体" w:eastAsia="宋体" w:hint="default"/>
                <w:sz w:val="21"/>
                <w:szCs w:val="21"/>
              </w:rPr>
            </w:pPr>
            <w:r>
              <w:rPr>
                <w:rFonts w:ascii="Times New Roman" w:hAnsi="Times New Roman" w:cs="Times New Roman" w:eastAsia="Times New Roman" w:hint="default"/>
                <w:spacing w:val="-10"/>
                <w:w w:val="99"/>
                <w:sz w:val="21"/>
                <w:szCs w:val="21"/>
              </w:rPr>
              <w:t>--</w:t>
            </w:r>
            <w:r>
              <w:rPr>
                <w:rFonts w:ascii="宋体" w:hAnsi="宋体" w:cs="宋体" w:eastAsia="宋体" w:hint="default"/>
                <w:spacing w:val="-10"/>
                <w:w w:val="99"/>
                <w:sz w:val="21"/>
                <w:szCs w:val="21"/>
              </w:rPr>
              <w:t>有新工艺引入，需</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划</w:t>
            </w:r>
            <w:r>
              <w:rPr>
                <w:rFonts w:ascii="宋体" w:hAnsi="宋体" w:cs="宋体" w:eastAsia="宋体" w:hint="default"/>
                <w:spacing w:val="-64"/>
                <w:sz w:val="21"/>
                <w:szCs w:val="21"/>
              </w:rPr>
              <w:t> </w:t>
            </w:r>
            <w:r>
              <w:rPr>
                <w:rFonts w:ascii="宋体" w:hAnsi="宋体" w:cs="宋体" w:eastAsia="宋体" w:hint="default"/>
                <w:sz w:val="21"/>
                <w:szCs w:val="21"/>
              </w:rPr>
              <w:t>拨</w:t>
            </w:r>
            <w:r>
              <w:rPr>
                <w:rFonts w:ascii="宋体" w:hAnsi="宋体" w:cs="宋体" w:eastAsia="宋体" w:hint="default"/>
                <w:spacing w:val="-64"/>
                <w:sz w:val="21"/>
                <w:szCs w:val="21"/>
              </w:rPr>
              <w:t> </w:t>
            </w:r>
            <w:r>
              <w:rPr>
                <w:rFonts w:ascii="宋体" w:hAnsi="宋体" w:cs="宋体" w:eastAsia="宋体" w:hint="default"/>
                <w:sz w:val="21"/>
                <w:szCs w:val="21"/>
              </w:rPr>
              <w:t>专</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2"/>
                <w:sz w:val="21"/>
                <w:szCs w:val="21"/>
              </w:rPr>
              <w:t> </w:t>
            </w:r>
            <w:r>
              <w:rPr>
                <w:rFonts w:ascii="宋体" w:hAnsi="宋体" w:cs="宋体" w:eastAsia="宋体" w:hint="default"/>
                <w:sz w:val="21"/>
                <w:szCs w:val="21"/>
              </w:rPr>
              <w:t>研</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经</w:t>
            </w:r>
            <w:r>
              <w:rPr>
                <w:rFonts w:ascii="宋体" w:hAnsi="宋体" w:cs="宋体" w:eastAsia="宋体" w:hint="default"/>
                <w:w w:val="99"/>
                <w:sz w:val="21"/>
                <w:szCs w:val="21"/>
              </w:rPr>
              <w:t> </w:t>
            </w:r>
            <w:r>
              <w:rPr>
                <w:rFonts w:ascii="宋体" w:hAnsi="宋体" w:cs="宋体" w:eastAsia="宋体" w:hint="default"/>
                <w:spacing w:val="4"/>
                <w:sz w:val="21"/>
                <w:szCs w:val="21"/>
              </w:rPr>
              <w:t>费，对新工艺进行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消</w:t>
            </w:r>
            <w:r>
              <w:rPr>
                <w:rFonts w:ascii="宋体" w:hAnsi="宋体" w:cs="宋体" w:eastAsia="宋体" w:hint="default"/>
                <w:spacing w:val="-64"/>
                <w:sz w:val="21"/>
                <w:szCs w:val="21"/>
              </w:rPr>
              <w:t> </w:t>
            </w:r>
            <w:r>
              <w:rPr>
                <w:rFonts w:ascii="宋体" w:hAnsi="宋体" w:cs="宋体" w:eastAsia="宋体" w:hint="default"/>
                <w:sz w:val="21"/>
                <w:szCs w:val="21"/>
              </w:rPr>
              <w:t>化</w:t>
            </w:r>
            <w:r>
              <w:rPr>
                <w:rFonts w:ascii="宋体" w:hAnsi="宋体" w:cs="宋体" w:eastAsia="宋体" w:hint="default"/>
                <w:spacing w:val="-64"/>
                <w:sz w:val="21"/>
                <w:szCs w:val="21"/>
              </w:rPr>
              <w:t> </w:t>
            </w:r>
            <w:r>
              <w:rPr>
                <w:rFonts w:ascii="宋体" w:hAnsi="宋体" w:cs="宋体" w:eastAsia="宋体" w:hint="default"/>
                <w:sz w:val="21"/>
                <w:szCs w:val="21"/>
              </w:rPr>
              <w:t>验</w:t>
            </w:r>
            <w:r>
              <w:rPr>
                <w:rFonts w:ascii="宋体" w:hAnsi="宋体" w:cs="宋体" w:eastAsia="宋体" w:hint="default"/>
                <w:spacing w:val="-64"/>
                <w:sz w:val="21"/>
                <w:szCs w:val="21"/>
              </w:rPr>
              <w:t> </w:t>
            </w:r>
            <w:r>
              <w:rPr>
                <w:rFonts w:ascii="宋体" w:hAnsi="宋体" w:cs="宋体" w:eastAsia="宋体" w:hint="default"/>
                <w:sz w:val="21"/>
                <w:szCs w:val="21"/>
              </w:rPr>
              <w:t>证</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目</w:t>
            </w:r>
            <w:r>
              <w:rPr>
                <w:rFonts w:ascii="宋体" w:hAnsi="宋体" w:cs="宋体" w:eastAsia="宋体" w:hint="default"/>
                <w:spacing w:val="-64"/>
                <w:sz w:val="21"/>
                <w:szCs w:val="21"/>
              </w:rPr>
              <w:t> </w:t>
            </w:r>
            <w:r>
              <w:rPr>
                <w:rFonts w:ascii="宋体" w:hAnsi="宋体" w:cs="宋体" w:eastAsia="宋体" w:hint="default"/>
                <w:sz w:val="21"/>
                <w:szCs w:val="21"/>
              </w:rPr>
              <w:t>标</w:t>
            </w:r>
            <w:r>
              <w:rPr>
                <w:rFonts w:ascii="宋体" w:hAnsi="宋体" w:cs="宋体" w:eastAsia="宋体" w:hint="default"/>
                <w:w w:val="99"/>
                <w:sz w:val="21"/>
                <w:szCs w:val="21"/>
              </w:rPr>
              <w:t> </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年实现产品发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布</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9"/>
                <w:sz w:val="21"/>
                <w:szCs w:val="21"/>
              </w:rPr>
              <w:t>单项技术核心指标行业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领先，抢占市场先机</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46,784,352.23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26,780,407.38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17,014,668.12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2,836,367.30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870,684,083.84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525,983,014.85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577,362,267.15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395,443,253.58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293,321,816.69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130,539,761.27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20,397,870.54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42,934,916.32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27,956,085.81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-39,227,916.32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-7,558,215.27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32,315,278.19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67,832,069.30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203,250,997.08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40,174,685.74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405.92%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-170,935,718.89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27,657,383.56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-718.05%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83,094,221.57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150,494,320.29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4" w:lineRule="auto" w:before="117"/>
        <w:ind w:left="1133" w:right="1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报告期内经营活动现金流入较上年同期增加了</w:t>
      </w:r>
      <w:r>
        <w:rPr>
          <w:rFonts w:ascii="Times New Roman" w:hAnsi="Times New Roman" w:cs="Times New Roman" w:eastAsia="Times New Roman" w:hint="default"/>
          <w:spacing w:val="-1"/>
          <w:sz w:val="18"/>
          <w:szCs w:val="18"/>
        </w:rPr>
        <w:t>65.53%</w:t>
      </w:r>
      <w:r>
        <w:rPr>
          <w:rFonts w:ascii="宋体" w:hAnsi="宋体" w:cs="宋体" w:eastAsia="宋体" w:hint="default"/>
          <w:spacing w:val="-1"/>
          <w:sz w:val="18"/>
          <w:szCs w:val="18"/>
        </w:rPr>
        <w:t>，主要系成功收购银川卧龙和星波通信，并入了这两家公司的现金流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量所致。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报告期，经营活动现金流出较上年同期增加</w:t>
      </w:r>
      <w:r>
        <w:rPr>
          <w:rFonts w:ascii="Times New Roman" w:hAnsi="Times New Roman" w:cs="Times New Roman" w:eastAsia="Times New Roman" w:hint="default"/>
          <w:spacing w:val="-1"/>
          <w:sz w:val="18"/>
          <w:szCs w:val="18"/>
        </w:rPr>
        <w:t>46.00%</w:t>
      </w:r>
      <w:r>
        <w:rPr>
          <w:rFonts w:ascii="宋体" w:hAnsi="宋体" w:cs="宋体" w:eastAsia="宋体" w:hint="default"/>
          <w:spacing w:val="-1"/>
          <w:sz w:val="18"/>
          <w:szCs w:val="18"/>
        </w:rPr>
        <w:t>，主要系成功收购银川卧龙和星波通信，并入了这两家公司的现金流量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p>
      <w:pPr>
        <w:spacing w:line="307" w:lineRule="auto" w:before="20"/>
        <w:ind w:left="1133" w:right="1121"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报告期，投资活动现金流入较上年同期减少了</w:t>
      </w:r>
      <w:r>
        <w:rPr>
          <w:rFonts w:ascii="Times New Roman" w:hAnsi="Times New Roman" w:cs="Times New Roman" w:eastAsia="Times New Roman" w:hint="default"/>
          <w:spacing w:val="-1"/>
          <w:sz w:val="18"/>
          <w:szCs w:val="18"/>
        </w:rPr>
        <w:t>81.83%</w:t>
      </w:r>
      <w:r>
        <w:rPr>
          <w:rFonts w:ascii="宋体" w:hAnsi="宋体" w:cs="宋体" w:eastAsia="宋体" w:hint="default"/>
          <w:spacing w:val="-1"/>
          <w:sz w:val="18"/>
          <w:szCs w:val="18"/>
        </w:rPr>
        <w:t>，主要</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年购买的理财产品的本金及利息部分在</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年到期，报告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期没有此项流入。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报告期，投资活动现金流出较上年同期增加了</w:t>
      </w:r>
      <w:r>
        <w:rPr>
          <w:rFonts w:ascii="Times New Roman" w:hAnsi="Times New Roman" w:cs="Times New Roman" w:eastAsia="Times New Roman" w:hint="default"/>
          <w:spacing w:val="-1"/>
          <w:sz w:val="18"/>
          <w:szCs w:val="18"/>
        </w:rPr>
        <w:t>53.58%</w:t>
      </w:r>
      <w:r>
        <w:rPr>
          <w:rFonts w:ascii="宋体" w:hAnsi="宋体" w:cs="宋体" w:eastAsia="宋体" w:hint="default"/>
          <w:spacing w:val="-1"/>
          <w:sz w:val="18"/>
          <w:szCs w:val="18"/>
        </w:rPr>
        <w:t>，主要是公司成功收购了银川卧龙和星波通信，且报告期仅支付了部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分现金对价款，因此报告期增加了</w:t>
      </w:r>
      <w:r>
        <w:rPr>
          <w:rFonts w:ascii="Times New Roman" w:hAnsi="Times New Roman" w:cs="Times New Roman" w:eastAsia="Times New Roman" w:hint="default"/>
          <w:sz w:val="18"/>
          <w:szCs w:val="18"/>
        </w:rPr>
        <w:t>“</w:t>
      </w:r>
      <w:r>
        <w:rPr>
          <w:rFonts w:ascii="宋体" w:hAnsi="宋体" w:cs="宋体" w:eastAsia="宋体" w:hint="default"/>
          <w:sz w:val="18"/>
          <w:szCs w:val="18"/>
        </w:rPr>
        <w:t>取得子公司及其他营业单位支付的现金净额</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报告期，筹资活动现金流入较上年同期减少了</w:t>
      </w:r>
      <w:r>
        <w:rPr>
          <w:rFonts w:ascii="Times New Roman" w:hAnsi="Times New Roman" w:cs="Times New Roman" w:eastAsia="Times New Roman" w:hint="default"/>
          <w:spacing w:val="-1"/>
          <w:sz w:val="18"/>
          <w:szCs w:val="18"/>
        </w:rPr>
        <w:t>52.36%</w:t>
      </w:r>
      <w:r>
        <w:rPr>
          <w:rFonts w:ascii="宋体" w:hAnsi="宋体" w:cs="宋体" w:eastAsia="宋体" w:hint="default"/>
          <w:spacing w:val="-1"/>
          <w:sz w:val="18"/>
          <w:szCs w:val="18"/>
        </w:rPr>
        <w:t>，减少的主要是特定投资者非公开发行股份募集配套资金及员工持股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计划募集资金的保证金。 </w:t>
      </w:r>
      <w:r>
        <w:rPr>
          <w:rFonts w:ascii="Times New Roman" w:hAnsi="Times New Roman" w:cs="Times New Roman" w:eastAsia="Times New Roman" w:hint="default"/>
          <w:sz w:val="18"/>
          <w:szCs w:val="18"/>
        </w:rPr>
        <w:t>6.</w:t>
      </w:r>
      <w:r>
        <w:rPr>
          <w:rFonts w:ascii="宋体" w:hAnsi="宋体" w:cs="宋体" w:eastAsia="宋体" w:hint="default"/>
          <w:sz w:val="18"/>
          <w:szCs w:val="18"/>
        </w:rPr>
        <w:t>报告期，筹资活动现金流出较上年同期增加</w:t>
      </w:r>
      <w:r>
        <w:rPr>
          <w:rFonts w:ascii="Times New Roman" w:hAnsi="Times New Roman" w:cs="Times New Roman" w:eastAsia="Times New Roman" w:hint="default"/>
          <w:sz w:val="18"/>
          <w:szCs w:val="18"/>
        </w:rPr>
        <w:t>405.92%</w:t>
      </w:r>
      <w:r>
        <w:rPr>
          <w:rFonts w:ascii="宋体" w:hAnsi="宋体" w:cs="宋体" w:eastAsia="宋体" w:hint="default"/>
          <w:sz w:val="18"/>
          <w:szCs w:val="18"/>
        </w:rPr>
        <w:t>，主要是报告期告期公司取消了重大资产重组募集配套资金项下非公 </w:t>
      </w:r>
      <w:r>
        <w:rPr>
          <w:rFonts w:ascii="宋体" w:hAnsi="宋体" w:cs="宋体" w:eastAsia="宋体" w:hint="default"/>
          <w:spacing w:val="-2"/>
          <w:sz w:val="18"/>
          <w:szCs w:val="18"/>
        </w:rPr>
        <w:t>开发行股票的事宜，因此报告期退回了特定投资者非公开发行股份募集配套资金及员工持股计划募集资金的保证金，以及成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功收购银川卧龙和星波通信，并入银川卧龙经营成果所致。</w:t>
      </w:r>
    </w:p>
    <w:p>
      <w:pPr>
        <w:spacing w:before="67"/>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28" w:lineRule="auto" w:before="117"/>
        <w:ind w:left="113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报告期内公司经营活动产生的现金净流量与本年度净利润存在差异的主要原因是经营性应收项目的减少和经营性应付项目 的增加。报告期内经营性应收项目减少</w:t>
      </w:r>
      <w:r>
        <w:rPr>
          <w:rFonts w:ascii="Times New Roman" w:hAnsi="Times New Roman" w:cs="Times New Roman" w:eastAsia="Times New Roman" w:hint="default"/>
          <w:sz w:val="18"/>
          <w:szCs w:val="18"/>
        </w:rPr>
        <w:t>8,083.30</w:t>
      </w:r>
      <w:r>
        <w:rPr>
          <w:rFonts w:ascii="宋体" w:hAnsi="宋体" w:cs="宋体" w:eastAsia="宋体" w:hint="default"/>
          <w:sz w:val="18"/>
          <w:szCs w:val="18"/>
        </w:rPr>
        <w:t>万元；经营性应付项目增加了</w:t>
      </w:r>
      <w:r>
        <w:rPr>
          <w:rFonts w:ascii="Times New Roman" w:hAnsi="Times New Roman" w:cs="Times New Roman" w:eastAsia="Times New Roman" w:hint="default"/>
          <w:sz w:val="18"/>
          <w:szCs w:val="18"/>
        </w:rPr>
        <w:t>3,479.14</w:t>
      </w:r>
      <w:r>
        <w:rPr>
          <w:rFonts w:ascii="宋体" w:hAnsi="宋体" w:cs="宋体" w:eastAsia="宋体" w:hint="default"/>
          <w:sz w:val="18"/>
          <w:szCs w:val="18"/>
        </w:rPr>
        <w:t>万元。</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7"/>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6,255,455.05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0"/>
              <w:jc w:val="right"/>
              <w:rPr>
                <w:rFonts w:ascii="宋体" w:hAnsi="宋体" w:cs="宋体" w:eastAsia="宋体" w:hint="default"/>
                <w:sz w:val="18"/>
                <w:szCs w:val="18"/>
              </w:rPr>
            </w:pPr>
            <w:r>
              <w:rPr>
                <w:rFonts w:ascii="宋体" w:hAnsi="宋体" w:cs="宋体" w:eastAsia="宋体" w:hint="default"/>
                <w:sz w:val="18"/>
                <w:szCs w:val="18"/>
              </w:rPr>
              <w:t>主要是应收账款坏账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206,414.24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688,391.82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15,204,115.60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9,601.22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539,543,984.0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439,661,227.56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-32.27%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主要系报期末因成功收购银川卧龙 </w:t>
            </w:r>
            <w:r>
              <w:rPr>
                <w:rFonts w:ascii="宋体" w:hAnsi="宋体" w:cs="宋体" w:eastAsia="宋体" w:hint="default"/>
                <w:spacing w:val="-2"/>
                <w:sz w:val="18"/>
                <w:szCs w:val="18"/>
              </w:rPr>
              <w:t>和星波通信，总资产大幅增加，导致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货币资金比重下降。</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665,695,754.2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20.85%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263,613,715.56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-8.63%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170,113,937.0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60,545,001.23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-1.44%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13,985,085.11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15,028,928.51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226,807,394.2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58,306,052.63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0.58%</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539,150.94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6.26%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0.34%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5.92%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479,166.74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1,069,680,816.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4,099,176.90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报告期增加了公司成功收购银川卧 龙和星波通信形成的商誉</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19" w:type="dxa"/>
        <w:tblLayout w:type="fixed"/>
        <w:tblCellMar>
          <w:top w:w="0" w:type="dxa"/>
          <w:left w:w="0" w:type="dxa"/>
          <w:bottom w:w="0" w:type="dxa"/>
          <w:right w:w="0" w:type="dxa"/>
        </w:tblCellMar>
        <w:tblLook w:val="01E0"/>
      </w:tblPr>
      <w:tblGrid>
        <w:gridCol w:w="3064"/>
        <w:gridCol w:w="3739"/>
        <w:gridCol w:w="2337"/>
      </w:tblGrid>
      <w:tr>
        <w:trPr>
          <w:trHeight w:val="347"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73"/>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47"/>
              <w:jc w:val="right"/>
              <w:rPr>
                <w:rFonts w:ascii="宋体" w:hAnsi="宋体" w:cs="宋体" w:eastAsia="宋体" w:hint="default"/>
                <w:sz w:val="21"/>
                <w:szCs w:val="21"/>
              </w:rPr>
            </w:pPr>
            <w:r>
              <w:rPr>
                <w:rFonts w:ascii="宋体" w:hAnsi="宋体" w:cs="宋体" w:eastAsia="宋体" w:hint="default"/>
                <w:b/>
                <w:bCs/>
                <w:w w:val="95"/>
                <w:sz w:val="21"/>
                <w:szCs w:val="21"/>
              </w:rPr>
              <w:t>期末账面价值</w:t>
            </w:r>
            <w:r>
              <w:rPr>
                <w:rFonts w:ascii="宋体" w:hAnsi="宋体" w:cs="宋体" w:eastAsia="宋体" w:hint="default"/>
                <w:sz w:val="21"/>
                <w:szCs w:val="21"/>
              </w:rPr>
            </w:r>
          </w:p>
        </w:tc>
        <w:tc>
          <w:tcPr>
            <w:tcW w:w="233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48"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45"/>
              <w:jc w:val="right"/>
              <w:rPr>
                <w:rFonts w:ascii="Times New Roman" w:hAnsi="Times New Roman" w:cs="Times New Roman" w:eastAsia="Times New Roman" w:hint="default"/>
                <w:sz w:val="21"/>
                <w:szCs w:val="21"/>
              </w:rPr>
            </w:pPr>
            <w:r>
              <w:rPr>
                <w:rFonts w:ascii="Times New Roman"/>
                <w:sz w:val="21"/>
              </w:rPr>
              <w:t>18,225,717.37</w:t>
            </w:r>
          </w:p>
        </w:tc>
        <w:tc>
          <w:tcPr>
            <w:tcW w:w="233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hAnsi="宋体" w:cs="宋体" w:eastAsia="宋体" w:hint="default"/>
                <w:sz w:val="21"/>
                <w:szCs w:val="21"/>
              </w:rPr>
              <w:t>票据、保函保证金</w:t>
            </w:r>
          </w:p>
        </w:tc>
      </w:tr>
      <w:tr>
        <w:trPr>
          <w:trHeight w:val="347"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645"/>
              <w:jc w:val="right"/>
              <w:rPr>
                <w:rFonts w:ascii="Times New Roman" w:hAnsi="Times New Roman" w:cs="Times New Roman" w:eastAsia="Times New Roman" w:hint="default"/>
                <w:sz w:val="21"/>
                <w:szCs w:val="21"/>
              </w:rPr>
            </w:pPr>
            <w:r>
              <w:rPr>
                <w:rFonts w:ascii="Times New Roman"/>
                <w:sz w:val="21"/>
              </w:rPr>
              <w:t>96,235,063.92</w:t>
            </w:r>
          </w:p>
        </w:tc>
        <w:tc>
          <w:tcPr>
            <w:tcW w:w="2337"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7"/>
              <w:jc w:val="right"/>
              <w:rPr>
                <w:rFonts w:ascii="宋体" w:hAnsi="宋体" w:cs="宋体" w:eastAsia="宋体" w:hint="default"/>
                <w:sz w:val="21"/>
                <w:szCs w:val="21"/>
              </w:rPr>
            </w:pPr>
            <w:r>
              <w:rPr>
                <w:rFonts w:ascii="宋体" w:hAnsi="宋体" w:cs="宋体" w:eastAsia="宋体" w:hint="default"/>
                <w:sz w:val="21"/>
                <w:szCs w:val="21"/>
              </w:rPr>
              <w:t>抵押</w:t>
            </w:r>
          </w:p>
        </w:tc>
      </w:tr>
      <w:tr>
        <w:trPr>
          <w:trHeight w:val="347"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45"/>
              <w:jc w:val="right"/>
              <w:rPr>
                <w:rFonts w:ascii="Times New Roman" w:hAnsi="Times New Roman" w:cs="Times New Roman" w:eastAsia="Times New Roman" w:hint="default"/>
                <w:sz w:val="21"/>
                <w:szCs w:val="21"/>
              </w:rPr>
            </w:pPr>
            <w:r>
              <w:rPr>
                <w:rFonts w:ascii="Times New Roman"/>
                <w:sz w:val="21"/>
              </w:rPr>
              <w:t>11,998,789.46</w:t>
            </w:r>
          </w:p>
        </w:tc>
        <w:tc>
          <w:tcPr>
            <w:tcW w:w="233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hAnsi="宋体" w:cs="宋体" w:eastAsia="宋体" w:hint="default"/>
                <w:sz w:val="21"/>
                <w:szCs w:val="21"/>
              </w:rPr>
              <w:t>抵押</w:t>
            </w:r>
          </w:p>
        </w:tc>
      </w:tr>
      <w:tr>
        <w:trPr>
          <w:trHeight w:val="347"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45"/>
              <w:jc w:val="right"/>
              <w:rPr>
                <w:rFonts w:ascii="Times New Roman" w:hAnsi="Times New Roman" w:cs="Times New Roman" w:eastAsia="Times New Roman" w:hint="default"/>
                <w:sz w:val="21"/>
                <w:szCs w:val="21"/>
              </w:rPr>
            </w:pPr>
            <w:r>
              <w:rPr>
                <w:rFonts w:ascii="Times New Roman"/>
                <w:sz w:val="21"/>
              </w:rPr>
              <w:t>31,594,217.56</w:t>
            </w:r>
          </w:p>
        </w:tc>
        <w:tc>
          <w:tcPr>
            <w:tcW w:w="2337"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7"/>
              <w:jc w:val="right"/>
              <w:rPr>
                <w:rFonts w:ascii="宋体" w:hAnsi="宋体" w:cs="宋体" w:eastAsia="宋体" w:hint="default"/>
                <w:sz w:val="21"/>
                <w:szCs w:val="21"/>
              </w:rPr>
            </w:pPr>
            <w:r>
              <w:rPr>
                <w:rFonts w:ascii="宋体" w:hAnsi="宋体" w:cs="宋体" w:eastAsia="宋体" w:hint="default"/>
                <w:sz w:val="21"/>
                <w:szCs w:val="21"/>
              </w:rPr>
              <w:t>抵押</w:t>
            </w:r>
          </w:p>
        </w:tc>
      </w:tr>
      <w:tr>
        <w:trPr>
          <w:trHeight w:val="348" w:hRule="exact"/>
        </w:trPr>
        <w:tc>
          <w:tcPr>
            <w:tcW w:w="3064"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73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44"/>
              <w:jc w:val="right"/>
              <w:rPr>
                <w:rFonts w:ascii="Times New Roman" w:hAnsi="Times New Roman" w:cs="Times New Roman" w:eastAsia="Times New Roman" w:hint="default"/>
                <w:sz w:val="21"/>
                <w:szCs w:val="21"/>
              </w:rPr>
            </w:pPr>
            <w:r>
              <w:rPr>
                <w:rFonts w:ascii="Times New Roman"/>
                <w:spacing w:val="-1"/>
                <w:sz w:val="21"/>
              </w:rPr>
              <w:t>158,053,788.31</w:t>
            </w:r>
          </w:p>
        </w:tc>
        <w:tc>
          <w:tcPr>
            <w:tcW w:w="2337" w:type="dxa"/>
            <w:tcBorders>
              <w:top w:val="single" w:sz="6" w:space="0" w:color="000000"/>
              <w:left w:val="nil" w:sz="6" w:space="0" w:color="auto"/>
              <w:bottom w:val="single" w:sz="6"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7"/>
        <w:rPr>
          <w:rFonts w:ascii="宋体" w:hAnsi="宋体" w:cs="宋体" w:eastAsia="宋体" w:hint="default"/>
          <w:b/>
          <w:bCs/>
          <w:sz w:val="23"/>
          <w:szCs w:val="23"/>
        </w:rPr>
      </w:pPr>
    </w:p>
    <w:p>
      <w:pPr>
        <w:pStyle w:val="BodyText"/>
        <w:spacing w:line="312" w:lineRule="exact" w:before="56"/>
        <w:ind w:right="1131"/>
        <w:jc w:val="both"/>
      </w:pPr>
      <w:r>
        <w:rPr>
          <w:spacing w:val="-2"/>
        </w:rPr>
        <w:t>注</w:t>
      </w:r>
      <w:r>
        <w:rPr>
          <w:rFonts w:ascii="Times New Roman" w:hAnsi="Times New Roman" w:cs="Times New Roman" w:eastAsia="Times New Roman" w:hint="default"/>
          <w:spacing w:val="-2"/>
        </w:rPr>
        <w:t>1</w:t>
      </w:r>
      <w:r>
        <w:rPr>
          <w:spacing w:val="-2"/>
        </w:rPr>
        <w:t>：红相股份于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日与中国农业银行股份有限公司厦门莲前支行签订《厂房按揭借</w:t>
      </w:r>
      <w:r>
        <w:rPr>
          <w:spacing w:val="-114"/>
        </w:rPr>
        <w:t> </w:t>
      </w:r>
      <w:r>
        <w:rPr>
          <w:spacing w:val="-114"/>
        </w:rPr>
      </w:r>
      <w:r>
        <w:rPr>
          <w:spacing w:val="17"/>
        </w:rPr>
        <w:t>款合同》，以环东海域思明工业园</w:t>
      </w:r>
      <w:r>
        <w:rPr>
          <w:rFonts w:ascii="Times New Roman" w:hAnsi="Times New Roman" w:cs="Times New Roman" w:eastAsia="Times New Roman" w:hint="default"/>
          <w:spacing w:val="17"/>
        </w:rPr>
        <w:t>37#</w:t>
      </w:r>
      <w:r>
        <w:rPr>
          <w:spacing w:val="17"/>
        </w:rPr>
        <w:t>、</w:t>
      </w:r>
      <w:r>
        <w:rPr>
          <w:spacing w:val="-90"/>
        </w:rPr>
        <w:t> </w:t>
      </w:r>
      <w:r>
        <w:rPr>
          <w:rFonts w:ascii="Times New Roman" w:hAnsi="Times New Roman" w:cs="Times New Roman" w:eastAsia="Times New Roman" w:hint="default"/>
        </w:rPr>
        <w:t>38#</w:t>
      </w:r>
      <w:r>
        <w:rPr>
          <w:rFonts w:ascii="Times New Roman" w:hAnsi="Times New Roman" w:cs="Times New Roman" w:eastAsia="Times New Roman" w:hint="default"/>
          <w:spacing w:val="-30"/>
        </w:rPr>
        <w:t> </w:t>
      </w:r>
      <w:r>
        <w:rPr>
          <w:spacing w:val="19"/>
        </w:rPr>
        <w:t>厂房作为抵押，向银行按揭借款计人民币</w:t>
      </w:r>
      <w:r>
        <w:rPr>
          <w:spacing w:val="-108"/>
        </w:rPr>
        <w:t> </w:t>
      </w:r>
      <w:r>
        <w:rPr>
          <w:spacing w:val="-108"/>
        </w:rPr>
      </w:r>
      <w:r>
        <w:rPr>
          <w:rFonts w:ascii="Times New Roman" w:hAnsi="Times New Roman" w:cs="Times New Roman" w:eastAsia="Times New Roman" w:hint="default"/>
        </w:rPr>
        <w:t>23,000,000.00</w:t>
      </w:r>
      <w:r>
        <w:rPr/>
        <w:t>元，借款期限为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w:t>
      </w:r>
      <w:r>
        <w:rPr>
          <w:spacing w:val="-37"/>
        </w:rPr>
        <w:t> </w:t>
      </w:r>
      <w:r>
        <w:rPr>
          <w:spacing w:val="-37"/>
        </w:rPr>
      </w:r>
      <w:r>
        <w:rPr/>
        <w:t>银行借款本金余额</w:t>
      </w:r>
      <w:r>
        <w:rPr>
          <w:rFonts w:ascii="Times New Roman" w:hAnsi="Times New Roman" w:cs="Times New Roman" w:eastAsia="Times New Roman" w:hint="default"/>
        </w:rPr>
        <w:t>479,166.62</w:t>
      </w:r>
      <w:r>
        <w:rPr/>
        <w:t>元，均为一年内到期长期借款。</w:t>
      </w:r>
    </w:p>
    <w:p>
      <w:pPr>
        <w:spacing w:line="240" w:lineRule="auto" w:before="7"/>
        <w:rPr>
          <w:rFonts w:ascii="宋体" w:hAnsi="宋体" w:cs="宋体" w:eastAsia="宋体" w:hint="default"/>
          <w:sz w:val="16"/>
          <w:szCs w:val="16"/>
        </w:rPr>
      </w:pPr>
    </w:p>
    <w:p>
      <w:pPr>
        <w:pStyle w:val="BodyText"/>
        <w:spacing w:line="312" w:lineRule="exact"/>
        <w:ind w:right="1636"/>
        <w:jc w:val="both"/>
      </w:pPr>
      <w:r>
        <w:rPr>
          <w:spacing w:val="-3"/>
        </w:rPr>
        <w:t>注</w:t>
      </w:r>
      <w:r>
        <w:rPr>
          <w:rFonts w:ascii="Times New Roman" w:hAnsi="Times New Roman" w:cs="Times New Roman" w:eastAsia="Times New Roman" w:hint="default"/>
          <w:spacing w:val="-3"/>
        </w:rPr>
        <w:t>2</w:t>
      </w:r>
      <w:r>
        <w:rPr>
          <w:spacing w:val="-3"/>
        </w:rPr>
        <w:t>：子公司涵普电力公司以位于杭州伟星大厦第十八层整层的写字楼及土地使用权（房</w:t>
      </w:r>
      <w:r>
        <w:rPr>
          <w:spacing w:val="-111"/>
        </w:rPr>
        <w:t> </w:t>
      </w:r>
      <w:r>
        <w:rPr>
          <w:spacing w:val="-111"/>
        </w:rPr>
      </w:r>
      <w:r>
        <w:rPr/>
        <w:t>屋产权证：杭房权证西移字第</w:t>
      </w:r>
      <w:r>
        <w:rPr>
          <w:rFonts w:ascii="Times New Roman" w:hAnsi="Times New Roman" w:cs="Times New Roman" w:eastAsia="Times New Roman" w:hint="default"/>
        </w:rPr>
        <w:t>13598170</w:t>
      </w:r>
      <w:r>
        <w:rPr/>
        <w:t>号；土地使用权证：杭西国用（</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018135</w:t>
      </w:r>
      <w:r>
        <w:rPr>
          <w:rFonts w:ascii="Times New Roman" w:hAnsi="Times New Roman" w:cs="Times New Roman" w:eastAsia="Times New Roman" w:hint="default"/>
          <w:spacing w:val="-57"/>
        </w:rPr>
        <w:t> </w:t>
      </w:r>
      <w:r>
        <w:rPr/>
        <w:t>号）作为抵押，向中国银行海盐支行申请综合授信并开具保函。</w:t>
      </w:r>
    </w:p>
    <w:p>
      <w:pPr>
        <w:spacing w:line="240" w:lineRule="auto" w:before="7"/>
        <w:rPr>
          <w:rFonts w:ascii="宋体" w:hAnsi="宋体" w:cs="宋体" w:eastAsia="宋体" w:hint="default"/>
          <w:sz w:val="16"/>
          <w:szCs w:val="16"/>
        </w:rPr>
      </w:pPr>
    </w:p>
    <w:p>
      <w:pPr>
        <w:pStyle w:val="BodyText"/>
        <w:spacing w:line="312" w:lineRule="exact"/>
        <w:ind w:right="1636"/>
        <w:jc w:val="both"/>
      </w:pPr>
      <w:r>
        <w:rPr/>
        <w:t>注</w:t>
      </w:r>
      <w:r>
        <w:rPr>
          <w:spacing w:val="-78"/>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w:t>
      </w:r>
      <w:r>
        <w:rPr>
          <w:spacing w:val="-79"/>
        </w:rPr>
        <w:t> </w:t>
      </w:r>
      <w:r>
        <w:rPr/>
        <w:t>子</w:t>
      </w:r>
      <w:r>
        <w:rPr>
          <w:spacing w:val="-80"/>
        </w:rPr>
        <w:t> </w:t>
      </w:r>
      <w:r>
        <w:rPr/>
        <w:t>公</w:t>
      </w:r>
      <w:r>
        <w:rPr>
          <w:spacing w:val="-79"/>
        </w:rPr>
        <w:t> </w:t>
      </w:r>
      <w:r>
        <w:rPr/>
        <w:t>司</w:t>
      </w:r>
      <w:r>
        <w:rPr>
          <w:spacing w:val="-79"/>
        </w:rPr>
        <w:t> </w:t>
      </w:r>
      <w:r>
        <w:rPr/>
        <w:t>银</w:t>
      </w:r>
      <w:r>
        <w:rPr>
          <w:spacing w:val="-79"/>
        </w:rPr>
        <w:t> </w:t>
      </w:r>
      <w:r>
        <w:rPr/>
        <w:t>川</w:t>
      </w:r>
      <w:r>
        <w:rPr>
          <w:spacing w:val="-80"/>
        </w:rPr>
        <w:t> </w:t>
      </w:r>
      <w:r>
        <w:rPr/>
        <w:t>卧</w:t>
      </w:r>
      <w:r>
        <w:rPr>
          <w:spacing w:val="-79"/>
        </w:rPr>
        <w:t> </w:t>
      </w:r>
      <w:r>
        <w:rPr/>
        <w:t>龙</w:t>
      </w:r>
      <w:r>
        <w:rPr>
          <w:spacing w:val="-79"/>
        </w:rPr>
        <w:t> </w:t>
      </w:r>
      <w:r>
        <w:rPr/>
        <w:t>公</w:t>
      </w:r>
      <w:r>
        <w:rPr>
          <w:spacing w:val="-79"/>
        </w:rPr>
        <w:t> </w:t>
      </w:r>
      <w:r>
        <w:rPr/>
        <w:t>司</w:t>
      </w:r>
      <w:r>
        <w:rPr>
          <w:spacing w:val="-80"/>
        </w:rPr>
        <w:t> </w:t>
      </w:r>
      <w:r>
        <w:rPr/>
        <w:t>与</w:t>
      </w:r>
      <w:r>
        <w:rPr>
          <w:spacing w:val="-79"/>
        </w:rPr>
        <w:t> </w:t>
      </w:r>
      <w:r>
        <w:rPr/>
        <w:t>宁</w:t>
      </w:r>
      <w:r>
        <w:rPr>
          <w:spacing w:val="-79"/>
        </w:rPr>
        <w:t> </w:t>
      </w:r>
      <w:r>
        <w:rPr/>
        <w:t>夏</w:t>
      </w:r>
      <w:r>
        <w:rPr>
          <w:spacing w:val="-79"/>
        </w:rPr>
        <w:t> </w:t>
      </w:r>
      <w:r>
        <w:rPr/>
        <w:t>银</w:t>
      </w:r>
      <w:r>
        <w:rPr>
          <w:spacing w:val="-80"/>
        </w:rPr>
        <w:t> </w:t>
      </w:r>
      <w:r>
        <w:rPr/>
        <w:t>行</w:t>
      </w:r>
      <w:r>
        <w:rPr>
          <w:spacing w:val="-79"/>
        </w:rPr>
        <w:t> </w:t>
      </w:r>
      <w:r>
        <w:rPr/>
        <w:t>股</w:t>
      </w:r>
      <w:r>
        <w:rPr>
          <w:spacing w:val="-79"/>
        </w:rPr>
        <w:t> </w:t>
      </w:r>
      <w:r>
        <w:rPr/>
        <w:t>份</w:t>
      </w:r>
      <w:r>
        <w:rPr>
          <w:spacing w:val="-79"/>
        </w:rPr>
        <w:t> </w:t>
      </w:r>
      <w:r>
        <w:rPr/>
        <w:t>有</w:t>
      </w:r>
      <w:r>
        <w:rPr>
          <w:spacing w:val="-80"/>
        </w:rPr>
        <w:t> </w:t>
      </w:r>
      <w:r>
        <w:rPr/>
        <w:t>限</w:t>
      </w:r>
      <w:r>
        <w:rPr>
          <w:spacing w:val="-79"/>
        </w:rPr>
        <w:t> </w:t>
      </w:r>
      <w:r>
        <w:rPr/>
        <w:t>公</w:t>
      </w:r>
      <w:r>
        <w:rPr>
          <w:spacing w:val="-79"/>
        </w:rPr>
        <w:t> </w:t>
      </w:r>
      <w:r>
        <w:rPr/>
        <w:t>司</w:t>
      </w:r>
      <w:r>
        <w:rPr>
          <w:spacing w:val="-79"/>
        </w:rPr>
        <w:t> </w:t>
      </w:r>
      <w:r>
        <w:rPr/>
        <w:t>新</w:t>
      </w:r>
      <w:r>
        <w:rPr>
          <w:spacing w:val="-80"/>
        </w:rPr>
        <w:t> </w:t>
      </w:r>
      <w:r>
        <w:rPr/>
        <w:t>城</w:t>
      </w:r>
      <w:r>
        <w:rPr>
          <w:spacing w:val="-79"/>
        </w:rPr>
        <w:t> </w:t>
      </w:r>
      <w:r>
        <w:rPr/>
        <w:t>支</w:t>
      </w:r>
      <w:r>
        <w:rPr>
          <w:spacing w:val="-79"/>
        </w:rPr>
        <w:t> </w:t>
      </w:r>
      <w:r>
        <w:rPr/>
        <w:t>行</w:t>
      </w:r>
      <w:r>
        <w:rPr>
          <w:spacing w:val="-79"/>
        </w:rPr>
        <w:t> </w:t>
      </w:r>
      <w:r>
        <w:rPr/>
        <w:t>签</w:t>
      </w:r>
      <w:r>
        <w:rPr>
          <w:spacing w:val="-80"/>
        </w:rPr>
        <w:t> </w:t>
      </w:r>
      <w:r>
        <w:rPr/>
        <w:t>订</w:t>
      </w:r>
      <w:r>
        <w:rPr>
          <w:spacing w:val="-79"/>
        </w:rPr>
        <w:t> </w:t>
      </w:r>
      <w:r>
        <w:rPr/>
        <w:t>的</w:t>
      </w:r>
      <w:r>
        <w:rPr>
          <w:spacing w:val="-79"/>
        </w:rPr>
        <w:t> </w:t>
      </w:r>
      <w:r>
        <w:rPr/>
        <w:t>编</w:t>
      </w:r>
      <w:r>
        <w:rPr>
          <w:spacing w:val="-80"/>
        </w:rPr>
        <w:t> </w:t>
      </w:r>
      <w:r>
        <w:rPr/>
        <w:t>号</w:t>
      </w:r>
      <w:r>
        <w:rPr>
          <w:spacing w:val="-80"/>
        </w:rPr>
        <w:t> </w:t>
      </w:r>
      <w:r>
        <w:rPr/>
        <w:t>为</w:t>
      </w:r>
      <w:r>
        <w:rPr/>
        <w:t> </w:t>
      </w:r>
      <w:r>
        <w:rPr>
          <w:rFonts w:ascii="Times New Roman" w:hAnsi="Times New Roman" w:cs="Times New Roman" w:eastAsia="Times New Roman" w:hint="default"/>
        </w:rPr>
        <w:t>NY01001010002017060000101</w:t>
      </w:r>
      <w:r>
        <w:rPr/>
        <w:t>的《最高额抵押合同》，以房产和土地使用权设定抵押， 该最高额抵押合同所担保的主债权期限为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日期间的债务人</w:t>
      </w:r>
      <w:r>
        <w:rPr>
          <w:spacing w:val="-116"/>
        </w:rPr>
        <w:t> </w:t>
      </w:r>
      <w:r>
        <w:rPr>
          <w:spacing w:val="-2"/>
        </w:rPr>
        <w:t>办理的人民币</w:t>
      </w:r>
      <w:r>
        <w:rPr>
          <w:rFonts w:ascii="Times New Roman" w:hAnsi="Times New Roman" w:cs="Times New Roman" w:eastAsia="Times New Roman" w:hint="default"/>
          <w:spacing w:val="-2"/>
        </w:rPr>
        <w:t>/</w:t>
      </w:r>
      <w:r>
        <w:rPr>
          <w:spacing w:val="-2"/>
        </w:rPr>
        <w:t>外币贷款、银行承兑汇票、银行保函，对债权人的全部债权在最高额债权</w:t>
      </w:r>
      <w:r>
        <w:rPr>
          <w:spacing w:val="-96"/>
        </w:rPr>
        <w:t> </w:t>
      </w:r>
      <w:r>
        <w:rPr>
          <w:spacing w:val="-96"/>
        </w:rPr>
      </w:r>
      <w:r>
        <w:rPr/>
        <w:t>余额人民币</w:t>
      </w:r>
      <w:r>
        <w:rPr>
          <w:rFonts w:ascii="Times New Roman" w:hAnsi="Times New Roman" w:cs="Times New Roman" w:eastAsia="Times New Roman" w:hint="default"/>
        </w:rPr>
        <w:t>101,428,823.00</w:t>
      </w:r>
      <w:r>
        <w:rPr/>
        <w:t>元，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日银川卧龙公司向宁夏银行股份有限公司新</w:t>
      </w:r>
      <w:r>
        <w:rPr>
          <w:spacing w:val="-119"/>
        </w:rPr>
        <w:t> </w:t>
      </w:r>
      <w:r>
        <w:rPr>
          <w:spacing w:val="-119"/>
        </w:rPr>
      </w:r>
      <w:r>
        <w:rPr>
          <w:spacing w:val="-3"/>
        </w:rPr>
        <w:t>城支行借款</w:t>
      </w:r>
      <w:r>
        <w:rPr>
          <w:rFonts w:ascii="Times New Roman" w:hAnsi="Times New Roman" w:cs="Times New Roman" w:eastAsia="Times New Roman" w:hint="default"/>
          <w:spacing w:val="-3"/>
        </w:rPr>
        <w:t>2000</w:t>
      </w:r>
      <w:r>
        <w:rPr>
          <w:spacing w:val="-3"/>
        </w:rPr>
        <w:t>万，到期日为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6</w:t>
      </w:r>
      <w:r>
        <w:rPr>
          <w:spacing w:val="-3"/>
        </w:rPr>
        <w:t>日；</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日银川卧龙公司向宁夏银行股</w:t>
      </w:r>
      <w:r>
        <w:rPr>
          <w:spacing w:val="-87"/>
        </w:rPr>
        <w:t> </w:t>
      </w:r>
      <w:r>
        <w:rPr/>
        <w:t>份有限公司新城支行借款</w:t>
      </w:r>
      <w:r>
        <w:rPr>
          <w:rFonts w:ascii="Times New Roman" w:hAnsi="Times New Roman" w:cs="Times New Roman" w:eastAsia="Times New Roman" w:hint="default"/>
        </w:rPr>
        <w:t>3000</w:t>
      </w:r>
      <w:r>
        <w:rPr/>
        <w:t>万，到期日为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1"/>
        <w:ind w:right="0"/>
        <w:jc w:val="both"/>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6" w:right="0"/>
              <w:jc w:val="left"/>
              <w:rPr>
                <w:rFonts w:ascii="Times New Roman" w:hAnsi="Times New Roman" w:cs="Times New Roman" w:eastAsia="Times New Roman" w:hint="default"/>
                <w:sz w:val="18"/>
                <w:szCs w:val="18"/>
              </w:rPr>
            </w:pPr>
            <w:r>
              <w:rPr>
                <w:rFonts w:ascii="Times New Roman"/>
                <w:sz w:val="18"/>
              </w:rPr>
              <w:t>1,692,767,951.00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7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卧龙电 气银川 变压器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3" w:right="119"/>
              <w:jc w:val="both"/>
              <w:rPr>
                <w:rFonts w:ascii="宋体" w:hAnsi="宋体" w:cs="宋体" w:eastAsia="宋体" w:hint="default"/>
                <w:sz w:val="18"/>
                <w:szCs w:val="18"/>
              </w:rPr>
            </w:pPr>
            <w:r>
              <w:rPr>
                <w:rFonts w:ascii="宋体" w:hAnsi="宋体" w:cs="宋体" w:eastAsia="宋体" w:hint="default"/>
                <w:sz w:val="18"/>
                <w:szCs w:val="18"/>
              </w:rPr>
              <w:t>变压器 生产及 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88"/>
              <w:jc w:val="both"/>
              <w:rPr>
                <w:rFonts w:ascii="宋体" w:hAnsi="宋体" w:cs="宋体" w:eastAsia="宋体" w:hint="default"/>
                <w:sz w:val="18"/>
                <w:szCs w:val="18"/>
              </w:rPr>
            </w:pPr>
            <w:r>
              <w:rPr>
                <w:rFonts w:ascii="宋体" w:hAnsi="宋体" w:cs="宋体" w:eastAsia="宋体" w:hint="default"/>
                <w:sz w:val="18"/>
                <w:szCs w:val="18"/>
              </w:rPr>
              <w:t>发行股 份及支 付现金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75" w:right="0"/>
              <w:jc w:val="left"/>
              <w:rPr>
                <w:rFonts w:ascii="Times New Roman" w:hAnsi="Times New Roman" w:cs="Times New Roman" w:eastAsia="Times New Roman" w:hint="default"/>
                <w:sz w:val="18"/>
                <w:szCs w:val="18"/>
              </w:rPr>
            </w:pPr>
            <w:r>
              <w:rPr>
                <w:rFonts w:ascii="Times New Roman"/>
                <w:sz w:val="18"/>
              </w:rPr>
              <w:t>81,721,5</w:t>
            </w:r>
          </w:p>
          <w:p>
            <w:pPr>
              <w:pStyle w:val="TableParagraph"/>
              <w:spacing w:line="240" w:lineRule="auto" w:before="106"/>
              <w:ind w:left="307" w:right="0"/>
              <w:jc w:val="left"/>
              <w:rPr>
                <w:rFonts w:ascii="Times New Roman" w:hAnsi="Times New Roman" w:cs="Times New Roman" w:eastAsia="Times New Roman" w:hint="default"/>
                <w:sz w:val="18"/>
                <w:szCs w:val="18"/>
              </w:rPr>
            </w:pPr>
            <w:r>
              <w:rPr>
                <w:rFonts w:ascii="Times New Roman"/>
                <w:sz w:val="18"/>
              </w:rPr>
              <w:t>39.11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p>
            <w:pPr>
              <w:pStyle w:val="TableParagraph"/>
              <w:spacing w:line="319" w:lineRule="auto"/>
              <w:ind w:left="23" w:right="149"/>
              <w:jc w:val="both"/>
              <w:rPr>
                <w:rFonts w:ascii="宋体" w:hAnsi="宋体" w:cs="宋体" w:eastAsia="宋体" w:hint="default"/>
                <w:sz w:val="18"/>
                <w:szCs w:val="18"/>
              </w:rPr>
            </w:pPr>
            <w:r>
              <w:rPr>
                <w:rFonts w:ascii="宋体" w:hAnsi="宋体" w:cs="宋体" w:eastAsia="宋体" w:hint="default"/>
                <w:sz w:val="18"/>
                <w:szCs w:val="18"/>
              </w:rPr>
              <w:t>《公司 发行股 份及支 付现金 购买资</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2235"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9"/>
              <w:jc w:val="both"/>
              <w:rPr>
                <w:rFonts w:ascii="宋体" w:hAnsi="宋体" w:cs="宋体" w:eastAsia="宋体" w:hint="default"/>
                <w:sz w:val="18"/>
                <w:szCs w:val="18"/>
              </w:rPr>
            </w:pPr>
            <w:r>
              <w:rPr>
                <w:rFonts w:ascii="宋体" w:hAnsi="宋体" w:cs="宋体" w:eastAsia="宋体" w:hint="default"/>
                <w:sz w:val="18"/>
                <w:szCs w:val="18"/>
              </w:rPr>
              <w:t>产并募 集配套 资金暨 关联交 易报告 书（草 </w:t>
            </w:r>
            <w:r>
              <w:rPr>
                <w:rFonts w:ascii="宋体" w:hAnsi="宋体" w:cs="宋体" w:eastAsia="宋体" w:hint="default"/>
                <w:spacing w:val="-30"/>
                <w:sz w:val="18"/>
                <w:szCs w:val="18"/>
              </w:rPr>
              <w:t>案）》</w:t>
            </w:r>
          </w:p>
        </w:tc>
      </w:tr>
      <w:tr>
        <w:trPr>
          <w:trHeight w:val="539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合肥星 波通信 技术有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微波通 信产品 生产及 销售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收购</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522,767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67.54%</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88"/>
              <w:jc w:val="both"/>
              <w:rPr>
                <w:rFonts w:ascii="宋体" w:hAnsi="宋体" w:cs="宋体" w:eastAsia="宋体" w:hint="default"/>
                <w:sz w:val="18"/>
                <w:szCs w:val="18"/>
              </w:rPr>
            </w:pPr>
            <w:r>
              <w:rPr>
                <w:rFonts w:ascii="宋体" w:hAnsi="宋体" w:cs="宋体" w:eastAsia="宋体" w:hint="default"/>
                <w:sz w:val="18"/>
                <w:szCs w:val="18"/>
              </w:rPr>
              <w:t>发行股 份及支 付现金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微波通 信产品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156,52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45,506,2</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68.88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26" w:lineRule="auto" w:before="19"/>
              <w:ind w:left="23" w:right="62"/>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p>
            <w:pPr>
              <w:pStyle w:val="TableParagraph"/>
              <w:spacing w:line="319" w:lineRule="auto"/>
              <w:ind w:left="23" w:right="149"/>
              <w:jc w:val="both"/>
              <w:rPr>
                <w:rFonts w:ascii="宋体" w:hAnsi="宋体" w:cs="宋体" w:eastAsia="宋体" w:hint="default"/>
                <w:sz w:val="18"/>
                <w:szCs w:val="18"/>
              </w:rPr>
            </w:pPr>
            <w:r>
              <w:rPr>
                <w:rFonts w:ascii="宋体" w:hAnsi="宋体" w:cs="宋体" w:eastAsia="宋体" w:hint="default"/>
                <w:sz w:val="18"/>
                <w:szCs w:val="18"/>
              </w:rPr>
              <w:t>《公司 发行股 份及支 付现金 购买资 产并募 集配套 资金暨 关联交 易报告 书（草 </w:t>
            </w:r>
            <w:r>
              <w:rPr>
                <w:rFonts w:ascii="宋体" w:hAnsi="宋体" w:cs="宋体" w:eastAsia="宋体" w:hint="default"/>
                <w:spacing w:val="-30"/>
                <w:sz w:val="18"/>
                <w:szCs w:val="18"/>
              </w:rPr>
              <w:t>案）》</w:t>
            </w: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67,951.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127,227,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807.99</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83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3"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2,302.62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19,164.3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7,840.97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41.98%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108.76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仿真试验 室项目对 应的募集 资金将用 于募投项 目后续资 </w:t>
            </w:r>
            <w:r>
              <w:rPr>
                <w:rFonts w:ascii="宋体" w:hAnsi="宋体" w:cs="宋体" w:eastAsia="宋体" w:hint="default"/>
                <w:spacing w:val="-18"/>
                <w:sz w:val="18"/>
                <w:szCs w:val="18"/>
              </w:rPr>
              <w:t>金支出；研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发中心扩 建项目的 结余资金</w:t>
            </w:r>
          </w:p>
          <w:p>
            <w:pPr>
              <w:pStyle w:val="TableParagraph"/>
              <w:spacing w:line="302" w:lineRule="auto" w:before="19"/>
              <w:ind w:left="22" w:right="205"/>
              <w:jc w:val="left"/>
              <w:rPr>
                <w:rFonts w:ascii="宋体" w:hAnsi="宋体" w:cs="宋体" w:eastAsia="宋体" w:hint="default"/>
                <w:sz w:val="18"/>
                <w:szCs w:val="18"/>
              </w:rPr>
            </w:pPr>
            <w:r>
              <w:rPr>
                <w:rFonts w:ascii="Times New Roman" w:hAnsi="Times New Roman" w:cs="Times New Roman" w:eastAsia="Times New Roman" w:hint="default"/>
                <w:sz w:val="18"/>
                <w:szCs w:val="18"/>
              </w:rPr>
              <w:t>40.09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18,676.94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7,840.97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41.98%</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108.76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号核准，并经深圳证券交易所同意，本公司由主承销商长江证券承销保 荐有限公司通过深圳证券交易所系统于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日采用全部向二级市场投资者定价配售方式，向社会公众公开发行</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23,189.82</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万元，扣除发行费用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18,676.94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万元。上述募集资金净额已经致同会计师事务所（特殊 </w:t>
            </w:r>
            <w:r>
              <w:rPr>
                <w:rFonts w:ascii="宋体" w:hAnsi="宋体" w:cs="宋体" w:eastAsia="宋体" w:hint="default"/>
                <w:spacing w:val="-4"/>
                <w:sz w:val="18"/>
                <w:szCs w:val="18"/>
              </w:rPr>
              <w:t>普通合伙）出具的致同验字（</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320ZA0005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号《验资报告》验证。公司对募集资金采取了专户存储制度。截至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8"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一次设备状态检测、监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测产品生产改造项目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6,193.59</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以货币增资方式取得 浙江涵普电力科技有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5,492.56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1,529.51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高压电气设备故障仿 真试验室建设项目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1,869.84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2,364.11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94.56%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6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计量装置检测、监测设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备生产改造项目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1,537.94</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103.03%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7,989.41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7,989.41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103.41%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2,302.62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19,164.3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1,529.51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18,937.97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19,164.3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64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、一次设备状态检测、监测产品生产改造项目</w:t>
                        </w:r>
                      </w:p>
                      <w:p>
                        <w:pPr>
                          <w:pStyle w:val="TableParagraph"/>
                          <w:spacing w:line="307" w:lineRule="auto" w:before="102"/>
                          <w:ind w:left="16" w:right="20"/>
                          <w:jc w:val="left"/>
                          <w:rPr>
                            <w:rFonts w:ascii="宋体" w:hAnsi="宋体" w:cs="宋体" w:eastAsia="宋体" w:hint="default"/>
                            <w:sz w:val="18"/>
                            <w:szCs w:val="18"/>
                          </w:rPr>
                        </w:pPr>
                        <w:r>
                          <w:rPr>
                            <w:rFonts w:ascii="宋体" w:hAnsi="宋体" w:cs="宋体" w:eastAsia="宋体" w:hint="default"/>
                            <w:spacing w:val="-3"/>
                            <w:sz w:val="18"/>
                            <w:szCs w:val="18"/>
                          </w:rPr>
                          <w:t>一次设备状态检测、监测产品生产改造项目于 </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年立项，该项目主要是完善一次设备状态检测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监测产品的生产工艺、提升产品检测水平、实验能力等。从项目立项至上市发行取得募集资金期间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外部的经济形势和市场环境发生了较大的变化，公司已经通过自筹资金投入设备、委托生产等方式 解决了大部分生产工艺提升的需求，并且一定程度上完善了产品检测和实验能力，</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 一次设备状态检测、监测产品销量分别为 </w:t>
                        </w:r>
                        <w:r>
                          <w:rPr>
                            <w:rFonts w:ascii="Times New Roman" w:hAnsi="Times New Roman" w:cs="Times New Roman" w:eastAsia="Times New Roman" w:hint="default"/>
                            <w:sz w:val="18"/>
                            <w:szCs w:val="18"/>
                          </w:rPr>
                          <w:t>235 </w:t>
                        </w:r>
                        <w:r>
                          <w:rPr>
                            <w:rFonts w:ascii="宋体" w:hAnsi="宋体" w:cs="宋体" w:eastAsia="宋体" w:hint="default"/>
                            <w:spacing w:val="-5"/>
                            <w:sz w:val="18"/>
                            <w:szCs w:val="18"/>
                          </w:rPr>
                          <w:t>标准台、</w:t>
                        </w:r>
                        <w:r>
                          <w:rPr>
                            <w:rFonts w:ascii="Times New Roman" w:hAnsi="Times New Roman" w:cs="Times New Roman" w:eastAsia="Times New Roman" w:hint="default"/>
                            <w:spacing w:val="-5"/>
                            <w:sz w:val="18"/>
                            <w:szCs w:val="18"/>
                          </w:rPr>
                          <w:t>249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标准台，销量稳步提升</w:t>
                        </w:r>
                        <w:r>
                          <w:rPr>
                            <w:rFonts w:ascii="宋体" w:hAnsi="宋体" w:cs="宋体" w:eastAsia="宋体" w:hint="default"/>
                            <w:sz w:val="18"/>
                            <w:szCs w:val="18"/>
                          </w:rPr>
                          <w:t> 目前公司整体的产能及工艺、试验及检测能力预计能够满足公司现阶段及未来一段时间增长的市场 需要。同时，由于公司产品生产工艺集中在组装和调试环节，该部分的产能建设耗时较短，因此公 司可以在需要时投入建设，及时满足需求。基于以上原因，为了更好的实现募集资金使用效益，提 升公司的综合盈利能力，公司于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月终止了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的建设，同时变更为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 司分别于第三届董事会第十四次会议以及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 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已经使用的募集资金 </w:t>
                        </w:r>
                        <w:r>
                          <w:rPr>
                            <w:rFonts w:ascii="Times New Roman" w:hAnsi="Times New Roman" w:cs="Times New Roman" w:eastAsia="Times New Roman" w:hint="default"/>
                            <w:sz w:val="18"/>
                            <w:szCs w:val="18"/>
                          </w:rPr>
                          <w:t>51.68 </w:t>
                        </w:r>
                        <w:r>
                          <w:rPr>
                            <w:rFonts w:ascii="宋体" w:hAnsi="宋体" w:cs="宋体" w:eastAsia="宋体" w:hint="default"/>
                            <w:sz w:val="18"/>
                            <w:szCs w:val="18"/>
                          </w:rPr>
                          <w:t>万元以自有资金置换出来，以及</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 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剩余的募集资金 </w:t>
                        </w:r>
                        <w:r>
                          <w:rPr>
                            <w:rFonts w:ascii="Times New Roman" w:hAnsi="Times New Roman" w:cs="Times New Roman" w:eastAsia="Times New Roman" w:hint="default"/>
                            <w:sz w:val="18"/>
                            <w:szCs w:val="18"/>
                          </w:rPr>
                          <w:t>758.79 </w:t>
                        </w:r>
                        <w:r>
                          <w:rPr>
                            <w:rFonts w:ascii="宋体" w:hAnsi="宋体" w:cs="宋体" w:eastAsia="宋体" w:hint="default"/>
                            <w:sz w:val="18"/>
                            <w:szCs w:val="18"/>
                          </w:rPr>
                          <w:t>万元，共计剩余募集资金 </w:t>
                        </w:r>
                        <w:r>
                          <w:rPr>
                            <w:rFonts w:ascii="Times New Roman" w:hAnsi="Times New Roman" w:cs="Times New Roman" w:eastAsia="Times New Roman" w:hint="default"/>
                            <w:sz w:val="18"/>
                            <w:szCs w:val="18"/>
                          </w:rPr>
                          <w:t>810.47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4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、计量装置检测、监测设备生产改造项目</w:t>
                        </w:r>
                      </w:p>
                      <w:p>
                        <w:pPr>
                          <w:pStyle w:val="TableParagraph"/>
                          <w:spacing w:line="304" w:lineRule="auto" w:before="102"/>
                          <w:ind w:left="16" w:right="19"/>
                          <w:jc w:val="left"/>
                          <w:rPr>
                            <w:rFonts w:ascii="宋体" w:hAnsi="宋体" w:cs="宋体" w:eastAsia="宋体" w:hint="default"/>
                            <w:sz w:val="18"/>
                            <w:szCs w:val="18"/>
                          </w:rPr>
                        </w:pPr>
                        <w:r>
                          <w:rPr>
                            <w:rFonts w:ascii="宋体" w:hAnsi="宋体" w:cs="宋体" w:eastAsia="宋体" w:hint="default"/>
                            <w:sz w:val="18"/>
                            <w:szCs w:val="18"/>
                          </w:rPr>
                          <w:t>计量装置检测、监测设备生产改造项目于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年立项，该项目主要是完善计量装置检测、监测产 品的生产工艺、提升产品检测水平、实验能力等。从项目立项至上市发行取得募集资金期间，外部 </w:t>
                        </w:r>
                        <w:r>
                          <w:rPr>
                            <w:rFonts w:ascii="宋体" w:hAnsi="宋体" w:cs="宋体" w:eastAsia="宋体" w:hint="default"/>
                            <w:spacing w:val="-2"/>
                            <w:sz w:val="18"/>
                            <w:szCs w:val="18"/>
                          </w:rPr>
                          <w:t>的经济形势和市场环境发生了较大变化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在公司内部，已经通过自筹资金投入设备、委托生产等方式</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解决了生产工艺的需求，并且提升了产品检测和实验能力，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年计量装置检测、监测 设备销量分别为 </w:t>
                        </w:r>
                        <w:r>
                          <w:rPr>
                            <w:rFonts w:ascii="Times New Roman" w:hAnsi="Times New Roman" w:cs="Times New Roman" w:eastAsia="Times New Roman" w:hint="default"/>
                            <w:sz w:val="18"/>
                            <w:szCs w:val="18"/>
                          </w:rPr>
                          <w:t>198 </w:t>
                        </w:r>
                        <w:r>
                          <w:rPr>
                            <w:rFonts w:ascii="宋体" w:hAnsi="宋体" w:cs="宋体" w:eastAsia="宋体" w:hint="default"/>
                            <w:sz w:val="18"/>
                            <w:szCs w:val="18"/>
                          </w:rPr>
                          <w:t>标准台、</w:t>
                        </w:r>
                        <w:r>
                          <w:rPr>
                            <w:rFonts w:ascii="Times New Roman" w:hAnsi="Times New Roman" w:cs="Times New Roman" w:eastAsia="Times New Roman" w:hint="default"/>
                            <w:sz w:val="18"/>
                            <w:szCs w:val="18"/>
                          </w:rPr>
                          <w:t>243 </w:t>
                        </w:r>
                        <w:r>
                          <w:rPr>
                            <w:rFonts w:ascii="宋体" w:hAnsi="宋体" w:cs="宋体" w:eastAsia="宋体" w:hint="default"/>
                            <w:sz w:val="18"/>
                            <w:szCs w:val="18"/>
                          </w:rPr>
                          <w:t>标准台和 </w:t>
                        </w:r>
                        <w:r>
                          <w:rPr>
                            <w:rFonts w:ascii="Times New Roman" w:hAnsi="Times New Roman" w:cs="Times New Roman" w:eastAsia="Times New Roman" w:hint="default"/>
                            <w:sz w:val="18"/>
                            <w:szCs w:val="18"/>
                          </w:rPr>
                          <w:t>178 </w:t>
                        </w:r>
                        <w:r>
                          <w:rPr>
                            <w:rFonts w:ascii="宋体" w:hAnsi="宋体" w:cs="宋体" w:eastAsia="宋体" w:hint="default"/>
                            <w:sz w:val="18"/>
                            <w:szCs w:val="18"/>
                          </w:rPr>
                          <w:t>标准台。考虑到公司现有的设备可以满足未来三 年市场的发展需要，为了提升公司资金使用效益，提升公司的综合盈利能力，公司拟终止计量装置 </w:t>
                        </w:r>
                        <w:r>
                          <w:rPr>
                            <w:rFonts w:ascii="宋体" w:hAnsi="宋体" w:cs="宋体" w:eastAsia="宋体" w:hint="default"/>
                            <w:spacing w:val="-2"/>
                            <w:sz w:val="18"/>
                            <w:szCs w:val="18"/>
                          </w:rPr>
                          <w:t>检测、监测设备生产改造项目，并将资金转投可以提升公司研发能力的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高压电气设备故障仿真试验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月，公司分别于第三届董事会第十四次会议以及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 </w:t>
                        </w:r>
                        <w:r>
                          <w:rPr>
                            <w:rFonts w:ascii="宋体" w:hAnsi="宋体" w:cs="宋体" w:eastAsia="宋体" w:hint="default"/>
                            <w:spacing w:val="-6"/>
                            <w:w w:val="100"/>
                            <w:sz w:val="18"/>
                            <w:szCs w:val="18"/>
                          </w:rPr>
                          <w:t>会审议通过了《关于终止</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计量装置检测、监测设备生产改造项目</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及变更募集资金投资项目的议案》</w:t>
                        </w:r>
                        <w:r>
                          <w:rPr>
                            <w:rFonts w:ascii="宋体" w:hAnsi="宋体" w:cs="宋体" w:eastAsia="宋体" w:hint="default"/>
                            <w:spacing w:val="-2"/>
                            <w:sz w:val="18"/>
                            <w:szCs w:val="18"/>
                          </w:rPr>
                          <w:t>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计量装置检测、监测设备生产改造项目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的建设，同时变更为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高压电气设备故障仿真试验室建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28" w:lineRule="auto" w:before="48"/>
                          <w:ind w:left="16"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 研发中心扩建项目旨在提升公司综合研发实力，进一步增强公司竞争力，为实现公司长远发展目标 提供技术保障，因此该项目的效益无法反映在公司的整体效益中，无法单独核算。研发中心扩建项 目已按建设期完工并投入使用，尚有结余资金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、补充营运资金补充营运资金旨在提升公司整体运营能力，无法单独核算具体收益。</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464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募投项目未达到计划进度或预计收益的情况及原因</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月，公司分别于第三届董事会第十次会议以及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年第五次临时股东大会审议通过了《关</w:t>
            </w:r>
            <w:r>
              <w:rPr>
                <w:rFonts w:ascii="宋体" w:hAnsi="宋体" w:cs="宋体" w:eastAsia="宋体" w:hint="default"/>
                <w:sz w:val="18"/>
                <w:szCs w:val="18"/>
              </w:rPr>
              <w:t> </w:t>
            </w:r>
            <w:r>
              <w:rPr>
                <w:rFonts w:ascii="宋体" w:hAnsi="宋体" w:cs="宋体" w:eastAsia="宋体" w:hint="default"/>
                <w:spacing w:val="-3"/>
                <w:w w:val="100"/>
                <w:sz w:val="18"/>
                <w:szCs w:val="18"/>
              </w:rPr>
              <w:t>于终止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w:t>
            </w:r>
            <w:r>
              <w:rPr>
                <w:rFonts w:ascii="宋体" w:hAnsi="宋体" w:cs="宋体" w:eastAsia="宋体" w:hint="default"/>
                <w:spacing w:val="-47"/>
                <w:w w:val="100"/>
                <w:sz w:val="18"/>
                <w:szCs w:val="18"/>
              </w:rPr>
              <w:t> </w:t>
            </w:r>
            <w:r>
              <w:rPr>
                <w:rFonts w:ascii="宋体" w:hAnsi="宋体" w:cs="宋体" w:eastAsia="宋体" w:hint="default"/>
                <w:sz w:val="18"/>
                <w:szCs w:val="18"/>
              </w:rPr>
              <w:t>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 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。本次变更同时导致该项目的实施地点由福建省厦门市变更为浙江省嘉兴 市海盐县。</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、报告期内：报告期内未发生实施地点变更的情况</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4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、以前年度发生：</w:t>
            </w:r>
          </w:p>
          <w:p>
            <w:pPr>
              <w:pStyle w:val="TableParagraph"/>
              <w:spacing w:line="300" w:lineRule="auto" w:before="102"/>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月，公司分别于第三届董事会第十次会议以及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年第五次临时股东大会审议通过了《关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w w:val="100"/>
                <w:sz w:val="18"/>
                <w:szCs w:val="18"/>
              </w:rPr>
              <w:t>于终止</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一次设备状态检测、监测产品生产改造项目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及变更募集资金投资项目的议案》，终止了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w:t>
            </w:r>
            <w:r>
              <w:rPr>
                <w:rFonts w:ascii="宋体" w:hAnsi="宋体" w:cs="宋体" w:eastAsia="宋体" w:hint="default"/>
                <w:spacing w:val="-47"/>
                <w:w w:val="100"/>
                <w:sz w:val="18"/>
                <w:szCs w:val="18"/>
              </w:rPr>
              <w:t> </w:t>
            </w:r>
            <w:r>
              <w:rPr>
                <w:rFonts w:ascii="宋体" w:hAnsi="宋体" w:cs="宋体" w:eastAsia="宋体" w:hint="default"/>
                <w:sz w:val="18"/>
                <w:szCs w:val="18"/>
              </w:rPr>
              <w:t>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的建设，同时变更为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 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。本次变更同时导致该项目的实施地点由福建省厦门市变更为浙江省嘉兴 市海盐县。</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月，公司分别于第三届董事会第十四次会议以及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w:t>
            </w:r>
            <w:r>
              <w:rPr>
                <w:rFonts w:ascii="宋体" w:hAnsi="宋体" w:cs="宋体" w:eastAsia="宋体" w:hint="default"/>
                <w:spacing w:val="-2"/>
                <w:w w:val="100"/>
                <w:sz w:val="18"/>
                <w:szCs w:val="18"/>
              </w:rPr>
              <w:t>审议通过了《关于终止</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计量装置检测、监测设备生产改造项目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及变更募集资金投资项目的议案》，</w:t>
            </w:r>
            <w:r>
              <w:rPr>
                <w:rFonts w:ascii="宋体" w:hAnsi="宋体" w:cs="宋体" w:eastAsia="宋体" w:hint="default"/>
                <w:sz w:val="18"/>
                <w:szCs w:val="18"/>
              </w:rPr>
              <w:t> </w:t>
            </w:r>
            <w:r>
              <w:rPr>
                <w:rFonts w:ascii="宋体" w:hAnsi="宋体" w:cs="宋体" w:eastAsia="宋体" w:hint="default"/>
                <w:spacing w:val="-2"/>
                <w:sz w:val="18"/>
                <w:szCs w:val="18"/>
              </w:rPr>
              <w:t>终止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计量装置检测、监测设备生产改造项目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的建设，同时变更为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高压电气设备故障仿真试验室建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38" w:lineRule="auto" w:before="52"/>
              <w:ind w:left="22" w:right="47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 报告期内未发生实施方式调整的情况。</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研发中心扩建项目已按建设期完工并投入使用，尚有结余资金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40.09 </w:t>
            </w:r>
            <w:r>
              <w:rPr>
                <w:rFonts w:ascii="宋体" w:hAnsi="宋体" w:cs="宋体" w:eastAsia="宋体" w:hint="default"/>
                <w:sz w:val="18"/>
                <w:szCs w:val="18"/>
              </w:rPr>
              <w:t>万元，其结余资金主要系专户 存储累计利息、短期理财收益扣除手续费的净额。</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日，存放于募集资金账户的尚未使用的金额为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资金：其中仿真试验室项目对应的募集资金将用于募投项目后续支出；研发中心扩建项目结余</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40.09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发生变更前，该项目已投</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入募集资金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月，公司分别于第三届董事会第十四次会议以及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w:t>
            </w:r>
          </w:p>
          <w:p>
            <w:pPr>
              <w:pStyle w:val="TableParagraph"/>
              <w:spacing w:line="302" w:lineRule="auto" w:before="63"/>
              <w:ind w:left="22" w:right="69"/>
              <w:jc w:val="left"/>
              <w:rPr>
                <w:rFonts w:ascii="宋体" w:hAnsi="宋体" w:cs="宋体" w:eastAsia="宋体" w:hint="default"/>
                <w:sz w:val="18"/>
                <w:szCs w:val="18"/>
              </w:rPr>
            </w:pPr>
            <w:r>
              <w:rPr>
                <w:rFonts w:ascii="宋体" w:hAnsi="宋体" w:cs="宋体" w:eastAsia="宋体" w:hint="default"/>
                <w:sz w:val="18"/>
                <w:szCs w:val="18"/>
              </w:rPr>
              <w:t>时股东大会审议通过将该项目投入的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万元以自有资金进行置换。截止报告期末，此项置换事 项已执行完毕。</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发生变更前，该项目已投入募集资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before="44"/>
        <w:ind w:left="0" w:right="1161" w:firstLine="0"/>
        <w:jc w:val="right"/>
        <w:rPr>
          <w:rFonts w:ascii="宋体" w:hAnsi="宋体" w:cs="宋体" w:eastAsia="宋体" w:hint="default"/>
          <w:sz w:val="18"/>
          <w:szCs w:val="18"/>
        </w:rPr>
      </w:pPr>
      <w:r>
        <w:rPr/>
        <w:pict>
          <v:shape style="position:absolute;margin-left:56.459999pt;margin-top:-14.408294pt;width:479.2pt;height:227.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2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月，公司分别于第三届董事会第十四次会议以及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会审议通过《关于终止</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计</w:t>
                        </w:r>
                        <w:r>
                          <w:rPr>
                            <w:rFonts w:ascii="宋体" w:hAnsi="宋体" w:cs="宋体" w:eastAsia="宋体" w:hint="default"/>
                            <w:spacing w:val="1"/>
                            <w:sz w:val="18"/>
                            <w:szCs w:val="18"/>
                          </w:rPr>
                          <w:t>量</w:t>
                        </w:r>
                        <w:r>
                          <w:rPr>
                            <w:rFonts w:ascii="宋体" w:hAnsi="宋体" w:cs="宋体" w:eastAsia="宋体" w:hint="default"/>
                            <w:sz w:val="18"/>
                            <w:szCs w:val="18"/>
                          </w:rPr>
                          <w:t>装置检测、监测设备生产改造项目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及变更募集资金投资项目的议案</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终止了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计量装置检测、监测设备生产改造项目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的建设，同时变更为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高压电气设备故障仿真试验室</w:t>
                        </w:r>
                      </w:p>
                    </w:tc>
                  </w:tr>
                  <w:tr>
                    <w:trPr>
                      <w:trHeight w:val="313"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，同时审议通过将该项目投入的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万元以自有资金进行置换。截止报告期末，此项置</w:t>
                        </w:r>
                      </w:p>
                    </w:tc>
                  </w:tr>
                  <w:tr>
                    <w:trPr>
                      <w:trHeight w:val="32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换事项已执行完毕。</w:t>
                        </w:r>
                      </w:p>
                    </w:tc>
                  </w:tr>
                  <w:tr>
                    <w:trPr>
                      <w:trHeight w:val="33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项目截至期末累计投入金额超过承诺投入金额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272.52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年度补</w:t>
                        </w:r>
                      </w:p>
                    </w:tc>
                  </w:tr>
                  <w:tr>
                    <w:trPr>
                      <w:trHeight w:val="30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充营运资金项目投资理财产品产生的收益及银行利息扣除手续费的净额。截至报告期末，该项目对</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应专项账户的募集资金已全部投入到募投项目，并完成了该专项账户的注销手续。</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、高压电气设备故障仿真试验室建设项目拟投入资金为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w:t>
                        </w:r>
                      </w:p>
                    </w:tc>
                  </w:tr>
                  <w:tr>
                    <w:trPr>
                      <w:trHeight w:val="313"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合计募集资金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万元投入外，</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万元由公司自有资金投入。</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、研发中心扩建项目截至报告期末累计投入金额超过了承诺投入金额</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89.70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万元，系该项目闲置资</w:t>
                        </w:r>
                      </w:p>
                    </w:tc>
                  </w:tr>
                  <w:tr>
                    <w:trPr>
                      <w:trHeight w:val="308"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金投资理财产品产生的收益及银行利息扣除手续费的净额。研发中心扩建项目已按建设期完工并投</w:t>
                        </w:r>
                      </w:p>
                    </w:tc>
                  </w:tr>
                  <w:tr>
                    <w:trPr>
                      <w:trHeight w:val="35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入使用，截止报告期末，研发中心扩建项目的已全部完成投入，结余资金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以货币增资 方式取得浙 江涵普电力 科技有限公 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 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both"/>
              <w:rPr>
                <w:rFonts w:ascii="宋体" w:hAnsi="宋体" w:cs="宋体" w:eastAsia="宋体" w:hint="default"/>
                <w:sz w:val="18"/>
                <w:szCs w:val="18"/>
              </w:rPr>
            </w:pPr>
            <w:r>
              <w:rPr>
                <w:rFonts w:ascii="宋体" w:hAnsi="宋体" w:cs="宋体" w:eastAsia="宋体" w:hint="default"/>
                <w:sz w:val="18"/>
                <w:szCs w:val="18"/>
              </w:rPr>
              <w:t>一次设备状 态检测、监 测产品生产 改造项目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5,492.56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高压电气设 备故障仿真 试验室建设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一次设备状 态检测、监 测产品生产 改造项目</w:t>
            </w:r>
            <w:r>
              <w:rPr>
                <w:rFonts w:ascii="Times New Roman" w:hAnsi="Times New Roman" w:cs="Times New Roman" w:eastAsia="Times New Roman" w:hint="default"/>
                <w:sz w:val="18"/>
                <w:szCs w:val="18"/>
              </w:rPr>
              <w:t>\ </w:t>
            </w:r>
            <w:r>
              <w:rPr>
                <w:rFonts w:ascii="宋体" w:hAnsi="宋体" w:cs="宋体" w:eastAsia="宋体" w:hint="default"/>
                <w:sz w:val="18"/>
                <w:szCs w:val="18"/>
              </w:rPr>
              <w:t>计量装置检 测、监测设 备生产改造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2,348.41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1,869.84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2,364.11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94.56%</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7,840.97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1,869.84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7,856.67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1,529.51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30"/>
                <w:sz w:val="18"/>
                <w:szCs w:val="18"/>
              </w:rPr>
              <w:t> </w:t>
            </w:r>
            <w:r>
              <w:rPr>
                <w:rFonts w:ascii="宋体" w:hAnsi="宋体" w:cs="宋体" w:eastAsia="宋体" w:hint="default"/>
                <w:sz w:val="18"/>
                <w:szCs w:val="18"/>
              </w:rPr>
              <w:t>一次设备状态检测、监测产品生产改造项目</w:t>
            </w:r>
          </w:p>
          <w:p>
            <w:pPr>
              <w:pStyle w:val="TableParagraph"/>
              <w:spacing w:line="240" w:lineRule="auto" w:before="117"/>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（一）一次设备状态检测、监测产品生产改造项目变更主要有以下两方面原因</w:t>
            </w:r>
            <w:r>
              <w:rPr>
                <w:rFonts w:ascii="Times New Roman" w:hAnsi="Times New Roman" w:cs="Times New Roman" w:eastAsia="Times New Roman" w:hint="default"/>
                <w:sz w:val="18"/>
                <w:szCs w:val="18"/>
              </w:rPr>
              <w:t>:</w:t>
            </w:r>
          </w:p>
          <w:p>
            <w:pPr>
              <w:pStyle w:val="TableParagraph"/>
              <w:spacing w:line="302" w:lineRule="auto" w:before="101"/>
              <w:ind w:left="1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6"/>
                <w:sz w:val="18"/>
                <w:szCs w:val="18"/>
              </w:rPr>
              <w:t> </w:t>
            </w:r>
            <w:r>
              <w:rPr>
                <w:rFonts w:ascii="宋体" w:hAnsi="宋体" w:cs="宋体" w:eastAsia="宋体" w:hint="default"/>
                <w:sz w:val="18"/>
                <w:szCs w:val="18"/>
              </w:rPr>
              <w:t>公司已先期投入资金完善一次设备状态检测、监测产品生产环节，目前产能和工</w:t>
            </w:r>
            <w:r>
              <w:rPr>
                <w:rFonts w:ascii="宋体" w:hAnsi="宋体" w:cs="宋体" w:eastAsia="宋体" w:hint="default"/>
                <w:sz w:val="18"/>
                <w:szCs w:val="18"/>
              </w:rPr>
              <w:t> 艺能力基本能够满足现阶段及未来一段时间的需求，继续投入的紧迫性不大。</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358"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72"/>
        <w:gridCol w:w="6699"/>
      </w:tblGrid>
      <w:tr>
        <w:trPr>
          <w:trHeight w:val="322" w:hRule="exact"/>
        </w:trPr>
        <w:tc>
          <w:tcPr>
            <w:tcW w:w="2872" w:type="dxa"/>
            <w:vMerge w:val="restart"/>
            <w:tcBorders>
              <w:top w:val="single" w:sz="4" w:space="0" w:color="000000"/>
              <w:left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、利用募集资金进行合适的外延式并购更有利于提升公司盈利能力。公司战略发展</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策略分为两个方向：一是围绕公司目前的核心产品</w:t>
            </w:r>
            <w:r>
              <w:rPr>
                <w:rFonts w:ascii="Times New Roman" w:hAnsi="Times New Roman" w:cs="Times New Roman" w:eastAsia="Times New Roman" w:hint="default"/>
                <w:sz w:val="18"/>
                <w:szCs w:val="18"/>
              </w:rPr>
              <w:t>—</w:t>
            </w:r>
            <w:r>
              <w:rPr>
                <w:rFonts w:ascii="宋体" w:hAnsi="宋体" w:cs="宋体" w:eastAsia="宋体" w:hint="default"/>
                <w:sz w:val="18"/>
                <w:szCs w:val="18"/>
              </w:rPr>
              <w:t>电力设备检测、监测产品在电网</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以外的其他应用领域上进行拓展，包括在发电企业、铁路与轨道交通、军工、石油石</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化等领域；二是利用公司在电网市场深厚的积淀，在该领域拓展十三五规划以及电力</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体制改革发展方向上的产品和服务。根据公司发展战略，公司将通过包括并购在内的</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各种方式在上述两个方向上快速获取优质资源，完善产品和市场覆盖能力。本次变更</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募集资金投向，将原</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的资金投入变更为</w:t>
            </w:r>
          </w:p>
        </w:tc>
      </w:tr>
      <w:tr>
        <w:trPr>
          <w:trHeight w:val="313"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项目，符合公司的战略发</w:t>
            </w:r>
          </w:p>
        </w:tc>
      </w:tr>
      <w:tr>
        <w:trPr>
          <w:trHeight w:val="328"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展方向，能更有效的提高该部分资金使用效率，为全体股东带来更大收益。</w:t>
            </w:r>
          </w:p>
        </w:tc>
      </w:tr>
      <w:tr>
        <w:trPr>
          <w:trHeight w:val="35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（二）决策程序</w:t>
            </w:r>
          </w:p>
        </w:tc>
      </w:tr>
      <w:tr>
        <w:trPr>
          <w:trHeight w:val="336"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日召开的公司第三届董事会第十次会议、第三届监事会第六次会议及</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年第五次临时股东大会审议通过了《关于终止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次设备状态检测</w:t>
            </w:r>
            <w:r>
              <w:rPr>
                <w:rFonts w:ascii="宋体" w:hAnsi="宋体" w:cs="宋体" w:eastAsia="宋体" w:hint="default"/>
                <w:spacing w:val="-4"/>
                <w:sz w:val="18"/>
                <w:szCs w:val="18"/>
              </w:rPr>
              <w:t>、</w:t>
            </w:r>
            <w:r>
              <w:rPr>
                <w:rFonts w:ascii="宋体" w:hAnsi="宋体" w:cs="宋体" w:eastAsia="宋体" w:hint="default"/>
                <w:sz w:val="18"/>
                <w:szCs w:val="18"/>
              </w:rPr>
              <w:t>监测产品生产改造项目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及变更募集资金投资项目的议案</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终止实</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施原计划中</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一次设备状态检测、监测产品生产改造项目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，并将其中募集资金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5,492.56</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以货币增资方式取得浙江涵普电力科技股份有限公司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w:t>
            </w:r>
          </w:p>
        </w:tc>
      </w:tr>
      <w:tr>
        <w:trPr>
          <w:trHeight w:val="308"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司独立董事、监事会以及保荐机构长江证券承销保荐有限公司对上述事项发表了意</w:t>
            </w:r>
          </w:p>
        </w:tc>
      </w:tr>
      <w:tr>
        <w:trPr>
          <w:trHeight w:val="33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见。</w:t>
            </w:r>
          </w:p>
        </w:tc>
      </w:tr>
      <w:tr>
        <w:trPr>
          <w:trHeight w:val="35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（三）信息披露情况</w:t>
            </w:r>
          </w:p>
        </w:tc>
      </w:tr>
      <w:tr>
        <w:trPr>
          <w:trHeight w:val="33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日，公司于中国证监会指定信息披露网站巨潮资讯网上披露了《独</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立董事关于终止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及变更募集资金投资项</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目的独立意见</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《关于变更</w:t>
            </w:r>
            <w:r>
              <w:rPr>
                <w:rFonts w:ascii="宋体" w:hAnsi="宋体" w:cs="宋体" w:eastAsia="宋体" w:hint="default"/>
                <w:spacing w:val="-2"/>
                <w:sz w:val="18"/>
                <w:szCs w:val="18"/>
              </w:rPr>
              <w:t>部</w:t>
            </w:r>
            <w:r>
              <w:rPr>
                <w:rFonts w:ascii="宋体" w:hAnsi="宋体" w:cs="宋体" w:eastAsia="宋体" w:hint="default"/>
                <w:sz w:val="18"/>
                <w:szCs w:val="18"/>
              </w:rPr>
              <w:t>分募集资金用途暨对外投资之可行性分析</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《长江证券</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承销保荐有限公司关于厦门红相电力设备股份有限公司终止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测产品生产改造项目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及变更募集资金投资项目的核查意见</w:t>
            </w:r>
            <w:r>
              <w:rPr>
                <w:rFonts w:ascii="宋体" w:hAnsi="宋体" w:cs="宋体" w:eastAsia="宋体" w:hint="default"/>
                <w:spacing w:val="-90"/>
                <w:sz w:val="18"/>
                <w:szCs w:val="18"/>
              </w:rPr>
              <w:t>》、</w:t>
            </w:r>
            <w:r>
              <w:rPr>
                <w:rFonts w:ascii="宋体" w:hAnsi="宋体" w:cs="宋体" w:eastAsia="宋体" w:hint="default"/>
                <w:sz w:val="18"/>
                <w:szCs w:val="18"/>
              </w:rPr>
              <w:t>《厦门红相电力设备股</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份有限公司第三届董事会第十次会议决议公告</w:t>
            </w:r>
            <w:r>
              <w:rPr>
                <w:rFonts w:ascii="宋体" w:hAnsi="宋体" w:cs="宋体" w:eastAsia="宋体" w:hint="default"/>
                <w:spacing w:val="-119"/>
                <w:sz w:val="18"/>
                <w:szCs w:val="18"/>
              </w:rPr>
              <w:t>》</w:t>
            </w:r>
            <w:r>
              <w:rPr>
                <w:rFonts w:ascii="宋体" w:hAnsi="宋体" w:cs="宋体" w:eastAsia="宋体" w:hint="default"/>
                <w:sz w:val="18"/>
                <w:szCs w:val="18"/>
              </w:rPr>
              <w:t>（公告编码</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z w:val="18"/>
                <w:szCs w:val="18"/>
              </w:rPr>
              <w:t>-062</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《关于终止</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一</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次设备状态检测、监测产品生产改造项目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及变更募集资金投资项目的公告 </w:t>
            </w:r>
            <w:r>
              <w:rPr>
                <w:rFonts w:ascii="宋体" w:hAnsi="宋体" w:cs="宋体" w:eastAsia="宋体" w:hint="default"/>
                <w:spacing w:val="-90"/>
                <w:sz w:val="18"/>
                <w:szCs w:val="18"/>
              </w:rPr>
              <w:t>》</w:t>
            </w:r>
            <w:r>
              <w:rPr>
                <w:rFonts w:ascii="宋体" w:hAnsi="宋体" w:cs="宋体" w:eastAsia="宋体" w:hint="default"/>
                <w:sz w:val="18"/>
                <w:szCs w:val="18"/>
              </w:rPr>
              <w:t>（公告</w:t>
            </w:r>
          </w:p>
        </w:tc>
      </w:tr>
      <w:tr>
        <w:trPr>
          <w:trHeight w:val="313"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编码：</w:t>
            </w:r>
            <w:r>
              <w:rPr>
                <w:rFonts w:ascii="Times New Roman" w:hAnsi="Times New Roman" w:cs="Times New Roman" w:eastAsia="Times New Roman" w:hint="default"/>
                <w:sz w:val="18"/>
                <w:szCs w:val="18"/>
              </w:rPr>
              <w:t>2015-063</w:t>
            </w:r>
            <w:r>
              <w:rPr>
                <w:rFonts w:ascii="宋体" w:hAnsi="宋体" w:cs="宋体" w:eastAsia="宋体" w:hint="default"/>
                <w:spacing w:val="-90"/>
                <w:sz w:val="18"/>
                <w:szCs w:val="18"/>
              </w:rPr>
              <w:t>）、</w:t>
            </w:r>
            <w:r>
              <w:rPr>
                <w:rFonts w:ascii="宋体" w:hAnsi="宋体" w:cs="宋体" w:eastAsia="宋体" w:hint="default"/>
                <w:sz w:val="18"/>
                <w:szCs w:val="18"/>
              </w:rPr>
              <w:t>《厦门红相电力设备股份有限公司第三届监事会第六次会议决议公</w:t>
            </w:r>
          </w:p>
        </w:tc>
      </w:tr>
      <w:tr>
        <w:trPr>
          <w:trHeight w:val="33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（公告编码：</w:t>
            </w:r>
            <w:r>
              <w:rPr>
                <w:rFonts w:ascii="Times New Roman" w:hAnsi="Times New Roman" w:cs="Times New Roman" w:eastAsia="Times New Roman" w:hint="default"/>
                <w:sz w:val="18"/>
                <w:szCs w:val="18"/>
              </w:rPr>
              <w:t>2015-065</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31"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日，公司于中国证监会指定信息披露网站巨潮资讯网上披露了《厦</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门红相电力设备股份有限公司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五</w:t>
            </w:r>
            <w:r>
              <w:rPr>
                <w:rFonts w:ascii="宋体" w:hAnsi="宋体" w:cs="宋体" w:eastAsia="宋体" w:hint="default"/>
                <w:sz w:val="18"/>
                <w:szCs w:val="18"/>
              </w:rPr>
              <w:t>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（公告编码：</w:t>
            </w:r>
          </w:p>
        </w:tc>
      </w:tr>
      <w:tr>
        <w:trPr>
          <w:trHeight w:val="313"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2015-069</w:t>
            </w:r>
            <w:r>
              <w:rPr>
                <w:rFonts w:ascii="宋体" w:hAnsi="宋体" w:cs="宋体" w:eastAsia="宋体" w:hint="default"/>
                <w:spacing w:val="-90"/>
                <w:sz w:val="18"/>
                <w:szCs w:val="18"/>
              </w:rPr>
              <w:t>）、</w:t>
            </w:r>
            <w:r>
              <w:rPr>
                <w:rFonts w:ascii="宋体" w:hAnsi="宋体" w:cs="宋体" w:eastAsia="宋体" w:hint="default"/>
                <w:sz w:val="18"/>
                <w:szCs w:val="18"/>
              </w:rPr>
              <w:t>《北京市尚公律师事务所关于厦门红相电力设备股份有限公司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32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五次临时股东大会的法律意见书</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5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二、计量装置检测、监测设备生产改造项目</w:t>
            </w:r>
          </w:p>
        </w:tc>
      </w:tr>
      <w:tr>
        <w:trPr>
          <w:trHeight w:val="33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（一）计量装置检测、监测设备生产改造项目变更主要有以下方面的原因：</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、公司已先期投入资金完善计量装置检测、监测产品的生产环节，目前产能和工艺</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能力基本能够满足现阶段及未来一段时间的需求，继续投入的紧迫性不大。</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、研发力量的加强有助于提升公司综合竞争力。随着国内状态检测、监测市场的日</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益壮大，越来越多的国内厂商开始涉足该领域。行业竞争的焦点正在逐步从原来的价</w:t>
            </w:r>
          </w:p>
        </w:tc>
      </w:tr>
      <w:tr>
        <w:trPr>
          <w:trHeight w:val="31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格之争，逐步过渡到未来的技术之争、服务之争。因此，公司通过实施</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备故障仿真试验室建设项目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，将为公司研发产品的技术优势奠定了坚实的基础，以</w:t>
            </w:r>
          </w:p>
        </w:tc>
      </w:tr>
      <w:tr>
        <w:trPr>
          <w:trHeight w:val="307"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应对不断加剧的行业竞争态势，使公司始终保持在行业内的技术领先优势，提升公司</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综合竞争力，为全体股东带来更大收益。</w:t>
            </w:r>
          </w:p>
        </w:tc>
      </w:tr>
      <w:tr>
        <w:trPr>
          <w:trHeight w:val="312" w:hRule="exact"/>
        </w:trPr>
        <w:tc>
          <w:tcPr>
            <w:tcW w:w="2872" w:type="dxa"/>
            <w:vMerge/>
            <w:tcBorders>
              <w:left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（二）决策程序</w:t>
            </w:r>
          </w:p>
        </w:tc>
      </w:tr>
      <w:tr>
        <w:trPr>
          <w:trHeight w:val="317"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6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日公司召开的第三届董事会第十四次会议、第三届监事会第八次会议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before="44"/>
        <w:ind w:left="0" w:right="1136" w:firstLine="0"/>
        <w:jc w:val="right"/>
        <w:rPr>
          <w:rFonts w:ascii="宋体" w:hAnsi="宋体" w:cs="宋体" w:eastAsia="宋体" w:hint="default"/>
          <w:sz w:val="18"/>
          <w:szCs w:val="18"/>
        </w:rPr>
      </w:pPr>
      <w:r>
        <w:rPr/>
        <w:pict>
          <v:shape style="position:absolute;margin-left:56.459999pt;margin-top:-30.008268pt;width:479.3pt;height:495.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847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年第二次临时股东大会审议通过了《关于终止</w:t>
                        </w:r>
                        <w:r>
                          <w:rPr>
                            <w:rFonts w:ascii="Times New Roman" w:hAnsi="Times New Roman" w:cs="Times New Roman" w:eastAsia="Times New Roman" w:hint="default"/>
                            <w:sz w:val="18"/>
                            <w:szCs w:val="18"/>
                          </w:rPr>
                          <w:t>“</w:t>
                        </w:r>
                        <w:r>
                          <w:rPr>
                            <w:rFonts w:ascii="宋体" w:hAnsi="宋体" w:cs="宋体" w:eastAsia="宋体" w:hint="default"/>
                            <w:sz w:val="18"/>
                            <w:szCs w:val="18"/>
                          </w:rPr>
                          <w:t>计 </w:t>
                        </w:r>
                        <w:r>
                          <w:rPr>
                            <w:rFonts w:ascii="宋体" w:hAnsi="宋体" w:cs="宋体" w:eastAsia="宋体" w:hint="default"/>
                            <w:spacing w:val="-3"/>
                            <w:sz w:val="18"/>
                            <w:szCs w:val="18"/>
                          </w:rPr>
                          <w:t>量装置检测、监测设备生产改造项目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及变更募集资金投资项目的议案》，终止实施原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计划中</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该项目剩余募集资金 </w:t>
                        </w:r>
                        <w:r>
                          <w:rPr>
                            <w:rFonts w:ascii="Times New Roman" w:hAnsi="Times New Roman" w:cs="Times New Roman" w:eastAsia="Times New Roman" w:hint="default"/>
                            <w:sz w:val="18"/>
                            <w:szCs w:val="18"/>
                          </w:rPr>
                          <w:t>1,502.24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并且将已经使用的募集资金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万元以自有资金置换出来</w:t>
                        </w:r>
                        <w:r>
                          <w:rPr>
                            <w:rFonts w:ascii="Times New Roman" w:hAnsi="Times New Roman" w:cs="Times New Roman" w:eastAsia="Times New Roman" w:hint="default"/>
                            <w:sz w:val="18"/>
                            <w:szCs w:val="18"/>
                          </w:rPr>
                          <w:t>,</w:t>
                        </w:r>
                        <w:r>
                          <w:rPr>
                            <w:rFonts w:ascii="宋体" w:hAnsi="宋体" w:cs="宋体" w:eastAsia="宋体" w:hint="default"/>
                            <w:sz w:val="18"/>
                            <w:szCs w:val="18"/>
                          </w:rPr>
                          <w:t>置换后将募集资金</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1,537.94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另外</w:t>
                        </w:r>
                        <w:r>
                          <w:rPr>
                            <w:rFonts w:ascii="Times New Roman" w:hAnsi="Times New Roman" w:cs="Times New Roman" w:eastAsia="Times New Roman" w:hint="default"/>
                            <w:sz w:val="18"/>
                            <w:szCs w:val="18"/>
                          </w:rPr>
                          <w:t>,</w:t>
                        </w: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w:t>
                        </w:r>
                      </w:p>
                      <w:p>
                        <w:pPr>
                          <w:pStyle w:val="TableParagraph"/>
                          <w:spacing w:line="302" w:lineRule="auto" w:before="63"/>
                          <w:ind w:left="23" w:right="-31"/>
                          <w:jc w:val="left"/>
                          <w:rPr>
                            <w:rFonts w:ascii="宋体" w:hAnsi="宋体" w:cs="宋体" w:eastAsia="宋体" w:hint="default"/>
                            <w:sz w:val="18"/>
                            <w:szCs w:val="18"/>
                          </w:rPr>
                        </w:pPr>
                        <w:r>
                          <w:rPr>
                            <w:rFonts w:ascii="宋体" w:hAnsi="宋体" w:cs="宋体" w:eastAsia="宋体" w:hint="default"/>
                            <w:sz w:val="18"/>
                            <w:szCs w:val="18"/>
                          </w:rPr>
                          <w:t>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已经使用的募集资金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万元以自有资金置换出来， 以及 </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剩余的募集资金 </w:t>
                        </w:r>
                        <w:r>
                          <w:rPr>
                            <w:rFonts w:ascii="Times New Roman" w:hAnsi="Times New Roman" w:cs="Times New Roman" w:eastAsia="Times New Roman" w:hint="default"/>
                            <w:sz w:val="18"/>
                            <w:szCs w:val="18"/>
                          </w:rPr>
                          <w:t>758.79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 计剩余募集资金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810.47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高压电气设备故障仿真试验室建设项目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。高压电气 设备故障仿真试验室建设项目拟投入资金为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万元，除上述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 测设备生产改造项目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一次设备状态检测、监测产品生产改造项目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合计募集资金 </w:t>
                        </w:r>
                        <w:r>
                          <w:rPr>
                            <w:rFonts w:ascii="Times New Roman" w:hAnsi="Times New Roman" w:cs="Times New Roman" w:eastAsia="Times New Roman" w:hint="default"/>
                            <w:sz w:val="18"/>
                            <w:szCs w:val="18"/>
                          </w:rPr>
                          <w:t>2348.41 </w:t>
                        </w:r>
                        <w:r>
                          <w:rPr>
                            <w:rFonts w:ascii="宋体" w:hAnsi="宋体" w:cs="宋体" w:eastAsia="宋体" w:hint="default"/>
                            <w:sz w:val="18"/>
                            <w:szCs w:val="18"/>
                          </w:rPr>
                          <w:t>万元投入外，其余 </w:t>
                        </w:r>
                        <w:r>
                          <w:rPr>
                            <w:rFonts w:ascii="Times New Roman" w:hAnsi="Times New Roman" w:cs="Times New Roman" w:eastAsia="Times New Roman" w:hint="default"/>
                            <w:sz w:val="18"/>
                            <w:szCs w:val="18"/>
                          </w:rPr>
                          <w:t>151.59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万元由公司自有资金投入。 公司独立董事、监事会以及保荐机构长江证券承销保荐有限公司对上述事项发表了意 见。</w:t>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（三）信息披露情况</w:t>
                        </w:r>
                      </w:p>
                      <w:p>
                        <w:pPr>
                          <w:pStyle w:val="TableParagraph"/>
                          <w:spacing w:line="304" w:lineRule="auto" w:before="76"/>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日，公司于中国证监会指定信息披露网站巨潮资讯网上披露了《关 </w:t>
                        </w:r>
                        <w:r>
                          <w:rPr>
                            <w:rFonts w:ascii="宋体" w:hAnsi="宋体" w:cs="宋体" w:eastAsia="宋体" w:hint="default"/>
                            <w:spacing w:val="-6"/>
                            <w:sz w:val="18"/>
                            <w:szCs w:val="18"/>
                          </w:rPr>
                          <w:t>于变更部分募集资金用途之可行性研究报告》、《长江证券承销保荐有限公司关于厦门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红相电力设备股份有限公司终止</w:t>
                        </w:r>
                        <w:r>
                          <w:rPr>
                            <w:rFonts w:ascii="Times New Roman" w:hAnsi="Times New Roman" w:cs="Times New Roman" w:eastAsia="Times New Roman" w:hint="default"/>
                            <w:sz w:val="18"/>
                            <w:szCs w:val="18"/>
                          </w:rPr>
                          <w:t>“</w:t>
                        </w:r>
                        <w:r>
                          <w:rPr>
                            <w:rFonts w:ascii="宋体" w:hAnsi="宋体" w:cs="宋体" w:eastAsia="宋体" w:hint="default"/>
                            <w:sz w:val="18"/>
                            <w:szCs w:val="18"/>
                          </w:rPr>
                          <w:t>计量装置检测、监测设备生产改造项目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及变更募集 </w:t>
                        </w:r>
                        <w:r>
                          <w:rPr>
                            <w:rFonts w:ascii="宋体" w:hAnsi="宋体" w:cs="宋体" w:eastAsia="宋体" w:hint="default"/>
                            <w:spacing w:val="-9"/>
                            <w:sz w:val="18"/>
                            <w:szCs w:val="18"/>
                          </w:rPr>
                          <w:t>资金投资项目的核查意见》、《独立董事关于终止</w:t>
                        </w:r>
                        <w:r>
                          <w:rPr>
                            <w:rFonts w:ascii="宋体" w:hAnsi="宋体" w:cs="宋体" w:eastAsia="宋体" w:hint="default"/>
                            <w:spacing w:val="22"/>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计量装置检测、监测设备生产改造</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5"/>
                            <w:sz w:val="18"/>
                            <w:szCs w:val="18"/>
                          </w:rPr>
                          <w:t>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及变更募集资金投资项目的独立意见》、《第三届董事会第十四次会议决议公</w:t>
                        </w:r>
                      </w:p>
                      <w:p>
                        <w:pPr>
                          <w:pStyle w:val="TableParagraph"/>
                          <w:spacing w:line="300" w:lineRule="auto" w:before="9"/>
                          <w:ind w:left="23" w:right="32"/>
                          <w:jc w:val="both"/>
                          <w:rPr>
                            <w:rFonts w:ascii="宋体" w:hAnsi="宋体" w:cs="宋体" w:eastAsia="宋体" w:hint="default"/>
                            <w:sz w:val="18"/>
                            <w:szCs w:val="18"/>
                          </w:rPr>
                        </w:pPr>
                        <w:r>
                          <w:rPr>
                            <w:rFonts w:ascii="宋体" w:hAnsi="宋体" w:cs="宋体" w:eastAsia="宋体" w:hint="default"/>
                            <w:sz w:val="18"/>
                            <w:szCs w:val="18"/>
                          </w:rPr>
                          <w:t>告 </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2016-002</w:t>
                        </w:r>
                        <w:r>
                          <w:rPr>
                            <w:rFonts w:ascii="宋体" w:hAnsi="宋体" w:cs="宋体" w:eastAsia="宋体" w:hint="default"/>
                            <w:spacing w:val="-90"/>
                            <w:sz w:val="18"/>
                            <w:szCs w:val="18"/>
                          </w:rPr>
                          <w:t>）、</w:t>
                        </w:r>
                        <w:r>
                          <w:rPr>
                            <w:rFonts w:ascii="宋体" w:hAnsi="宋体" w:cs="宋体" w:eastAsia="宋体" w:hint="default"/>
                            <w:sz w:val="18"/>
                            <w:szCs w:val="18"/>
                          </w:rPr>
                          <w:t>《关于终止</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计量装置检测、监测设备生产改造项目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及 变更募集资金投资项目的公告 </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2016-005</w:t>
                        </w:r>
                        <w:r>
                          <w:rPr>
                            <w:rFonts w:ascii="宋体" w:hAnsi="宋体" w:cs="宋体" w:eastAsia="宋体" w:hint="default"/>
                            <w:spacing w:val="-90"/>
                            <w:sz w:val="18"/>
                            <w:szCs w:val="18"/>
                          </w:rPr>
                          <w:t>）、</w:t>
                        </w:r>
                        <w:r>
                          <w:rPr>
                            <w:rFonts w:ascii="宋体" w:hAnsi="宋体" w:cs="宋体" w:eastAsia="宋体" w:hint="default"/>
                            <w:sz w:val="18"/>
                            <w:szCs w:val="18"/>
                          </w:rPr>
                          <w:t>《第三届监事会第八次会议</w:t>
                        </w:r>
                        <w:r>
                          <w:rPr>
                            <w:rFonts w:ascii="宋体" w:hAnsi="宋体" w:cs="宋体" w:eastAsia="宋体" w:hint="default"/>
                            <w:sz w:val="18"/>
                            <w:szCs w:val="18"/>
                          </w:rPr>
                          <w:t> 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2016-003</w:t>
                        </w:r>
                        <w:r>
                          <w:rPr>
                            <w:rFonts w:ascii="宋体" w:hAnsi="宋体" w:cs="宋体" w:eastAsia="宋体" w:hint="default"/>
                            <w:sz w:val="18"/>
                            <w:szCs w:val="18"/>
                          </w:rPr>
                          <w:t>） ；</w:t>
                        </w:r>
                      </w:p>
                      <w:p>
                        <w:pPr>
                          <w:pStyle w:val="TableParagraph"/>
                          <w:spacing w:line="300" w:lineRule="auto" w:before="13"/>
                          <w:ind w:left="23" w:right="2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日，公司于中国证监会指定信息披露网站巨潮资讯网上披露了《募 集资金使用情况说明</w:t>
                        </w:r>
                        <w:r>
                          <w:rPr>
                            <w:rFonts w:ascii="宋体" w:hAnsi="宋体" w:cs="宋体" w:eastAsia="宋体" w:hint="default"/>
                            <w:spacing w:val="2"/>
                            <w:sz w:val="18"/>
                            <w:szCs w:val="18"/>
                          </w:rPr>
                          <w:t> </w:t>
                        </w:r>
                        <w:r>
                          <w:rPr>
                            <w:rFonts w:ascii="宋体" w:hAnsi="宋体" w:cs="宋体" w:eastAsia="宋体" w:hint="default"/>
                            <w:spacing w:val="-16"/>
                            <w:sz w:val="18"/>
                            <w:szCs w:val="18"/>
                          </w:rPr>
                          <w:t>》（公告编号：</w:t>
                        </w:r>
                        <w:r>
                          <w:rPr>
                            <w:rFonts w:ascii="Times New Roman" w:hAnsi="Times New Roman" w:cs="Times New Roman" w:eastAsia="Times New Roman" w:hint="default"/>
                            <w:spacing w:val="-16"/>
                            <w:sz w:val="18"/>
                            <w:szCs w:val="18"/>
                          </w:rPr>
                          <w:t>2016-006</w:t>
                        </w:r>
                        <w:r>
                          <w:rPr>
                            <w:rFonts w:ascii="宋体" w:hAnsi="宋体" w:cs="宋体" w:eastAsia="宋体" w:hint="default"/>
                            <w:spacing w:val="-16"/>
                            <w:sz w:val="18"/>
                            <w:szCs w:val="18"/>
                          </w:rPr>
                          <w:t>）；</w:t>
                        </w:r>
                        <w:r>
                          <w:rPr>
                            <w:rFonts w:ascii="宋体" w:hAnsi="宋体" w:cs="宋体" w:eastAsia="宋体" w:hint="default"/>
                            <w:sz w:val="18"/>
                            <w:szCs w:val="18"/>
                          </w:rPr>
                        </w:r>
                      </w:p>
                      <w:p>
                        <w:pPr>
                          <w:pStyle w:val="TableParagraph"/>
                          <w:spacing w:line="300" w:lineRule="auto" w:before="13"/>
                          <w:ind w:left="23"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公司于中国证监会指定信息披露网站巨潮资讯网上披露</w:t>
                        </w:r>
                        <w:r>
                          <w:rPr>
                            <w:rFonts w:ascii="宋体" w:hAnsi="宋体" w:cs="宋体" w:eastAsia="宋体" w:hint="default"/>
                            <w:spacing w:val="-81"/>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年第二次临时股东大会决议公告</w:t>
                        </w:r>
                        <w:r>
                          <w:rPr>
                            <w:rFonts w:ascii="宋体" w:hAnsi="宋体" w:cs="宋体" w:eastAsia="宋体" w:hint="default"/>
                            <w:spacing w:val="-110"/>
                            <w:sz w:val="18"/>
                            <w:szCs w:val="18"/>
                          </w:rPr>
                          <w:t>》</w:t>
                        </w:r>
                        <w:r>
                          <w:rPr>
                            <w:rFonts w:ascii="宋体" w:hAnsi="宋体" w:cs="宋体" w:eastAsia="宋体" w:hint="default"/>
                            <w:sz w:val="18"/>
                            <w:szCs w:val="18"/>
                          </w:rPr>
                          <w:t>（公告编号</w:t>
                        </w:r>
                        <w:r>
                          <w:rPr>
                            <w:rFonts w:ascii="宋体" w:hAnsi="宋体" w:cs="宋体" w:eastAsia="宋体" w:hint="default"/>
                            <w:spacing w:val="-19"/>
                            <w:sz w:val="18"/>
                            <w:szCs w:val="18"/>
                          </w:rPr>
                          <w:t>：</w:t>
                        </w:r>
                        <w:r>
                          <w:rPr>
                            <w:rFonts w:ascii="Times New Roman" w:hAnsi="Times New Roman" w:cs="Times New Roman" w:eastAsia="Times New Roman" w:hint="default"/>
                            <w:sz w:val="18"/>
                            <w:szCs w:val="18"/>
                          </w:rPr>
                          <w:t>2016-009</w:t>
                        </w:r>
                        <w:r>
                          <w:rPr>
                            <w:rFonts w:ascii="宋体" w:hAnsi="宋体" w:cs="宋体" w:eastAsia="宋体" w:hint="default"/>
                            <w:spacing w:val="-21"/>
                            <w:sz w:val="18"/>
                            <w:szCs w:val="18"/>
                          </w:rPr>
                          <w:t>）</w:t>
                        </w:r>
                        <w:r>
                          <w:rPr>
                            <w:rFonts w:ascii="宋体" w:hAnsi="宋体" w:cs="宋体" w:eastAsia="宋体" w:hint="default"/>
                            <w:sz w:val="18"/>
                            <w:szCs w:val="18"/>
                          </w:rPr>
                          <w:t>以</w:t>
                        </w:r>
                        <w:r>
                          <w:rPr>
                            <w:rFonts w:ascii="宋体" w:hAnsi="宋体" w:cs="宋体" w:eastAsia="宋体" w:hint="default"/>
                            <w:spacing w:val="-20"/>
                            <w:sz w:val="18"/>
                            <w:szCs w:val="18"/>
                          </w:rPr>
                          <w:t>及</w:t>
                        </w:r>
                        <w:r>
                          <w:rPr>
                            <w:rFonts w:ascii="宋体" w:hAnsi="宋体" w:cs="宋体" w:eastAsia="宋体" w:hint="default"/>
                            <w:sz w:val="18"/>
                            <w:szCs w:val="18"/>
                          </w:rPr>
                          <w:t>《北京市尚公律师事务</w:t>
                        </w:r>
                        <w:r>
                          <w:rPr>
                            <w:rFonts w:ascii="宋体" w:hAnsi="宋体" w:cs="宋体" w:eastAsia="宋体" w:hint="default"/>
                            <w:sz w:val="18"/>
                            <w:szCs w:val="18"/>
                          </w:rPr>
                          <w:t> 所关于厦门红相电力设备股份有限公司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年第二次临时股东大会的法律意见书</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before="26"/>
        <w:ind w:left="113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2"/>
        <w:spacing w:line="240" w:lineRule="auto"/>
        <w:ind w:left="1134"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spacing w:line="331" w:lineRule="auto" w:before="0"/>
        <w:ind w:left="1553" w:right="1137" w:firstLine="2"/>
        <w:jc w:val="left"/>
        <w:rPr>
          <w:rFonts w:ascii="宋体" w:hAnsi="宋体" w:cs="宋体" w:eastAsia="宋体" w:hint="default"/>
          <w:sz w:val="24"/>
          <w:szCs w:val="24"/>
        </w:rPr>
      </w:pPr>
      <w:r>
        <w:rPr>
          <w:rFonts w:ascii="宋体" w:hAnsi="宋体" w:cs="宋体" w:eastAsia="宋体" w:hint="default"/>
          <w:b/>
          <w:bCs/>
          <w:sz w:val="24"/>
          <w:szCs w:val="24"/>
        </w:rPr>
        <w:t>（一）公司发展规划</w:t>
      </w:r>
      <w:r>
        <w:rPr>
          <w:rFonts w:ascii="宋体" w:hAnsi="宋体" w:cs="宋体" w:eastAsia="宋体" w:hint="default"/>
          <w:b/>
          <w:bCs/>
          <w:w w:val="99"/>
          <w:sz w:val="24"/>
          <w:szCs w:val="24"/>
        </w:rPr>
        <w:t> </w:t>
      </w:r>
      <w:r>
        <w:rPr>
          <w:rFonts w:ascii="宋体" w:hAnsi="宋体" w:cs="宋体" w:eastAsia="宋体" w:hint="default"/>
          <w:spacing w:val="2"/>
          <w:sz w:val="24"/>
          <w:szCs w:val="24"/>
        </w:rPr>
        <w:t>未来，公司将沿着纵向和横向两个方向不断进行深化：一方面，通过持续加大的研发投</w:t>
      </w:r>
    </w:p>
    <w:p>
      <w:pPr>
        <w:pStyle w:val="BodyText"/>
        <w:spacing w:line="220" w:lineRule="exact"/>
        <w:ind w:right="0"/>
        <w:jc w:val="both"/>
      </w:pPr>
      <w:r>
        <w:rPr/>
        <w:t>入，深化对现有产品的技术创新和工艺改进，不断提升产品的科技含量和技术壁垒，增强产</w:t>
      </w:r>
    </w:p>
    <w:p>
      <w:pPr>
        <w:pStyle w:val="BodyText"/>
        <w:spacing w:line="312" w:lineRule="exact" w:before="29"/>
        <w:ind w:right="1139"/>
        <w:jc w:val="both"/>
      </w:pPr>
      <w:r>
        <w:rPr/>
        <w:t>品的市场竞争力和盈利能力。另一方面，充分利用现有电力、军工、铁路与轨道交通板块的 技术和渠道资源，不断丰富现有产业格局下的业务种类，同时挖掘、整合各板块及企业间的 协同效应，充分发挥产业集群优势，提升公司整体盈利能力和抗风险能力。</w:t>
      </w:r>
    </w:p>
    <w:p>
      <w:pPr>
        <w:pStyle w:val="Heading2"/>
        <w:spacing w:line="240" w:lineRule="auto" w:before="89"/>
        <w:ind w:left="1556" w:right="0"/>
        <w:jc w:val="left"/>
        <w:rPr>
          <w:b w:val="0"/>
          <w:bCs w:val="0"/>
        </w:rPr>
      </w:pPr>
      <w:r>
        <w:rPr/>
        <w:t>（二）</w:t>
      </w:r>
      <w:r>
        <w:rPr>
          <w:rFonts w:ascii="Times New Roman" w:hAnsi="Times New Roman" w:cs="Times New Roman" w:eastAsia="Times New Roman" w:hint="default"/>
        </w:rPr>
        <w:t>2018</w:t>
      </w:r>
      <w:r>
        <w:rPr/>
        <w:t>年经营计划</w:t>
      </w:r>
      <w:r>
        <w:rPr>
          <w:b w:val="0"/>
          <w:bCs w:val="0"/>
        </w:rPr>
      </w:r>
    </w:p>
    <w:p>
      <w:pPr>
        <w:pStyle w:val="BodyText"/>
        <w:spacing w:line="240" w:lineRule="auto" w:before="99"/>
        <w:ind w:left="1554" w:right="0"/>
        <w:jc w:val="left"/>
      </w:pPr>
      <w:r>
        <w:rPr>
          <w:rFonts w:ascii="Times New Roman" w:hAnsi="Times New Roman" w:cs="Times New Roman" w:eastAsia="Times New Roman" w:hint="default"/>
        </w:rPr>
        <w:t>1</w:t>
      </w:r>
      <w:r>
        <w:rPr/>
        <w:t>、自主创新能力建设计划</w:t>
      </w:r>
    </w:p>
    <w:p>
      <w:pPr>
        <w:pStyle w:val="BodyText"/>
        <w:spacing w:line="235" w:lineRule="auto" w:before="105"/>
        <w:ind w:right="1133" w:firstLine="420"/>
        <w:jc w:val="both"/>
      </w:pPr>
      <w:r>
        <w:rPr>
          <w:rFonts w:ascii="Times New Roman" w:hAnsi="Times New Roman" w:cs="Times New Roman" w:eastAsia="Times New Roman" w:hint="default"/>
          <w:spacing w:val="2"/>
        </w:rPr>
        <w:t>2018</w:t>
      </w:r>
      <w:r>
        <w:rPr>
          <w:spacing w:val="2"/>
        </w:rPr>
        <w:t>年，公司将进一步理顺公司研发机制，增强研发与销售部门的互动，落实以市场需</w:t>
      </w:r>
      <w:r>
        <w:rPr/>
        <w:t> 求导向的研发战略，优化技术开发和产品开发两级开发体系。完善公司研发基础平台，为公 司的研发项目提供实验和测试支持，加快新技术的实际应用和产业化速度，提高企业的基础 检测水平，进一步提高研发效率和质量；在营销体系中培养和增加一定的技术研发力量，及 时响应客户个性化需求。</w:t>
      </w:r>
    </w:p>
    <w:p>
      <w:pPr>
        <w:pStyle w:val="BodyText"/>
        <w:spacing w:line="312" w:lineRule="exact" w:before="149"/>
        <w:ind w:left="1134" w:right="1139" w:firstLine="420"/>
        <w:jc w:val="both"/>
      </w:pPr>
      <w:r>
        <w:rPr>
          <w:spacing w:val="2"/>
        </w:rPr>
        <w:t>同时，公司坚持以加强内部人才培养与建立广泛技术合作联盟相结合的技术开发资源平</w:t>
      </w:r>
      <w:r>
        <w:rPr/>
        <w:t> 台，建立灵活、高效、规范的技术开发项目运作流程，加强项目目标、计划和过程管理，确 保项目完成率和交付率质量。</w:t>
      </w:r>
    </w:p>
    <w:p>
      <w:pPr>
        <w:pStyle w:val="BodyText"/>
        <w:spacing w:line="240" w:lineRule="auto" w:before="89"/>
        <w:ind w:left="1554" w:right="0"/>
        <w:jc w:val="left"/>
      </w:pPr>
      <w:r>
        <w:rPr>
          <w:rFonts w:ascii="Times New Roman" w:hAnsi="Times New Roman" w:cs="Times New Roman" w:eastAsia="Times New Roman" w:hint="default"/>
        </w:rPr>
        <w:t>2</w:t>
      </w:r>
      <w:r>
        <w:rPr/>
        <w:t>、营销与市场开拓计划</w:t>
      </w:r>
    </w:p>
    <w:p>
      <w:pPr>
        <w:pStyle w:val="BodyText"/>
        <w:spacing w:line="312" w:lineRule="auto" w:before="99"/>
        <w:ind w:left="1554" w:right="1136"/>
        <w:jc w:val="left"/>
      </w:pPr>
      <w:r>
        <w:rPr/>
        <w:t>（</w:t>
      </w:r>
      <w:r>
        <w:rPr>
          <w:rFonts w:ascii="Times New Roman" w:hAnsi="Times New Roman" w:cs="Times New Roman" w:eastAsia="Times New Roman" w:hint="default"/>
        </w:rPr>
        <w:t>1</w:t>
      </w:r>
      <w:r>
        <w:rPr/>
        <w:t>）</w:t>
      </w:r>
      <w:r>
        <w:rPr>
          <w:spacing w:val="-24"/>
        </w:rPr>
        <w:t> </w:t>
      </w:r>
      <w:r>
        <w:rPr/>
        <w:t>及时把握行业政策动向，积极实施市场开拓</w:t>
      </w:r>
      <w:r>
        <w:rPr/>
        <w:t> </w:t>
      </w:r>
      <w:r>
        <w:rPr>
          <w:spacing w:val="2"/>
        </w:rPr>
        <w:t>根据国家电力十三五规划、军民融合发展战略、铁路十三五规划等既有规划路线，积极</w:t>
      </w:r>
    </w:p>
    <w:p>
      <w:pPr>
        <w:pStyle w:val="BodyText"/>
        <w:spacing w:line="239" w:lineRule="exact"/>
        <w:ind w:left="1134" w:right="0"/>
        <w:jc w:val="both"/>
      </w:pPr>
      <w:r>
        <w:rPr/>
        <w:t>做好电力、军工、铁路与轨道交通三大板块契合未来重点投资方向的技术开发和业务布局，</w:t>
      </w:r>
    </w:p>
    <w:p>
      <w:pPr>
        <w:pStyle w:val="BodyText"/>
        <w:spacing w:line="313" w:lineRule="exact"/>
        <w:ind w:left="1134" w:right="0"/>
        <w:jc w:val="both"/>
      </w:pPr>
      <w:r>
        <w:rPr/>
        <w:t>及时把握市场机遇。</w:t>
      </w:r>
    </w:p>
    <w:p>
      <w:pPr>
        <w:pStyle w:val="BodyText"/>
        <w:spacing w:line="312" w:lineRule="auto" w:before="118"/>
        <w:ind w:left="1553" w:right="1012"/>
        <w:jc w:val="left"/>
      </w:pPr>
      <w:r>
        <w:rPr/>
        <w:t>（</w:t>
      </w:r>
      <w:r>
        <w:rPr>
          <w:rFonts w:ascii="Times New Roman" w:hAnsi="Times New Roman" w:cs="Times New Roman" w:eastAsia="Times New Roman" w:hint="default"/>
        </w:rPr>
        <w:t>2</w:t>
      </w:r>
      <w:r>
        <w:rPr/>
        <w:t>）优化激励和考核机制，提高营销团队市场开拓积极性 </w:t>
      </w:r>
      <w:r>
        <w:rPr>
          <w:spacing w:val="-1"/>
        </w:rPr>
        <w:t>公司将营销目标任务层层分解，落实到人，实行定期与临时重大事项考核相结合的方式。</w:t>
      </w:r>
    </w:p>
    <w:p>
      <w:pPr>
        <w:pStyle w:val="BodyText"/>
        <w:spacing w:line="239" w:lineRule="exact"/>
        <w:ind w:right="0"/>
        <w:jc w:val="both"/>
      </w:pPr>
      <w:r>
        <w:rPr/>
        <w:t>结合销售目标的完成、应收账款回收、客户满意度的提升及新项目的开拓等情况进行全员考</w:t>
      </w:r>
    </w:p>
    <w:p>
      <w:pPr>
        <w:pStyle w:val="BodyText"/>
        <w:spacing w:line="240" w:lineRule="auto"/>
        <w:ind w:right="0"/>
        <w:jc w:val="left"/>
      </w:pPr>
      <w:r>
        <w:rPr/>
        <w:t>核和激励，严格执行优胜劣汰机制。利用良好的激励机制充分激发营销团队的工作热情，提 升营销水平，为市场扩展工作的稳步持续发展奠定基础。</w:t>
      </w:r>
    </w:p>
    <w:p>
      <w:pPr>
        <w:pStyle w:val="BodyText"/>
        <w:spacing w:line="312" w:lineRule="auto" w:before="118"/>
        <w:ind w:left="1554" w:right="1136"/>
        <w:jc w:val="left"/>
      </w:pPr>
      <w:r>
        <w:rPr>
          <w:rFonts w:ascii="Times New Roman" w:hAnsi="Times New Roman" w:cs="Times New Roman" w:eastAsia="Times New Roman" w:hint="default"/>
        </w:rPr>
        <w:t>3</w:t>
      </w:r>
      <w:r>
        <w:rPr/>
        <w:t>、人力资源开发及组织结构优化计划 </w:t>
      </w:r>
      <w:r>
        <w:rPr>
          <w:spacing w:val="2"/>
        </w:rPr>
        <w:t>随着公司外延式并购等资本运作，公司规模不断扩大，公司将不断加大人力资源开发和</w:t>
      </w:r>
    </w:p>
    <w:p>
      <w:pPr>
        <w:pStyle w:val="BodyText"/>
        <w:spacing w:line="240" w:lineRule="exact"/>
        <w:ind w:left="1134" w:right="0"/>
        <w:jc w:val="both"/>
      </w:pPr>
      <w:r>
        <w:rPr/>
        <w:t>管理力度，进一步加强管理团队建设，增强公司人才优势及管理优势。</w:t>
      </w:r>
    </w:p>
    <w:p>
      <w:pPr>
        <w:spacing w:after="0" w:line="240"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auto" w:before="26"/>
        <w:ind w:left="1554" w:right="1136"/>
        <w:jc w:val="left"/>
      </w:pPr>
      <w:r>
        <w:rPr/>
        <w:t>（</w:t>
      </w:r>
      <w:r>
        <w:rPr>
          <w:rFonts w:ascii="Times New Roman" w:hAnsi="Times New Roman" w:cs="Times New Roman" w:eastAsia="Times New Roman" w:hint="default"/>
        </w:rPr>
        <w:t>1</w:t>
      </w:r>
      <w:r>
        <w:rPr/>
        <w:t>）深化调整组织结构 </w:t>
      </w:r>
      <w:r>
        <w:rPr>
          <w:spacing w:val="2"/>
        </w:rPr>
        <w:t>进一步完善公司法人治理结构，完善公司经理层工作制度，建立科学有效的公司决策机</w:t>
      </w:r>
    </w:p>
    <w:p>
      <w:pPr>
        <w:pStyle w:val="BodyText"/>
        <w:spacing w:line="239" w:lineRule="exact"/>
        <w:ind w:left="1134" w:right="0"/>
        <w:jc w:val="both"/>
      </w:pPr>
      <w:r>
        <w:rPr/>
        <w:t>制、市场快速反应机制和风险防范机制。加速信息化系统建设，在公司及其子公司范围内深</w:t>
      </w:r>
    </w:p>
    <w:p>
      <w:pPr>
        <w:pStyle w:val="BodyText"/>
        <w:spacing w:line="240" w:lineRule="auto"/>
        <w:ind w:left="1134" w:right="1139"/>
        <w:jc w:val="both"/>
      </w:pPr>
      <w:r>
        <w:rPr/>
        <w:t>化工作流程改革，保证资源的合理利用和信息的有效及时传递，提升整体效率，实现企业信 息化管理，使公司组织运作更高效、灵活。</w:t>
      </w:r>
    </w:p>
    <w:p>
      <w:pPr>
        <w:pStyle w:val="BodyText"/>
        <w:spacing w:line="312" w:lineRule="auto" w:before="118"/>
        <w:ind w:left="1553" w:right="1137"/>
        <w:jc w:val="left"/>
      </w:pPr>
      <w:r>
        <w:rPr/>
        <w:t>（</w:t>
      </w:r>
      <w:r>
        <w:rPr>
          <w:rFonts w:ascii="Times New Roman" w:hAnsi="Times New Roman" w:cs="Times New Roman" w:eastAsia="Times New Roman" w:hint="default"/>
        </w:rPr>
        <w:t>2</w:t>
      </w:r>
      <w:r>
        <w:rPr/>
        <w:t>）引进和培养人才相结合，注重人才结构优化 </w:t>
      </w:r>
      <w:r>
        <w:rPr>
          <w:spacing w:val="2"/>
        </w:rPr>
        <w:t>为满足公司规模扩张、市场开拓等因素产生的高级人才需求，公司进一步加强管理团队</w:t>
      </w:r>
    </w:p>
    <w:p>
      <w:pPr>
        <w:pStyle w:val="BodyText"/>
        <w:spacing w:line="239" w:lineRule="exact"/>
        <w:ind w:right="0"/>
        <w:jc w:val="both"/>
      </w:pPr>
      <w:r>
        <w:rPr/>
        <w:t>建设，通过内部培养与外部引进两种方式建立业务队伍，一方面积极引进高素质的技术开发</w:t>
      </w:r>
    </w:p>
    <w:p>
      <w:pPr>
        <w:pStyle w:val="BodyText"/>
        <w:spacing w:line="312" w:lineRule="exact" w:before="29"/>
        <w:ind w:right="1139"/>
        <w:jc w:val="both"/>
      </w:pPr>
      <w:r>
        <w:rPr/>
        <w:t>人才，另一方面公司内部积极培养、选拔、引进营销人才、管理人才。在人才结构方面，注 重协调研发、营销、服务、技术、生产、管理等方面的人员比例，注意不同年龄结构配比， 科学、合理配置和优化人才结构。</w:t>
      </w:r>
    </w:p>
    <w:p>
      <w:pPr>
        <w:pStyle w:val="BodyText"/>
        <w:spacing w:line="312" w:lineRule="auto" w:before="89"/>
        <w:ind w:left="1554" w:right="1011"/>
        <w:jc w:val="left"/>
      </w:pPr>
      <w:r>
        <w:rPr/>
        <w:t>（</w:t>
      </w:r>
      <w:r>
        <w:rPr>
          <w:rFonts w:ascii="Times New Roman" w:hAnsi="Times New Roman" w:cs="Times New Roman" w:eastAsia="Times New Roman" w:hint="default"/>
        </w:rPr>
        <w:t>3</w:t>
      </w:r>
      <w:r>
        <w:rPr/>
        <w:t>）完善岗位责任制和绩效评价体系 </w:t>
      </w:r>
      <w:r>
        <w:rPr>
          <w:spacing w:val="-1"/>
        </w:rPr>
        <w:t>建立有序的岗位竞争、激励、淘汰机制，增加岗位流通性，充分发挥员工的主观能动性，</w:t>
      </w:r>
    </w:p>
    <w:p>
      <w:pPr>
        <w:pStyle w:val="BodyText"/>
        <w:spacing w:line="240" w:lineRule="exact"/>
        <w:ind w:left="1554" w:right="0" w:hanging="420"/>
        <w:jc w:val="left"/>
      </w:pPr>
      <w:r>
        <w:rPr/>
        <w:t>为员工提供职业发展的广阔空间与平台。</w:t>
      </w:r>
    </w:p>
    <w:p>
      <w:pPr>
        <w:pStyle w:val="BodyText"/>
        <w:spacing w:line="312" w:lineRule="auto" w:before="118"/>
        <w:ind w:left="1554" w:right="1011"/>
        <w:jc w:val="left"/>
      </w:pPr>
      <w:r>
        <w:rPr>
          <w:rFonts w:ascii="Times New Roman" w:hAnsi="Times New Roman" w:cs="Times New Roman" w:eastAsia="Times New Roman" w:hint="default"/>
        </w:rPr>
        <w:t>4</w:t>
      </w:r>
      <w:r>
        <w:rPr/>
        <w:t>、稳步实施公司外延式并购战略 </w:t>
      </w:r>
      <w:r>
        <w:rPr>
          <w:spacing w:val="-1"/>
        </w:rPr>
        <w:t>为加快自身发展，公司在坚持自主研发和生产的基础上，积极把握适当的外部并购机会。</w:t>
      </w:r>
    </w:p>
    <w:p>
      <w:pPr>
        <w:pStyle w:val="BodyText"/>
        <w:spacing w:line="239" w:lineRule="exact"/>
        <w:ind w:left="1134" w:right="0"/>
        <w:jc w:val="both"/>
      </w:pPr>
      <w:r>
        <w:rPr/>
        <w:t>公司积极寻求在技术上、成本上以及客户资源等方面能为公司提供协同价值的企业。公司通</w:t>
      </w:r>
    </w:p>
    <w:p>
      <w:pPr>
        <w:pStyle w:val="BodyText"/>
        <w:spacing w:line="313" w:lineRule="exact"/>
        <w:ind w:left="1134" w:right="0"/>
        <w:jc w:val="both"/>
      </w:pPr>
      <w:r>
        <w:rPr/>
        <w:t>过自主发展和外部并购相结合的战略，不断扩大自身产品体系，为客户提供更加全面的服务。</w:t>
      </w:r>
    </w:p>
    <w:p>
      <w:pPr>
        <w:pStyle w:val="BodyText"/>
        <w:spacing w:line="321" w:lineRule="auto" w:before="118"/>
        <w:ind w:left="1554" w:right="1136" w:firstLine="2"/>
        <w:jc w:val="left"/>
      </w:pPr>
      <w:r>
        <w:rPr>
          <w:rFonts w:ascii="宋体" w:hAnsi="宋体" w:cs="宋体" w:eastAsia="宋体" w:hint="default"/>
          <w:b/>
          <w:bCs/>
        </w:rPr>
        <w:t>（三）可能面对的风险</w:t>
      </w:r>
      <w:r>
        <w:rPr>
          <w:rFonts w:ascii="宋体" w:hAnsi="宋体" w:cs="宋体" w:eastAsia="宋体" w:hint="default"/>
          <w:b/>
          <w:bCs/>
          <w:w w:val="99"/>
        </w:rPr>
        <w:t> </w:t>
      </w:r>
      <w:r>
        <w:rPr>
          <w:rFonts w:ascii="Times New Roman" w:hAnsi="Times New Roman" w:cs="Times New Roman" w:eastAsia="Times New Roman" w:hint="default"/>
        </w:rPr>
        <w:t>1</w:t>
      </w:r>
      <w:r>
        <w:rPr/>
        <w:t>、未来电力、军工、铁路与轨道交通产业投资可能存在低于预期的风险 </w:t>
      </w:r>
      <w:r>
        <w:rPr>
          <w:spacing w:val="2"/>
        </w:rPr>
        <w:t>公司主要业务一定程度上依赖于国家对电力、军工、铁路与轨道交通的投资建设力度，</w:t>
      </w:r>
    </w:p>
    <w:p>
      <w:pPr>
        <w:pStyle w:val="BodyText"/>
        <w:spacing w:line="229" w:lineRule="exact"/>
        <w:ind w:left="1134" w:right="0"/>
        <w:jc w:val="both"/>
      </w:pPr>
      <w:r>
        <w:rPr/>
        <w:t>如果以上产业受宏观环境、国家产业政策等因素的不利变化，国家投资低于预期，均会对公</w:t>
      </w:r>
    </w:p>
    <w:p>
      <w:pPr>
        <w:pStyle w:val="BodyText"/>
        <w:spacing w:line="313" w:lineRule="exact"/>
        <w:ind w:left="1134" w:right="0"/>
        <w:jc w:val="both"/>
      </w:pPr>
      <w:r>
        <w:rPr/>
        <w:t>司产生不利的影响。</w:t>
      </w:r>
    </w:p>
    <w:p>
      <w:pPr>
        <w:pStyle w:val="BodyText"/>
        <w:spacing w:line="312" w:lineRule="auto" w:before="118"/>
        <w:ind w:left="1553" w:right="1120"/>
        <w:jc w:val="left"/>
      </w:pPr>
      <w:r>
        <w:rPr>
          <w:rFonts w:ascii="Times New Roman" w:hAnsi="Times New Roman" w:cs="Times New Roman" w:eastAsia="Times New Roman" w:hint="default"/>
        </w:rPr>
        <w:t>2</w:t>
      </w:r>
      <w:r>
        <w:rPr/>
        <w:t>、备货生产增加导致期末库存无法及时结转销售收入的风险 </w:t>
      </w:r>
      <w:r>
        <w:rPr>
          <w:spacing w:val="-3"/>
        </w:rPr>
        <w:t>公司主要通过招投标方式取得销售合同，并主要采取</w:t>
      </w:r>
      <w:r>
        <w:rPr>
          <w:rFonts w:ascii="Times New Roman" w:hAnsi="Times New Roman" w:cs="Times New Roman" w:eastAsia="Times New Roman" w:hint="default"/>
          <w:spacing w:val="-3"/>
        </w:rPr>
        <w:t>“</w:t>
      </w:r>
      <w:r>
        <w:rPr>
          <w:spacing w:val="-3"/>
        </w:rPr>
        <w:t>以销定产</w:t>
      </w:r>
      <w:r>
        <w:rPr>
          <w:rFonts w:ascii="Times New Roman" w:hAnsi="Times New Roman" w:cs="Times New Roman" w:eastAsia="Times New Roman" w:hint="default"/>
          <w:spacing w:val="-3"/>
        </w:rPr>
        <w:t>”</w:t>
      </w:r>
      <w:r>
        <w:rPr>
          <w:spacing w:val="-3"/>
        </w:rPr>
        <w:t>的模式组织生产。但随着</w:t>
      </w:r>
    </w:p>
    <w:p>
      <w:pPr>
        <w:pStyle w:val="BodyText"/>
        <w:spacing w:line="213" w:lineRule="exact"/>
        <w:ind w:right="0"/>
        <w:jc w:val="both"/>
      </w:pPr>
      <w:r>
        <w:rPr/>
        <w:t>市场需求的增加，公司为确保如期交货，根据市场潜在需求以及预期中标成功率情况，提前</w:t>
      </w:r>
    </w:p>
    <w:p>
      <w:pPr>
        <w:pStyle w:val="BodyText"/>
        <w:spacing w:line="312" w:lineRule="exact" w:before="29"/>
        <w:ind w:right="1139"/>
        <w:jc w:val="both"/>
      </w:pPr>
      <w:r>
        <w:rPr/>
        <w:t>安排销售把握较大产品的生产。公司库存商品与发出商品期末余额的高低主要取决于生产交 货、客户验收确认速度的快慢以及预先备货生产项目的增减变动。公司报告期期末存货的总 体金额不大，但随着备货生产的增加，公司存在因客户项目取消、变更以及未能成功中标等 情况而无法及时结转销售收入的风险。</w:t>
      </w:r>
    </w:p>
    <w:p>
      <w:pPr>
        <w:pStyle w:val="BodyText"/>
        <w:spacing w:line="312" w:lineRule="auto" w:before="89"/>
        <w:ind w:left="1554" w:right="1136"/>
        <w:jc w:val="left"/>
      </w:pPr>
      <w:r>
        <w:rPr>
          <w:rFonts w:ascii="Times New Roman" w:hAnsi="Times New Roman" w:cs="Times New Roman" w:eastAsia="Times New Roman" w:hint="default"/>
        </w:rPr>
        <w:t>3</w:t>
      </w:r>
      <w:r>
        <w:rPr/>
        <w:t>、应收账款无法及时收回的风险 </w:t>
      </w:r>
      <w:r>
        <w:rPr>
          <w:spacing w:val="2"/>
        </w:rPr>
        <w:t>公司主要客户来自电力、军工、铁路等国有大型企业和部分海外客户，受到其结算惯例</w:t>
      </w:r>
    </w:p>
    <w:p>
      <w:pPr>
        <w:pStyle w:val="BodyText"/>
        <w:spacing w:line="239" w:lineRule="exact"/>
        <w:ind w:left="1134" w:right="0"/>
        <w:jc w:val="both"/>
      </w:pPr>
      <w:r>
        <w:rPr/>
        <w:t>的影响，公司应收账款收款周期相对较长，导致期末应收账款相对较高。随着公司经营规模</w:t>
      </w:r>
    </w:p>
    <w:p>
      <w:pPr>
        <w:pStyle w:val="BodyText"/>
        <w:spacing w:line="312" w:lineRule="exact" w:before="29"/>
        <w:ind w:left="1134" w:right="1139"/>
        <w:jc w:val="both"/>
      </w:pPr>
      <w:r>
        <w:rPr/>
        <w:t>的不断扩大，应收账款的规模可能会持续增长，如果国内外经济环境、客户信用状况等发生 变化，公司存在应收账款不能够及时回收，从而影响公司资金流动性和利用效率的风险。</w:t>
      </w:r>
    </w:p>
    <w:p>
      <w:pPr>
        <w:pStyle w:val="BodyText"/>
        <w:spacing w:line="312" w:lineRule="auto" w:before="89"/>
        <w:ind w:left="1553" w:right="1137"/>
        <w:jc w:val="left"/>
      </w:pPr>
      <w:r>
        <w:rPr>
          <w:rFonts w:ascii="Times New Roman" w:hAnsi="Times New Roman" w:cs="Times New Roman" w:eastAsia="Times New Roman" w:hint="default"/>
        </w:rPr>
        <w:t>4</w:t>
      </w:r>
      <w:r>
        <w:rPr/>
        <w:t>、技术跟不上行业发展的风险 </w:t>
      </w:r>
      <w:r>
        <w:rPr>
          <w:spacing w:val="2"/>
        </w:rPr>
        <w:t>公司在电力、军工、铁路与轨道交通三大板块的主营业务均属于技术密集型产品，不仅</w:t>
      </w:r>
    </w:p>
    <w:p>
      <w:pPr>
        <w:pStyle w:val="BodyText"/>
        <w:spacing w:line="240" w:lineRule="exact"/>
        <w:ind w:right="0"/>
        <w:jc w:val="both"/>
      </w:pPr>
      <w:r>
        <w:rPr/>
        <w:t>涉及电力电子技术、信号处理技术、通信技术、控制技术、计算机技术等前沿学科，自身存</w:t>
      </w:r>
    </w:p>
    <w:p>
      <w:pPr>
        <w:spacing w:after="0" w:line="240"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37" w:lineRule="auto" w:before="28"/>
        <w:ind w:right="1139"/>
        <w:jc w:val="both"/>
      </w:pPr>
      <w:r>
        <w:rPr/>
        <w:t>在多学科交叉、融合的技术特征，而且所面向的客户对象均属于对科学技术发展动向有迫切 跟踪、追赶、超越需求的重大行业，产品的自我技术更迭周期较短。如果公司未来在研发的 基础平台、研发的人员数量、研发人员的知识结构更新无法跟上上述相关领域技术发展的趋 势或者公司研发项目储备、研发投入不足，则可能导致公司的技术研发能力无法跟上整个行 业发展步伐，从而给公司的可持续发展带来不利影响。</w:t>
      </w:r>
    </w:p>
    <w:p>
      <w:pPr>
        <w:pStyle w:val="BodyText"/>
        <w:spacing w:line="312" w:lineRule="auto" w:before="118"/>
        <w:ind w:left="1553" w:right="0"/>
        <w:jc w:val="left"/>
      </w:pPr>
      <w:r>
        <w:rPr>
          <w:rFonts w:ascii="Times New Roman" w:hAnsi="Times New Roman" w:cs="Times New Roman" w:eastAsia="Times New Roman" w:hint="default"/>
        </w:rPr>
        <w:t>5</w:t>
      </w:r>
      <w:r>
        <w:rPr/>
        <w:t>、规模快速扩张引致的风险 </w:t>
      </w:r>
      <w:r>
        <w:rPr>
          <w:spacing w:val="2"/>
        </w:rPr>
        <w:t>随着公司战略发展规划的实施，公司的组织架构、业务种类、资产规模和人员数量等都</w:t>
      </w:r>
      <w:r>
        <w:rPr/>
      </w:r>
    </w:p>
    <w:p>
      <w:pPr>
        <w:pStyle w:val="BodyText"/>
        <w:spacing w:line="239" w:lineRule="exact"/>
        <w:ind w:right="0"/>
        <w:jc w:val="both"/>
      </w:pPr>
      <w:r>
        <w:rPr/>
        <w:t>快速扩张，这将对公司现有的战略规划、制度建设、组织设置、营运管理、财务管理、内部</w:t>
      </w:r>
    </w:p>
    <w:p>
      <w:pPr>
        <w:pStyle w:val="BodyText"/>
        <w:spacing w:line="312" w:lineRule="exact" w:before="29"/>
        <w:ind w:right="1139"/>
        <w:jc w:val="both"/>
      </w:pPr>
      <w:r>
        <w:rPr/>
        <w:t>控制等方面带来较大挑战。如果公司管理层不能及时调整公司管理体制，未能良好把握调整 时机或者选任相关职位的管理人员决策不当，都可能阻碍公司业务的正常开展或者错失发展 良机。</w:t>
      </w:r>
    </w:p>
    <w:p>
      <w:pPr>
        <w:pStyle w:val="BodyText"/>
        <w:spacing w:line="312" w:lineRule="auto" w:before="89"/>
        <w:ind w:left="1554" w:right="1136"/>
        <w:jc w:val="left"/>
      </w:pPr>
      <w:r>
        <w:rPr>
          <w:rFonts w:ascii="Times New Roman" w:hAnsi="Times New Roman" w:cs="Times New Roman" w:eastAsia="Times New Roman" w:hint="default"/>
        </w:rPr>
        <w:t>6</w:t>
      </w:r>
      <w:r>
        <w:rPr/>
        <w:t>、人才流失的风险 </w:t>
      </w:r>
      <w:r>
        <w:rPr>
          <w:spacing w:val="2"/>
        </w:rPr>
        <w:t>人才是企业发展的基石。公司之前的发展与公司建立起的高管团队、营销团队及研发团</w:t>
      </w:r>
    </w:p>
    <w:p>
      <w:pPr>
        <w:pStyle w:val="BodyText"/>
        <w:spacing w:line="239" w:lineRule="exact"/>
        <w:ind w:left="1134" w:right="0"/>
        <w:jc w:val="both"/>
      </w:pPr>
      <w:r>
        <w:rPr/>
        <w:t>队有着密切的关系。随着公司发展战略的逐步实施，公司对生产、管理、技术、研发、销售</w:t>
      </w:r>
    </w:p>
    <w:p>
      <w:pPr>
        <w:pStyle w:val="BodyText"/>
        <w:spacing w:line="312" w:lineRule="exact" w:before="29"/>
        <w:ind w:left="1134" w:right="1139"/>
        <w:jc w:val="both"/>
      </w:pPr>
      <w:r>
        <w:rPr/>
        <w:t>等方面的人才的需求将会逐步增加。如果公司无法制定行之有效的人力资源管理制度来留住 人才、吸引人才，那么，公司将会面临人才流失的风险和无法引进优秀人才的风险，从而影 响公司的长远发展。</w:t>
      </w:r>
    </w:p>
    <w:p>
      <w:pPr>
        <w:pStyle w:val="BodyText"/>
        <w:spacing w:line="312" w:lineRule="exact" w:before="120"/>
        <w:ind w:right="1139" w:firstLine="420"/>
        <w:jc w:val="both"/>
      </w:pPr>
      <w:r>
        <w:rPr>
          <w:spacing w:val="2"/>
        </w:rPr>
        <w:t>应对措施：公司将密切关注可能出现的风险因素的动态变化，关注本行业、相关领域及</w:t>
      </w:r>
      <w:r>
        <w:rPr/>
        <w:t> 上、下游行业的变化趋势。若风险因素已经较明显显现，公司将采取调整规划、调整规划实 施方案等措施，并采用多渠道、多种灵活方式实现公司战略目标。</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156"/>
        <w:ind w:left="1133" w:right="1132" w:firstLine="420"/>
        <w:jc w:val="both"/>
        <w:rPr>
          <w:rFonts w:ascii="宋体" w:hAnsi="宋体" w:cs="宋体" w:eastAsia="宋体" w:hint="default"/>
          <w:sz w:val="21"/>
          <w:szCs w:val="21"/>
        </w:rPr>
      </w:pPr>
      <w:r>
        <w:rPr>
          <w:rFonts w:ascii="宋体" w:hAnsi="宋体" w:cs="宋体" w:eastAsia="宋体" w:hint="default"/>
          <w:sz w:val="21"/>
          <w:szCs w:val="21"/>
        </w:rPr>
        <w:t>报告期内，公司严格按照《公司章程》、股利分配政策及</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年年度股东大会 </w:t>
      </w:r>
      <w:r>
        <w:rPr>
          <w:rFonts w:ascii="宋体" w:hAnsi="宋体" w:cs="宋体" w:eastAsia="宋体" w:hint="default"/>
          <w:spacing w:val="-2"/>
          <w:sz w:val="21"/>
          <w:szCs w:val="21"/>
        </w:rPr>
        <w:t>审议通过的《关于公司未来三年（</w:t>
      </w:r>
      <w:r>
        <w:rPr>
          <w:rFonts w:ascii="Times New Roman" w:hAnsi="Times New Roman" w:cs="Times New Roman" w:eastAsia="Times New Roman" w:hint="default"/>
          <w:spacing w:val="-2"/>
          <w:sz w:val="21"/>
          <w:szCs w:val="21"/>
        </w:rPr>
        <w:t>2017-2019</w:t>
      </w:r>
      <w:r>
        <w:rPr>
          <w:rFonts w:ascii="宋体" w:hAnsi="宋体" w:cs="宋体" w:eastAsia="宋体" w:hint="default"/>
          <w:spacing w:val="-2"/>
          <w:sz w:val="21"/>
          <w:szCs w:val="21"/>
        </w:rPr>
        <w:t>年度）股东分红回报规划的议案》，制定利润分配方案。《关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于公司</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年度利润分配预案的议案》经由公司董事会、监事会和股东大会审议通过，独立董事发表独立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意见，并在规定时间内实施，切实保证了全体股东的利益。</w:t>
      </w:r>
    </w:p>
    <w:p>
      <w:pPr>
        <w:spacing w:line="256" w:lineRule="auto" w:before="142"/>
        <w:ind w:left="1133" w:right="1132" w:firstLine="420"/>
        <w:jc w:val="both"/>
        <w:rPr>
          <w:rFonts w:ascii="宋体" w:hAnsi="宋体" w:cs="宋体" w:eastAsia="宋体" w:hint="default"/>
          <w:sz w:val="21"/>
          <w:szCs w:val="21"/>
        </w:rPr>
      </w:pPr>
      <w:r>
        <w:rPr>
          <w:rFonts w:ascii="宋体" w:hAnsi="宋体" w:cs="宋体" w:eastAsia="宋体" w:hint="default"/>
          <w:spacing w:val="-1"/>
          <w:sz w:val="21"/>
          <w:szCs w:val="21"/>
        </w:rPr>
        <w:t>公司于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22</w:t>
      </w:r>
      <w:r>
        <w:rPr>
          <w:rFonts w:ascii="宋体" w:hAnsi="宋体" w:cs="宋体" w:eastAsia="宋体" w:hint="default"/>
          <w:spacing w:val="-1"/>
          <w:sz w:val="21"/>
          <w:szCs w:val="21"/>
        </w:rPr>
        <w:t>日召开的第三届董事会第二十四次会议、第三届监事会第九次会议及</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12 </w:t>
      </w:r>
      <w:r>
        <w:rPr>
          <w:rFonts w:ascii="宋体" w:hAnsi="宋体" w:cs="宋体" w:eastAsia="宋体" w:hint="default"/>
          <w:spacing w:val="3"/>
          <w:sz w:val="21"/>
          <w:szCs w:val="21"/>
        </w:rPr>
        <w:t>日召开的</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年年度股东大会审议通过的</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年度利润分配方案为：以截止</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日公司总股本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2"/>
          <w:sz w:val="21"/>
          <w:szCs w:val="21"/>
        </w:rPr>
        <w:t>28,374.4</w:t>
      </w:r>
      <w:r>
        <w:rPr>
          <w:rFonts w:ascii="宋体" w:hAnsi="宋体" w:cs="宋体" w:eastAsia="宋体" w:hint="default"/>
          <w:spacing w:val="-2"/>
          <w:sz w:val="21"/>
          <w:szCs w:val="21"/>
        </w:rPr>
        <w:t>万股为基数，以未分配利润向全体股东每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股派发现金股利</w:t>
      </w:r>
      <w:r>
        <w:rPr>
          <w:rFonts w:ascii="Times New Roman" w:hAnsi="Times New Roman" w:cs="Times New Roman" w:eastAsia="Times New Roman" w:hint="default"/>
          <w:spacing w:val="-2"/>
          <w:sz w:val="21"/>
          <w:szCs w:val="21"/>
        </w:rPr>
        <w:t>0.45</w:t>
      </w:r>
      <w:r>
        <w:rPr>
          <w:rFonts w:ascii="宋体" w:hAnsi="宋体" w:cs="宋体" w:eastAsia="宋体" w:hint="default"/>
          <w:spacing w:val="-2"/>
          <w:sz w:val="21"/>
          <w:szCs w:val="21"/>
        </w:rPr>
        <w:t>元（含税），共计派发股利人民币</w:t>
      </w:r>
    </w:p>
    <w:p>
      <w:pPr>
        <w:spacing w:before="5"/>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12,768,480</w:t>
      </w:r>
      <w:r>
        <w:rPr>
          <w:rFonts w:ascii="宋体" w:hAnsi="宋体" w:cs="宋体" w:eastAsia="宋体" w:hint="default"/>
          <w:sz w:val="21"/>
          <w:szCs w:val="21"/>
        </w:rPr>
        <w:t>元。</w:t>
      </w:r>
    </w:p>
    <w:p>
      <w:pPr>
        <w:spacing w:line="256" w:lineRule="auto" w:before="141"/>
        <w:ind w:left="1133"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日，公司在中国证监会指定信息披露网站巨潮资讯网刊登了《</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年年度权益分派实施 公告》。本次权益分派股权登记日为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日，除权除息日为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p>
      <w:pPr>
        <w:spacing w:line="240" w:lineRule="auto" w:before="9"/>
        <w:rPr>
          <w:rFonts w:ascii="宋体" w:hAnsi="宋体" w:cs="宋体" w:eastAsia="宋体" w:hint="default"/>
          <w:sz w:val="10"/>
          <w:szCs w:val="1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352,586,786</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25,738,835.38</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29,665,717.00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经致同会计师事务所（特殊普通合伙）审计，母公司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32,961,907.78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元，合并报表归属母公司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117,949,954.85  </w:t>
            </w:r>
            <w:r>
              <w:rPr>
                <w:rFonts w:ascii="宋体" w:hAnsi="宋体" w:cs="宋体" w:eastAsia="宋体" w:hint="default"/>
                <w:spacing w:val="-5"/>
                <w:sz w:val="18"/>
                <w:szCs w:val="18"/>
              </w:rPr>
              <w:t>元。根据《公司章程》等相关规定，扣除应计提的法定盈余公积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即人民币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3,296,190.78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
                <w:sz w:val="18"/>
                <w:szCs w:val="18"/>
              </w:rPr>
              <w:t>元后，当年可供股东分配的利润为人民</w:t>
            </w:r>
            <w:r>
              <w:rPr>
                <w:rFonts w:ascii="宋体" w:hAnsi="宋体" w:cs="宋体" w:eastAsia="宋体" w:hint="default"/>
                <w:sz w:val="18"/>
                <w:szCs w:val="18"/>
              </w:rPr>
              <w:t> </w:t>
            </w:r>
            <w:r>
              <w:rPr>
                <w:rFonts w:ascii="Times New Roman" w:hAnsi="Times New Roman" w:cs="Times New Roman" w:eastAsia="Times New Roman" w:hint="default"/>
                <w:sz w:val="18"/>
                <w:szCs w:val="18"/>
              </w:rPr>
              <w:t>29,665,717.00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元，加上以前年度累计可供分配利润，母公司累计可供股东分配的利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251,432,966.59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元，资本公积余额为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1,077,883,895.33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年利润分配预案为：以截止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352,586,7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 </w:t>
            </w:r>
            <w:r>
              <w:rPr>
                <w:rFonts w:ascii="宋体" w:hAnsi="宋体" w:cs="宋体" w:eastAsia="宋体" w:hint="default"/>
                <w:sz w:val="18"/>
                <w:szCs w:val="18"/>
              </w:rPr>
              <w:t>股为基数，以未分配利润向全体股东每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，共计派发股利人民币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25,738,835.38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56" w:lineRule="auto" w:before="77"/>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年度，经致同会计师事务所（特殊普通合伙）审计，母公司</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年实现净利润为人民币</w:t>
      </w:r>
      <w:r>
        <w:rPr>
          <w:rFonts w:ascii="Times New Roman" w:hAnsi="Times New Roman" w:cs="Times New Roman" w:eastAsia="Times New Roman" w:hint="default"/>
          <w:spacing w:val="-5"/>
          <w:sz w:val="21"/>
          <w:szCs w:val="21"/>
        </w:rPr>
        <w:t>52,619,428.57</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70,937,874.33</w:t>
      </w:r>
      <w:r>
        <w:rPr>
          <w:rFonts w:ascii="宋体" w:hAnsi="宋体" w:cs="宋体" w:eastAsia="宋体" w:hint="default"/>
          <w:sz w:val="21"/>
          <w:szCs w:val="21"/>
        </w:rPr>
        <w:t>元。根据《公司章程》等相关规定，扣除应计提的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法定盈余公积</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即人民币</w:t>
      </w:r>
      <w:r>
        <w:rPr>
          <w:rFonts w:ascii="Times New Roman" w:hAnsi="Times New Roman" w:cs="Times New Roman" w:eastAsia="Times New Roman" w:hint="default"/>
          <w:spacing w:val="-2"/>
          <w:sz w:val="21"/>
          <w:szCs w:val="21"/>
        </w:rPr>
        <w:t>5,261,942.86</w:t>
      </w:r>
      <w:r>
        <w:rPr>
          <w:rFonts w:ascii="宋体" w:hAnsi="宋体" w:cs="宋体" w:eastAsia="宋体" w:hint="default"/>
          <w:spacing w:val="-2"/>
          <w:sz w:val="21"/>
          <w:szCs w:val="21"/>
        </w:rPr>
        <w:t>元，当年可供股东分配的利润为</w:t>
      </w:r>
      <w:r>
        <w:rPr>
          <w:rFonts w:ascii="Times New Roman" w:hAnsi="Times New Roman" w:cs="Times New Roman" w:eastAsia="Times New Roman" w:hint="default"/>
          <w:spacing w:val="-2"/>
          <w:sz w:val="21"/>
          <w:szCs w:val="21"/>
        </w:rPr>
        <w:t>190,804,425.71</w:t>
      </w:r>
      <w:r>
        <w:rPr>
          <w:rFonts w:ascii="宋体" w:hAnsi="宋体" w:cs="宋体" w:eastAsia="宋体" w:hint="default"/>
          <w:spacing w:val="-2"/>
          <w:sz w:val="21"/>
          <w:szCs w:val="21"/>
        </w:rPr>
        <w:t>元，加上以前年度累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计可供分配利润，母公司累计可供股东分配的利润为</w:t>
      </w:r>
      <w:r>
        <w:rPr>
          <w:rFonts w:ascii="Times New Roman" w:hAnsi="Times New Roman" w:cs="Times New Roman" w:eastAsia="Times New Roman" w:hint="default"/>
          <w:spacing w:val="-1"/>
          <w:sz w:val="21"/>
          <w:szCs w:val="21"/>
        </w:rPr>
        <w:t>190,804,425.45</w:t>
      </w:r>
      <w:r>
        <w:rPr>
          <w:rFonts w:ascii="宋体" w:hAnsi="宋体" w:cs="宋体" w:eastAsia="宋体" w:hint="default"/>
          <w:spacing w:val="-1"/>
          <w:sz w:val="21"/>
          <w:szCs w:val="21"/>
        </w:rPr>
        <w:t>元，资本公积余额为</w:t>
      </w:r>
      <w:r>
        <w:rPr>
          <w:rFonts w:ascii="Times New Roman" w:hAnsi="Times New Roman" w:cs="Times New Roman" w:eastAsia="Times New Roman" w:hint="default"/>
          <w:spacing w:val="-1"/>
          <w:sz w:val="21"/>
          <w:szCs w:val="21"/>
        </w:rPr>
        <w:t>199,524,557.81</w:t>
      </w:r>
      <w:r>
        <w:rPr>
          <w:rFonts w:ascii="宋体" w:hAnsi="宋体" w:cs="宋体" w:eastAsia="宋体" w:hint="default"/>
          <w:spacing w:val="-1"/>
          <w:sz w:val="21"/>
          <w:szCs w:val="21"/>
        </w:rPr>
        <w:t>元。</w:t>
      </w:r>
      <w:r>
        <w:rPr>
          <w:rFonts w:ascii="宋体" w:hAnsi="宋体" w:cs="宋体" w:eastAsia="宋体" w:hint="default"/>
          <w:spacing w:val="-70"/>
          <w:sz w:val="21"/>
          <w:szCs w:val="21"/>
        </w:rPr>
        <w:t> </w:t>
      </w:r>
      <w:r>
        <w:rPr>
          <w:rFonts w:ascii="宋体" w:hAnsi="宋体" w:cs="宋体" w:eastAsia="宋体" w:hint="default"/>
          <w:sz w:val="21"/>
          <w:szCs w:val="21"/>
        </w:rPr>
        <w:t>鉴于公司正处于发展期，统筹考虑公司资金使用情况及公司控股股东、实际控制人的合理提议，</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年利</w:t>
      </w:r>
      <w:r>
        <w:rPr>
          <w:rFonts w:ascii="宋体" w:hAnsi="宋体" w:cs="宋体" w:eastAsia="宋体" w:hint="default"/>
          <w:spacing w:val="-2"/>
          <w:sz w:val="21"/>
          <w:szCs w:val="21"/>
        </w:rPr>
        <w:t> </w:t>
      </w:r>
      <w:r>
        <w:rPr>
          <w:rFonts w:ascii="宋体" w:hAnsi="宋体" w:cs="宋体" w:eastAsia="宋体" w:hint="default"/>
          <w:sz w:val="21"/>
          <w:szCs w:val="21"/>
        </w:rPr>
        <w:t>润分配预案为：以截止</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日公司总股本</w:t>
      </w:r>
      <w:r>
        <w:rPr>
          <w:rFonts w:ascii="Times New Roman" w:hAnsi="Times New Roman" w:cs="Times New Roman" w:eastAsia="Times New Roman" w:hint="default"/>
          <w:sz w:val="21"/>
          <w:szCs w:val="21"/>
        </w:rPr>
        <w:t>8867</w:t>
      </w:r>
      <w:r>
        <w:rPr>
          <w:rFonts w:ascii="宋体" w:hAnsi="宋体" w:cs="宋体" w:eastAsia="宋体" w:hint="default"/>
          <w:sz w:val="21"/>
          <w:szCs w:val="21"/>
        </w:rPr>
        <w:t>万股为基数，以未分配利润向全体股东每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 现金股利</w:t>
      </w:r>
      <w:r>
        <w:rPr>
          <w:rFonts w:ascii="Times New Roman" w:hAnsi="Times New Roman" w:cs="Times New Roman" w:eastAsia="Times New Roman" w:hint="default"/>
          <w:sz w:val="21"/>
          <w:szCs w:val="21"/>
        </w:rPr>
        <w:t>1.9</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16,847,300</w:t>
      </w:r>
      <w:r>
        <w:rPr>
          <w:rFonts w:ascii="宋体" w:hAnsi="宋体" w:cs="宋体" w:eastAsia="宋体" w:hint="default"/>
          <w:sz w:val="21"/>
          <w:szCs w:val="21"/>
        </w:rPr>
        <w:t>元；以资本公积向全体股东每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22</w:t>
      </w:r>
      <w:r>
        <w:rPr>
          <w:rFonts w:ascii="宋体" w:hAnsi="宋体" w:cs="宋体" w:eastAsia="宋体" w:hint="default"/>
          <w:sz w:val="21"/>
          <w:szCs w:val="21"/>
        </w:rPr>
        <w:t>股，共</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计转增股份</w:t>
      </w:r>
      <w:r>
        <w:rPr>
          <w:rFonts w:ascii="Times New Roman" w:hAnsi="Times New Roman" w:cs="Times New Roman" w:eastAsia="Times New Roman" w:hint="default"/>
          <w:sz w:val="21"/>
          <w:szCs w:val="21"/>
        </w:rPr>
        <w:t>195,074,000</w:t>
      </w:r>
      <w:r>
        <w:rPr>
          <w:rFonts w:ascii="宋体" w:hAnsi="宋体" w:cs="宋体" w:eastAsia="宋体" w:hint="default"/>
          <w:sz w:val="21"/>
          <w:szCs w:val="21"/>
        </w:rPr>
        <w:t>股。</w:t>
      </w:r>
    </w:p>
    <w:p>
      <w:pPr>
        <w:spacing w:line="240" w:lineRule="auto" w:before="3"/>
        <w:rPr>
          <w:rFonts w:ascii="宋体" w:hAnsi="宋体" w:cs="宋体" w:eastAsia="宋体" w:hint="default"/>
          <w:sz w:val="24"/>
          <w:szCs w:val="24"/>
        </w:rPr>
      </w:pPr>
    </w:p>
    <w:p>
      <w:pPr>
        <w:spacing w:line="256" w:lineRule="auto" w:before="0"/>
        <w:ind w:left="1133" w:right="1129" w:firstLine="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年度，经致同会计师事务所（特殊普通合伙）审计，母公司</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年实现净利润为人民币</w:t>
      </w:r>
      <w:r>
        <w:rPr>
          <w:rFonts w:ascii="Times New Roman" w:hAnsi="Times New Roman" w:cs="Times New Roman" w:eastAsia="Times New Roman" w:hint="default"/>
          <w:spacing w:val="-5"/>
          <w:sz w:val="21"/>
          <w:szCs w:val="21"/>
        </w:rPr>
        <w:t>67,309,560.16</w:t>
      </w:r>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73,815,900.17</w:t>
      </w:r>
      <w:r>
        <w:rPr>
          <w:rFonts w:ascii="Times New Roman" w:hAnsi="Times New Roman" w:cs="Times New Roman" w:eastAsia="Times New Roman" w:hint="default"/>
          <w:spacing w:val="40"/>
          <w:sz w:val="21"/>
          <w:szCs w:val="21"/>
        </w:rPr>
        <w:t> </w:t>
      </w:r>
      <w:r>
        <w:rPr>
          <w:rFonts w:ascii="宋体" w:hAnsi="宋体" w:cs="宋体" w:eastAsia="宋体" w:hint="default"/>
          <w:spacing w:val="-3"/>
          <w:sz w:val="21"/>
          <w:szCs w:val="21"/>
        </w:rPr>
        <w:t>元。根据《公司章程》等相关规定，扣除应计提的</w:t>
      </w:r>
      <w:r>
        <w:rPr>
          <w:rFonts w:ascii="宋体" w:hAnsi="宋体" w:cs="宋体" w:eastAsia="宋体" w:hint="default"/>
          <w:sz w:val="21"/>
          <w:szCs w:val="21"/>
        </w:rPr>
        <w:t> 法定盈余公积</w:t>
      </w:r>
      <w:r>
        <w:rPr>
          <w:rFonts w:ascii="Times New Roman" w:hAnsi="Times New Roman" w:cs="Times New Roman" w:eastAsia="Times New Roman" w:hint="default"/>
          <w:sz w:val="21"/>
          <w:szCs w:val="21"/>
        </w:rPr>
        <w:t>10%</w:t>
      </w:r>
      <w:r>
        <w:rPr>
          <w:rFonts w:ascii="宋体" w:hAnsi="宋体" w:cs="宋体" w:eastAsia="宋体" w:hint="default"/>
          <w:sz w:val="21"/>
          <w:szCs w:val="21"/>
        </w:rPr>
        <w:t>即人民币</w:t>
      </w:r>
      <w:r>
        <w:rPr>
          <w:rFonts w:ascii="Times New Roman" w:hAnsi="Times New Roman" w:cs="Times New Roman" w:eastAsia="Times New Roman" w:hint="default"/>
          <w:sz w:val="21"/>
          <w:szCs w:val="21"/>
        </w:rPr>
        <w:t>6,730,956.02 </w:t>
      </w:r>
      <w:r>
        <w:rPr>
          <w:rFonts w:ascii="宋体" w:hAnsi="宋体" w:cs="宋体" w:eastAsia="宋体" w:hint="default"/>
          <w:spacing w:val="-3"/>
          <w:sz w:val="21"/>
          <w:szCs w:val="21"/>
        </w:rPr>
        <w:t>元后，当年可供股东分配的利润为人民币</w:t>
      </w:r>
      <w:r>
        <w:rPr>
          <w:rFonts w:ascii="Times New Roman" w:hAnsi="Times New Roman" w:cs="Times New Roman" w:eastAsia="Times New Roman" w:hint="default"/>
          <w:spacing w:val="-3"/>
          <w:sz w:val="21"/>
          <w:szCs w:val="21"/>
        </w:rPr>
        <w:t>60,578,604.14</w:t>
      </w:r>
      <w:r>
        <w:rPr>
          <w:rFonts w:ascii="宋体" w:hAnsi="宋体" w:cs="宋体" w:eastAsia="宋体" w:hint="default"/>
          <w:spacing w:val="-3"/>
          <w:sz w:val="21"/>
          <w:szCs w:val="21"/>
        </w:rPr>
        <w:t>元，加上以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9"/>
          <w:sz w:val="21"/>
          <w:szCs w:val="21"/>
        </w:rPr>
        <w:t>前年度累计可供分配利润，</w:t>
      </w:r>
      <w:r>
        <w:rPr>
          <w:rFonts w:ascii="宋体" w:hAnsi="宋体" w:cs="宋体" w:eastAsia="宋体" w:hint="default"/>
          <w:spacing w:val="-82"/>
          <w:sz w:val="21"/>
          <w:szCs w:val="21"/>
        </w:rPr>
        <w:t> </w:t>
      </w:r>
      <w:r>
        <w:rPr>
          <w:rFonts w:ascii="宋体" w:hAnsi="宋体" w:cs="宋体" w:eastAsia="宋体" w:hint="default"/>
          <w:spacing w:val="19"/>
          <w:sz w:val="21"/>
          <w:szCs w:val="21"/>
        </w:rPr>
        <w:t>母公司累计可供股东分配的利润为</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234,535,729.59</w:t>
      </w:r>
      <w:r>
        <w:rPr>
          <w:rFonts w:ascii="Times New Roman" w:hAnsi="Times New Roman" w:cs="Times New Roman" w:eastAsia="Times New Roman" w:hint="default"/>
          <w:spacing w:val="-29"/>
          <w:sz w:val="21"/>
          <w:szCs w:val="21"/>
        </w:rPr>
        <w:t> </w:t>
      </w:r>
      <w:r>
        <w:rPr>
          <w:rFonts w:ascii="宋体" w:hAnsi="宋体" w:cs="宋体" w:eastAsia="宋体" w:hint="default"/>
          <w:spacing w:val="10"/>
          <w:sz w:val="21"/>
          <w:szCs w:val="21"/>
        </w:rPr>
        <w:t>元，</w:t>
      </w:r>
      <w:r>
        <w:rPr>
          <w:rFonts w:ascii="宋体" w:hAnsi="宋体" w:cs="宋体" w:eastAsia="宋体" w:hint="default"/>
          <w:spacing w:val="-83"/>
          <w:sz w:val="21"/>
          <w:szCs w:val="21"/>
        </w:rPr>
        <w:t> </w:t>
      </w:r>
      <w:r>
        <w:rPr>
          <w:rFonts w:ascii="宋体" w:hAnsi="宋体" w:cs="宋体" w:eastAsia="宋体" w:hint="default"/>
          <w:spacing w:val="17"/>
          <w:sz w:val="21"/>
          <w:szCs w:val="21"/>
        </w:rPr>
        <w:t>资本公积余额为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pacing w:val="-2"/>
          <w:sz w:val="21"/>
          <w:szCs w:val="21"/>
        </w:rPr>
        <w:t>4,450,557.81</w:t>
      </w:r>
      <w:r>
        <w:rPr>
          <w:rFonts w:ascii="宋体" w:hAnsi="宋体" w:cs="宋体" w:eastAsia="宋体" w:hint="default"/>
          <w:spacing w:val="-2"/>
          <w:sz w:val="21"/>
          <w:szCs w:val="21"/>
        </w:rPr>
        <w:t>元。鉴于公司正处于发展期，统筹考虑公司资金使用情况及公司控股股东、实际控制人的合理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提议，</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年利润分配预案为：以截止</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日公司总股本</w:t>
      </w:r>
      <w:r>
        <w:rPr>
          <w:rFonts w:ascii="Times New Roman" w:hAnsi="Times New Roman" w:cs="Times New Roman" w:eastAsia="Times New Roman" w:hint="default"/>
          <w:spacing w:val="-2"/>
          <w:sz w:val="21"/>
          <w:szCs w:val="21"/>
        </w:rPr>
        <w:t>28374.4</w:t>
      </w:r>
      <w:r>
        <w:rPr>
          <w:rFonts w:ascii="宋体" w:hAnsi="宋体" w:cs="宋体" w:eastAsia="宋体" w:hint="default"/>
          <w:spacing w:val="-2"/>
          <w:sz w:val="21"/>
          <w:szCs w:val="21"/>
        </w:rPr>
        <w:t>万股为基数，以未分配利润向全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0.45</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12,768,480</w:t>
      </w:r>
      <w:r>
        <w:rPr>
          <w:rFonts w:ascii="宋体" w:hAnsi="宋体" w:cs="宋体" w:eastAsia="宋体" w:hint="default"/>
          <w:sz w:val="21"/>
          <w:szCs w:val="21"/>
        </w:rPr>
        <w:t>元。</w:t>
      </w:r>
    </w:p>
    <w:p>
      <w:pPr>
        <w:spacing w:line="240" w:lineRule="auto" w:before="3"/>
        <w:rPr>
          <w:rFonts w:ascii="宋体" w:hAnsi="宋体" w:cs="宋体" w:eastAsia="宋体" w:hint="default"/>
          <w:sz w:val="24"/>
          <w:szCs w:val="24"/>
        </w:rPr>
      </w:pPr>
    </w:p>
    <w:p>
      <w:pPr>
        <w:spacing w:line="256" w:lineRule="auto" w:before="0"/>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年利润分配预案如下：经致同会计师事务所（特殊普通合伙）审计，母公司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年实现净利润为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人民币</w:t>
      </w:r>
      <w:r>
        <w:rPr>
          <w:rFonts w:ascii="Times New Roman" w:hAnsi="Times New Roman" w:cs="Times New Roman" w:eastAsia="Times New Roman" w:hint="default"/>
          <w:sz w:val="21"/>
          <w:szCs w:val="21"/>
        </w:rPr>
        <w:t>32,961,907.78</w:t>
      </w:r>
      <w:r>
        <w:rPr>
          <w:rFonts w:ascii="宋体" w:hAnsi="宋体" w:cs="宋体" w:eastAsia="宋体" w:hint="default"/>
          <w:sz w:val="21"/>
          <w:szCs w:val="21"/>
        </w:rPr>
        <w:t>元，合并报表归属母公司所有者净利润为</w:t>
      </w:r>
      <w:r>
        <w:rPr>
          <w:rFonts w:ascii="Times New Roman" w:hAnsi="Times New Roman" w:cs="Times New Roman" w:eastAsia="Times New Roman" w:hint="default"/>
          <w:sz w:val="21"/>
          <w:szCs w:val="21"/>
        </w:rPr>
        <w:t>117,949,954.85 </w:t>
      </w:r>
      <w:r>
        <w:rPr>
          <w:rFonts w:ascii="宋体" w:hAnsi="宋体" w:cs="宋体" w:eastAsia="宋体" w:hint="default"/>
          <w:spacing w:val="2"/>
          <w:sz w:val="21"/>
          <w:szCs w:val="21"/>
        </w:rPr>
        <w:t>元。根据《公司章程》等相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6"/>
          <w:sz w:val="21"/>
          <w:szCs w:val="21"/>
        </w:rPr>
        <w:t>关规定，扣除应计提的法定盈余公积</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即人民币</w:t>
      </w:r>
      <w:r>
        <w:rPr>
          <w:rFonts w:ascii="Times New Roman" w:hAnsi="Times New Roman" w:cs="Times New Roman" w:eastAsia="Times New Roman" w:hint="default"/>
          <w:spacing w:val="6"/>
          <w:sz w:val="21"/>
          <w:szCs w:val="21"/>
        </w:rPr>
        <w:t>3,296,190.78</w:t>
      </w:r>
      <w:r>
        <w:rPr>
          <w:rFonts w:ascii="宋体" w:hAnsi="宋体" w:cs="宋体" w:eastAsia="宋体" w:hint="default"/>
          <w:spacing w:val="6"/>
          <w:sz w:val="21"/>
          <w:szCs w:val="21"/>
        </w:rPr>
        <w:t>元后，当年可供股东分配的利润为人民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Times New Roman" w:hAnsi="Times New Roman" w:cs="Times New Roman" w:eastAsia="Times New Roman" w:hint="default"/>
          <w:sz w:val="21"/>
          <w:szCs w:val="21"/>
        </w:rPr>
        <w:t>29,665,717.00</w:t>
      </w:r>
      <w:r>
        <w:rPr>
          <w:rFonts w:ascii="宋体" w:hAnsi="宋体" w:cs="宋体" w:eastAsia="宋体" w:hint="default"/>
          <w:sz w:val="21"/>
          <w:szCs w:val="21"/>
        </w:rPr>
        <w:t>元，加上以前年度累计可供分配利润，母公司累计可供股东分配的利润为</w:t>
      </w:r>
      <w:r>
        <w:rPr>
          <w:rFonts w:ascii="Times New Roman" w:hAnsi="Times New Roman" w:cs="Times New Roman" w:eastAsia="Times New Roman" w:hint="default"/>
          <w:sz w:val="21"/>
          <w:szCs w:val="21"/>
        </w:rPr>
        <w:t>251,432,966.59</w:t>
      </w:r>
      <w:r>
        <w:rPr>
          <w:rFonts w:ascii="宋体" w:hAnsi="宋体" w:cs="宋体" w:eastAsia="宋体" w:hint="default"/>
          <w:sz w:val="21"/>
          <w:szCs w:val="21"/>
        </w:rPr>
        <w:t>元， </w:t>
      </w:r>
      <w:r>
        <w:rPr>
          <w:rFonts w:ascii="宋体" w:hAnsi="宋体" w:cs="宋体" w:eastAsia="宋体" w:hint="default"/>
          <w:spacing w:val="-3"/>
          <w:sz w:val="21"/>
          <w:szCs w:val="21"/>
        </w:rPr>
        <w:t>资本公积余额为</w:t>
      </w:r>
      <w:r>
        <w:rPr>
          <w:rFonts w:ascii="Times New Roman" w:hAnsi="Times New Roman" w:cs="Times New Roman" w:eastAsia="Times New Roman" w:hint="default"/>
          <w:spacing w:val="-3"/>
          <w:sz w:val="21"/>
          <w:szCs w:val="21"/>
        </w:rPr>
        <w:t>1,077,883,895.33</w:t>
      </w:r>
      <w:r>
        <w:rPr>
          <w:rFonts w:ascii="宋体" w:hAnsi="宋体" w:cs="宋体" w:eastAsia="宋体" w:hint="default"/>
          <w:spacing w:val="-3"/>
          <w:sz w:val="21"/>
          <w:szCs w:val="21"/>
        </w:rPr>
        <w:t>元。鉴于公司正处于发展期，统筹考虑公司资金使用情况及公司控股股东、</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实际控制人的合理提议，</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年利润分配预案为：以截止</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日公司总股本</w:t>
      </w:r>
      <w:r>
        <w:rPr>
          <w:rFonts w:ascii="Times New Roman" w:hAnsi="Times New Roman" w:cs="Times New Roman" w:eastAsia="Times New Roman" w:hint="default"/>
          <w:spacing w:val="-3"/>
          <w:sz w:val="21"/>
          <w:szCs w:val="21"/>
        </w:rPr>
        <w:t>352,586,786</w:t>
      </w:r>
      <w:r>
        <w:rPr>
          <w:rFonts w:ascii="宋体" w:hAnsi="宋体" w:cs="宋体" w:eastAsia="宋体" w:hint="default"/>
          <w:spacing w:val="-3"/>
          <w:sz w:val="21"/>
          <w:szCs w:val="21"/>
        </w:rPr>
        <w:t>股为基数，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以未分配利润向全体股东每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股派发现金股利</w:t>
      </w:r>
      <w:r>
        <w:rPr>
          <w:rFonts w:ascii="Times New Roman" w:hAnsi="Times New Roman" w:cs="Times New Roman" w:eastAsia="Times New Roman" w:hint="default"/>
          <w:sz w:val="21"/>
          <w:szCs w:val="21"/>
        </w:rPr>
        <w:t>0.73</w:t>
      </w:r>
      <w:r>
        <w:rPr>
          <w:rFonts w:ascii="宋体" w:hAnsi="宋体" w:cs="宋体" w:eastAsia="宋体" w:hint="default"/>
          <w:sz w:val="21"/>
          <w:szCs w:val="21"/>
        </w:rPr>
        <w:t>元（含税），共计派发股利人民币</w:t>
      </w:r>
      <w:r>
        <w:rPr>
          <w:rFonts w:ascii="Times New Roman" w:hAnsi="Times New Roman" w:cs="Times New Roman" w:eastAsia="Times New Roman" w:hint="default"/>
          <w:sz w:val="21"/>
          <w:szCs w:val="21"/>
        </w:rPr>
        <w:t>25,738,835.38</w:t>
      </w:r>
      <w:r>
        <w:rPr>
          <w:rFonts w:ascii="宋体" w:hAnsi="宋体" w:cs="宋体" w:eastAsia="宋体" w:hint="default"/>
          <w:sz w:val="21"/>
          <w:szCs w:val="21"/>
        </w:rPr>
        <w:t>元。</w:t>
      </w:r>
    </w:p>
    <w:p>
      <w:pPr>
        <w:spacing w:line="240" w:lineRule="auto" w:before="12"/>
        <w:rPr>
          <w:rFonts w:ascii="宋体" w:hAnsi="宋体" w:cs="宋体" w:eastAsia="宋体" w:hint="default"/>
          <w:sz w:val="25"/>
          <w:szCs w:val="25"/>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25,738,835.38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117,949,954.85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12,768,480.00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73,815,900.71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70,937,874.33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133" w:right="0" w:firstLine="0"/>
        <w:jc w:val="left"/>
        <w:rPr>
          <w:rFonts w:ascii="宋体" w:hAnsi="宋体" w:cs="宋体" w:eastAsia="宋体" w:hint="default"/>
          <w:sz w:val="21"/>
          <w:szCs w:val="21"/>
        </w:rPr>
      </w:pPr>
      <w:bookmarkStart w:name="1、公司实际控制人、股东、关联方、收购人以及公司等承诺相关方在报告期内履行完毕及" w:id="65"/>
      <w:bookmarkEnd w:id="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4"/>
          <w:sz w:val="21"/>
          <w:szCs w:val="21"/>
        </w:rPr>
        <w:t> </w:t>
      </w:r>
      <w:r>
        <w:rPr>
          <w:rFonts w:ascii="宋体" w:hAnsi="宋体" w:cs="宋体" w:eastAsia="宋体" w:hint="default"/>
          <w:b/>
          <w:bCs/>
          <w:spacing w:val="-6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4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、不 利用实际控 制人的身份 影响银川卧 龙、星波通信 的独立性，保 持银川卧龙、 星波通信及 其下属子公 司在资产、人 员、财务、机 构和业务方 面的完整性 和独立性；不 利用银川卧 龙、星波通信 及其下属子 公司违规向 本人及本人 所投资的其 他企业提供 任何形式的 担保，不占用 银川卧龙、星 波通信及其</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04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产；保证不利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非法转移银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谋取不当的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害银川卧龙、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司及星波通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将减少并规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范与红相电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力、银川卧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龙、星波通信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避免或有合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理原因而发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循市场原则，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以公允、合理</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的市场价格 进行，根据有 关法律、法规 及规范性文 件的规定履 行关联交易 决策程序，依 法履行信息 披露义务和 办理有关报 批手续，不损 害银川卧龙、 星波通信、红 相电力及其 他股东的合 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本人若违反 上述承诺，将 承担因此而 给红相电力、 银川卧龙、星 波通信及其 控制的其他 公司、企业或 者其他经济 组织造成的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公司不利用 控股股东的 身份影响银 </w:t>
            </w:r>
            <w:r>
              <w:rPr>
                <w:rFonts w:ascii="宋体" w:hAnsi="宋体" w:cs="宋体" w:eastAsia="宋体" w:hint="default"/>
                <w:spacing w:val="-2"/>
                <w:sz w:val="18"/>
                <w:szCs w:val="18"/>
              </w:rPr>
              <w:t>川卧龙、星波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通信的独立 </w:t>
            </w:r>
            <w:r>
              <w:rPr>
                <w:rFonts w:ascii="宋体" w:hAnsi="宋体" w:cs="宋体" w:eastAsia="宋体" w:hint="default"/>
                <w:spacing w:val="-2"/>
                <w:sz w:val="18"/>
                <w:szCs w:val="18"/>
              </w:rPr>
              <w:t>性，保持银川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卧龙、星波通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信及其下属 子公司在资 </w:t>
            </w:r>
            <w:r>
              <w:rPr>
                <w:rFonts w:ascii="宋体" w:hAnsi="宋体" w:cs="宋体" w:eastAsia="宋体" w:hint="default"/>
                <w:spacing w:val="-2"/>
                <w:sz w:val="18"/>
                <w:szCs w:val="18"/>
              </w:rPr>
              <w:t>产、人员、财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务、机构和业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务方面的完 整性和独立 </w:t>
            </w:r>
            <w:r>
              <w:rPr>
                <w:rFonts w:ascii="宋体" w:hAnsi="宋体" w:cs="宋体" w:eastAsia="宋体" w:hint="default"/>
                <w:spacing w:val="-2"/>
                <w:sz w:val="18"/>
                <w:szCs w:val="18"/>
              </w:rPr>
              <w:t>性；不利用银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规向本公司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企业提供任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何形式的担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保，不违规占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用银川卧龙、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产；保证不利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非法转移银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股东身份谋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取不当的利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益，不利用关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银川卧龙、星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波通信及其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组织将减少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并规范与银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而发生的关 联交易，本公 司及本公司 控制的其他 公司、企业或 者其他经济 组织将遵循 市场原则，以 公允、合理的 市场价格进 行，根据有关 法律、法规及 规范性文件 的规定履行 关联交易决 策程序，依法 履行信息披 露义务和办 理有关报批 手续，不损害 银川卧龙、星 波通信的合 法权益。</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本公司若违 反上述承诺， 将承担因此 产生的一切 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公司及本公 司控制的其 </w:t>
            </w:r>
            <w:r>
              <w:rPr>
                <w:rFonts w:ascii="宋体" w:hAnsi="宋体" w:cs="宋体" w:eastAsia="宋体" w:hint="default"/>
                <w:spacing w:val="-2"/>
                <w:sz w:val="18"/>
                <w:szCs w:val="18"/>
              </w:rPr>
              <w:t>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 济组织将尽 量避免和减 少与红相电 </w:t>
            </w:r>
            <w:r>
              <w:rPr>
                <w:rFonts w:ascii="宋体" w:hAnsi="宋体" w:cs="宋体" w:eastAsia="宋体" w:hint="default"/>
                <w:spacing w:val="-2"/>
                <w:sz w:val="18"/>
                <w:szCs w:val="18"/>
              </w:rPr>
              <w:t>力、银川卧龙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及红相电力 其他控股子 公司之间的 </w:t>
            </w:r>
            <w:r>
              <w:rPr>
                <w:rFonts w:ascii="宋体" w:hAnsi="宋体" w:cs="宋体" w:eastAsia="宋体" w:hint="default"/>
                <w:spacing w:val="-2"/>
                <w:sz w:val="18"/>
                <w:szCs w:val="18"/>
              </w:rPr>
              <w:t>关联交易。本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格避免向红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拆借、占用红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公司代垫款、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代偿债务等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方式侵占上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组织与红相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间无法避免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或者有合理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均将严格遵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守市场原则，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本着平等互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利、等价有偿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的一般原则，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公平合理地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织与红相电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将依法签订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协议，履行合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法程序，按照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件、及红相电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等公司治理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及广大中小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公司在红相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电力权力机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构审议涉及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项时将主动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避义务，且交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易须在有权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过后方可执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w:t>
            </w:r>
            <w:r>
              <w:rPr>
                <w:rFonts w:ascii="Times New Roman" w:hAnsi="Times New Roman" w:cs="Times New Roman" w:eastAsia="Times New Roman" w:hint="default"/>
                <w:sz w:val="18"/>
                <w:szCs w:val="18"/>
              </w:rPr>
              <w:t>4</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司保证不通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取得任何不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或使红相电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任何不正当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的义务。如果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承诺导致红</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相电力或其 控股子公司 </w:t>
            </w:r>
            <w:r>
              <w:rPr>
                <w:rFonts w:ascii="宋体" w:hAnsi="宋体" w:cs="宋体" w:eastAsia="宋体" w:hint="default"/>
                <w:spacing w:val="-2"/>
                <w:sz w:val="18"/>
                <w:szCs w:val="18"/>
              </w:rPr>
              <w:t>损失的，红相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电力及其控 股子公司的 损失由本人 承担赔偿责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2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人及本人控 制或影响的 企业将尽量 避免和减少 与红相电力、 银川卧龙及 红相电力其 他控股子公 司之间的关 联交易。本人 控制或影响 的企业将严 格避免向红 相电力及其 控股子公司 拆借、占用红 相电力及其 控股子公司 资金或采取 由红相电力 及其控股子 公司代垫款、 代偿债务等 方式侵占上 市公司资金；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 及本人控制 或影响的企 业与红相电 力及其控股 子公司之间 无法避免或 者有合理原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市场原则，本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着平等互利、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等价有偿的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一般原则，公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平合理地进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人控制或影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公司治理制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广大中小股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权力机构审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议涉及本人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或影响的企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易事项时将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主动依法履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行回避义务，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且交易须在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有权机构审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议通过后方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本人保证不 通过关联交 易取得任何 不正当的利 益或使红相 电力及其控 股子公司承 担任何不正 </w:t>
            </w:r>
            <w:r>
              <w:rPr>
                <w:rFonts w:ascii="宋体" w:hAnsi="宋体" w:cs="宋体" w:eastAsia="宋体" w:hint="default"/>
                <w:spacing w:val="-2"/>
                <w:sz w:val="18"/>
                <w:szCs w:val="18"/>
              </w:rPr>
              <w:t>当的义务。如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果因违反上 述承诺导致 红相电力或 其控股子公 </w:t>
            </w:r>
            <w:r>
              <w:rPr>
                <w:rFonts w:ascii="宋体" w:hAnsi="宋体" w:cs="宋体" w:eastAsia="宋体" w:hint="default"/>
                <w:spacing w:val="-2"/>
                <w:sz w:val="18"/>
                <w:szCs w:val="18"/>
              </w:rPr>
              <w:t>司损失的，红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相电力及其 控股子公司 的损失由本 人承担赔偿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3" w:right="21"/>
              <w:jc w:val="left"/>
              <w:rPr>
                <w:rFonts w:ascii="宋体" w:hAnsi="宋体" w:cs="宋体" w:eastAsia="宋体" w:hint="default"/>
                <w:sz w:val="18"/>
                <w:szCs w:val="18"/>
              </w:rPr>
            </w:pPr>
            <w:r>
              <w:rPr>
                <w:rFonts w:ascii="宋体" w:hAnsi="宋体" w:cs="宋体" w:eastAsia="宋体" w:hint="default"/>
                <w:spacing w:val="-2"/>
                <w:sz w:val="18"/>
                <w:szCs w:val="18"/>
              </w:rPr>
              <w:t>席立功、何东</w:t>
            </w:r>
            <w:r>
              <w:rPr>
                <w:rFonts w:ascii="宋体" w:hAnsi="宋体" w:cs="宋体" w:eastAsia="宋体" w:hint="default"/>
                <w:sz w:val="18"/>
                <w:szCs w:val="18"/>
              </w:rPr>
              <w:t> 武、吴国敏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人及本人控 制或影响的 企业将尽量 避免和减少 与红相电力、 银川卧龙及 红相电力其 他控股子公 司之间的关 联交易。本人 控制或影响 的企业将严 格避免向红 相电力及其 控股子公司 拆借、占用红 相电力及其 控股子公司 资金或采取 由红相电力 及其控股子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公司代垫款、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代偿债务等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方式侵占上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或影响的企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者有合理原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市场原则，本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着平等互利、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等价有偿的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一般原则，公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平合理地进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人控制或影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公司治理制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广大中小股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在红相电力 权力机构审 议涉及本人 及本人控制 或影响的企 业的关联交 易事项时将 主动依法履 行回避义务， 且交易须在 有权机构审 议通过后方 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本人保证不 通过关联交 易取得任何 不正当的利 益或使红相 电力及其控 股子公司承 担任何不正 当的义务。如 果因违反上 述承诺导致 红相电力或 其控股子公 司损失的，红 相电力及其 控股子公司 的损失由本 人承担赔偿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陈剑虹、张 青、吴松、徐 建平、王长 乐、刘宏胜、 陈小杰、左克 刚、胡万云、 谢安安、王加 玉、王延慧、 魏京保、奚银 春、蒋磊、袁 长亮、刘朝、 刘玉、邢成林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
              <w:jc w:val="left"/>
              <w:rPr>
                <w:rFonts w:ascii="宋体" w:hAnsi="宋体" w:cs="宋体" w:eastAsia="宋体" w:hint="default"/>
                <w:sz w:val="18"/>
                <w:szCs w:val="18"/>
              </w:rPr>
            </w:pPr>
            <w:r>
              <w:rPr>
                <w:rFonts w:ascii="宋体" w:hAnsi="宋体" w:cs="宋体" w:eastAsia="宋体" w:hint="default"/>
                <w:sz w:val="18"/>
                <w:szCs w:val="18"/>
              </w:rPr>
              <w:t>减少和规范 关联交易的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人及本人控 制或影响的 企业将尽量 避免和减少 与红相电力、 星波通信及 红相电力其 他控股子公 司之间的关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控制或影响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格避免向红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拆借、占用红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资金或采取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由红相电力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公司代垫款、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代偿债务等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方式侵占上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或影响的企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业与红相电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者有合理原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将严格遵守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市场原则，本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着平等互利、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等价有偿的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一般原则，公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平合理地进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人控制或影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响的企业与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司之间的关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法签订协议，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履行合法程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及红相电力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公司治理制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广大中小股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权力机构审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议涉及本人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或影响的企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易事项时将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主动依法履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行回避义务，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且交易须在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有权机构审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议通过后方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易取得任何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不正当的利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益或使红相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担任何不正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当的义务。如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果因违反上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司损失的，红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的损失由本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26.7pt;mso-position-horizontal-relative:page;mso-position-vertical-relative:page;z-index:-1461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72.47998pt;width:55.85pt;height:326.7pt;mso-position-horizontal-relative:page;mso-position-vertical-relative:page;z-index:-1461088" coordorigin="7353,1450" coordsize="1117,6534">
            <v:shape style="position:absolute;left:7353;top:1450;width:1117;height:6534" coordorigin="7353,1450" coordsize="1117,6534" path="m7353,7983l8470,7983,8470,1450,7353,1450,7353,798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5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截至本承诺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函签署日，本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织未从事与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织存在同业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作为红相电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力的控股股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东和实际控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21"/>
              <w:jc w:val="left"/>
              <w:rPr>
                <w:rFonts w:ascii="宋体" w:hAnsi="宋体" w:cs="宋体" w:eastAsia="宋体" w:hint="default"/>
                <w:sz w:val="18"/>
                <w:szCs w:val="18"/>
              </w:rPr>
            </w:pPr>
            <w:r>
              <w:rPr>
                <w:rFonts w:ascii="宋体" w:hAnsi="宋体" w:cs="宋体" w:eastAsia="宋体" w:hint="default"/>
                <w:spacing w:val="-2"/>
                <w:sz w:val="18"/>
                <w:szCs w:val="18"/>
              </w:rPr>
              <w:t>制人期间，本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人及本人控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织将避免从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事任何与红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相电力、银川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卧龙、星波通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信及其控制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且构成或可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亦不从事任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何可能损害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68.799988pt;margin-top:714.659973pt;width:53.5pt;height:17.6pt;mso-position-horizontal-relative:page;mso-position-vertical-relative:page;z-index:-1461064" coordorigin="7376,14293" coordsize="1070,352">
            <v:shape style="position:absolute;left:7376;top:14293;width:1070;height:352" coordorigin="7376,14293" coordsize="1070,352" path="m7376,14645l8446,14645,8446,14293,7376,14293,7376,146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织利益的活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动。如本人及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到红相电力、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银川卧龙、星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波通信及其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务范围内的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织将该等合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作机会让予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因此给红相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电力、银川卧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龙、星波通信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成的损失。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7"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single" w:sz="4" w:space="0" w:color="000000"/>
              <w:left w:val="single" w:sz="13" w:space="0" w:color="FFFFFF"/>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1127" w:type="dxa"/>
            <w:tcBorders>
              <w:top w:val="nil" w:sz="6" w:space="0" w:color="auto"/>
              <w:left w:val="single" w:sz="4" w:space="0" w:color="000000"/>
              <w:bottom w:val="nil" w:sz="6" w:space="0" w:color="auto"/>
              <w:right w:val="single" w:sz="13" w:space="0" w:color="FFFFFF"/>
            </w:tcBorders>
          </w:tcPr>
          <w:p>
            <w:pPr>
              <w:pStyle w:val="TableParagraph"/>
              <w:spacing w:line="300" w:lineRule="auto" w:before="20"/>
              <w:ind w:left="22" w:right="-44"/>
              <w:jc w:val="left"/>
              <w:rPr>
                <w:rFonts w:ascii="宋体" w:hAnsi="宋体" w:cs="宋体" w:eastAsia="宋体" w:hint="default"/>
                <w:sz w:val="18"/>
                <w:szCs w:val="18"/>
              </w:rPr>
            </w:pPr>
            <w:r>
              <w:rPr>
                <w:rFonts w:ascii="宋体" w:hAnsi="宋体" w:cs="宋体" w:eastAsia="宋体" w:hint="default"/>
                <w:spacing w:val="-7"/>
                <w:sz w:val="18"/>
                <w:szCs w:val="18"/>
              </w:rPr>
              <w:t>争的承诺：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自银川卧龙</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股权交割日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起，本承诺人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承诺放弃铁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路牵引变压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器业务市场，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接方式从事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铁路牵引变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压器业务，包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制的卧龙电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气集团北京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华泰变压器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变压器</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龙电气烟台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东源变压器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变压器</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龙电气集团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浙江变压器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等所有关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联公司或机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构均不得以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间接方式从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事牵引变压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器业务；自银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交割日起，本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在两年内，通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过合法合规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方式逐步剥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离卧龙电气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除银川卧龙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以外变压器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资产，不再从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事电力变压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251.7pt;mso-position-horizontal-relative:page;mso-position-vertical-relative:page;z-index:-1461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1.480011pt;margin-top:324.619995pt;width:62pt;height:201.8pt;mso-position-horizontal-relative:page;mso-position-vertical-relative:page;z-index:-1461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72.47998pt;width:55.85pt;height:453.95pt;mso-position-horizontal-relative:page;mso-position-vertical-relative:page;z-index:-1460992" coordorigin="7353,1450" coordsize="1117,9079">
            <v:group style="position:absolute;left:7353;top:1450;width:1117;height:5034" coordorigin="7353,1450" coordsize="1117,5034">
              <v:shape style="position:absolute;left:7353;top:1450;width:1117;height:5034" coordorigin="7353,1450" coordsize="1117,5034" path="m7353,6483l8470,6483,8470,1450,7353,1450,7353,6483xe" filled="true" fillcolor="#ffffff" stroked="false">
                <v:path arrowok="t"/>
                <v:fill type="solid"/>
              </v:shape>
            </v:group>
            <v:group style="position:absolute;left:7353;top:6492;width:1117;height:4036" coordorigin="7353,6492" coordsize="1117,4036">
              <v:shape style="position:absolute;left:7353;top:6492;width:1117;height:4036" coordorigin="7353,6492" coordsize="1117,4036" path="m7353,10528l8470,10528,8470,6492,7353,6492,7353,1052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器的生产和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销售业务。</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为真实、准确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及完整的，如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证明是不真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实、不准确或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不完整的，本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承诺人将承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担由此产生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和间接损失，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并承担相应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自银川卧龙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股权交割日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起，本承诺人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承诺放弃铁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路牵引变压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器业务市场，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接方式从事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铁路牵引变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压器业务，包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括但不限于 本承诺人控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制的卧龙电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气集团北京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华泰变压器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变压器</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龙电气烟台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东源变压器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变压器</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龙电气集团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浙江变压器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63.7pt;mso-position-horizontal-relative:page;mso-position-vertical-relative:page;z-index:-1460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61.480011pt;margin-top:636.639954pt;width:62pt;height:45.8pt;mso-position-horizontal-relative:page;mso-position-vertical-relative:page;z-index:-1460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72.47998pt;width:55.85pt;height:609.950pt;mso-position-horizontal-relative:page;mso-position-vertical-relative:page;z-index:-1460920" coordorigin="7353,1450" coordsize="1117,12199">
            <v:group style="position:absolute;left:7353;top:1450;width:1117;height:11274" coordorigin="7353,1450" coordsize="1117,11274">
              <v:shape style="position:absolute;left:7353;top:1450;width:1117;height:11274" coordorigin="7353,1450" coordsize="1117,11274" path="m7353,12723l8470,12723,8470,1450,7353,1450,7353,12723xe" filled="true" fillcolor="#ffffff" stroked="false">
                <v:path arrowok="t"/>
                <v:fill type="solid"/>
              </v:shape>
            </v:group>
            <v:group style="position:absolute;left:7353;top:12733;width:1117;height:916" coordorigin="7353,12733" coordsize="1117,916">
              <v:shape style="position:absolute;left:7353;top:12733;width:1117;height:916" coordorigin="7353,12733" coordsize="1117,916" path="m7353,13648l8470,13648,8470,12733,7353,12733,7353,136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变</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等所有关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联公司或机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构均不得以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间接方式从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事牵引变压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器业务；自银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川卧龙股权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交割日起，本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在两年内，通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过合法合规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方式逐步剥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离卧龙电气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除银川卧龙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以外变压器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资产，不再从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事电力变压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器的生产和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销售业务。</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为真实、准确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及完整的，如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证明是不真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实、不准确或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不完整的，本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承诺人将承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担由此产生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的所有直接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和间接损失，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并承担相应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陈剑虹、张</w:t>
            </w: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青、吴松、徐</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争的承诺：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建平、王长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乐、刘宏胜、 陈小杰、左克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争、关联交 </w:t>
            </w:r>
            <w:r>
              <w:rPr>
                <w:rFonts w:ascii="宋体" w:hAnsi="宋体" w:cs="宋体" w:eastAsia="宋体" w:hint="default"/>
                <w:spacing w:val="-2"/>
                <w:sz w:val="18"/>
                <w:szCs w:val="18"/>
              </w:rPr>
              <w:t>易、资金占用</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控制的其他 企业不会以</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刚、胡万云、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谢安安、王加</w:t>
            </w: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间接的方式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玉、王延慧、</w:t>
            </w: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从事与红相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both"/>
              <w:rPr>
                <w:rFonts w:ascii="宋体" w:hAnsi="宋体" w:cs="宋体" w:eastAsia="宋体" w:hint="default"/>
                <w:sz w:val="18"/>
                <w:szCs w:val="18"/>
              </w:rPr>
            </w:pPr>
            <w:r>
              <w:rPr>
                <w:rFonts w:ascii="宋体" w:hAnsi="宋体" w:cs="宋体" w:eastAsia="宋体" w:hint="default"/>
                <w:sz w:val="18"/>
                <w:szCs w:val="18"/>
              </w:rPr>
              <w:t>魏京保、奚银 春、蒋磊、袁 长亮、刘朝、 刘玉、邢成林</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电力、星波通 信及红相电 力其他控股 子公司主营 业务相同或 相似的业务， 亦不会在中 国境内通过 投资、收购、 联营、兼并、 受托经营等 方式从事与 红相电力、星 波通信及红 相电力其他 控股子公司 主营业务相 同或相似的 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、如 本人及本人 控制的其他 企业未来从 任何第三方 获得的任何 商业机会与 红相电力、星 波通信及红 相电力其他 控股子公司 主营业务有 竞争或可能 存在竞争，则 本人及本人 控制的其他 企业将立即 通知红相电 力、星波通信 及红相电力 其他控股子 公司，并尽力 将该商业机 会让渡于红 相电力、星波 通信及红相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189.3pt;mso-position-horizontal-relative:page;mso-position-vertical-relative:page;z-index:-1460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电力其他控 股子公司。</w:t>
            </w:r>
            <w:r>
              <w:rPr>
                <w:rFonts w:ascii="Times New Roman" w:hAnsi="Times New Roman" w:cs="Times New Roman" w:eastAsia="Times New Roman" w:hint="default"/>
                <w:sz w:val="18"/>
                <w:szCs w:val="18"/>
              </w:rPr>
              <w:t>3 </w:t>
            </w:r>
            <w:r>
              <w:rPr>
                <w:rFonts w:ascii="宋体" w:hAnsi="宋体" w:cs="宋体" w:eastAsia="宋体" w:hint="default"/>
                <w:sz w:val="18"/>
                <w:szCs w:val="18"/>
              </w:rPr>
              <w:t>本人若因不 履行或不适 当履行上述 </w:t>
            </w:r>
            <w:r>
              <w:rPr>
                <w:rFonts w:ascii="宋体" w:hAnsi="宋体" w:cs="宋体" w:eastAsia="宋体" w:hint="default"/>
                <w:spacing w:val="-2"/>
                <w:sz w:val="18"/>
                <w:szCs w:val="18"/>
              </w:rPr>
              <w:t>承诺，给红相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电力及其相 关方造成损 </w:t>
            </w:r>
            <w:r>
              <w:rPr>
                <w:rFonts w:ascii="宋体" w:hAnsi="宋体" w:cs="宋体" w:eastAsia="宋体" w:hint="default"/>
                <w:spacing w:val="-2"/>
                <w:sz w:val="18"/>
                <w:szCs w:val="18"/>
              </w:rPr>
              <w:t>失的，本人以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现金方式全 额承担该等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5.85pt;height:189.3pt;mso-position-horizontal-relative:char;mso-position-vertical-relative:line" coordorigin="0,0" coordsize="1117,3786">
                  <v:group style="position:absolute;left:0;top:0;width:1117;height:3786" coordorigin="0,0" coordsize="1117,3786">
                    <v:shape style="position:absolute;left:0;top:0;width:1117;height:3786" coordorigin="0,0" coordsize="1117,3786" path="m0,3785l1116,3785,1116,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卧龙电气、席</w:t>
            </w:r>
            <w:r>
              <w:rPr>
                <w:rFonts w:ascii="宋体" w:hAnsi="宋体" w:cs="宋体" w:eastAsia="宋体" w:hint="default"/>
                <w:sz w:val="18"/>
                <w:szCs w:val="18"/>
              </w:rPr>
              <w:t> 立功、何东 武、吴国敏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股份锁定的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 过本次交易 获取的红相 电力的全部 股份，自本次 交易增发的 股份上市之 日起满三十 六个月内，本 公司（本人） 不转让或者 委托他人管 理所持有的 红相电力的 股份，也不由 红相电力回 购本公司（本 人）本次作为 交易对手方 所获得的红 相电力的股 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 本次交易获 取的红相电 力的股份因 红相电力分 配股票股利、 资本公积转 增股本等情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形所衍生取 得的股份亦 应遵守上述 股份锁定安 排。</w:t>
            </w:r>
            <w:r>
              <w:rPr>
                <w:rFonts w:ascii="Times New Roman" w:hAnsi="Times New Roman" w:cs="Times New Roman" w:eastAsia="Times New Roman" w:hint="default"/>
                <w:sz w:val="18"/>
                <w:szCs w:val="18"/>
              </w:rPr>
              <w:t>3</w:t>
            </w:r>
            <w:r>
              <w:rPr>
                <w:rFonts w:ascii="宋体" w:hAnsi="宋体" w:cs="宋体" w:eastAsia="宋体" w:hint="default"/>
                <w:sz w:val="18"/>
                <w:szCs w:val="18"/>
              </w:rPr>
              <w:t>、本公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本人因本 次交易取得 的红相电力 股份在锁定 期届满后按 照届时有效 的法律和深 圳证券交易 所的有关规 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0"/>
              <w:jc w:val="both"/>
              <w:rPr>
                <w:rFonts w:ascii="宋体" w:hAnsi="宋体" w:cs="宋体" w:eastAsia="宋体" w:hint="default"/>
                <w:sz w:val="18"/>
                <w:szCs w:val="18"/>
              </w:rPr>
            </w:pPr>
            <w:r>
              <w:rPr>
                <w:rFonts w:ascii="宋体" w:hAnsi="宋体" w:cs="宋体" w:eastAsia="宋体" w:hint="default"/>
                <w:sz w:val="18"/>
                <w:szCs w:val="18"/>
              </w:rPr>
              <w:t>张青、吴松、 刘宏胜、徐建 平、陈小杰、 王长乐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股份锁定的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、若 星波通信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 净利润不低 于承诺净利 </w:t>
            </w:r>
            <w:r>
              <w:rPr>
                <w:rFonts w:ascii="宋体" w:hAnsi="宋体" w:cs="宋体" w:eastAsia="宋体" w:hint="default"/>
                <w:spacing w:val="-2"/>
                <w:sz w:val="18"/>
                <w:szCs w:val="18"/>
              </w:rPr>
              <w:t>润，或者星波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实际净利润 低于承诺净 </w:t>
            </w:r>
            <w:r>
              <w:rPr>
                <w:rFonts w:ascii="宋体" w:hAnsi="宋体" w:cs="宋体" w:eastAsia="宋体" w:hint="default"/>
                <w:spacing w:val="-2"/>
                <w:sz w:val="18"/>
                <w:szCs w:val="18"/>
              </w:rPr>
              <w:t>利润，但已履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行完毕业绩 </w:t>
            </w:r>
            <w:r>
              <w:rPr>
                <w:rFonts w:ascii="宋体" w:hAnsi="宋体" w:cs="宋体" w:eastAsia="宋体" w:hint="default"/>
                <w:spacing w:val="-2"/>
                <w:sz w:val="18"/>
                <w:szCs w:val="18"/>
              </w:rPr>
              <w:t>补偿义务，以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持有星波通 信股份认购 而取得的红 相电力股份 中的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20%</w:t>
            </w:r>
            <w:r>
              <w:rPr>
                <w:rFonts w:ascii="宋体" w:hAnsi="宋体" w:cs="宋体" w:eastAsia="宋体" w:hint="default"/>
                <w:spacing w:val="-11"/>
                <w:sz w:val="18"/>
                <w:szCs w:val="18"/>
              </w:rPr>
              <w:t>，在</w:t>
            </w:r>
            <w:r>
              <w:rPr>
                <w:rFonts w:ascii="宋体" w:hAnsi="宋体" w:cs="宋体" w:eastAsia="宋体" w:hint="default"/>
                <w:spacing w:val="-26"/>
                <w:sz w:val="18"/>
                <w:szCs w:val="18"/>
              </w:rPr>
              <w:t> </w:t>
            </w:r>
            <w:r>
              <w:rPr>
                <w:rFonts w:ascii="宋体" w:hAnsi="宋体" w:cs="宋体" w:eastAsia="宋体" w:hint="default"/>
                <w:sz w:val="18"/>
                <w:szCs w:val="18"/>
              </w:rPr>
              <w:t>扣除已补偿</w:t>
            </w:r>
          </w:p>
          <w:p>
            <w:pPr>
              <w:pStyle w:val="TableParagraph"/>
              <w:spacing w:line="314"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股份（若有） 的数量后，自 股份发行结 束之日起十 二个月后（与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 报告出具日 孰后）后可以 解锁；</w:t>
            </w:r>
            <w:r>
              <w:rPr>
                <w:rFonts w:ascii="Times New Roman" w:hAnsi="Times New Roman" w:cs="Times New Roman" w:eastAsia="Times New Roman" w:hint="default"/>
                <w:sz w:val="18"/>
                <w:szCs w:val="18"/>
              </w:rPr>
              <w:t>2</w:t>
            </w:r>
            <w:r>
              <w:rPr>
                <w:rFonts w:ascii="宋体" w:hAnsi="宋体" w:cs="宋体" w:eastAsia="宋体" w:hint="default"/>
                <w:sz w:val="18"/>
                <w:szCs w:val="18"/>
              </w:rPr>
              <w:t>、若 星波通信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72.47998pt;width:71.1pt;height:686.5pt;mso-position-horizontal-relative:page;mso-position-vertical-relative:page;z-index:-1460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于累计承诺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利润，但已履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持有星波通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信股份认购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而取得的红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中的累计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，在扣除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已补偿股份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（若有）的数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量后，自股份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发行结束之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日起二十四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个月后（与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报告出具日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孰后）后可以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解锁；</w:t>
            </w:r>
            <w:r>
              <w:rPr>
                <w:rFonts w:ascii="Times New Roman" w:hAnsi="Times New Roman" w:cs="Times New Roman" w:eastAsia="Times New Roman" w:hint="default"/>
                <w:sz w:val="18"/>
                <w:szCs w:val="18"/>
              </w:rPr>
              <w:t>3</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润不低于累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计承诺净利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润，或者星波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利润，但已履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持有星波通 信股份认购 而取得的红 相电力股份 中的累计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，在扣除 已补偿股份</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（若有）的数 量后，自股份 发行结束之 日起三十六 个月后（与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 报告出具日 孰后）后可以 解锁；</w:t>
            </w:r>
            <w:r>
              <w:rPr>
                <w:rFonts w:ascii="Times New Roman" w:hAnsi="Times New Roman" w:cs="Times New Roman" w:eastAsia="Times New Roman" w:hint="default"/>
                <w:sz w:val="18"/>
                <w:szCs w:val="18"/>
              </w:rPr>
              <w:t>4</w:t>
            </w:r>
            <w:r>
              <w:rPr>
                <w:rFonts w:ascii="宋体" w:hAnsi="宋体" w:cs="宋体" w:eastAsia="宋体" w:hint="default"/>
                <w:sz w:val="18"/>
                <w:szCs w:val="18"/>
              </w:rPr>
              <w:t>、以 持有星波通 信股份认购 而取得的红 相电力累计 </w:t>
            </w:r>
            <w:r>
              <w:rPr>
                <w:rFonts w:ascii="Times New Roman" w:hAnsi="Times New Roman" w:cs="Times New Roman" w:eastAsia="Times New Roman" w:hint="default"/>
                <w:sz w:val="18"/>
                <w:szCs w:val="18"/>
              </w:rPr>
              <w:t>80%</w:t>
            </w:r>
            <w:r>
              <w:rPr>
                <w:rFonts w:ascii="宋体" w:hAnsi="宋体" w:cs="宋体" w:eastAsia="宋体" w:hint="default"/>
                <w:sz w:val="18"/>
                <w:szCs w:val="18"/>
              </w:rPr>
              <w:t>的股份数 量，在扣除已 补偿股份（若 有）的数量 后，自股份发 行结束之日 起四十八个 月后可以解 锁；</w:t>
            </w:r>
            <w:r>
              <w:rPr>
                <w:rFonts w:ascii="Times New Roman" w:hAnsi="Times New Roman" w:cs="Times New Roman" w:eastAsia="Times New Roman" w:hint="default"/>
                <w:sz w:val="18"/>
                <w:szCs w:val="18"/>
              </w:rPr>
              <w:t>5</w:t>
            </w:r>
            <w:r>
              <w:rPr>
                <w:rFonts w:ascii="宋体" w:hAnsi="宋体" w:cs="宋体" w:eastAsia="宋体" w:hint="default"/>
                <w:sz w:val="18"/>
                <w:szCs w:val="18"/>
              </w:rPr>
              <w:t>、以持 有星波通信 股份认购而 取得的红相 电力全部剩 余股份数量， 自股份发行 结束之日起 六十个月后 可以解锁。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兴皖创投、刘</w:t>
            </w:r>
            <w:r>
              <w:rPr>
                <w:rFonts w:ascii="宋体" w:hAnsi="宋体" w:cs="宋体" w:eastAsia="宋体" w:hint="default"/>
                <w:sz w:val="18"/>
                <w:szCs w:val="18"/>
              </w:rPr>
              <w:t> </w:t>
            </w:r>
            <w:r>
              <w:rPr>
                <w:rFonts w:ascii="宋体" w:hAnsi="宋体" w:cs="宋体" w:eastAsia="宋体" w:hint="default"/>
                <w:spacing w:val="-2"/>
                <w:sz w:val="18"/>
                <w:szCs w:val="18"/>
              </w:rPr>
              <w:t>启斌、程小虎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股份锁定的 </w:t>
            </w:r>
            <w:r>
              <w:rPr>
                <w:rFonts w:ascii="宋体" w:hAnsi="宋体" w:cs="宋体" w:eastAsia="宋体" w:hint="default"/>
                <w:spacing w:val="-2"/>
                <w:sz w:val="18"/>
                <w:szCs w:val="18"/>
              </w:rPr>
              <w:t>承诺：以持有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星波通信股 份认购而取 得的红相电 </w:t>
            </w:r>
            <w:r>
              <w:rPr>
                <w:rFonts w:ascii="宋体" w:hAnsi="宋体" w:cs="宋体" w:eastAsia="宋体" w:hint="default"/>
                <w:spacing w:val="-2"/>
                <w:sz w:val="18"/>
                <w:szCs w:val="18"/>
              </w:rPr>
              <w:t>力股份，自股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690.940002pt;width:71.1pt;height:77pt;mso-position-horizontal-relative:page;mso-position-vertical-relative:page;z-index:-1460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group style="position:absolute;margin-left:367.660004pt;margin-top:690.940002pt;width:55.85pt;height:77pt;mso-position-horizontal-relative:page;mso-position-vertical-relative:page;z-index:-1460776" coordorigin="7353,13819" coordsize="1117,1540">
            <v:shape style="position:absolute;left:7353;top:13819;width:1117;height:1540" coordorigin="7353,13819" coordsize="1117,1540" path="m7353,15359l8470,15359,8470,13819,7353,13819,7353,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个月后可以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承诺：截至股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之日，如其拥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有星波通信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股份的持续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时间不足十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二个月的，自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股份发行结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束之日起三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十六个月内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兆戈投资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本次交易获 得的红相电 </w:t>
            </w:r>
            <w:r>
              <w:rPr>
                <w:rFonts w:ascii="宋体" w:hAnsi="宋体" w:cs="宋体" w:eastAsia="宋体" w:hint="default"/>
                <w:spacing w:val="-2"/>
                <w:sz w:val="18"/>
                <w:szCs w:val="18"/>
              </w:rPr>
              <w:t>力股份；截至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股份发行结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束之日，如其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拥有星波通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信股份的持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续时间超过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自股份发行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结束之日起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十二个月内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不转让其因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得的红相电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力股份。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股份锁定的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3" w:right="10"/>
              <w:jc w:val="left"/>
              <w:rPr>
                <w:rFonts w:ascii="宋体" w:hAnsi="宋体" w:cs="宋体" w:eastAsia="宋体" w:hint="default"/>
                <w:sz w:val="18"/>
                <w:szCs w:val="18"/>
              </w:rPr>
            </w:pPr>
            <w:r>
              <w:rPr>
                <w:rFonts w:ascii="宋体" w:hAnsi="宋体" w:cs="宋体" w:eastAsia="宋体" w:hint="default"/>
                <w:sz w:val="18"/>
                <w:szCs w:val="18"/>
              </w:rPr>
              <w:t>合肥星睿、左 克刚、胡万 云、谢安安、 王加玉、王延 慧、魏京保、 奚银春、蒋 磊、袁长亮、 刘朝、刘玉、 邢成林</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、若 星波通信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2018</w:t>
            </w:r>
          </w:p>
          <w:p>
            <w:pPr>
              <w:pStyle w:val="TableParagraph"/>
              <w:spacing w:line="314" w:lineRule="auto" w:before="5"/>
              <w:ind w:left="22" w:right="2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年累 计实际净利 润不低于累 计承诺净利 </w:t>
            </w:r>
            <w:r>
              <w:rPr>
                <w:rFonts w:ascii="宋体" w:hAnsi="宋体" w:cs="宋体" w:eastAsia="宋体" w:hint="default"/>
                <w:spacing w:val="-2"/>
                <w:sz w:val="18"/>
                <w:szCs w:val="18"/>
              </w:rPr>
              <w:t>润，或者星波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2019</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年累计实际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8.5pt;mso-position-horizontal-relative:page;mso-position-vertical-relative:page;z-index:-1460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净利润低于</w:t>
            </w:r>
          </w:p>
        </w:tc>
        <w:tc>
          <w:tcPr>
            <w:tcW w:w="1126" w:type="dxa"/>
            <w:vMerge w:val="restart"/>
            <w:tcBorders>
              <w:top w:val="single" w:sz="4" w:space="0" w:color="000000"/>
              <w:left w:val="single" w:sz="4" w:space="0" w:color="000000"/>
              <w:right w:val="single" w:sz="4" w:space="0" w:color="000000"/>
            </w:tcBorders>
          </w:tcPr>
          <w:p>
            <w:pPr>
              <w:pStyle w:val="TableParagraph"/>
              <w:spacing w:line="1377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8.5pt;mso-position-horizontal-relative:char;mso-position-vertical-relative:line" coordorigin="0,0" coordsize="1117,13770">
                  <v:group style="position:absolute;left:0;top:0;width:1117;height:13770" coordorigin="0,0" coordsize="1117,13770">
                    <v:shape style="position:absolute;left:0;top:0;width:1117;height:13770" coordorigin="0,0" coordsize="1117,13770" path="m0,13770l1116,13770,1116,0,0,0,0,1377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累计承诺净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利润，但已履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持有星波通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信股份认购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而取得的红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相电力股份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分，在扣除已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后，自股份发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行结束之日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起三十六个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月后（与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年审计报告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出具日孰后）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可以解锁；</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以持有星波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通信股份认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购而取得的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份中的累计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部分的股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份数量，在扣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除已补偿股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数量后，自股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份发行结束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之日起四十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八个月后可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以解锁；</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以持有星波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通信股份认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购而取得的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部剩余股份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数量，自股份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发行结束之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日起六十个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月后可以解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434.319977pt;width:55.85pt;height:326.7pt;mso-position-horizontal-relative:page;mso-position-vertical-relative:page;z-index:-1460704" coordorigin="7353,8686" coordsize="1117,6534">
            <v:shape style="position:absolute;left:7353;top:8686;width:1117;height:6534" coordorigin="7353,8686" coordsize="1117,6534" path="m7353,15220l8470,15220,8470,8686,7353,8686,7353,152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、本公司承 诺本公司及 本公司相关 人员遵守《中 华人民共和 国保守国家 </w:t>
            </w:r>
            <w:r>
              <w:rPr>
                <w:rFonts w:ascii="宋体" w:hAnsi="宋体" w:cs="宋体" w:eastAsia="宋体" w:hint="default"/>
                <w:spacing w:val="-28"/>
                <w:sz w:val="18"/>
                <w:szCs w:val="18"/>
              </w:rPr>
              <w:t>秘密法》、《中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华人民共和 国保守国家 秘密法实施 </w:t>
            </w:r>
            <w:r>
              <w:rPr>
                <w:rFonts w:ascii="宋体" w:hAnsi="宋体" w:cs="宋体" w:eastAsia="宋体" w:hint="default"/>
                <w:spacing w:val="-28"/>
                <w:sz w:val="18"/>
                <w:szCs w:val="18"/>
              </w:rPr>
              <w:t>条例》、《武器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装备科研生 产许可管理 </w:t>
            </w:r>
            <w:r>
              <w:rPr>
                <w:rFonts w:ascii="宋体" w:hAnsi="宋体" w:cs="宋体" w:eastAsia="宋体" w:hint="default"/>
                <w:spacing w:val="-28"/>
                <w:sz w:val="18"/>
                <w:szCs w:val="18"/>
              </w:rPr>
              <w:t>条例》、《武器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装备科研生 产许可实施 </w:t>
            </w:r>
            <w:r>
              <w:rPr>
                <w:rFonts w:ascii="宋体" w:hAnsi="宋体" w:cs="宋体" w:eastAsia="宋体" w:hint="default"/>
                <w:spacing w:val="-28"/>
                <w:sz w:val="18"/>
                <w:szCs w:val="18"/>
              </w:rPr>
              <w:t>办法》、《中共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中央保密委 员会办公室、 国家保密局 关于国家秘 密载体保密 管理的规 </w:t>
            </w:r>
            <w:r>
              <w:rPr>
                <w:rFonts w:ascii="宋体" w:hAnsi="宋体" w:cs="宋体" w:eastAsia="宋体" w:hint="default"/>
                <w:spacing w:val="-15"/>
                <w:sz w:val="18"/>
                <w:szCs w:val="18"/>
              </w:rPr>
              <w:t>定》、国防科</w:t>
            </w:r>
            <w:r>
              <w:rPr>
                <w:rFonts w:ascii="宋体" w:hAnsi="宋体" w:cs="宋体" w:eastAsia="宋体" w:hint="default"/>
                <w:sz w:val="18"/>
                <w:szCs w:val="18"/>
              </w:rPr>
              <w:t> 工局《涉军企 事业单位重 组上市军工 事项审查暂 </w:t>
            </w:r>
            <w:r>
              <w:rPr>
                <w:rFonts w:ascii="宋体" w:hAnsi="宋体" w:cs="宋体" w:eastAsia="宋体" w:hint="default"/>
                <w:spacing w:val="-15"/>
                <w:sz w:val="18"/>
                <w:szCs w:val="18"/>
              </w:rPr>
              <w:t>行办法》（科</w:t>
            </w:r>
            <w:r>
              <w:rPr>
                <w:rFonts w:ascii="宋体" w:hAnsi="宋体" w:cs="宋体" w:eastAsia="宋体" w:hint="default"/>
                <w:sz w:val="18"/>
                <w:szCs w:val="18"/>
              </w:rPr>
              <w:t> 工财审</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[2014]1718</w:t>
            </w:r>
          </w:p>
          <w:p>
            <w:pPr>
              <w:pStyle w:val="TableParagraph"/>
              <w:spacing w:line="316" w:lineRule="auto" w:before="65"/>
              <w:ind w:left="22" w:right="21"/>
              <w:jc w:val="left"/>
              <w:rPr>
                <w:rFonts w:ascii="宋体" w:hAnsi="宋体" w:cs="宋体" w:eastAsia="宋体" w:hint="default"/>
                <w:sz w:val="18"/>
                <w:szCs w:val="18"/>
              </w:rPr>
            </w:pPr>
            <w:r>
              <w:rPr>
                <w:rFonts w:ascii="宋体" w:hAnsi="宋体" w:cs="宋体" w:eastAsia="宋体" w:hint="default"/>
                <w:spacing w:val="-28"/>
                <w:sz w:val="18"/>
                <w:szCs w:val="18"/>
              </w:rPr>
              <w:t>号）、《军工企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业对外融资 特殊财务信 息披露管理 </w:t>
            </w:r>
            <w:r>
              <w:rPr>
                <w:rFonts w:ascii="宋体" w:hAnsi="宋体" w:cs="宋体" w:eastAsia="宋体" w:hint="default"/>
                <w:spacing w:val="-15"/>
                <w:sz w:val="18"/>
                <w:szCs w:val="18"/>
              </w:rPr>
              <w:t>办法》（科工</w:t>
            </w:r>
            <w:r>
              <w:rPr>
                <w:rFonts w:ascii="宋体" w:hAnsi="宋体" w:cs="宋体" w:eastAsia="宋体" w:hint="default"/>
                <w:sz w:val="18"/>
                <w:szCs w:val="18"/>
              </w:rPr>
              <w:t> 财审 </w:t>
            </w:r>
            <w:r>
              <w:rPr>
                <w:rFonts w:ascii="Times New Roman" w:hAnsi="Times New Roman" w:cs="Times New Roman" w:eastAsia="Times New Roman" w:hint="default"/>
                <w:sz w:val="18"/>
                <w:szCs w:val="18"/>
              </w:rPr>
              <w:t>[2008]702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等相关法律、 法规和规范 性文件以及 星波通信相 关保密规章 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460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本公司承诺</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权事宜完成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按照相关国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防、军工、保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密要求修改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《厦门红相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电力设备股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w:t>
            </w:r>
            <w:r>
              <w:rPr>
                <w:rFonts w:ascii="宋体" w:hAnsi="宋体" w:cs="宋体" w:eastAsia="宋体" w:hint="default"/>
                <w:spacing w:val="-90"/>
                <w:sz w:val="18"/>
                <w:szCs w:val="18"/>
              </w:rPr>
              <w:t>》</w:t>
            </w:r>
            <w:r>
              <w:rPr>
                <w:rFonts w:ascii="宋体" w:hAnsi="宋体" w:cs="宋体" w:eastAsia="宋体" w:hint="default"/>
                <w:sz w:val="18"/>
                <w:szCs w:val="18"/>
              </w:rPr>
              <w:t>，增设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保军特别条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款，增加保密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工作制度、军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工关键设备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设施管理、核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变动、国防专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利申请等相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关内容，使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《厦门红相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电力设备股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章程》符合国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防、军工、保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并向相关主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管部门报备。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诺在本次收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购星波通信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股权事宜完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将根据国防、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军工、保密相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保密制度。</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309.019989pt;width:62pt;height:209.6pt;mso-position-horizontal-relative:page;mso-position-vertical-relative:page;z-index:-14606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7.660004pt;margin-top:309.019989pt;width:55.85pt;height:209.6pt;mso-position-horizontal-relative:page;mso-position-vertical-relative:page;z-index:-1460608" coordorigin="7353,6180" coordsize="1117,4192">
            <v:shape style="position:absolute;left:7353;top:6180;width:1117;height:4192" coordorigin="7353,6180" coordsize="1117,4192" path="m7353,10372l8470,10372,8470,6180,7353,6180,7353,1037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权事宜完成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人员将在适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当的时机申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报相关保密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资质和资格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并获得相述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资质和资格，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使本公司在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有效控股星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波通信的同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时符合国防、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军工、保密的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相关规定。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完成之后，本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人不再对星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波通信拥有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控制权，红相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电力将作为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按公司章程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的规定履行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相应职权；</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本人作为星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陈剑虹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波通信的小 </w:t>
            </w:r>
            <w:r>
              <w:rPr>
                <w:rFonts w:ascii="宋体" w:hAnsi="宋体" w:cs="宋体" w:eastAsia="宋体" w:hint="default"/>
                <w:spacing w:val="-2"/>
                <w:sz w:val="18"/>
                <w:szCs w:val="18"/>
              </w:rPr>
              <w:t>股东，在符合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红相电力及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星波通信核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心利益，且不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影响星波通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信持续稳定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经营的基础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上，同意星波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通信达成的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各项合法有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效的董事会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及股东会决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3</w:t>
            </w:r>
            <w:r>
              <w:rPr>
                <w:rFonts w:ascii="宋体" w:hAnsi="宋体" w:cs="宋体" w:eastAsia="宋体" w:hint="default"/>
                <w:sz w:val="18"/>
                <w:szCs w:val="18"/>
              </w:rPr>
              <w:t>、在星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波通信日常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经营及重大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事项决策过 </w:t>
            </w:r>
            <w:r>
              <w:rPr>
                <w:rFonts w:ascii="宋体" w:hAnsi="宋体" w:cs="宋体" w:eastAsia="宋体" w:hint="default"/>
                <w:spacing w:val="-2"/>
                <w:sz w:val="18"/>
                <w:szCs w:val="18"/>
              </w:rPr>
              <w:t>程中，若需本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人配合出具 </w:t>
            </w:r>
            <w:r>
              <w:rPr>
                <w:rFonts w:ascii="宋体" w:hAnsi="宋体" w:cs="宋体" w:eastAsia="宋体" w:hint="default"/>
                <w:spacing w:val="-2"/>
                <w:sz w:val="18"/>
                <w:szCs w:val="18"/>
              </w:rPr>
              <w:t>相关文件，本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人将尽力配 </w:t>
            </w:r>
            <w:r>
              <w:rPr>
                <w:rFonts w:ascii="宋体" w:hAnsi="宋体" w:cs="宋体" w:eastAsia="宋体" w:hint="default"/>
                <w:spacing w:val="-2"/>
                <w:sz w:val="18"/>
                <w:szCs w:val="18"/>
              </w:rPr>
              <w:t>合，以确保星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波通信公司 治理和生产 经营的稳定 性。</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如陈剑虹届 时不足以支 </w:t>
            </w:r>
            <w:r>
              <w:rPr>
                <w:rFonts w:ascii="宋体" w:hAnsi="宋体" w:cs="宋体" w:eastAsia="宋体" w:hint="default"/>
                <w:spacing w:val="-2"/>
                <w:sz w:val="18"/>
                <w:szCs w:val="18"/>
              </w:rPr>
              <w:t>付《盈利预测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补偿协议》及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其补充协议 约定的业绩 补偿款（如 </w:t>
            </w:r>
            <w:r>
              <w:rPr>
                <w:rFonts w:ascii="宋体" w:hAnsi="宋体" w:cs="宋体" w:eastAsia="宋体" w:hint="default"/>
                <w:spacing w:val="-15"/>
                <w:sz w:val="18"/>
                <w:szCs w:val="18"/>
              </w:rPr>
              <w:t>有），本人愿</w:t>
            </w:r>
            <w:r>
              <w:rPr>
                <w:rFonts w:ascii="宋体" w:hAnsi="宋体" w:cs="宋体" w:eastAsia="宋体" w:hint="default"/>
                <w:sz w:val="18"/>
                <w:szCs w:val="18"/>
              </w:rPr>
              <w:t> 意向陈剑虹 提供借款用 于补足陈剑 虹应付业绩 补偿款的不 </w:t>
            </w:r>
            <w:r>
              <w:rPr>
                <w:rFonts w:ascii="宋体" w:hAnsi="宋体" w:cs="宋体" w:eastAsia="宋体" w:hint="default"/>
                <w:spacing w:val="-2"/>
                <w:sz w:val="18"/>
                <w:szCs w:val="18"/>
              </w:rPr>
              <w:t>足部分，以确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保上市公司 及星波通信 的利益不受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将不再继续 向卧龙电气 集团股份有 限公司购买 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本次交易完 </w:t>
            </w:r>
            <w:r>
              <w:rPr>
                <w:rFonts w:ascii="宋体" w:hAnsi="宋体" w:cs="宋体" w:eastAsia="宋体" w:hint="default"/>
                <w:spacing w:val="-2"/>
                <w:sz w:val="18"/>
                <w:szCs w:val="18"/>
              </w:rPr>
              <w:t>成后，本公司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将不再继续 向厦门红相 电力设备股 份有限公司 出售资产。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卧龙电气同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意在实际业 绩考核过程 中，将剔除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 应收款项坏 账准备计提 的会计估计 变更对业绩 承诺的影响， 即使用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年调整前的 会计估计对 承诺期内实 际业绩进行 调整，以落实 业绩考核安 排。</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自本次交易 完成后，本公 司及本公司 一致行动人 不通过任何 方式谋求对 红相电力的 控制权地位。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、电机及控 制装置业务 为公司的核 </w:t>
            </w:r>
            <w:r>
              <w:rPr>
                <w:rFonts w:ascii="宋体" w:hAnsi="宋体" w:cs="宋体" w:eastAsia="宋体" w:hint="default"/>
                <w:spacing w:val="-2"/>
                <w:sz w:val="18"/>
                <w:szCs w:val="18"/>
              </w:rPr>
              <w:t>心业务，是公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司集中优势 资源重点发 </w:t>
            </w:r>
            <w:r>
              <w:rPr>
                <w:rFonts w:ascii="宋体" w:hAnsi="宋体" w:cs="宋体" w:eastAsia="宋体" w:hint="default"/>
                <w:spacing w:val="-2"/>
                <w:sz w:val="18"/>
                <w:szCs w:val="18"/>
              </w:rPr>
              <w:t>展的产业。公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司不存在退 出电机及控 制业务的任 何安排。</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关于变压器 </w:t>
            </w:r>
            <w:r>
              <w:rPr>
                <w:rFonts w:ascii="宋体" w:hAnsi="宋体" w:cs="宋体" w:eastAsia="宋体" w:hint="default"/>
                <w:spacing w:val="-2"/>
                <w:sz w:val="18"/>
                <w:szCs w:val="18"/>
              </w:rPr>
              <w:t>业务，公司已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承诺自银川 卧龙股权交 </w:t>
            </w:r>
            <w:r>
              <w:rPr>
                <w:rFonts w:ascii="宋体" w:hAnsi="宋体" w:cs="宋体" w:eastAsia="宋体" w:hint="default"/>
                <w:spacing w:val="-2"/>
                <w:sz w:val="18"/>
                <w:szCs w:val="18"/>
              </w:rPr>
              <w:t>割日起，不以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任何直接或 间接方式从 事铁路牵引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变压器业务， 且在两年内 通过合法合 规方式逐步 剥离公司除 银川卧龙以 外变压器资 产，不再从事 电力变压器 的生产和销 售业务。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除变压器以 外的公司其 他非核心业 务，为更好地 服务于公司 聚焦电机及 控制业务的 战略思路，公 司拟选择合 适时机以合 法合规方式 处置。</w:t>
            </w:r>
            <w:r>
              <w:rPr>
                <w:rFonts w:ascii="Times New Roman" w:hAnsi="Times New Roman" w:cs="Times New Roman" w:eastAsia="Times New Roman" w:hint="default"/>
                <w:sz w:val="18"/>
                <w:szCs w:val="18"/>
              </w:rPr>
              <w:t>4</w:t>
            </w:r>
            <w:r>
              <w:rPr>
                <w:rFonts w:ascii="宋体" w:hAnsi="宋体" w:cs="宋体" w:eastAsia="宋体" w:hint="default"/>
                <w:sz w:val="18"/>
                <w:szCs w:val="18"/>
              </w:rPr>
              <w:t>、公 司不存在通 过剥离资产 方式以致使 公司成为无 实际业务的 控股型公司 的计划或相 关情形。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陈建成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自本次交易 </w:t>
            </w:r>
            <w:r>
              <w:rPr>
                <w:rFonts w:ascii="宋体" w:hAnsi="宋体" w:cs="宋体" w:eastAsia="宋体" w:hint="default"/>
                <w:spacing w:val="-2"/>
                <w:sz w:val="18"/>
                <w:szCs w:val="18"/>
              </w:rPr>
              <w:t>完成后，本人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及本人一致 行动人不通 过任何方式 谋求对红相 电力的控制 权地位。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自本次交易 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放弃红相电 力的实际控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杨保田、杨 成、杨力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股份锁定的 承诺：除本次 公开发售的 股份，自公司 股票上市之 日起三十六 个月内，不转 让或者委托 他人管理所 持有的公司 公开发行股 票前已发行 的股份，也不 由公司回购 所持有的公 司公开发行 股票前已发 行的股份。若 本人未履行 上述承诺，所 转让公司股 份的收益应 归公司所有。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杨保田、杨成</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持股意向及 减持意向的 承诺：在公司 上市后将严 格遵守所做 出的股份锁 定及减持限 制措施承诺， 本人所持有 的公司股份 在锁定期满 后两年内减 持的，每年减 持数量不超 过本人持有 的公司股份</w:t>
            </w:r>
          </w:p>
          <w:p>
            <w:pPr>
              <w:pStyle w:val="TableParagraph"/>
              <w:spacing w:line="312"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，且减</w:t>
            </w:r>
            <w:r>
              <w:rPr>
                <w:rFonts w:ascii="宋体" w:hAnsi="宋体" w:cs="宋体" w:eastAsia="宋体" w:hint="default"/>
                <w:sz w:val="18"/>
                <w:szCs w:val="18"/>
              </w:rPr>
              <w:t> 持价格不低 于发行价格； 如遇除权除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息事项，上述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发行价作相 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99"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稳定股价的 承诺：公司自 股票上市之 日起三年内， 若出现连续</w:t>
            </w:r>
          </w:p>
          <w:p>
            <w:pPr>
              <w:pStyle w:val="TableParagraph"/>
              <w:spacing w:line="316"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公司股票收 盘价均低于 公司上一个 会计年度末 经审计的每 股净资产（每 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 并财务报表 中归属于母 公司普通股 股东的所有 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年末 公司股份总 数，下同）的 情形（若因除 权除息等事 项致使上述 股票收盘价 与公司上一 会计年度末 经审计的每 股净资产不 具可比性的， 上述股票收 盘价应做相 应调整）则立 即启动股价 稳定预案。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公司承诺：招 股说明书有 虚假记载、误 导性陈述或 者重大遗漏， 对判断公司 是否符合法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重大、实质影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依法回购首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回购价格为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发行价格加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上同期银行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存款利息。公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司上市后发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生派发股利、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送股、转增股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本等除权除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息事项的，上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述回购价格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数量将进行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相应调整。公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等有权部门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违法事实认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定的当日进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行公告，并在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定召开董事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会并发出召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开临时股东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大会的通知，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审议具体回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通过回购公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案后，公司将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依法通知债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权人，并向中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5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券交易所等 主管部门报 送相关材料， 办理审批或 备案手续，然 后启动并实 施股份回购 程序。如公司 招股说明书 有虚假记载、 误导性陈述 或者重大遗 漏，致使投资 者在证券交 易中遭受损 失的，公司将 依法赔偿投 资者损失。如 公司届时未 履行上述公 开承诺，公司 将在未履行 上述承诺的 事实得到确 认后的次一 交易日公告 相关情况，公 司法定代表 人将在证监 会指定的信 息披露媒体 上公开作出 解释并向投 资者道歉。同 时，公司将按 照法律法规 的规定及监 管部门的要 求承担相应 的责任。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利润分配政 策的承诺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填补被摊薄 即期回报的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措施及承诺： 若本次公开 发行并在创 业板上市成 功，将获取募 集资金并扩 大公司股本 规模，但募集 资金到位当 期无法立即 产生效益，因 此会影响公 司该期间的 每股收益及 净资产收益 率；同时，若 公司公开发 行并在创业 板上市后未 能实现募投 项目计划贡 献率，且公司 原有业务未 能获得相应 幅度的增长， 公司每股收 益和净资产 收益率等指 标有可能在 短期内会出 现下降，请投 资者注意公 司即期回报 被摊薄的风 险。填补被摊 薄即期回报 的措施如下：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、加快募投 项目实施，提 升投资回</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报 。本次募 集资金拟投 资于一次设 备状态检测、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监测产品生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产改造项目，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计量装置检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测、监测设备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生产改造项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目，研发中心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扩建项目以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及补充营运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资金，募投项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目的实施可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以有效解决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产能瓶颈，提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升销售规模。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公司已对上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述募投项目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进行可行性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研究论证，符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合行业发展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趋势，若募投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项目顺利实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施，将大幅提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高公司的盈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将加快募投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项目实施，提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升投资回报，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降低上市后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即期回报被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摊薄的风险。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、加强募集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资金管理。为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规范募集资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金的管理和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使用，确保本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次发行募集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资金专款专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用，公司将根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定以及《厦门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公司募集资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金管理制度》</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的要求，将募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集资金存放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于董事会指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定的专用账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户进行存储，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做到专款专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用。同时，公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照相关法律、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定以及《厦门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红相电力设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公司募集资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的要求使用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接受保荐机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构、开户银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所和其他有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权部门的监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  </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持并发展公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司现有业务。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本公司主要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从事电力设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备状态检测、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监测产品和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电能表的研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售，并提供相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关技术服务。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充分利用智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能电网建设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所带来的机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遇，立足自己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的优势产品，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突出发展重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点，保持并进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一步发展公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司业务，提升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公司盈利能 </w:t>
            </w:r>
            <w:r>
              <w:rPr>
                <w:rFonts w:ascii="宋体" w:hAnsi="宋体" w:cs="宋体" w:eastAsia="宋体" w:hint="default"/>
                <w:spacing w:val="-2"/>
                <w:sz w:val="18"/>
                <w:szCs w:val="18"/>
              </w:rPr>
              <w:t>力，以降低上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市后即期回 报被摊薄的 风险。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0"/>
              <w:jc w:val="left"/>
              <w:rPr>
                <w:rFonts w:ascii="宋体" w:hAnsi="宋体" w:cs="宋体" w:eastAsia="宋体" w:hint="default"/>
                <w:sz w:val="18"/>
                <w:szCs w:val="18"/>
              </w:rPr>
            </w:pPr>
            <w:r>
              <w:rPr>
                <w:rFonts w:ascii="宋体" w:hAnsi="宋体" w:cs="宋体" w:eastAsia="宋体" w:hint="default"/>
                <w:sz w:val="18"/>
                <w:szCs w:val="18"/>
              </w:rPr>
              <w:t>杨保田、杨 成、杨力、吴 志阳、唐炎 钊、尹久远、 陈守德、陈耀 高、王新火、 林庆乙、罗 媛、马露萍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公司全体董 事、监事及高 级管理人员 承诺：因发行 人招股说明 书及其他信 息披露资料 有虚假记载、 误导性陈述 或者重大遗 漏，致使投资 者在证券发 行和交易中 遭受损失的， 将依法赔偿 投资者损失。 若本人违反 上述承诺，则 自愿接受以 下约束措施： 不得作为股 权激励对象， 或调整出已 开始实施的 股权激励方 案的行权名 单；视情节轻 重，可以对本 人采取扣减 绩效薪酬、降 薪、降职、停 职、撤职等处 罚措施；同时 本人所持有 的公司股份 将不得转让， 直至按承诺 采取相应的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Times New Roman" w:hAnsi="Times New Roman" w:cs="Times New Roman" w:eastAsia="Times New Roman" w:hint="default"/>
                <w:sz w:val="18"/>
                <w:szCs w:val="18"/>
              </w:rPr>
            </w:pPr>
            <w:r>
              <w:rPr>
                <w:rFonts w:ascii="宋体" w:hAnsi="宋体" w:cs="宋体" w:eastAsia="宋体" w:hint="default"/>
                <w:sz w:val="18"/>
                <w:szCs w:val="18"/>
              </w:rPr>
              <w:t>赔偿措施并 实施完毕时 为止。</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长江成长资 本投资有限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在公司上市 后将严格遵 守所做出的 股份锁定及 减持限制措 </w:t>
            </w:r>
            <w:r>
              <w:rPr>
                <w:rFonts w:ascii="宋体" w:hAnsi="宋体" w:cs="宋体" w:eastAsia="宋体" w:hint="default"/>
                <w:spacing w:val="-2"/>
                <w:sz w:val="18"/>
                <w:szCs w:val="18"/>
              </w:rPr>
              <w:t>施承诺，长江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资本所持有 的公司股份 在锁定期满 后两年内减 </w:t>
            </w:r>
            <w:r>
              <w:rPr>
                <w:rFonts w:ascii="宋体" w:hAnsi="宋体" w:cs="宋体" w:eastAsia="宋体" w:hint="default"/>
                <w:spacing w:val="-2"/>
                <w:sz w:val="18"/>
                <w:szCs w:val="18"/>
              </w:rPr>
              <w:t>持的，每年减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持数量不超 过长江资本 所持有的公 司股份的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在履行中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为维护公司 及公司其他 股东的合法 权益，避免未 来可能发生 的同业竞争， 公司控股股 东杨保田、实 际控制人杨 保田及杨成 已于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p>
          <w:p>
            <w:pPr>
              <w:pStyle w:val="TableParagraph"/>
              <w:spacing w:line="309" w:lineRule="auto"/>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 公司提交了 书面承诺函。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杨成、杨保田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针对公司可 能面临的因 社会保险和 住房公积金 缴交不规范 而可能受到 有关主管部 门追缴或处 </w:t>
            </w:r>
            <w:r>
              <w:rPr>
                <w:rFonts w:ascii="宋体" w:hAnsi="宋体" w:cs="宋体" w:eastAsia="宋体" w:hint="default"/>
                <w:spacing w:val="-2"/>
                <w:sz w:val="18"/>
                <w:szCs w:val="18"/>
              </w:rPr>
              <w:t>罚等情况，公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09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司实际控制 人杨保田和 杨成已作出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若厦门</w:t>
            </w:r>
            <w:r>
              <w:rPr>
                <w:rFonts w:ascii="宋体" w:hAnsi="宋体" w:cs="宋体" w:eastAsia="宋体" w:hint="default"/>
                <w:sz w:val="18"/>
                <w:szCs w:val="18"/>
              </w:rPr>
              <w:t> 红相电力设 备股份有限 公司因上市 前社会保险 和住房公积 金缴交不规 范而受到有 关主管部门 的追缴或处 罚，或任何利</w:t>
            </w:r>
            <w:r>
              <w:rPr>
                <w:rFonts w:ascii="宋体" w:hAnsi="宋体" w:cs="宋体" w:eastAsia="宋体" w:hint="default"/>
                <w:sz w:val="18"/>
                <w:szCs w:val="18"/>
              </w:rPr>
              <w:t> 益相关方以 此为由向公 司提出权利 要求，且该等 要求获得主 管部门支持， 则公司利益 受到的一切 损失均由杨 保田及杨成 全额承担，且 杨保田与杨 成之间互相 承担连带责 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13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6"/>
      <w:bookmarkEnd w:id="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11"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卧龙电气银川 变压器有限公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8,172.15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发行股份及支 付现金购买资</w:t>
            </w:r>
          </w:p>
        </w:tc>
      </w:tr>
    </w:tbl>
    <w:p>
      <w:pPr>
        <w:spacing w:after="0" w:line="30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1298" w:hRule="exact"/>
        </w:trPr>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产并募集配套 资金暨关联交 易报告书（草 </w:t>
            </w:r>
            <w:r>
              <w:rPr>
                <w:rFonts w:ascii="宋体" w:hAnsi="宋体" w:cs="宋体" w:eastAsia="宋体" w:hint="default"/>
                <w:spacing w:val="-30"/>
                <w:sz w:val="18"/>
                <w:szCs w:val="18"/>
              </w:rPr>
              <w:t>案）》</w:t>
            </w:r>
          </w:p>
        </w:tc>
      </w:tr>
      <w:tr>
        <w:trPr>
          <w:trHeight w:val="289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合肥星波通信 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760" w:right="0"/>
              <w:jc w:val="left"/>
              <w:rPr>
                <w:rFonts w:ascii="Times New Roman" w:hAnsi="Times New Roman" w:cs="Times New Roman" w:eastAsia="Times New Roman" w:hint="default"/>
                <w:sz w:val="18"/>
                <w:szCs w:val="18"/>
              </w:rPr>
            </w:pPr>
            <w:r>
              <w:rPr>
                <w:rFonts w:ascii="Times New Roman"/>
                <w:sz w:val="18"/>
              </w:rPr>
              <w:t>4,300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532" w:right="0"/>
              <w:jc w:val="left"/>
              <w:rPr>
                <w:rFonts w:ascii="Times New Roman" w:hAnsi="Times New Roman" w:cs="Times New Roman" w:eastAsia="Times New Roman" w:hint="default"/>
                <w:sz w:val="18"/>
                <w:szCs w:val="18"/>
              </w:rPr>
            </w:pPr>
            <w:r>
              <w:rPr>
                <w:rFonts w:ascii="Times New Roman"/>
                <w:sz w:val="18"/>
              </w:rPr>
              <w:t>5,366.79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发行股份及支 付现金购买资 产并募集配套 资金暨关联交 易报告书（草 </w:t>
            </w:r>
            <w:r>
              <w:rPr>
                <w:rFonts w:ascii="宋体" w:hAnsi="宋体" w:cs="宋体" w:eastAsia="宋体" w:hint="default"/>
                <w:spacing w:val="-30"/>
                <w:sz w:val="18"/>
                <w:szCs w:val="18"/>
              </w:rPr>
              <w:t>案）》</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5"/>
          <w:szCs w:val="15"/>
        </w:rPr>
      </w:pPr>
    </w:p>
    <w:p>
      <w:pPr>
        <w:pStyle w:val="BodyText"/>
        <w:spacing w:line="312" w:lineRule="exact"/>
        <w:ind w:right="1134" w:firstLine="480"/>
        <w:jc w:val="both"/>
      </w:pPr>
      <w:r>
        <w:rPr/>
        <w:t>在重大资产重组中，本公司交易对手方对置入资产</w:t>
      </w:r>
      <w:r>
        <w:rPr>
          <w:rFonts w:ascii="Times New Roman" w:hAnsi="Times New Roman" w:cs="Times New Roman" w:eastAsia="Times New Roman" w:hint="default"/>
        </w:rPr>
        <w:t>2017</w:t>
      </w:r>
      <w:r>
        <w:rPr/>
        <w:t>年度业绩曾作出承诺。业绩承诺 内容如下：</w:t>
      </w:r>
    </w:p>
    <w:p>
      <w:pPr>
        <w:pStyle w:val="BodyText"/>
        <w:spacing w:line="450" w:lineRule="atLeast" w:before="7"/>
        <w:ind w:left="1614" w:right="0"/>
        <w:jc w:val="left"/>
      </w:pPr>
      <w:r>
        <w:rPr>
          <w:rFonts w:ascii="Times New Roman" w:hAnsi="Times New Roman" w:cs="Times New Roman" w:eastAsia="Times New Roman" w:hint="default"/>
        </w:rPr>
        <w:t>1</w:t>
      </w:r>
      <w:r>
        <w:rPr/>
        <w:t>、银川卧龙业绩承诺 根据交易各方达成的约定，银川卧龙补偿义务人卧龙电气的业绩承诺系以业绩承诺期届</w:t>
      </w:r>
    </w:p>
    <w:p>
      <w:pPr>
        <w:pStyle w:val="BodyText"/>
        <w:spacing w:line="312" w:lineRule="exact" w:before="28"/>
        <w:ind w:left="1134" w:right="0"/>
        <w:jc w:val="left"/>
      </w:pPr>
      <w:r>
        <w:rPr/>
        <w:t>满累计净利润为指标，口径为归属于母公司所有者未扣除非经常性损益的净利润，如银川卧 龙承诺期届满的累计实现金额高于（含等于）承诺总额的</w:t>
      </w:r>
      <w:r>
        <w:rPr>
          <w:rFonts w:ascii="Times New Roman" w:hAnsi="Times New Roman" w:cs="Times New Roman" w:eastAsia="Times New Roman" w:hint="default"/>
        </w:rPr>
        <w:t>90%</w:t>
      </w:r>
      <w:r>
        <w:rPr/>
        <w:t>视为达到业绩承诺：</w:t>
      </w:r>
    </w:p>
    <w:p>
      <w:pPr>
        <w:pStyle w:val="BodyText"/>
        <w:spacing w:line="312" w:lineRule="exact" w:before="156"/>
        <w:ind w:right="1132" w:firstLine="480"/>
        <w:jc w:val="both"/>
      </w:pPr>
      <w:r>
        <w:rPr/>
        <w:t>①</w:t>
      </w:r>
      <w:r>
        <w:rPr>
          <w:spacing w:val="-12"/>
        </w:rPr>
        <w:t> </w:t>
      </w:r>
      <w:r>
        <w:rPr>
          <w:rFonts w:ascii="Times New Roman" w:hAnsi="Times New Roman" w:cs="Times New Roman" w:eastAsia="Times New Roman" w:hint="default"/>
          <w:spacing w:val="-3"/>
        </w:rPr>
        <w:t>2017</w:t>
      </w:r>
      <w:r>
        <w:rPr>
          <w:spacing w:val="-3"/>
        </w:rPr>
        <w:t>年度实现的归属于母公司所有者的净利润不低于</w:t>
      </w:r>
      <w:r>
        <w:rPr>
          <w:rFonts w:ascii="Times New Roman" w:hAnsi="Times New Roman" w:cs="Times New Roman" w:eastAsia="Times New Roman" w:hint="default"/>
          <w:spacing w:val="-3"/>
        </w:rPr>
        <w:t>9,000</w:t>
      </w:r>
      <w:r>
        <w:rPr>
          <w:spacing w:val="-3"/>
        </w:rPr>
        <w:t>万元，</w:t>
      </w:r>
      <w:r>
        <w:rPr>
          <w:rFonts w:ascii="Times New Roman" w:hAnsi="Times New Roman" w:cs="Times New Roman" w:eastAsia="Times New Roman" w:hint="default"/>
          <w:spacing w:val="-3"/>
        </w:rPr>
        <w:t>2018</w:t>
      </w:r>
      <w:r>
        <w:rPr>
          <w:spacing w:val="-3"/>
        </w:rPr>
        <w:t>年度实现的归属</w:t>
      </w:r>
      <w:r>
        <w:rPr/>
        <w:t> 于母公司所有者的净利润不低于</w:t>
      </w:r>
      <w:r>
        <w:rPr>
          <w:rFonts w:ascii="Times New Roman" w:hAnsi="Times New Roman" w:cs="Times New Roman" w:eastAsia="Times New Roman" w:hint="default"/>
        </w:rPr>
        <w:t>10,600</w:t>
      </w:r>
      <w:r>
        <w:rPr/>
        <w:t>万元，</w:t>
      </w:r>
      <w:r>
        <w:rPr>
          <w:rFonts w:ascii="Times New Roman" w:hAnsi="Times New Roman" w:cs="Times New Roman" w:eastAsia="Times New Roman" w:hint="default"/>
        </w:rPr>
        <w:t>2019</w:t>
      </w:r>
      <w:r>
        <w:rPr/>
        <w:t>年实现的归属于母公司所有者的净利润不</w:t>
      </w:r>
      <w:r>
        <w:rPr>
          <w:spacing w:val="-38"/>
        </w:rPr>
        <w:t> </w:t>
      </w:r>
      <w:r>
        <w:rPr>
          <w:spacing w:val="-38"/>
        </w:rPr>
      </w:r>
      <w:r>
        <w:rPr/>
        <w:t>低于</w:t>
      </w:r>
      <w:r>
        <w:rPr>
          <w:rFonts w:ascii="Times New Roman" w:hAnsi="Times New Roman" w:cs="Times New Roman" w:eastAsia="Times New Roman" w:hint="default"/>
        </w:rPr>
        <w:t>12,000</w:t>
      </w:r>
      <w:r>
        <w:rPr/>
        <w:t>万元；</w:t>
      </w:r>
    </w:p>
    <w:p>
      <w:pPr>
        <w:pStyle w:val="BodyText"/>
        <w:spacing w:line="312" w:lineRule="exact" w:before="156"/>
        <w:ind w:right="1130" w:firstLine="480"/>
        <w:jc w:val="both"/>
      </w:pPr>
      <w:r>
        <w:rPr/>
        <w:t>②</w:t>
      </w:r>
      <w:r>
        <w:rPr>
          <w:spacing w:val="-23"/>
        </w:rPr>
        <w:t> </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年三个年度实现的归属于母公司所有者的净利润累积不低于</w:t>
      </w:r>
      <w:r>
        <w:rPr>
          <w:rFonts w:ascii="Times New Roman" w:hAnsi="Times New Roman" w:cs="Times New Roman" w:eastAsia="Times New Roman" w:hint="default"/>
        </w:rPr>
        <w:t>31,600</w:t>
      </w:r>
      <w:r>
        <w:rPr/>
        <w:t>万元</w:t>
      </w:r>
      <w:r>
        <w:rPr>
          <w:spacing w:val="1"/>
        </w:rPr>
        <w:t> </w:t>
      </w:r>
      <w:r>
        <w:rPr/>
        <w:t>人民币。</w:t>
      </w:r>
    </w:p>
    <w:p>
      <w:pPr>
        <w:pStyle w:val="BodyText"/>
        <w:spacing w:line="468" w:lineRule="exact" w:before="31"/>
        <w:ind w:left="1614" w:right="0"/>
        <w:jc w:val="left"/>
      </w:pPr>
      <w:r>
        <w:rPr>
          <w:rFonts w:ascii="Times New Roman" w:hAnsi="Times New Roman" w:cs="Times New Roman" w:eastAsia="Times New Roman" w:hint="default"/>
        </w:rPr>
        <w:t>2</w:t>
      </w:r>
      <w:r>
        <w:rPr/>
        <w:t>、星波通信业绩承诺 根据交易各方达成的约定，星波通信补偿义务人及陈剑虹承诺：星波通信于</w:t>
      </w:r>
      <w:r>
        <w:rPr>
          <w:rFonts w:ascii="Times New Roman" w:hAnsi="Times New Roman" w:cs="Times New Roman" w:eastAsia="Times New Roman" w:hint="default"/>
        </w:rPr>
        <w:t>2017</w:t>
      </w:r>
      <w:r>
        <w:rPr/>
        <w:t>年度、</w:t>
      </w:r>
    </w:p>
    <w:p>
      <w:pPr>
        <w:pStyle w:val="BodyText"/>
        <w:spacing w:line="260" w:lineRule="exact"/>
        <w:ind w:right="0"/>
        <w:jc w:val="left"/>
      </w:pPr>
      <w:r>
        <w:rPr>
          <w:rFonts w:ascii="Times New Roman" w:hAnsi="Times New Roman" w:cs="Times New Roman" w:eastAsia="Times New Roman" w:hint="default"/>
          <w:spacing w:val="6"/>
        </w:rPr>
        <w:t>2018</w:t>
      </w:r>
      <w:r>
        <w:rPr>
          <w:spacing w:val="6"/>
        </w:rPr>
        <w:t>年度、</w:t>
      </w:r>
      <w:r>
        <w:rPr>
          <w:rFonts w:ascii="Times New Roman" w:hAnsi="Times New Roman" w:cs="Times New Roman" w:eastAsia="Times New Roman" w:hint="default"/>
          <w:spacing w:val="6"/>
        </w:rPr>
        <w:t>2019</w:t>
      </w:r>
      <w:r>
        <w:rPr>
          <w:spacing w:val="6"/>
        </w:rPr>
        <w:t>年度实现的扣除非经常性损益后归属于母公司所有者的净利润分别不低于</w:t>
      </w:r>
    </w:p>
    <w:p>
      <w:pPr>
        <w:spacing w:line="444" w:lineRule="auto" w:before="0"/>
        <w:ind w:left="1134" w:right="139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4,300</w:t>
      </w:r>
      <w:r>
        <w:rPr>
          <w:rFonts w:ascii="宋体" w:hAnsi="宋体" w:cs="宋体" w:eastAsia="宋体" w:hint="default"/>
          <w:sz w:val="24"/>
          <w:szCs w:val="24"/>
        </w:rPr>
        <w:t>万元、</w:t>
      </w:r>
      <w:r>
        <w:rPr>
          <w:rFonts w:ascii="Times New Roman" w:hAnsi="Times New Roman" w:cs="Times New Roman" w:eastAsia="Times New Roman" w:hint="default"/>
          <w:sz w:val="24"/>
          <w:szCs w:val="24"/>
        </w:rPr>
        <w:t>5,160</w:t>
      </w:r>
      <w:r>
        <w:rPr>
          <w:rFonts w:ascii="宋体" w:hAnsi="宋体" w:cs="宋体" w:eastAsia="宋体" w:hint="default"/>
          <w:sz w:val="24"/>
          <w:szCs w:val="24"/>
        </w:rPr>
        <w:t>万元、</w:t>
      </w:r>
      <w:r>
        <w:rPr>
          <w:rFonts w:ascii="Times New Roman" w:hAnsi="Times New Roman" w:cs="Times New Roman" w:eastAsia="Times New Roman" w:hint="default"/>
          <w:sz w:val="24"/>
          <w:szCs w:val="24"/>
        </w:rPr>
        <w:t>6,192</w:t>
      </w:r>
      <w:r>
        <w:rPr>
          <w:rFonts w:ascii="宋体" w:hAnsi="宋体" w:cs="宋体" w:eastAsia="宋体" w:hint="default"/>
          <w:sz w:val="24"/>
          <w:szCs w:val="24"/>
        </w:rPr>
        <w:t>万元。 </w:t>
      </w:r>
      <w:bookmarkStart w:name="三、控股股东及其关联方对上市公司的非经营性占用资金情况" w:id="67"/>
      <w:bookmarkEnd w:id="67"/>
      <w:r>
        <w:rPr>
          <w:rFonts w:ascii="宋体" w:hAnsi="宋体" w:cs="宋体" w:eastAsia="宋体" w:hint="default"/>
          <w:sz w:val="24"/>
          <w:szCs w:val="24"/>
        </w:rPr>
      </w:r>
      <w:r>
        <w:rPr>
          <w:rFonts w:ascii="宋体" w:hAnsi="宋体" w:cs="宋体" w:eastAsia="宋体" w:hint="default"/>
          <w:b/>
          <w:bCs/>
          <w:w w:val="95"/>
          <w:sz w:val="24"/>
          <w:szCs w:val="24"/>
        </w:rPr>
        <w:t>三、控股股东及其关联方对上市公司的非经营性占用资金情况</w:t>
      </w:r>
      <w:r>
        <w:rPr>
          <w:rFonts w:ascii="宋体" w:hAnsi="宋体" w:cs="宋体" w:eastAsia="宋体" w:hint="default"/>
          <w:sz w:val="24"/>
          <w:szCs w:val="24"/>
        </w:rPr>
      </w:r>
    </w:p>
    <w:p>
      <w:pPr>
        <w:spacing w:line="338" w:lineRule="auto" w:before="143"/>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3"/>
        <w:ind w:right="1173"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月公司完成了重大资产重组标的星波通信</w:t>
      </w:r>
      <w:r>
        <w:rPr>
          <w:rFonts w:ascii="Times New Roman" w:hAnsi="Times New Roman" w:cs="Times New Roman" w:eastAsia="Times New Roman" w:hint="default"/>
        </w:rPr>
        <w:t>67.54%</w:t>
      </w:r>
      <w:r>
        <w:rPr/>
        <w:t>股权和银川卧龙</w:t>
      </w:r>
      <w:r>
        <w:rPr>
          <w:rFonts w:ascii="Times New Roman" w:hAnsi="Times New Roman" w:cs="Times New Roman" w:eastAsia="Times New Roman" w:hint="default"/>
        </w:rPr>
        <w:t>100%</w:t>
      </w:r>
      <w:r>
        <w:rPr/>
        <w:t>股权的工 商过户，自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月起星波通信和银川卧龙纳入公司合并报表。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刘维、王肖生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28" w:lineRule="auto"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本年度，公司因重大资产重组事项，聘请中信建投证券股份有限公司、长江证券承销保荐有限公司为财务顾问，期间共支付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财务顾问费</w:t>
      </w:r>
      <w:r>
        <w:rPr>
          <w:rFonts w:ascii="Times New Roman" w:hAnsi="Times New Roman" w:cs="Times New Roman" w:eastAsia="Times New Roman" w:hint="default"/>
          <w:sz w:val="18"/>
          <w:szCs w:val="18"/>
        </w:rPr>
        <w:t>1476</w:t>
      </w:r>
      <w:r>
        <w:rPr>
          <w:rFonts w:ascii="宋体" w:hAnsi="宋体" w:cs="宋体" w:eastAsia="宋体" w:hint="default"/>
          <w:sz w:val="18"/>
          <w:szCs w:val="18"/>
        </w:rPr>
        <w:t>万元。</w:t>
      </w:r>
    </w:p>
    <w:p>
      <w:pPr>
        <w:spacing w:line="240" w:lineRule="auto" w:before="6"/>
        <w:rPr>
          <w:rFonts w:ascii="宋体" w:hAnsi="宋体" w:cs="宋体" w:eastAsia="宋体" w:hint="default"/>
          <w:sz w:val="18"/>
          <w:szCs w:val="18"/>
        </w:rPr>
      </w:pPr>
    </w:p>
    <w:p>
      <w:pPr>
        <w:pStyle w:val="Heading2"/>
        <w:spacing w:line="240" w:lineRule="auto"/>
        <w:ind w:left="1134"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5"/>
          <w:szCs w:val="15"/>
        </w:rPr>
      </w:pPr>
    </w:p>
    <w:p>
      <w:pPr>
        <w:pStyle w:val="BodyText"/>
        <w:spacing w:line="312" w:lineRule="exact"/>
        <w:ind w:right="0" w:firstLine="420"/>
        <w:jc w:val="left"/>
      </w:pP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日召开第三届董事会第二十一次会议、第三届监事会第十三次会议，</w:t>
      </w:r>
      <w:r>
        <w:rPr/>
        <w:t> </w:t>
      </w:r>
      <w:r>
        <w:rPr>
          <w:spacing w:val="-3"/>
        </w:rPr>
        <w:t>审议通过《关于</w:t>
      </w:r>
      <w:r>
        <w:rPr>
          <w:rFonts w:ascii="Times New Roman" w:hAnsi="Times New Roman" w:cs="Times New Roman" w:eastAsia="Times New Roman" w:hint="default"/>
          <w:spacing w:val="-3"/>
        </w:rPr>
        <w:t>&lt;</w:t>
      </w:r>
      <w:r>
        <w:rPr>
          <w:spacing w:val="-3"/>
        </w:rPr>
        <w:t>厦门红相电力设备股份有限公司第一期员工持股计划（草案）（非公开发行</w:t>
      </w:r>
      <w:r>
        <w:rPr>
          <w:spacing w:val="-95"/>
        </w:rPr>
        <w:t> </w:t>
      </w:r>
      <w:r>
        <w:rPr>
          <w:spacing w:val="-95"/>
        </w:rPr>
      </w:r>
      <w:r>
        <w:rPr/>
        <w:t>方式认购）及其摘要的议案》等相关议案，并于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日召开第三届董事会第二十二次 会议、第三届监事会第十四次会议、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年第一次临时股东大会审议通过</w:t>
      </w:r>
    </w:p>
    <w:p>
      <w:pPr>
        <w:pStyle w:val="BodyText"/>
        <w:spacing w:line="312" w:lineRule="exact"/>
        <w:ind w:left="1134" w:right="0"/>
        <w:jc w:val="left"/>
      </w:pPr>
      <w:r>
        <w:rPr>
          <w:spacing w:val="-9"/>
        </w:rPr>
        <w:t>《关于</w:t>
      </w:r>
      <w:r>
        <w:rPr>
          <w:rFonts w:ascii="Times New Roman" w:hAnsi="Times New Roman" w:cs="Times New Roman" w:eastAsia="Times New Roman" w:hint="default"/>
          <w:spacing w:val="-9"/>
        </w:rPr>
        <w:t>&lt;</w:t>
      </w:r>
      <w:r>
        <w:rPr>
          <w:spacing w:val="-9"/>
        </w:rPr>
        <w:t>厦门红相设备股份有限公司第一期员工持股计划（草案）（非公开发行方式认购）（修</w:t>
      </w:r>
      <w:r>
        <w:rPr>
          <w:spacing w:val="-82"/>
        </w:rPr>
        <w:t> </w:t>
      </w:r>
      <w:r>
        <w:rPr>
          <w:spacing w:val="-82"/>
        </w:rPr>
      </w:r>
      <w:r>
        <w:rPr>
          <w:spacing w:val="-3"/>
        </w:rPr>
        <w:t>订稿）</w:t>
      </w:r>
      <w:r>
        <w:rPr>
          <w:rFonts w:ascii="Times New Roman" w:hAnsi="Times New Roman" w:cs="Times New Roman" w:eastAsia="Times New Roman" w:hint="default"/>
          <w:spacing w:val="-3"/>
        </w:rPr>
        <w:t>&gt;</w:t>
      </w:r>
      <w:r>
        <w:rPr>
          <w:spacing w:val="-3"/>
        </w:rPr>
        <w:t>及其摘要的议案》等相关议案，于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日召开第三届董事会第二十六次会议、</w:t>
      </w:r>
      <w:r>
        <w:rPr>
          <w:spacing w:val="-83"/>
        </w:rPr>
        <w:t> </w:t>
      </w:r>
      <w:r>
        <w:rPr>
          <w:spacing w:val="-3"/>
        </w:rPr>
        <w:t>第三届监事会第十八次会议审议通过《关于</w:t>
      </w:r>
      <w:r>
        <w:rPr>
          <w:rFonts w:ascii="Times New Roman" w:hAnsi="Times New Roman" w:cs="Times New Roman" w:eastAsia="Times New Roman" w:hint="default"/>
          <w:spacing w:val="-3"/>
        </w:rPr>
        <w:t>&lt;</w:t>
      </w:r>
      <w:r>
        <w:rPr>
          <w:spacing w:val="-3"/>
        </w:rPr>
        <w:t>厦门红相电力设备股份有限公司第一期员工持股</w:t>
      </w:r>
      <w:r>
        <w:rPr>
          <w:spacing w:val="-95"/>
        </w:rPr>
        <w:t> </w:t>
      </w:r>
      <w:r>
        <w:rPr/>
        <w:t>计划（草案）（非公开发行方式认购）（二次修订稿）及其摘要的议案》等相关议案，同意 实施公司第一期员工持股计划（以下简称</w:t>
      </w:r>
      <w:r>
        <w:rPr>
          <w:rFonts w:ascii="Times New Roman" w:hAnsi="Times New Roman" w:cs="Times New Roman" w:eastAsia="Times New Roman" w:hint="default"/>
        </w:rPr>
        <w:t>“</w:t>
      </w:r>
      <w:r>
        <w:rPr/>
        <w:t>员工持股计划</w:t>
      </w:r>
      <w:r>
        <w:rPr>
          <w:rFonts w:ascii="Times New Roman" w:hAnsi="Times New Roman" w:cs="Times New Roman" w:eastAsia="Times New Roman" w:hint="default"/>
        </w:rPr>
        <w:t>”</w:t>
      </w:r>
      <w:r>
        <w:rPr/>
        <w:t>）。</w:t>
      </w:r>
    </w:p>
    <w:p>
      <w:pPr>
        <w:pStyle w:val="BodyText"/>
        <w:spacing w:line="312" w:lineRule="exact" w:before="156"/>
        <w:ind w:right="1132" w:firstLine="420"/>
        <w:jc w:val="both"/>
      </w:pPr>
      <w:r>
        <w:rPr>
          <w:spacing w:val="2"/>
        </w:rPr>
        <w:t>受非公开发行股票政策变动及市场环境变化的影响，配套融资对象均拟放弃本次配套融</w:t>
      </w:r>
      <w:r>
        <w:rPr/>
        <w:t> 资认购，</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日公司召开第四届董事会第二次会议审议通过《关于取消重大资产重</w:t>
      </w:r>
      <w:r>
        <w:rPr>
          <w:spacing w:val="-113"/>
        </w:rPr>
        <w:t> </w:t>
      </w:r>
      <w:r>
        <w:rPr>
          <w:spacing w:val="-113"/>
        </w:rPr>
      </w:r>
      <w:r>
        <w:rPr/>
        <w:t>组募集配套资金的议案》及《关于终止公司与配套融资对象签署的股份认购合同的议案》， 决定取消本次重大资产重组募集配套资金项下非公开发行股票事宜，与之相应的员工持股计 划已无继续实施之可能。</w:t>
      </w:r>
    </w:p>
    <w:p>
      <w:pPr>
        <w:pStyle w:val="BodyText"/>
        <w:spacing w:line="312" w:lineRule="exact" w:before="156"/>
        <w:ind w:right="1130" w:firstLine="420"/>
        <w:jc w:val="both"/>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日召开第四届董事会第二次会议，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日召开</w:t>
      </w:r>
      <w:r>
        <w:rPr>
          <w:rFonts w:ascii="Times New Roman" w:hAnsi="Times New Roman" w:cs="Times New Roman" w:eastAsia="Times New Roman" w:hint="default"/>
          <w:spacing w:val="-1"/>
        </w:rPr>
        <w:t>2017</w:t>
      </w:r>
      <w:r>
        <w:rPr>
          <w:spacing w:val="-1"/>
        </w:rPr>
        <w:t>年第三次</w:t>
      </w:r>
      <w:r>
        <w:rPr/>
        <w:t> 临时股东大会审议通过了《关于终止公司第一期员工持股计划的议案》，决定终止公司第一 期员工持股计划，并授权公司经营管理层做好终止有关后续工作。</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与日常经营相关的关联交易" w:id="80"/>
      <w:bookmarkEnd w:id="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both"/>
              <w:rPr>
                <w:rFonts w:ascii="宋体" w:hAnsi="宋体" w:cs="宋体" w:eastAsia="宋体" w:hint="default"/>
                <w:sz w:val="18"/>
                <w:szCs w:val="18"/>
              </w:rPr>
            </w:pPr>
            <w:r>
              <w:rPr>
                <w:rFonts w:ascii="宋体" w:hAnsi="宋体" w:cs="宋体" w:eastAsia="宋体" w:hint="default"/>
                <w:sz w:val="18"/>
                <w:szCs w:val="18"/>
              </w:rPr>
              <w:t>卧龙电气 烟台东源 变压器有</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both"/>
              <w:rPr>
                <w:rFonts w:ascii="宋体" w:hAnsi="宋体" w:cs="宋体" w:eastAsia="宋体" w:hint="default"/>
                <w:sz w:val="18"/>
                <w:szCs w:val="18"/>
              </w:rPr>
            </w:pPr>
            <w:r>
              <w:rPr>
                <w:rFonts w:ascii="宋体" w:hAnsi="宋体" w:cs="宋体" w:eastAsia="宋体" w:hint="default"/>
                <w:sz w:val="18"/>
                <w:szCs w:val="18"/>
              </w:rPr>
              <w:t>卧龙控 股的控 股子公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按交货 进度结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与交易 价格相 近</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1"/>
              <w:jc w:val="both"/>
              <w:rPr>
                <w:rFonts w:ascii="宋体" w:hAnsi="宋体" w:cs="宋体" w:eastAsia="宋体" w:hint="default"/>
                <w:sz w:val="18"/>
                <w:szCs w:val="18"/>
              </w:rPr>
            </w:pPr>
            <w:r>
              <w:rPr>
                <w:rFonts w:ascii="宋体" w:hAnsi="宋体" w:cs="宋体" w:eastAsia="宋体" w:hint="default"/>
                <w:sz w:val="18"/>
                <w:szCs w:val="18"/>
              </w:rPr>
              <w:t>以上交 易是银 川卧龙</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317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5"/>
              <w:jc w:val="both"/>
              <w:rPr>
                <w:rFonts w:ascii="宋体" w:hAnsi="宋体" w:cs="宋体" w:eastAsia="宋体" w:hint="default"/>
                <w:sz w:val="18"/>
                <w:szCs w:val="18"/>
              </w:rPr>
            </w:pPr>
            <w:r>
              <w:rPr>
                <w:rFonts w:ascii="宋体" w:hAnsi="宋体" w:cs="宋体" w:eastAsia="宋体" w:hint="default"/>
                <w:sz w:val="18"/>
                <w:szCs w:val="18"/>
              </w:rPr>
              <w:t>并入红 相股份 之前签 订的合 同，在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月之 后执行 的情 况。</w:t>
            </w:r>
          </w:p>
        </w:tc>
      </w:tr>
      <w:tr>
        <w:trPr>
          <w:trHeight w:val="161"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1" w:type="dxa"/>
            <w:vMerge/>
            <w:tcBorders>
              <w:left w:val="single" w:sz="4" w:space="0" w:color="000000"/>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r>
      <w:tr>
        <w:trPr>
          <w:trHeight w:val="161"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9"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1"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资产或股权收购、出售发生的关联交易" w:id="81"/>
      <w:bookmarkEnd w:id="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spacing w:before="0"/>
        <w:ind w:left="1134" w:right="0" w:firstLine="0"/>
        <w:jc w:val="left"/>
        <w:rPr>
          <w:rFonts w:ascii="宋体" w:hAnsi="宋体" w:cs="宋体" w:eastAsia="宋体" w:hint="default"/>
          <w:sz w:val="21"/>
          <w:szCs w:val="21"/>
        </w:rPr>
      </w:pPr>
      <w:bookmarkStart w:name="3、共同对外投资的关联交易" w:id="82"/>
      <w:bookmarkEnd w:id="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4、关联债权债务往来" w:id="83"/>
      <w:bookmarkEnd w:id="8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5、其他重大关联交易" w:id="84"/>
      <w:bookmarkEnd w:id="8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托管、承包、租赁事项情况" w:id="86"/>
      <w:bookmarkEnd w:id="8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托管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2）承包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3）租赁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before="17"/>
        <w:ind w:left="1553" w:right="0" w:firstLine="0"/>
        <w:jc w:val="left"/>
        <w:rPr>
          <w:rFonts w:ascii="宋体" w:hAnsi="宋体" w:cs="宋体" w:eastAsia="宋体" w:hint="default"/>
          <w:sz w:val="21"/>
          <w:szCs w:val="21"/>
        </w:rPr>
      </w:pPr>
      <w:r>
        <w:rPr>
          <w:rFonts w:ascii="宋体" w:hAnsi="宋体" w:cs="宋体" w:eastAsia="宋体" w:hint="default"/>
          <w:sz w:val="21"/>
          <w:szCs w:val="21"/>
        </w:rPr>
        <w:t>报告期内，公司及子公司租赁的房产，以及将房产出租的情况如下：</w:t>
      </w:r>
    </w:p>
    <w:p>
      <w:pPr>
        <w:spacing w:line="240" w:lineRule="auto" w:before="11"/>
        <w:rPr>
          <w:rFonts w:ascii="宋体" w:hAnsi="宋体" w:cs="宋体" w:eastAsia="宋体" w:hint="default"/>
          <w:sz w:val="27"/>
          <w:szCs w:val="27"/>
        </w:rPr>
      </w:pPr>
    </w:p>
    <w:tbl>
      <w:tblPr>
        <w:tblW w:w="0" w:type="auto"/>
        <w:jc w:val="left"/>
        <w:tblInd w:w="1126" w:type="dxa"/>
        <w:tblLayout w:type="fixed"/>
        <w:tblCellMar>
          <w:top w:w="0" w:type="dxa"/>
          <w:left w:w="0" w:type="dxa"/>
          <w:bottom w:w="0" w:type="dxa"/>
          <w:right w:w="0" w:type="dxa"/>
        </w:tblCellMar>
        <w:tblLook w:val="01E0"/>
      </w:tblPr>
      <w:tblGrid>
        <w:gridCol w:w="485"/>
        <w:gridCol w:w="1277"/>
        <w:gridCol w:w="670"/>
        <w:gridCol w:w="1683"/>
        <w:gridCol w:w="670"/>
        <w:gridCol w:w="880"/>
        <w:gridCol w:w="2121"/>
        <w:gridCol w:w="1874"/>
      </w:tblGrid>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出租方</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 w:right="0"/>
              <w:jc w:val="left"/>
              <w:rPr>
                <w:rFonts w:ascii="宋体" w:hAnsi="宋体" w:cs="宋体" w:eastAsia="宋体" w:hint="default"/>
                <w:sz w:val="21"/>
                <w:szCs w:val="21"/>
              </w:rPr>
            </w:pPr>
            <w:r>
              <w:rPr>
                <w:rFonts w:ascii="宋体" w:hAnsi="宋体" w:cs="宋体" w:eastAsia="宋体" w:hint="default"/>
                <w:sz w:val="21"/>
                <w:szCs w:val="21"/>
              </w:rPr>
              <w:t>承租方</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14" w:right="0"/>
              <w:jc w:val="left"/>
              <w:rPr>
                <w:rFonts w:ascii="宋体" w:hAnsi="宋体" w:cs="宋体" w:eastAsia="宋体" w:hint="default"/>
                <w:sz w:val="21"/>
                <w:szCs w:val="21"/>
              </w:rPr>
            </w:pPr>
            <w:r>
              <w:rPr>
                <w:rFonts w:ascii="宋体" w:hAnsi="宋体" w:cs="宋体" w:eastAsia="宋体" w:hint="default"/>
                <w:sz w:val="21"/>
                <w:szCs w:val="21"/>
              </w:rPr>
              <w:t>房屋位置</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房屋用 途</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租赁面积</w:t>
            </w:r>
          </w:p>
          <w:p>
            <w:pPr>
              <w:pStyle w:val="TableParagraph"/>
              <w:spacing w:line="273" w:lineRule="auto" w:before="37"/>
              <w:ind w:left="117" w:right="115"/>
              <w:jc w:val="center"/>
              <w:rPr>
                <w:rFonts w:ascii="宋体" w:hAnsi="宋体" w:cs="宋体" w:eastAsia="宋体" w:hint="default"/>
                <w:sz w:val="21"/>
                <w:szCs w:val="21"/>
              </w:rPr>
            </w:pPr>
            <w:r>
              <w:rPr>
                <w:rFonts w:ascii="宋体" w:hAnsi="宋体" w:cs="宋体" w:eastAsia="宋体" w:hint="default"/>
                <w:sz w:val="21"/>
                <w:szCs w:val="21"/>
              </w:rPr>
              <w:t>（平方 米）</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2" w:right="0"/>
              <w:jc w:val="left"/>
              <w:rPr>
                <w:rFonts w:ascii="宋体" w:hAnsi="宋体" w:cs="宋体" w:eastAsia="宋体" w:hint="default"/>
                <w:sz w:val="21"/>
                <w:szCs w:val="21"/>
              </w:rPr>
            </w:pPr>
            <w:r>
              <w:rPr>
                <w:rFonts w:ascii="宋体" w:hAnsi="宋体" w:cs="宋体" w:eastAsia="宋体" w:hint="default"/>
                <w:sz w:val="21"/>
                <w:szCs w:val="21"/>
              </w:rPr>
              <w:t>租赁期限</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租金</w:t>
            </w:r>
          </w:p>
        </w:tc>
      </w:tr>
      <w:tr>
        <w:trPr>
          <w:trHeight w:val="284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厦门新日精 工投资管理 有限公司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6" w:right="45" w:firstLine="51"/>
              <w:jc w:val="left"/>
              <w:rPr>
                <w:rFonts w:ascii="宋体" w:hAnsi="宋体" w:cs="宋体" w:eastAsia="宋体" w:hint="default"/>
                <w:sz w:val="21"/>
                <w:szCs w:val="21"/>
              </w:rPr>
            </w:pPr>
            <w:r>
              <w:rPr>
                <w:rFonts w:ascii="宋体" w:hAnsi="宋体" w:cs="宋体" w:eastAsia="宋体" w:hint="default"/>
                <w:sz w:val="21"/>
                <w:szCs w:val="21"/>
              </w:rPr>
              <w:t>厦门市思明区南 投路</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1002</w:t>
            </w:r>
            <w:r>
              <w:rPr>
                <w:rFonts w:ascii="宋体" w:hAnsi="宋体" w:cs="宋体" w:eastAsia="宋体" w:hint="default"/>
                <w:sz w:val="21"/>
                <w:szCs w:val="21"/>
              </w:rPr>
              <w:t>单元</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17"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1" w:right="0"/>
              <w:jc w:val="left"/>
              <w:rPr>
                <w:rFonts w:ascii="Times New Roman" w:hAnsi="Times New Roman" w:cs="Times New Roman" w:eastAsia="Times New Roman" w:hint="default"/>
                <w:sz w:val="21"/>
                <w:szCs w:val="21"/>
              </w:rPr>
            </w:pPr>
            <w:r>
              <w:rPr>
                <w:rFonts w:ascii="Times New Roman"/>
                <w:sz w:val="21"/>
              </w:rPr>
              <w:t>1858.04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77" w:right="0"/>
              <w:jc w:val="left"/>
              <w:rPr>
                <w:rFonts w:ascii="Times New Roman" w:hAnsi="Times New Roman" w:cs="Times New Roman" w:eastAsia="Times New Roman" w:hint="default"/>
                <w:sz w:val="21"/>
                <w:szCs w:val="21"/>
              </w:rPr>
            </w:pPr>
            <w:r>
              <w:rPr>
                <w:rFonts w:ascii="Times New Roman"/>
                <w:sz w:val="21"/>
              </w:rPr>
              <w:t>2016.1.1-2020.12.31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p>
          <w:p>
            <w:pPr>
              <w:pStyle w:val="TableParagraph"/>
              <w:spacing w:line="261" w:lineRule="auto" w:before="21"/>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日为免 </w:t>
            </w:r>
            <w:r>
              <w:rPr>
                <w:rFonts w:ascii="宋体" w:hAnsi="宋体" w:cs="宋体" w:eastAsia="宋体" w:hint="default"/>
                <w:spacing w:val="-3"/>
                <w:sz w:val="21"/>
                <w:szCs w:val="21"/>
              </w:rPr>
              <w:t>租期，</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w:t>
            </w:r>
            <w:r>
              <w:rPr>
                <w:rFonts w:ascii="宋体" w:hAnsi="宋体" w:cs="宋体" w:eastAsia="宋体" w:hint="default"/>
                <w:sz w:val="21"/>
                <w:szCs w:val="21"/>
              </w:rPr>
              <w:t> 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 的月租金为 </w:t>
            </w:r>
            <w:r>
              <w:rPr>
                <w:rFonts w:ascii="Times New Roman" w:hAnsi="Times New Roman" w:cs="Times New Roman" w:eastAsia="Times New Roman" w:hint="default"/>
                <w:spacing w:val="-3"/>
                <w:sz w:val="21"/>
                <w:szCs w:val="21"/>
              </w:rPr>
              <w:t>74,321.60</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p>
          <w:p>
            <w:pPr>
              <w:pStyle w:val="TableParagraph"/>
              <w:spacing w:line="256" w:lineRule="auto"/>
              <w:ind w:left="2" w:right="175"/>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日的月租金为 </w:t>
            </w:r>
            <w:r>
              <w:rPr>
                <w:rFonts w:ascii="Times New Roman" w:hAnsi="Times New Roman" w:cs="Times New Roman" w:eastAsia="Times New Roman" w:hint="default"/>
                <w:sz w:val="21"/>
                <w:szCs w:val="21"/>
              </w:rPr>
              <w:t>81,753.76</w:t>
            </w:r>
            <w:r>
              <w:rPr>
                <w:rFonts w:ascii="宋体" w:hAnsi="宋体" w:cs="宋体" w:eastAsia="宋体" w:hint="default"/>
                <w:sz w:val="21"/>
                <w:szCs w:val="21"/>
              </w:rPr>
              <w:t>元。</w:t>
            </w:r>
          </w:p>
        </w:tc>
      </w:tr>
      <w:tr>
        <w:trPr>
          <w:trHeight w:val="1595"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center"/>
              <w:rPr>
                <w:rFonts w:ascii="宋体" w:hAnsi="宋体" w:cs="宋体" w:eastAsia="宋体" w:hint="default"/>
                <w:sz w:val="21"/>
                <w:szCs w:val="21"/>
              </w:rPr>
            </w:pPr>
            <w:r>
              <w:rPr>
                <w:rFonts w:ascii="宋体" w:hAnsi="宋体" w:cs="宋体" w:eastAsia="宋体" w:hint="default"/>
                <w:sz w:val="21"/>
                <w:szCs w:val="21"/>
              </w:rPr>
              <w:t>北京瑞聚德 投资有限公 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1"/>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城</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广</w:t>
            </w:r>
            <w:r>
              <w:rPr>
                <w:rFonts w:ascii="宋体" w:hAnsi="宋体" w:cs="宋体" w:eastAsia="宋体" w:hint="default"/>
                <w:sz w:val="21"/>
                <w:szCs w:val="21"/>
              </w:rPr>
              <w:t> 安</w:t>
            </w:r>
            <w:r>
              <w:rPr>
                <w:rFonts w:ascii="宋体" w:hAnsi="宋体" w:cs="宋体" w:eastAsia="宋体" w:hint="default"/>
                <w:spacing w:val="-73"/>
                <w:sz w:val="21"/>
                <w:szCs w:val="21"/>
              </w:rPr>
              <w:t> </w:t>
            </w:r>
            <w:r>
              <w:rPr>
                <w:rFonts w:ascii="宋体" w:hAnsi="宋体" w:cs="宋体" w:eastAsia="宋体" w:hint="default"/>
                <w:sz w:val="21"/>
                <w:szCs w:val="21"/>
              </w:rPr>
              <w:t>门</w:t>
            </w:r>
            <w:r>
              <w:rPr>
                <w:rFonts w:ascii="宋体" w:hAnsi="宋体" w:cs="宋体" w:eastAsia="宋体" w:hint="default"/>
                <w:spacing w:val="-73"/>
                <w:sz w:val="21"/>
                <w:szCs w:val="21"/>
              </w:rPr>
              <w:t> </w:t>
            </w:r>
            <w:r>
              <w:rPr>
                <w:rFonts w:ascii="宋体" w:hAnsi="宋体" w:cs="宋体" w:eastAsia="宋体" w:hint="default"/>
                <w:sz w:val="21"/>
                <w:szCs w:val="21"/>
              </w:rPr>
              <w:t>南</w:t>
            </w:r>
            <w:r>
              <w:rPr>
                <w:rFonts w:ascii="宋体" w:hAnsi="宋体" w:cs="宋体" w:eastAsia="宋体" w:hint="default"/>
                <w:spacing w:val="-73"/>
                <w:sz w:val="21"/>
                <w:szCs w:val="21"/>
              </w:rPr>
              <w:t> </w:t>
            </w:r>
            <w:r>
              <w:rPr>
                <w:rFonts w:ascii="宋体" w:hAnsi="宋体" w:cs="宋体" w:eastAsia="宋体" w:hint="default"/>
                <w:sz w:val="21"/>
                <w:szCs w:val="21"/>
              </w:rPr>
              <w:t>滨</w:t>
            </w:r>
            <w:r>
              <w:rPr>
                <w:rFonts w:ascii="宋体" w:hAnsi="宋体" w:cs="宋体" w:eastAsia="宋体" w:hint="default"/>
                <w:spacing w:val="-73"/>
                <w:sz w:val="21"/>
                <w:szCs w:val="21"/>
              </w:rPr>
              <w:t> </w:t>
            </w:r>
            <w:r>
              <w:rPr>
                <w:rFonts w:ascii="宋体" w:hAnsi="宋体" w:cs="宋体" w:eastAsia="宋体" w:hint="default"/>
                <w:sz w:val="21"/>
                <w:szCs w:val="21"/>
              </w:rPr>
              <w:t>河</w:t>
            </w:r>
            <w:r>
              <w:rPr>
                <w:rFonts w:ascii="宋体" w:hAnsi="宋体" w:cs="宋体" w:eastAsia="宋体" w:hint="default"/>
                <w:spacing w:val="-74"/>
                <w:sz w:val="21"/>
                <w:szCs w:val="21"/>
              </w:rPr>
              <w:t> </w:t>
            </w:r>
            <w:r>
              <w:rPr>
                <w:rFonts w:ascii="宋体" w:hAnsi="宋体" w:cs="宋体" w:eastAsia="宋体" w:hint="default"/>
                <w:sz w:val="21"/>
                <w:szCs w:val="21"/>
              </w:rPr>
              <w:t>路</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号</w:t>
            </w:r>
            <w:r>
              <w:rPr>
                <w:rFonts w:ascii="宋体" w:hAnsi="宋体" w:cs="宋体" w:eastAsia="宋体" w:hint="default"/>
                <w:spacing w:val="-57"/>
                <w:sz w:val="21"/>
                <w:szCs w:val="21"/>
              </w:rPr>
              <w:t> </w:t>
            </w:r>
            <w:r>
              <w:rPr>
                <w:rFonts w:ascii="宋体" w:hAnsi="宋体" w:cs="宋体" w:eastAsia="宋体" w:hint="default"/>
                <w:sz w:val="21"/>
                <w:szCs w:val="21"/>
              </w:rPr>
              <w:t>华</w:t>
            </w:r>
            <w:r>
              <w:rPr>
                <w:rFonts w:ascii="宋体" w:hAnsi="宋体" w:cs="宋体" w:eastAsia="宋体" w:hint="default"/>
                <w:spacing w:val="-57"/>
                <w:sz w:val="21"/>
                <w:szCs w:val="21"/>
              </w:rPr>
              <w:t> </w:t>
            </w:r>
            <w:r>
              <w:rPr>
                <w:rFonts w:ascii="宋体" w:hAnsi="宋体" w:cs="宋体" w:eastAsia="宋体" w:hint="default"/>
                <w:sz w:val="21"/>
                <w:szCs w:val="21"/>
              </w:rPr>
              <w:t>享</w:t>
            </w:r>
            <w:r>
              <w:rPr>
                <w:rFonts w:ascii="宋体" w:hAnsi="宋体" w:cs="宋体" w:eastAsia="宋体" w:hint="default"/>
                <w:spacing w:val="-55"/>
                <w:sz w:val="21"/>
                <w:szCs w:val="21"/>
              </w:rPr>
              <w:t> </w:t>
            </w:r>
            <w:r>
              <w:rPr>
                <w:rFonts w:ascii="宋体" w:hAnsi="宋体" w:cs="宋体" w:eastAsia="宋体" w:hint="default"/>
                <w:sz w:val="21"/>
                <w:szCs w:val="21"/>
              </w:rPr>
              <w:t>大</w:t>
            </w:r>
            <w:r>
              <w:rPr>
                <w:rFonts w:ascii="宋体" w:hAnsi="宋体" w:cs="宋体" w:eastAsia="宋体" w:hint="default"/>
                <w:spacing w:val="-55"/>
                <w:sz w:val="21"/>
                <w:szCs w:val="21"/>
              </w:rPr>
              <w:t> </w:t>
            </w:r>
            <w:r>
              <w:rPr>
                <w:rFonts w:ascii="宋体" w:hAnsi="宋体" w:cs="宋体" w:eastAsia="宋体" w:hint="default"/>
                <w:sz w:val="21"/>
                <w:szCs w:val="21"/>
              </w:rPr>
              <w:t>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幢 </w:t>
            </w:r>
            <w:r>
              <w:rPr>
                <w:rFonts w:ascii="Times New Roman" w:hAnsi="Times New Roman" w:cs="Times New Roman" w:eastAsia="Times New Roman" w:hint="default"/>
                <w:sz w:val="21"/>
                <w:szCs w:val="21"/>
              </w:rPr>
              <w:t>718</w:t>
            </w:r>
            <w:r>
              <w:rPr>
                <w:rFonts w:ascii="宋体" w:hAnsi="宋体" w:cs="宋体" w:eastAsia="宋体" w:hint="default"/>
                <w:sz w:val="21"/>
                <w:szCs w:val="21"/>
              </w:rPr>
              <w:t>号房</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96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2016.11.1-2018.10.30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2016.11.1-2017.10.31</w:t>
            </w:r>
          </w:p>
          <w:p>
            <w:pPr>
              <w:pStyle w:val="TableParagraph"/>
              <w:spacing w:line="256" w:lineRule="auto" w:before="21"/>
              <w:ind w:left="2" w:right="228"/>
              <w:jc w:val="left"/>
              <w:rPr>
                <w:rFonts w:ascii="宋体" w:hAnsi="宋体" w:cs="宋体" w:eastAsia="宋体" w:hint="default"/>
                <w:sz w:val="21"/>
                <w:szCs w:val="21"/>
              </w:rPr>
            </w:pPr>
            <w:r>
              <w:rPr>
                <w:rFonts w:ascii="宋体" w:hAnsi="宋体" w:cs="宋体" w:eastAsia="宋体" w:hint="default"/>
                <w:sz w:val="21"/>
                <w:szCs w:val="21"/>
              </w:rPr>
              <w:t>的月租金为</w:t>
            </w:r>
            <w:r>
              <w:rPr>
                <w:rFonts w:ascii="Times New Roman" w:hAnsi="Times New Roman" w:cs="Times New Roman" w:eastAsia="Times New Roman" w:hint="default"/>
                <w:sz w:val="21"/>
                <w:szCs w:val="21"/>
              </w:rPr>
              <w:t>11,096 </w:t>
            </w:r>
            <w:r>
              <w:rPr>
                <w:rFonts w:ascii="宋体" w:hAnsi="宋体" w:cs="宋体" w:eastAsia="宋体" w:hint="default"/>
                <w:sz w:val="21"/>
                <w:szCs w:val="21"/>
              </w:rPr>
              <w:t>元；</w:t>
            </w:r>
          </w:p>
          <w:p>
            <w:pPr>
              <w:pStyle w:val="TableParagraph"/>
              <w:spacing w:line="240" w:lineRule="auto" w:before="71"/>
              <w:ind w:left="2" w:right="0"/>
              <w:jc w:val="left"/>
              <w:rPr>
                <w:rFonts w:ascii="Times New Roman" w:hAnsi="Times New Roman" w:cs="Times New Roman" w:eastAsia="Times New Roman" w:hint="default"/>
                <w:sz w:val="21"/>
                <w:szCs w:val="21"/>
              </w:rPr>
            </w:pPr>
            <w:r>
              <w:rPr>
                <w:rFonts w:ascii="Times New Roman"/>
                <w:sz w:val="21"/>
              </w:rPr>
              <w:t>2017.11.1-2018.10.30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7,592</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窦同力</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1"/>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宁</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长</w:t>
            </w:r>
            <w:r>
              <w:rPr>
                <w:rFonts w:ascii="宋体" w:hAnsi="宋体" w:cs="宋体" w:eastAsia="宋体" w:hint="default"/>
                <w:sz w:val="21"/>
                <w:szCs w:val="21"/>
              </w:rPr>
              <w:t> </w:t>
            </w:r>
            <w:r>
              <w:rPr>
                <w:rFonts w:ascii="宋体" w:hAnsi="宋体" w:cs="宋体" w:eastAsia="宋体" w:hint="default"/>
                <w:spacing w:val="30"/>
                <w:sz w:val="21"/>
                <w:szCs w:val="21"/>
              </w:rPr>
              <w:t>宁路</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1661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弄</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 </w:t>
            </w:r>
            <w:r>
              <w:rPr>
                <w:rFonts w:ascii="Times New Roman" w:hAnsi="Times New Roman" w:cs="Times New Roman" w:eastAsia="Times New Roman" w:hint="default"/>
                <w:sz w:val="21"/>
                <w:szCs w:val="21"/>
              </w:rPr>
              <w:t>204</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144.95</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2015.12.10-2018.12.9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9,500</w:t>
            </w:r>
            <w:r>
              <w:rPr>
                <w:rFonts w:ascii="宋体" w:hAnsi="宋体" w:cs="宋体" w:eastAsia="宋体" w:hint="default"/>
                <w:sz w:val="21"/>
                <w:szCs w:val="21"/>
              </w:rPr>
              <w:t>元。</w:t>
            </w:r>
          </w:p>
        </w:tc>
      </w:tr>
      <w:tr>
        <w:trPr>
          <w:trHeight w:val="972"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center"/>
              <w:rPr>
                <w:rFonts w:ascii="宋体" w:hAnsi="宋体" w:cs="宋体" w:eastAsia="宋体" w:hint="default"/>
                <w:sz w:val="21"/>
                <w:szCs w:val="21"/>
              </w:rPr>
            </w:pPr>
            <w:r>
              <w:rPr>
                <w:rFonts w:ascii="宋体" w:hAnsi="宋体" w:cs="宋体" w:eastAsia="宋体" w:hint="default"/>
                <w:sz w:val="21"/>
                <w:szCs w:val="21"/>
              </w:rPr>
              <w:t>上海英孚特 电子技术有 限公司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上海红 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2"/>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闵</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纪</w:t>
            </w:r>
            <w:r>
              <w:rPr>
                <w:rFonts w:ascii="宋体" w:hAnsi="宋体" w:cs="宋体" w:eastAsia="宋体" w:hint="default"/>
                <w:sz w:val="21"/>
                <w:szCs w:val="21"/>
              </w:rPr>
              <w:t> </w:t>
            </w:r>
            <w:r>
              <w:rPr>
                <w:rFonts w:ascii="宋体" w:hAnsi="宋体" w:cs="宋体" w:eastAsia="宋体" w:hint="default"/>
                <w:spacing w:val="-2"/>
                <w:sz w:val="21"/>
                <w:szCs w:val="21"/>
              </w:rPr>
              <w:t>宏路</w:t>
            </w:r>
            <w:r>
              <w:rPr>
                <w:rFonts w:ascii="Times New Roman" w:hAnsi="Times New Roman" w:cs="Times New Roman" w:eastAsia="Times New Roman" w:hint="default"/>
                <w:spacing w:val="-2"/>
                <w:sz w:val="21"/>
                <w:szCs w:val="21"/>
              </w:rPr>
              <w:t>81</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201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165.27</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2016.1.1-2018.12.31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p>
        </w:tc>
      </w:tr>
    </w:tbl>
    <w:p>
      <w:pPr>
        <w:spacing w:after="0" w:line="287"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5"/>
        <w:gridCol w:w="1277"/>
        <w:gridCol w:w="670"/>
        <w:gridCol w:w="1683"/>
        <w:gridCol w:w="670"/>
        <w:gridCol w:w="880"/>
        <w:gridCol w:w="2121"/>
        <w:gridCol w:w="1874"/>
      </w:tblGrid>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刘靖华</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2"/>
              <w:jc w:val="both"/>
              <w:rPr>
                <w:rFonts w:ascii="Times New Roman" w:hAnsi="Times New Roman" w:cs="Times New Roman" w:eastAsia="Times New Roman" w:hint="default"/>
                <w:sz w:val="21"/>
                <w:szCs w:val="21"/>
              </w:rPr>
            </w:pPr>
            <w:r>
              <w:rPr>
                <w:rFonts w:ascii="宋体" w:hAnsi="宋体" w:cs="宋体" w:eastAsia="宋体" w:hint="default"/>
                <w:sz w:val="21"/>
                <w:szCs w:val="21"/>
              </w:rPr>
              <w:t>重</w:t>
            </w:r>
            <w:r>
              <w:rPr>
                <w:rFonts w:ascii="宋体" w:hAnsi="宋体" w:cs="宋体" w:eastAsia="宋体" w:hint="default"/>
                <w:spacing w:val="-73"/>
                <w:sz w:val="21"/>
                <w:szCs w:val="21"/>
              </w:rPr>
              <w:t> </w:t>
            </w:r>
            <w:r>
              <w:rPr>
                <w:rFonts w:ascii="宋体" w:hAnsi="宋体" w:cs="宋体" w:eastAsia="宋体" w:hint="default"/>
                <w:sz w:val="21"/>
                <w:szCs w:val="21"/>
              </w:rPr>
              <w:t>庆</w:t>
            </w:r>
            <w:r>
              <w:rPr>
                <w:rFonts w:ascii="宋体" w:hAnsi="宋体" w:cs="宋体" w:eastAsia="宋体" w:hint="default"/>
                <w:spacing w:val="-73"/>
                <w:sz w:val="21"/>
                <w:szCs w:val="21"/>
              </w:rPr>
              <w:t> </w:t>
            </w:r>
            <w:r>
              <w:rPr>
                <w:rFonts w:ascii="宋体" w:hAnsi="宋体" w:cs="宋体" w:eastAsia="宋体" w:hint="default"/>
                <w:sz w:val="21"/>
                <w:szCs w:val="21"/>
              </w:rPr>
              <w:t>沙</w:t>
            </w:r>
            <w:r>
              <w:rPr>
                <w:rFonts w:ascii="宋体" w:hAnsi="宋体" w:cs="宋体" w:eastAsia="宋体" w:hint="default"/>
                <w:spacing w:val="-73"/>
                <w:sz w:val="21"/>
                <w:szCs w:val="21"/>
              </w:rPr>
              <w:t> </w:t>
            </w:r>
            <w:r>
              <w:rPr>
                <w:rFonts w:ascii="宋体" w:hAnsi="宋体" w:cs="宋体" w:eastAsia="宋体" w:hint="default"/>
                <w:sz w:val="21"/>
                <w:szCs w:val="21"/>
              </w:rPr>
              <w:t>坪</w:t>
            </w:r>
            <w:r>
              <w:rPr>
                <w:rFonts w:ascii="宋体" w:hAnsi="宋体" w:cs="宋体" w:eastAsia="宋体" w:hint="default"/>
                <w:spacing w:val="-73"/>
                <w:sz w:val="21"/>
                <w:szCs w:val="21"/>
              </w:rPr>
              <w:t> </w:t>
            </w:r>
            <w:r>
              <w:rPr>
                <w:rFonts w:ascii="宋体" w:hAnsi="宋体" w:cs="宋体" w:eastAsia="宋体" w:hint="default"/>
                <w:sz w:val="21"/>
                <w:szCs w:val="21"/>
              </w:rPr>
              <w:t>坝</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z w:val="21"/>
                <w:szCs w:val="21"/>
              </w:rPr>
              <w:t> </w:t>
            </w:r>
            <w:r>
              <w:rPr>
                <w:rFonts w:ascii="宋体" w:hAnsi="宋体" w:cs="宋体" w:eastAsia="宋体" w:hint="default"/>
                <w:spacing w:val="9"/>
                <w:sz w:val="21"/>
                <w:szCs w:val="21"/>
              </w:rPr>
              <w:t>学城北路</w:t>
            </w:r>
            <w:r>
              <w:rPr>
                <w:rFonts w:ascii="Times New Roman" w:hAnsi="Times New Roman" w:cs="Times New Roman" w:eastAsia="Times New Roman" w:hint="default"/>
                <w:spacing w:val="9"/>
                <w:sz w:val="21"/>
                <w:szCs w:val="21"/>
              </w:rPr>
              <w:t>94</w:t>
            </w:r>
            <w:r>
              <w:rPr>
                <w:rFonts w:ascii="宋体" w:hAnsi="宋体" w:cs="宋体" w:eastAsia="宋体" w:hint="default"/>
                <w:spacing w:val="9"/>
                <w:sz w:val="21"/>
                <w:szCs w:val="21"/>
              </w:rPr>
              <w:t>号附</w:t>
            </w:r>
            <w:r>
              <w:rPr>
                <w:rFonts w:ascii="Times New Roman" w:hAnsi="Times New Roman" w:cs="Times New Roman" w:eastAsia="Times New Roman" w:hint="default"/>
                <w:spacing w:val="9"/>
                <w:sz w:val="21"/>
                <w:szCs w:val="21"/>
              </w:rPr>
              <w:t>1</w:t>
            </w:r>
            <w:r>
              <w:rPr>
                <w:rFonts w:ascii="Times New Roman" w:hAnsi="Times New Roman" w:cs="Times New Roman" w:eastAsia="Times New Roman" w:hint="default"/>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18-9</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46.6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2016.12.5-2018.12.4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1,350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张克芹</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1"/>
              <w:jc w:val="both"/>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spacing w:val="-73"/>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r>
              <w:rPr>
                <w:rFonts w:ascii="宋体" w:hAnsi="宋体" w:cs="宋体" w:eastAsia="宋体" w:hint="default"/>
                <w:spacing w:val="9"/>
                <w:sz w:val="21"/>
                <w:szCs w:val="21"/>
              </w:rPr>
              <w:t>兴街南五马路</w:t>
            </w:r>
            <w:r>
              <w:rPr>
                <w:rFonts w:ascii="Times New Roman" w:hAnsi="Times New Roman" w:cs="Times New Roman" w:eastAsia="Times New Roman" w:hint="default"/>
                <w:spacing w:val="9"/>
                <w:sz w:val="21"/>
                <w:szCs w:val="21"/>
              </w:rPr>
              <w:t>121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号万丽城</w:t>
            </w:r>
            <w:r>
              <w:rPr>
                <w:rFonts w:ascii="Times New Roman" w:hAnsi="Times New Roman" w:cs="Times New Roman" w:eastAsia="Times New Roman" w:hint="default"/>
                <w:sz w:val="21"/>
                <w:szCs w:val="21"/>
              </w:rPr>
              <w:t>1204</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63.14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2015.5.1-</w:t>
            </w:r>
          </w:p>
          <w:p>
            <w:pPr>
              <w:pStyle w:val="TableParagraph"/>
              <w:spacing w:line="240" w:lineRule="auto" w:before="71"/>
              <w:ind w:left="2" w:right="0"/>
              <w:jc w:val="left"/>
              <w:rPr>
                <w:rFonts w:ascii="Times New Roman" w:hAnsi="Times New Roman" w:cs="Times New Roman" w:eastAsia="Times New Roman" w:hint="default"/>
                <w:sz w:val="21"/>
                <w:szCs w:val="21"/>
              </w:rPr>
            </w:pPr>
            <w:r>
              <w:rPr>
                <w:rFonts w:ascii="Times New Roman"/>
                <w:sz w:val="21"/>
              </w:rPr>
              <w:t>2017.4.30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5" w:right="1" w:hanging="524"/>
              <w:jc w:val="left"/>
              <w:rPr>
                <w:rFonts w:ascii="宋体" w:hAnsi="宋体" w:cs="宋体" w:eastAsia="宋体" w:hint="default"/>
                <w:sz w:val="21"/>
                <w:szCs w:val="21"/>
              </w:rPr>
            </w:pPr>
            <w:r>
              <w:rPr>
                <w:rFonts w:ascii="宋体" w:hAnsi="宋体" w:cs="宋体" w:eastAsia="宋体" w:hint="default"/>
                <w:sz w:val="21"/>
                <w:szCs w:val="21"/>
              </w:rPr>
              <w:t>张丽华、肖天 国</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济</w:t>
            </w:r>
            <w:r>
              <w:rPr>
                <w:rFonts w:ascii="宋体" w:hAnsi="宋体" w:cs="宋体" w:eastAsia="宋体" w:hint="default"/>
                <w:spacing w:val="-73"/>
                <w:sz w:val="21"/>
                <w:szCs w:val="21"/>
              </w:rPr>
              <w:t> </w:t>
            </w:r>
            <w:r>
              <w:rPr>
                <w:rFonts w:ascii="宋体" w:hAnsi="宋体" w:cs="宋体" w:eastAsia="宋体" w:hint="default"/>
                <w:sz w:val="21"/>
                <w:szCs w:val="21"/>
              </w:rPr>
              <w:t>开</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z w:val="21"/>
                <w:szCs w:val="21"/>
              </w:rPr>
              <w:t> 苍</w:t>
            </w:r>
            <w:r>
              <w:rPr>
                <w:rFonts w:ascii="宋体" w:hAnsi="宋体" w:cs="宋体" w:eastAsia="宋体" w:hint="default"/>
                <w:spacing w:val="-73"/>
                <w:sz w:val="21"/>
                <w:szCs w:val="21"/>
              </w:rPr>
              <w:t> </w:t>
            </w:r>
            <w:r>
              <w:rPr>
                <w:rFonts w:ascii="宋体" w:hAnsi="宋体" w:cs="宋体" w:eastAsia="宋体" w:hint="default"/>
                <w:sz w:val="21"/>
                <w:szCs w:val="21"/>
              </w:rPr>
              <w:t>山</w:t>
            </w:r>
            <w:r>
              <w:rPr>
                <w:rFonts w:ascii="宋体" w:hAnsi="宋体" w:cs="宋体" w:eastAsia="宋体" w:hint="default"/>
                <w:spacing w:val="-73"/>
                <w:sz w:val="21"/>
                <w:szCs w:val="21"/>
              </w:rPr>
              <w:t> </w:t>
            </w:r>
            <w:r>
              <w:rPr>
                <w:rFonts w:ascii="宋体" w:hAnsi="宋体" w:cs="宋体" w:eastAsia="宋体" w:hint="default"/>
                <w:sz w:val="21"/>
                <w:szCs w:val="21"/>
              </w:rPr>
              <w:t>路</w:t>
            </w:r>
            <w:r>
              <w:rPr>
                <w:rFonts w:ascii="宋体" w:hAnsi="宋体" w:cs="宋体" w:eastAsia="宋体" w:hint="default"/>
                <w:spacing w:val="-73"/>
                <w:sz w:val="21"/>
                <w:szCs w:val="21"/>
              </w:rPr>
              <w:t> </w:t>
            </w:r>
            <w:r>
              <w:rPr>
                <w:rFonts w:ascii="宋体" w:hAnsi="宋体" w:cs="宋体" w:eastAsia="宋体" w:hint="default"/>
                <w:sz w:val="21"/>
                <w:szCs w:val="21"/>
              </w:rPr>
              <w:t>华</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4"/>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z w:val="21"/>
                <w:szCs w:val="21"/>
              </w:rPr>
              <w:t> 城</w:t>
            </w:r>
            <w:r>
              <w:rPr>
                <w:rFonts w:ascii="Times New Roman" w:hAnsi="Times New Roman" w:cs="Times New Roman" w:eastAsia="Times New Roman" w:hint="default"/>
                <w:sz w:val="21"/>
                <w:szCs w:val="21"/>
              </w:rPr>
              <w:t>A</w:t>
            </w:r>
            <w:r>
              <w:rPr>
                <w:rFonts w:ascii="宋体" w:hAnsi="宋体" w:cs="宋体" w:eastAsia="宋体" w:hint="default"/>
                <w:sz w:val="21"/>
                <w:szCs w:val="21"/>
              </w:rPr>
              <w:t>幢</w:t>
            </w:r>
            <w:r>
              <w:rPr>
                <w:rFonts w:ascii="Times New Roman" w:hAnsi="Times New Roman" w:cs="Times New Roman" w:eastAsia="Times New Roman" w:hint="default"/>
                <w:sz w:val="21"/>
                <w:szCs w:val="21"/>
              </w:rPr>
              <w:t>10-11</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307</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2016.7.20-2017.7.19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2,000</w:t>
            </w:r>
            <w:r>
              <w:rPr>
                <w:rFonts w:ascii="宋体" w:hAnsi="宋体" w:cs="宋体" w:eastAsia="宋体" w:hint="default"/>
                <w:sz w:val="21"/>
                <w:szCs w:val="21"/>
              </w:rPr>
              <w:t>元。</w:t>
            </w:r>
          </w:p>
        </w:tc>
      </w:tr>
      <w:tr>
        <w:trPr>
          <w:trHeight w:val="972"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徐志明</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珠</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艺</w:t>
            </w:r>
            <w:r>
              <w:rPr>
                <w:rFonts w:ascii="宋体" w:hAnsi="宋体" w:cs="宋体" w:eastAsia="宋体" w:hint="default"/>
                <w:sz w:val="21"/>
                <w:szCs w:val="21"/>
              </w:rPr>
              <w:t> 景</w:t>
            </w:r>
            <w:r>
              <w:rPr>
                <w:rFonts w:ascii="宋体" w:hAnsi="宋体" w:cs="宋体" w:eastAsia="宋体" w:hint="default"/>
                <w:spacing w:val="-57"/>
                <w:sz w:val="21"/>
                <w:szCs w:val="21"/>
              </w:rPr>
              <w:t> </w:t>
            </w:r>
            <w:r>
              <w:rPr>
                <w:rFonts w:ascii="宋体" w:hAnsi="宋体" w:cs="宋体" w:eastAsia="宋体" w:hint="default"/>
                <w:sz w:val="21"/>
                <w:szCs w:val="21"/>
              </w:rPr>
              <w:t>路</w:t>
            </w:r>
            <w:r>
              <w:rPr>
                <w:rFonts w:ascii="宋体" w:hAnsi="宋体" w:cs="宋体" w:eastAsia="宋体" w:hint="default"/>
                <w:spacing w:val="-57"/>
                <w:sz w:val="21"/>
                <w:szCs w:val="21"/>
              </w:rPr>
              <w:t> </w:t>
            </w:r>
            <w:r>
              <w:rPr>
                <w:rFonts w:ascii="宋体" w:hAnsi="宋体" w:cs="宋体" w:eastAsia="宋体" w:hint="default"/>
                <w:sz w:val="21"/>
                <w:szCs w:val="21"/>
              </w:rPr>
              <w:t>锦</w:t>
            </w:r>
            <w:r>
              <w:rPr>
                <w:rFonts w:ascii="宋体" w:hAnsi="宋体" w:cs="宋体" w:eastAsia="宋体" w:hint="default"/>
                <w:spacing w:val="-55"/>
                <w:sz w:val="21"/>
                <w:szCs w:val="21"/>
              </w:rPr>
              <w:t> </w:t>
            </w:r>
            <w:r>
              <w:rPr>
                <w:rFonts w:ascii="宋体" w:hAnsi="宋体" w:cs="宋体" w:eastAsia="宋体" w:hint="default"/>
                <w:sz w:val="21"/>
                <w:szCs w:val="21"/>
              </w:rPr>
              <w:t>豪</w:t>
            </w:r>
            <w:r>
              <w:rPr>
                <w:rFonts w:ascii="宋体" w:hAnsi="宋体" w:cs="宋体" w:eastAsia="宋体" w:hint="default"/>
                <w:spacing w:val="-55"/>
                <w:sz w:val="21"/>
                <w:szCs w:val="21"/>
              </w:rPr>
              <w:t> </w:t>
            </w:r>
            <w:r>
              <w:rPr>
                <w:rFonts w:ascii="宋体" w:hAnsi="宋体" w:cs="宋体" w:eastAsia="宋体" w:hint="default"/>
                <w:sz w:val="21"/>
                <w:szCs w:val="21"/>
              </w:rPr>
              <w:t>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 </w:t>
            </w:r>
            <w:r>
              <w:rPr>
                <w:rFonts w:ascii="Times New Roman" w:hAnsi="Times New Roman" w:cs="Times New Roman" w:eastAsia="Times New Roman" w:hint="default"/>
                <w:sz w:val="21"/>
                <w:szCs w:val="21"/>
              </w:rPr>
              <w:t>603</w:t>
            </w:r>
            <w:r>
              <w:rPr>
                <w:rFonts w:ascii="宋体" w:hAnsi="宋体" w:cs="宋体" w:eastAsia="宋体" w:hint="default"/>
                <w:sz w:val="21"/>
                <w:szCs w:val="21"/>
              </w:rPr>
              <w:t>房号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153.95</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2016.1.21-</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2019.1.21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7,000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周爱萍</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0"/>
              <w:jc w:val="both"/>
              <w:rPr>
                <w:rFonts w:ascii="宋体" w:hAnsi="宋体" w:cs="宋体" w:eastAsia="宋体" w:hint="default"/>
                <w:sz w:val="21"/>
                <w:szCs w:val="21"/>
              </w:rPr>
            </w:pPr>
            <w:r>
              <w:rPr>
                <w:rFonts w:ascii="宋体" w:hAnsi="宋体" w:cs="宋体" w:eastAsia="宋体" w:hint="default"/>
                <w:sz w:val="21"/>
                <w:szCs w:val="21"/>
              </w:rPr>
              <w:t>济</w:t>
            </w:r>
            <w:r>
              <w:rPr>
                <w:rFonts w:ascii="宋体" w:hAnsi="宋体" w:cs="宋体" w:eastAsia="宋体" w:hint="default"/>
                <w:spacing w:val="-73"/>
                <w:sz w:val="21"/>
                <w:szCs w:val="21"/>
              </w:rPr>
              <w:t> </w:t>
            </w:r>
            <w:r>
              <w:rPr>
                <w:rFonts w:ascii="宋体" w:hAnsi="宋体" w:cs="宋体" w:eastAsia="宋体" w:hint="default"/>
                <w:sz w:val="21"/>
                <w:szCs w:val="21"/>
              </w:rPr>
              <w:t>南</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槐</w:t>
            </w:r>
            <w:r>
              <w:rPr>
                <w:rFonts w:ascii="宋体" w:hAnsi="宋体" w:cs="宋体" w:eastAsia="宋体" w:hint="default"/>
                <w:spacing w:val="-73"/>
                <w:sz w:val="21"/>
                <w:szCs w:val="21"/>
              </w:rPr>
              <w:t> </w:t>
            </w:r>
            <w:r>
              <w:rPr>
                <w:rFonts w:ascii="宋体" w:hAnsi="宋体" w:cs="宋体" w:eastAsia="宋体" w:hint="default"/>
                <w:sz w:val="21"/>
                <w:szCs w:val="21"/>
              </w:rPr>
              <w:t>萌</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阳</w:t>
            </w:r>
            <w:r>
              <w:rPr>
                <w:rFonts w:ascii="宋体" w:hAnsi="宋体" w:cs="宋体" w:eastAsia="宋体" w:hint="default"/>
                <w:sz w:val="21"/>
                <w:szCs w:val="21"/>
              </w:rPr>
              <w:t> </w:t>
            </w:r>
            <w:r>
              <w:rPr>
                <w:rFonts w:ascii="宋体" w:hAnsi="宋体" w:cs="宋体" w:eastAsia="宋体" w:hint="default"/>
                <w:spacing w:val="21"/>
                <w:sz w:val="21"/>
                <w:szCs w:val="21"/>
              </w:rPr>
              <w:t>光新路</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光</w:t>
            </w:r>
            <w:r>
              <w:rPr>
                <w:rFonts w:ascii="宋体" w:hAnsi="宋体" w:cs="宋体" w:eastAsia="宋体" w:hint="default"/>
                <w:sz w:val="21"/>
                <w:szCs w:val="21"/>
              </w:rPr>
              <w:t> </w:t>
            </w:r>
            <w:r>
              <w:rPr>
                <w:rFonts w:ascii="Times New Roman" w:hAnsi="Times New Roman" w:cs="Times New Roman" w:eastAsia="Times New Roman" w:hint="default"/>
                <w:spacing w:val="8"/>
                <w:sz w:val="21"/>
                <w:szCs w:val="21"/>
              </w:rPr>
              <w:t>100</w:t>
            </w:r>
            <w:r>
              <w:rPr>
                <w:rFonts w:ascii="宋体" w:hAnsi="宋体" w:cs="宋体" w:eastAsia="宋体" w:hint="default"/>
                <w:spacing w:val="8"/>
                <w:sz w:val="21"/>
                <w:szCs w:val="21"/>
              </w:rPr>
              <w:t>国际新城</w:t>
            </w:r>
            <w:r>
              <w:rPr>
                <w:rFonts w:ascii="Times New Roman" w:hAnsi="Times New Roman" w:cs="Times New Roman" w:eastAsia="Times New Roman" w:hint="default"/>
                <w:spacing w:val="8"/>
                <w:sz w:val="21"/>
                <w:szCs w:val="21"/>
              </w:rPr>
              <w:t>27</w:t>
            </w:r>
            <w:r>
              <w:rPr>
                <w:rFonts w:ascii="宋体" w:hAnsi="宋体" w:cs="宋体" w:eastAsia="宋体" w:hint="default"/>
                <w:spacing w:val="8"/>
                <w:sz w:val="21"/>
                <w:szCs w:val="21"/>
              </w:rPr>
              <w:t>号</w:t>
            </w:r>
            <w:r>
              <w:rPr>
                <w:rFonts w:ascii="宋体" w:hAnsi="宋体" w:cs="宋体" w:eastAsia="宋体" w:hint="default"/>
                <w:spacing w:val="-101"/>
                <w:sz w:val="21"/>
                <w:szCs w:val="21"/>
              </w:rPr>
              <w:t> </w:t>
            </w:r>
            <w:r>
              <w:rPr>
                <w:rFonts w:ascii="宋体" w:hAnsi="宋体" w:cs="宋体" w:eastAsia="宋体" w:hint="default"/>
                <w:sz w:val="21"/>
                <w:szCs w:val="21"/>
              </w:rPr>
              <w:t>楼</w:t>
            </w:r>
            <w:r>
              <w:rPr>
                <w:rFonts w:ascii="Times New Roman" w:hAnsi="Times New Roman" w:cs="Times New Roman" w:eastAsia="Times New Roman" w:hint="default"/>
                <w:sz w:val="21"/>
                <w:szCs w:val="21"/>
              </w:rPr>
              <w:t>2-702</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128.62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2016.9.20-2018.9.20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白莉萍</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1"/>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口</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龙</w:t>
            </w:r>
            <w:r>
              <w:rPr>
                <w:rFonts w:ascii="宋体" w:hAnsi="宋体" w:cs="宋体" w:eastAsia="宋体" w:hint="default"/>
                <w:spacing w:val="-73"/>
                <w:sz w:val="21"/>
                <w:szCs w:val="21"/>
              </w:rPr>
              <w:t> </w:t>
            </w:r>
            <w:r>
              <w:rPr>
                <w:rFonts w:ascii="宋体" w:hAnsi="宋体" w:cs="宋体" w:eastAsia="宋体" w:hint="default"/>
                <w:sz w:val="21"/>
                <w:szCs w:val="21"/>
              </w:rPr>
              <w:t>华</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z w:val="21"/>
                <w:szCs w:val="21"/>
              </w:rPr>
              <w:t> </w:t>
            </w:r>
            <w:r>
              <w:rPr>
                <w:rFonts w:ascii="宋体" w:hAnsi="宋体" w:cs="宋体" w:eastAsia="宋体" w:hint="default"/>
                <w:spacing w:val="16"/>
                <w:sz w:val="21"/>
                <w:szCs w:val="21"/>
              </w:rPr>
              <w:t>贸路</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城</w:t>
            </w:r>
            <w:r>
              <w:rPr>
                <w:rFonts w:ascii="宋体" w:hAnsi="宋体" w:cs="宋体" w:eastAsia="宋体" w:hint="default"/>
                <w:spacing w:val="-75"/>
                <w:sz w:val="21"/>
                <w:szCs w:val="21"/>
              </w:rPr>
              <w:t> </w:t>
            </w:r>
            <w:r>
              <w:rPr>
                <w:rFonts w:ascii="宋体" w:hAnsi="宋体" w:cs="宋体" w:eastAsia="宋体" w:hint="default"/>
                <w:sz w:val="21"/>
                <w:szCs w:val="21"/>
              </w:rPr>
              <w:t>市</w:t>
            </w:r>
            <w:r>
              <w:rPr>
                <w:rFonts w:ascii="宋体" w:hAnsi="宋体" w:cs="宋体" w:eastAsia="宋体" w:hint="default"/>
                <w:spacing w:val="-74"/>
                <w:sz w:val="21"/>
                <w:szCs w:val="21"/>
              </w:rPr>
              <w:t> </w:t>
            </w:r>
            <w:r>
              <w:rPr>
                <w:rFonts w:ascii="宋体" w:hAnsi="宋体" w:cs="宋体" w:eastAsia="宋体" w:hint="default"/>
                <w:sz w:val="21"/>
                <w:szCs w:val="21"/>
              </w:rPr>
              <w:t>精</w:t>
            </w:r>
            <w:r>
              <w:rPr>
                <w:rFonts w:ascii="宋体" w:hAnsi="宋体" w:cs="宋体" w:eastAsia="宋体" w:hint="default"/>
                <w:sz w:val="21"/>
                <w:szCs w:val="21"/>
              </w:rPr>
              <w:t> 英 </w:t>
            </w:r>
            <w:r>
              <w:rPr>
                <w:rFonts w:ascii="Times New Roman" w:hAnsi="Times New Roman" w:cs="Times New Roman" w:eastAsia="Times New Roman" w:hint="default"/>
                <w:sz w:val="21"/>
                <w:szCs w:val="21"/>
              </w:rPr>
              <w:t>B </w:t>
            </w:r>
            <w:r>
              <w:rPr>
                <w:rFonts w:ascii="宋体" w:hAnsi="宋体" w:cs="宋体" w:eastAsia="宋体" w:hint="default"/>
                <w:spacing w:val="47"/>
                <w:sz w:val="21"/>
                <w:szCs w:val="21"/>
              </w:rPr>
              <w:t>座第</w:t>
            </w:r>
            <w:r>
              <w:rPr>
                <w:rFonts w:ascii="宋体" w:hAnsi="宋体" w:cs="宋体" w:eastAsia="宋体" w:hint="default"/>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层 </w:t>
            </w:r>
            <w:r>
              <w:rPr>
                <w:rFonts w:ascii="Times New Roman" w:hAnsi="Times New Roman" w:cs="Times New Roman" w:eastAsia="Times New Roman" w:hint="default"/>
                <w:sz w:val="21"/>
                <w:szCs w:val="21"/>
              </w:rPr>
              <w:t>B2205</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118</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2016.03.1-2017.02.28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袁诚伟</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0"/>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口</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琼</w:t>
            </w:r>
            <w:r>
              <w:rPr>
                <w:rFonts w:ascii="宋体" w:hAnsi="宋体" w:cs="宋体" w:eastAsia="宋体" w:hint="default"/>
                <w:spacing w:val="-73"/>
                <w:sz w:val="21"/>
                <w:szCs w:val="21"/>
              </w:rPr>
              <w:t> </w:t>
            </w:r>
            <w:r>
              <w:rPr>
                <w:rFonts w:ascii="宋体" w:hAnsi="宋体" w:cs="宋体" w:eastAsia="宋体" w:hint="default"/>
                <w:sz w:val="21"/>
                <w:szCs w:val="21"/>
              </w:rPr>
              <w:t>山</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振</w:t>
            </w:r>
            <w:r>
              <w:rPr>
                <w:rFonts w:ascii="宋体" w:hAnsi="宋体" w:cs="宋体" w:eastAsia="宋体" w:hint="default"/>
                <w:sz w:val="21"/>
                <w:szCs w:val="21"/>
              </w:rPr>
              <w:t> 兴路</w:t>
            </w:r>
            <w:r>
              <w:rPr>
                <w:rFonts w:ascii="Times New Roman" w:hAnsi="Times New Roman" w:cs="Times New Roman" w:eastAsia="Times New Roman" w:hint="default"/>
                <w:sz w:val="21"/>
                <w:szCs w:val="21"/>
              </w:rPr>
              <w:t>91-1</w:t>
            </w:r>
            <w:r>
              <w:rPr>
                <w:rFonts w:ascii="宋体" w:hAnsi="宋体" w:cs="宋体" w:eastAsia="宋体" w:hint="default"/>
                <w:sz w:val="21"/>
                <w:szCs w:val="21"/>
              </w:rPr>
              <w:t>号康馨花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4"/>
                <w:sz w:val="21"/>
                <w:szCs w:val="21"/>
              </w:rPr>
              <w:t>园德馨阁</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楼</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610 </w:t>
            </w:r>
            <w:r>
              <w:rPr>
                <w:rFonts w:ascii="宋体" w:hAnsi="宋体" w:cs="宋体" w:eastAsia="宋体" w:hint="default"/>
                <w:sz w:val="21"/>
                <w:szCs w:val="21"/>
              </w:rPr>
              <w:t>房</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83.13</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2017.10.10-2018.10.9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2,800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谢洪</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宋体" w:hAnsi="宋体" w:cs="宋体" w:eastAsia="宋体" w:hint="default"/>
                <w:spacing w:val="24"/>
                <w:sz w:val="21"/>
                <w:szCs w:val="21"/>
              </w:rPr>
              <w:t>昆明市春</w:t>
            </w:r>
            <w:r>
              <w:rPr>
                <w:rFonts w:ascii="宋体" w:hAnsi="宋体" w:cs="宋体" w:eastAsia="宋体" w:hint="default"/>
                <w:spacing w:val="-73"/>
                <w:sz w:val="21"/>
                <w:szCs w:val="21"/>
              </w:rPr>
              <w:t> </w:t>
            </w:r>
            <w:r>
              <w:rPr>
                <w:rFonts w:ascii="宋体" w:hAnsi="宋体" w:cs="宋体" w:eastAsia="宋体" w:hint="default"/>
                <w:spacing w:val="15"/>
                <w:sz w:val="21"/>
                <w:szCs w:val="21"/>
              </w:rPr>
              <w:t>城路</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64 </w:t>
            </w: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华</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厦</w:t>
            </w:r>
            <w:r>
              <w:rPr>
                <w:rFonts w:ascii="宋体" w:hAnsi="宋体" w:cs="宋体" w:eastAsia="宋体" w:hint="default"/>
                <w:spacing w:val="-74"/>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p>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pacing w:val="5"/>
                <w:sz w:val="21"/>
                <w:szCs w:val="21"/>
              </w:rPr>
              <w:t>（米兰国际）</w:t>
            </w: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座</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1506</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108</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2016.12.1-2018.11.30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宋倩</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昆</w:t>
            </w:r>
            <w:r>
              <w:rPr>
                <w:rFonts w:ascii="宋体" w:hAnsi="宋体" w:cs="宋体" w:eastAsia="宋体" w:hint="default"/>
                <w:spacing w:val="-73"/>
                <w:sz w:val="21"/>
                <w:szCs w:val="21"/>
              </w:rPr>
              <w:t> </w:t>
            </w:r>
            <w:r>
              <w:rPr>
                <w:rFonts w:ascii="宋体" w:hAnsi="宋体" w:cs="宋体" w:eastAsia="宋体" w:hint="default"/>
                <w:sz w:val="21"/>
                <w:szCs w:val="21"/>
              </w:rPr>
              <w:t>明</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春</w:t>
            </w:r>
            <w:r>
              <w:rPr>
                <w:rFonts w:ascii="宋体" w:hAnsi="宋体" w:cs="宋体" w:eastAsia="宋体" w:hint="default"/>
                <w:spacing w:val="-73"/>
                <w:sz w:val="21"/>
                <w:szCs w:val="21"/>
              </w:rPr>
              <w:t> </w:t>
            </w:r>
            <w:r>
              <w:rPr>
                <w:rFonts w:ascii="宋体" w:hAnsi="宋体" w:cs="宋体" w:eastAsia="宋体" w:hint="default"/>
                <w:sz w:val="21"/>
                <w:szCs w:val="21"/>
              </w:rPr>
              <w:t>城</w:t>
            </w:r>
            <w:r>
              <w:rPr>
                <w:rFonts w:ascii="宋体" w:hAnsi="宋体" w:cs="宋体" w:eastAsia="宋体" w:hint="default"/>
                <w:spacing w:val="-74"/>
                <w:sz w:val="21"/>
                <w:szCs w:val="21"/>
              </w:rPr>
              <w:t> </w:t>
            </w:r>
            <w:r>
              <w:rPr>
                <w:rFonts w:ascii="宋体" w:hAnsi="宋体" w:cs="宋体" w:eastAsia="宋体" w:hint="default"/>
                <w:sz w:val="21"/>
                <w:szCs w:val="21"/>
              </w:rPr>
              <w:t>路</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64</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华</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3"/>
                <w:sz w:val="21"/>
                <w:szCs w:val="21"/>
              </w:rPr>
              <w:t> </w:t>
            </w:r>
            <w:r>
              <w:rPr>
                <w:rFonts w:ascii="宋体" w:hAnsi="宋体" w:cs="宋体" w:eastAsia="宋体" w:hint="default"/>
                <w:sz w:val="21"/>
                <w:szCs w:val="21"/>
              </w:rPr>
              <w:t>厦</w:t>
            </w:r>
            <w:r>
              <w:rPr>
                <w:rFonts w:ascii="宋体" w:hAnsi="宋体" w:cs="宋体" w:eastAsia="宋体" w:hint="default"/>
                <w:spacing w:val="-74"/>
                <w:sz w:val="21"/>
                <w:szCs w:val="21"/>
              </w:rPr>
              <w:t> </w:t>
            </w:r>
            <w:r>
              <w:rPr>
                <w:rFonts w:ascii="宋体" w:hAnsi="宋体" w:cs="宋体" w:eastAsia="宋体" w:hint="default"/>
                <w:sz w:val="21"/>
                <w:szCs w:val="21"/>
              </w:rPr>
              <w:t>二</w:t>
            </w:r>
            <w:r>
              <w:rPr>
                <w:rFonts w:ascii="宋体" w:hAnsi="宋体" w:cs="宋体" w:eastAsia="宋体" w:hint="default"/>
                <w:spacing w:val="-73"/>
                <w:sz w:val="21"/>
                <w:szCs w:val="21"/>
              </w:rPr>
              <w:t> </w:t>
            </w:r>
            <w:r>
              <w:rPr>
                <w:rFonts w:ascii="宋体" w:hAnsi="宋体" w:cs="宋体" w:eastAsia="宋体" w:hint="default"/>
                <w:sz w:val="21"/>
                <w:szCs w:val="21"/>
              </w:rPr>
              <w:t>期</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pacing w:val="5"/>
                <w:sz w:val="21"/>
                <w:szCs w:val="21"/>
              </w:rPr>
              <w:t>（米兰国际）</w:t>
            </w: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座</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1503</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72.13</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2016.5.25-2018.05.25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2,200</w:t>
            </w:r>
            <w:r>
              <w:rPr>
                <w:rFonts w:ascii="宋体" w:hAnsi="宋体" w:cs="宋体" w:eastAsia="宋体" w:hint="default"/>
                <w:sz w:val="21"/>
                <w:szCs w:val="21"/>
              </w:rPr>
              <w:t>元。</w:t>
            </w:r>
          </w:p>
        </w:tc>
      </w:tr>
      <w:tr>
        <w:trPr>
          <w:trHeight w:val="972"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陈群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9"/>
              <w:jc w:val="both"/>
              <w:rPr>
                <w:rFonts w:ascii="宋体" w:hAnsi="宋体" w:cs="宋体" w:eastAsia="宋体" w:hint="default"/>
                <w:sz w:val="21"/>
                <w:szCs w:val="21"/>
              </w:rPr>
            </w:pPr>
            <w:r>
              <w:rPr>
                <w:rFonts w:ascii="宋体" w:hAnsi="宋体" w:cs="宋体" w:eastAsia="宋体" w:hint="default"/>
                <w:spacing w:val="9"/>
                <w:sz w:val="21"/>
                <w:szCs w:val="21"/>
              </w:rPr>
              <w:t>武汉市中北路</w:t>
            </w:r>
            <w:r>
              <w:rPr>
                <w:rFonts w:ascii="Times New Roman" w:hAnsi="Times New Roman" w:cs="Times New Roman" w:eastAsia="Times New Roman" w:hint="default"/>
                <w:spacing w:val="9"/>
                <w:sz w:val="21"/>
                <w:szCs w:val="21"/>
              </w:rPr>
              <w:t>233</w:t>
            </w:r>
            <w:r>
              <w:rPr>
                <w:rFonts w:ascii="Times New Roman" w:hAnsi="Times New Roman" w:cs="Times New Roman" w:eastAsia="Times New Roman" w:hint="default"/>
                <w:spacing w:val="-48"/>
                <w:sz w:val="21"/>
                <w:szCs w:val="21"/>
              </w:rPr>
              <w:t> </w:t>
            </w:r>
            <w:r>
              <w:rPr>
                <w:rFonts w:ascii="宋体" w:hAnsi="宋体" w:cs="宋体" w:eastAsia="宋体" w:hint="default"/>
                <w:spacing w:val="12"/>
                <w:sz w:val="21"/>
                <w:szCs w:val="21"/>
              </w:rPr>
              <w:t>号彩城大厦</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单元 </w:t>
            </w:r>
            <w:r>
              <w:rPr>
                <w:rFonts w:ascii="Times New Roman" w:hAnsi="Times New Roman" w:cs="Times New Roman" w:eastAsia="Times New Roman" w:hint="default"/>
                <w:sz w:val="21"/>
                <w:szCs w:val="21"/>
              </w:rPr>
              <w:t>9</w:t>
            </w:r>
            <w:r>
              <w:rPr>
                <w:rFonts w:ascii="宋体" w:hAnsi="宋体" w:cs="宋体" w:eastAsia="宋体" w:hint="default"/>
                <w:sz w:val="21"/>
                <w:szCs w:val="21"/>
              </w:rPr>
              <w:t>层</w:t>
            </w:r>
            <w:r>
              <w:rPr>
                <w:rFonts w:ascii="Times New Roman" w:hAnsi="Times New Roman" w:cs="Times New Roman" w:eastAsia="Times New Roman" w:hint="default"/>
                <w:sz w:val="21"/>
                <w:szCs w:val="21"/>
              </w:rPr>
              <w:t>5</w:t>
            </w:r>
            <w:r>
              <w:rPr>
                <w:rFonts w:ascii="宋体" w:hAnsi="宋体" w:cs="宋体" w:eastAsia="宋体" w:hint="default"/>
                <w:sz w:val="21"/>
                <w:szCs w:val="21"/>
              </w:rPr>
              <w:t>号房</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84.05</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2014.05.20-</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2017.05.19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2,400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黄艳丽</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25"/>
              <w:jc w:val="both"/>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3"/>
                <w:sz w:val="21"/>
                <w:szCs w:val="21"/>
              </w:rPr>
              <w:t> </w:t>
            </w:r>
            <w:r>
              <w:rPr>
                <w:rFonts w:ascii="宋体" w:hAnsi="宋体" w:cs="宋体" w:eastAsia="宋体" w:hint="default"/>
                <w:sz w:val="21"/>
                <w:szCs w:val="21"/>
              </w:rPr>
              <w:t>宁</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南</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星</w:t>
            </w:r>
            <w:r>
              <w:rPr>
                <w:rFonts w:ascii="宋体" w:hAnsi="宋体" w:cs="宋体" w:eastAsia="宋体" w:hint="default"/>
                <w:sz w:val="21"/>
                <w:szCs w:val="21"/>
              </w:rPr>
              <w:t> </w:t>
            </w:r>
            <w:r>
              <w:rPr>
                <w:rFonts w:ascii="宋体" w:hAnsi="宋体" w:cs="宋体" w:eastAsia="宋体" w:hint="default"/>
                <w:spacing w:val="21"/>
                <w:sz w:val="21"/>
                <w:szCs w:val="21"/>
              </w:rPr>
              <w:t>光大道</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南</w:t>
            </w:r>
            <w:r>
              <w:rPr>
                <w:rFonts w:ascii="宋体" w:hAnsi="宋体" w:cs="宋体" w:eastAsia="宋体" w:hint="default"/>
                <w:sz w:val="21"/>
                <w:szCs w:val="21"/>
              </w:rPr>
              <w:t> </w:t>
            </w:r>
            <w:r>
              <w:rPr>
                <w:rFonts w:ascii="宋体" w:hAnsi="宋体" w:cs="宋体" w:eastAsia="宋体" w:hint="default"/>
                <w:spacing w:val="13"/>
                <w:sz w:val="21"/>
                <w:szCs w:val="21"/>
              </w:rPr>
              <w:t>馨园</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w:t>
            </w:r>
            <w:r>
              <w:rPr>
                <w:rFonts w:ascii="宋体" w:hAnsi="宋体" w:cs="宋体" w:eastAsia="宋体" w:hint="default"/>
                <w:spacing w:val="-78"/>
                <w:sz w:val="21"/>
                <w:szCs w:val="21"/>
              </w:rPr>
              <w:t> </w:t>
            </w:r>
            <w:r>
              <w:rPr>
                <w:rFonts w:ascii="宋体" w:hAnsi="宋体" w:cs="宋体" w:eastAsia="宋体" w:hint="default"/>
                <w:sz w:val="21"/>
                <w:szCs w:val="21"/>
              </w:rPr>
              <w:t>楼</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单元</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1102</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154.28</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2016.1.11-2018.01.10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3,500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5" w:right="1" w:hanging="524"/>
              <w:jc w:val="left"/>
              <w:rPr>
                <w:rFonts w:ascii="宋体" w:hAnsi="宋体" w:cs="宋体" w:eastAsia="宋体" w:hint="default"/>
                <w:sz w:val="21"/>
                <w:szCs w:val="21"/>
              </w:rPr>
            </w:pPr>
            <w:r>
              <w:rPr>
                <w:rFonts w:ascii="宋体" w:hAnsi="宋体" w:cs="宋体" w:eastAsia="宋体" w:hint="default"/>
                <w:sz w:val="21"/>
                <w:szCs w:val="21"/>
              </w:rPr>
              <w:t>陈余丽、谢赣 源</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0"/>
              <w:jc w:val="both"/>
              <w:rPr>
                <w:rFonts w:ascii="宋体" w:hAnsi="宋体" w:cs="宋体" w:eastAsia="宋体" w:hint="default"/>
                <w:sz w:val="21"/>
                <w:szCs w:val="21"/>
              </w:rPr>
            </w:pPr>
            <w:r>
              <w:rPr>
                <w:rFonts w:ascii="宋体" w:hAnsi="宋体" w:cs="宋体" w:eastAsia="宋体" w:hint="default"/>
                <w:sz w:val="21"/>
                <w:szCs w:val="21"/>
              </w:rPr>
              <w:t>贵</w:t>
            </w:r>
            <w:r>
              <w:rPr>
                <w:rFonts w:ascii="宋体" w:hAnsi="宋体" w:cs="宋体" w:eastAsia="宋体" w:hint="default"/>
                <w:spacing w:val="-73"/>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南</w:t>
            </w:r>
            <w:r>
              <w:rPr>
                <w:rFonts w:ascii="宋体" w:hAnsi="宋体" w:cs="宋体" w:eastAsia="宋体" w:hint="default"/>
                <w:spacing w:val="-73"/>
                <w:sz w:val="21"/>
                <w:szCs w:val="21"/>
              </w:rPr>
              <w:t> </w:t>
            </w:r>
            <w:r>
              <w:rPr>
                <w:rFonts w:ascii="宋体" w:hAnsi="宋体" w:cs="宋体" w:eastAsia="宋体" w:hint="default"/>
                <w:sz w:val="21"/>
                <w:szCs w:val="21"/>
              </w:rPr>
              <w:t>明</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z w:val="21"/>
                <w:szCs w:val="21"/>
              </w:rPr>
              <w:t> </w:t>
            </w:r>
            <w:r>
              <w:rPr>
                <w:rFonts w:ascii="宋体" w:hAnsi="宋体" w:cs="宋体" w:eastAsia="宋体" w:hint="default"/>
                <w:spacing w:val="40"/>
                <w:sz w:val="21"/>
                <w:szCs w:val="21"/>
              </w:rPr>
              <w:t>南路 </w:t>
            </w:r>
            <w:r>
              <w:rPr>
                <w:rFonts w:ascii="Times New Roman" w:hAnsi="Times New Roman" w:cs="Times New Roman" w:eastAsia="Times New Roman" w:hint="default"/>
                <w:sz w:val="21"/>
                <w:szCs w:val="21"/>
              </w:rPr>
              <w:t>57 </w:t>
            </w:r>
            <w:r>
              <w:rPr>
                <w:rFonts w:ascii="宋体" w:hAnsi="宋体" w:cs="宋体" w:eastAsia="宋体" w:hint="default"/>
                <w:spacing w:val="40"/>
                <w:sz w:val="21"/>
                <w:szCs w:val="21"/>
              </w:rPr>
              <w:t>号阳</w:t>
            </w:r>
            <w:r>
              <w:rPr>
                <w:rFonts w:ascii="宋体" w:hAnsi="宋体" w:cs="宋体" w:eastAsia="宋体" w:hint="default"/>
                <w:spacing w:val="-62"/>
                <w:sz w:val="21"/>
                <w:szCs w:val="21"/>
              </w:rPr>
              <w:t> </w:t>
            </w:r>
            <w:r>
              <w:rPr>
                <w:rFonts w:ascii="宋体" w:hAnsi="宋体" w:cs="宋体" w:eastAsia="宋体" w:hint="default"/>
                <w:sz w:val="21"/>
                <w:szCs w:val="21"/>
              </w:rPr>
              <w:t>光</w:t>
            </w:r>
            <w:r>
              <w:rPr>
                <w:rFonts w:ascii="宋体" w:hAnsi="宋体" w:cs="宋体" w:eastAsia="宋体" w:hint="default"/>
                <w:sz w:val="21"/>
                <w:szCs w:val="21"/>
              </w:rPr>
              <w:t> </w:t>
            </w:r>
            <w:r>
              <w:rPr>
                <w:rFonts w:ascii="Times New Roman" w:hAnsi="Times New Roman" w:cs="Times New Roman" w:eastAsia="Times New Roman" w:hint="default"/>
                <w:sz w:val="21"/>
                <w:szCs w:val="21"/>
              </w:rPr>
              <w:t>100C</w:t>
            </w:r>
            <w:r>
              <w:rPr>
                <w:rFonts w:ascii="宋体" w:hAnsi="宋体" w:cs="宋体" w:eastAsia="宋体" w:hint="default"/>
                <w:sz w:val="21"/>
                <w:szCs w:val="21"/>
              </w:rPr>
              <w:t>栋</w:t>
            </w:r>
            <w:r>
              <w:rPr>
                <w:rFonts w:ascii="Times New Roman" w:hAnsi="Times New Roman" w:cs="Times New Roman" w:eastAsia="Times New Roman" w:hint="default"/>
                <w:sz w:val="21"/>
                <w:szCs w:val="21"/>
              </w:rPr>
              <w:t>C</w:t>
            </w:r>
            <w:r>
              <w:rPr>
                <w:rFonts w:ascii="宋体" w:hAnsi="宋体" w:cs="宋体" w:eastAsia="宋体" w:hint="default"/>
                <w:sz w:val="21"/>
                <w:szCs w:val="21"/>
              </w:rPr>
              <w:t>单元</w:t>
            </w:r>
            <w:r>
              <w:rPr>
                <w:rFonts w:ascii="Times New Roman" w:hAnsi="Times New Roman" w:cs="Times New Roman" w:eastAsia="Times New Roman" w:hint="default"/>
                <w:sz w:val="21"/>
                <w:szCs w:val="21"/>
              </w:rPr>
              <w:t>7</w:t>
            </w:r>
            <w:r>
              <w:rPr>
                <w:rFonts w:ascii="宋体" w:hAnsi="宋体" w:cs="宋体" w:eastAsia="宋体" w:hint="default"/>
                <w:sz w:val="21"/>
                <w:szCs w:val="21"/>
              </w:rPr>
              <w:t>层</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120.7</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2016.07.10-2018.07.10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4200</w:t>
            </w:r>
            <w:r>
              <w:rPr>
                <w:rFonts w:ascii="宋体" w:hAnsi="宋体" w:cs="宋体" w:eastAsia="宋体" w:hint="default"/>
                <w:sz w:val="21"/>
                <w:szCs w:val="21"/>
              </w:rPr>
              <w:t>元。</w:t>
            </w:r>
          </w:p>
        </w:tc>
      </w:tr>
    </w:tbl>
    <w:p>
      <w:pPr>
        <w:spacing w:after="0" w:line="287"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5"/>
        <w:gridCol w:w="1277"/>
        <w:gridCol w:w="670"/>
        <w:gridCol w:w="1683"/>
        <w:gridCol w:w="670"/>
        <w:gridCol w:w="880"/>
        <w:gridCol w:w="2121"/>
        <w:gridCol w:w="1874"/>
      </w:tblGrid>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张凯</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1"/>
              <w:jc w:val="both"/>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73"/>
                <w:sz w:val="21"/>
                <w:szCs w:val="21"/>
              </w:rPr>
              <w:t> </w:t>
            </w:r>
            <w:r>
              <w:rPr>
                <w:rFonts w:ascii="宋体" w:hAnsi="宋体" w:cs="宋体" w:eastAsia="宋体" w:hint="default"/>
                <w:sz w:val="21"/>
                <w:szCs w:val="21"/>
              </w:rPr>
              <w:t>原</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裕</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里</w:t>
            </w:r>
            <w:r>
              <w:rPr>
                <w:rFonts w:ascii="宋体" w:hAnsi="宋体" w:cs="宋体" w:eastAsia="宋体" w:hint="default"/>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号（东人盛世华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庭）</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幢</w:t>
            </w:r>
            <w:r>
              <w:rPr>
                <w:rFonts w:ascii="Times New Roman" w:hAnsi="Times New Roman" w:cs="Times New Roman" w:eastAsia="Times New Roman" w:hint="default"/>
                <w:spacing w:val="4"/>
                <w:sz w:val="21"/>
                <w:szCs w:val="21"/>
              </w:rPr>
              <w:t>A2</w:t>
            </w:r>
            <w:r>
              <w:rPr>
                <w:rFonts w:ascii="宋体" w:hAnsi="宋体" w:cs="宋体" w:eastAsia="宋体" w:hint="default"/>
                <w:spacing w:val="4"/>
                <w:sz w:val="21"/>
                <w:szCs w:val="21"/>
              </w:rPr>
              <w:t>座</w:t>
            </w:r>
            <w:r>
              <w:rPr>
                <w:rFonts w:ascii="Times New Roman" w:hAnsi="Times New Roman" w:cs="Times New Roman" w:eastAsia="Times New Roman" w:hint="default"/>
                <w:spacing w:val="4"/>
                <w:sz w:val="21"/>
                <w:szCs w:val="21"/>
              </w:rPr>
              <w:t>15</w:t>
            </w:r>
            <w:r>
              <w:rPr>
                <w:rFonts w:ascii="宋体" w:hAnsi="宋体" w:cs="宋体" w:eastAsia="宋体" w:hint="default"/>
                <w:spacing w:val="4"/>
                <w:sz w:val="21"/>
                <w:szCs w:val="21"/>
              </w:rPr>
              <w:t>层</w:t>
            </w:r>
            <w:r>
              <w:rPr>
                <w:rFonts w:ascii="宋体" w:hAnsi="宋体" w:cs="宋体" w:eastAsia="宋体" w:hint="default"/>
                <w:sz w:val="21"/>
                <w:szCs w:val="21"/>
              </w:rPr>
              <w:t> </w:t>
            </w:r>
            <w:r>
              <w:rPr>
                <w:rFonts w:ascii="Times New Roman" w:hAnsi="Times New Roman" w:cs="Times New Roman" w:eastAsia="Times New Roman" w:hint="default"/>
                <w:sz w:val="21"/>
                <w:szCs w:val="21"/>
              </w:rPr>
              <w:t>1520</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117.31</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2016.10.20-2017.10.19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2500</w:t>
            </w:r>
            <w:r>
              <w:rPr>
                <w:rFonts w:ascii="宋体" w:hAnsi="宋体" w:cs="宋体" w:eastAsia="宋体" w:hint="default"/>
                <w:sz w:val="21"/>
                <w:szCs w:val="21"/>
              </w:rPr>
              <w:t>元。</w:t>
            </w:r>
          </w:p>
        </w:tc>
      </w:tr>
      <w:tr>
        <w:trPr>
          <w:trHeight w:val="1907"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18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红相股份</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 w:right="11"/>
              <w:jc w:val="both"/>
              <w:rPr>
                <w:rFonts w:ascii="宋体" w:hAnsi="宋体" w:cs="宋体" w:eastAsia="宋体" w:hint="default"/>
                <w:sz w:val="21"/>
                <w:szCs w:val="21"/>
              </w:rPr>
            </w:pPr>
            <w:r>
              <w:rPr>
                <w:rFonts w:ascii="宋体" w:hAnsi="宋体" w:cs="宋体" w:eastAsia="宋体" w:hint="default"/>
                <w:sz w:val="21"/>
                <w:szCs w:val="21"/>
              </w:rPr>
              <w:t>厦门舒 菲娅化 妆品有 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1"/>
              <w:jc w:val="both"/>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73"/>
                <w:sz w:val="21"/>
                <w:szCs w:val="21"/>
              </w:rPr>
              <w:t> </w:t>
            </w:r>
            <w:r>
              <w:rPr>
                <w:rFonts w:ascii="宋体" w:hAnsi="宋体" w:cs="宋体" w:eastAsia="宋体" w:hint="default"/>
                <w:sz w:val="21"/>
                <w:szCs w:val="21"/>
              </w:rPr>
              <w:t>门</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安</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美</w:t>
            </w:r>
            <w:r>
              <w:rPr>
                <w:rFonts w:ascii="宋体" w:hAnsi="宋体" w:cs="宋体" w:eastAsia="宋体" w:hint="default"/>
                <w:sz w:val="21"/>
                <w:szCs w:val="21"/>
              </w:rPr>
              <w:t> 溪</w:t>
            </w:r>
            <w:r>
              <w:rPr>
                <w:rFonts w:ascii="宋体" w:hAnsi="宋体" w:cs="宋体" w:eastAsia="宋体" w:hint="default"/>
                <w:spacing w:val="-73"/>
                <w:sz w:val="21"/>
                <w:szCs w:val="21"/>
              </w:rPr>
              <w:t> </w:t>
            </w:r>
            <w:r>
              <w:rPr>
                <w:rFonts w:ascii="宋体" w:hAnsi="宋体" w:cs="宋体" w:eastAsia="宋体" w:hint="default"/>
                <w:sz w:val="21"/>
                <w:szCs w:val="21"/>
              </w:rPr>
              <w:t>道</w:t>
            </w:r>
            <w:r>
              <w:rPr>
                <w:rFonts w:ascii="宋体" w:hAnsi="宋体" w:cs="宋体" w:eastAsia="宋体" w:hint="default"/>
                <w:spacing w:val="-73"/>
                <w:sz w:val="21"/>
                <w:szCs w:val="21"/>
              </w:rPr>
              <w:t> </w:t>
            </w:r>
            <w:r>
              <w:rPr>
                <w:rFonts w:ascii="宋体" w:hAnsi="宋体" w:cs="宋体" w:eastAsia="宋体" w:hint="default"/>
                <w:sz w:val="21"/>
                <w:szCs w:val="21"/>
              </w:rPr>
              <w:t>思</w:t>
            </w:r>
            <w:r>
              <w:rPr>
                <w:rFonts w:ascii="宋体" w:hAnsi="宋体" w:cs="宋体" w:eastAsia="宋体" w:hint="default"/>
                <w:spacing w:val="-73"/>
                <w:sz w:val="21"/>
                <w:szCs w:val="21"/>
              </w:rPr>
              <w:t> </w:t>
            </w:r>
            <w:r>
              <w:rPr>
                <w:rFonts w:ascii="宋体" w:hAnsi="宋体" w:cs="宋体" w:eastAsia="宋体" w:hint="default"/>
                <w:sz w:val="21"/>
                <w:szCs w:val="21"/>
              </w:rPr>
              <w:t>明</w:t>
            </w:r>
            <w:r>
              <w:rPr>
                <w:rFonts w:ascii="宋体" w:hAnsi="宋体" w:cs="宋体" w:eastAsia="宋体" w:hint="default"/>
                <w:spacing w:val="-73"/>
                <w:sz w:val="21"/>
                <w:szCs w:val="21"/>
              </w:rPr>
              <w:t> </w:t>
            </w:r>
            <w:r>
              <w:rPr>
                <w:rFonts w:ascii="宋体" w:hAnsi="宋体" w:cs="宋体" w:eastAsia="宋体" w:hint="default"/>
                <w:sz w:val="21"/>
                <w:szCs w:val="21"/>
              </w:rPr>
              <w:t>工</w:t>
            </w:r>
            <w:r>
              <w:rPr>
                <w:rFonts w:ascii="宋体" w:hAnsi="宋体" w:cs="宋体" w:eastAsia="宋体" w:hint="default"/>
                <w:spacing w:val="-74"/>
                <w:sz w:val="21"/>
                <w:szCs w:val="21"/>
              </w:rPr>
              <w:t> </w:t>
            </w:r>
            <w:r>
              <w:rPr>
                <w:rFonts w:ascii="宋体" w:hAnsi="宋体" w:cs="宋体" w:eastAsia="宋体" w:hint="default"/>
                <w:sz w:val="21"/>
                <w:szCs w:val="21"/>
              </w:rPr>
              <w:t>业</w:t>
            </w:r>
            <w:r>
              <w:rPr>
                <w:rFonts w:ascii="宋体" w:hAnsi="宋体" w:cs="宋体" w:eastAsia="宋体" w:hint="default"/>
                <w:spacing w:val="-73"/>
                <w:sz w:val="21"/>
                <w:szCs w:val="21"/>
              </w:rPr>
              <w:t> </w:t>
            </w:r>
            <w:r>
              <w:rPr>
                <w:rFonts w:ascii="宋体" w:hAnsi="宋体" w:cs="宋体" w:eastAsia="宋体" w:hint="default"/>
                <w:sz w:val="21"/>
                <w:szCs w:val="21"/>
              </w:rPr>
              <w:t>园</w:t>
            </w:r>
            <w:r>
              <w:rPr>
                <w:rFonts w:ascii="宋体" w:hAnsi="宋体" w:cs="宋体" w:eastAsia="宋体" w:hint="default"/>
                <w:sz w:val="21"/>
                <w:szCs w:val="21"/>
              </w:rPr>
              <w:t> </w:t>
            </w:r>
            <w:r>
              <w:rPr>
                <w:rFonts w:ascii="Times New Roman" w:hAnsi="Times New Roman" w:cs="Times New Roman" w:eastAsia="Times New Roman" w:hint="default"/>
                <w:sz w:val="21"/>
                <w:szCs w:val="21"/>
              </w:rPr>
              <w:t>38</w:t>
            </w:r>
            <w:r>
              <w:rPr>
                <w:rFonts w:ascii="宋体" w:hAnsi="宋体" w:cs="宋体" w:eastAsia="宋体" w:hint="default"/>
                <w:sz w:val="21"/>
                <w:szCs w:val="21"/>
              </w:rPr>
              <w:t>号</w:t>
            </w:r>
            <w:r>
              <w:rPr>
                <w:rFonts w:ascii="Times New Roman" w:hAnsi="Times New Roman" w:cs="Times New Roman" w:eastAsia="Times New Roman" w:hint="default"/>
                <w:sz w:val="21"/>
                <w:szCs w:val="21"/>
              </w:rPr>
              <w:t>102</w:t>
            </w:r>
            <w:r>
              <w:rPr>
                <w:rFonts w:ascii="宋体" w:hAnsi="宋体" w:cs="宋体" w:eastAsia="宋体" w:hint="default"/>
                <w:sz w:val="21"/>
                <w:szCs w:val="21"/>
              </w:rPr>
              <w:t>单元、</w:t>
            </w:r>
            <w:r>
              <w:rPr>
                <w:rFonts w:ascii="Times New Roman" w:hAnsi="Times New Roman" w:cs="Times New Roman" w:eastAsia="Times New Roman" w:hint="default"/>
                <w:sz w:val="21"/>
                <w:szCs w:val="21"/>
              </w:rPr>
              <w:t>202 </w:t>
            </w:r>
            <w:r>
              <w:rPr>
                <w:rFonts w:ascii="宋体" w:hAnsi="宋体" w:cs="宋体" w:eastAsia="宋体" w:hint="default"/>
                <w:spacing w:val="10"/>
                <w:sz w:val="21"/>
                <w:szCs w:val="21"/>
              </w:rPr>
              <w:t>单元、</w:t>
            </w:r>
            <w:r>
              <w:rPr>
                <w:rFonts w:ascii="Times New Roman" w:hAnsi="Times New Roman" w:cs="Times New Roman" w:eastAsia="Times New Roman" w:hint="default"/>
                <w:spacing w:val="10"/>
                <w:sz w:val="21"/>
                <w:szCs w:val="21"/>
              </w:rPr>
              <w:t>302</w:t>
            </w:r>
            <w:r>
              <w:rPr>
                <w:rFonts w:ascii="宋体" w:hAnsi="宋体" w:cs="宋体" w:eastAsia="宋体" w:hint="default"/>
                <w:spacing w:val="10"/>
                <w:sz w:val="21"/>
                <w:szCs w:val="21"/>
              </w:rPr>
              <w:t>单元、</w:t>
            </w:r>
            <w:r>
              <w:rPr>
                <w:rFonts w:ascii="宋体" w:hAnsi="宋体" w:cs="宋体" w:eastAsia="宋体" w:hint="default"/>
                <w:spacing w:val="-99"/>
                <w:sz w:val="21"/>
                <w:szCs w:val="21"/>
              </w:rPr>
              <w:t> </w:t>
            </w:r>
            <w:r>
              <w:rPr>
                <w:rFonts w:ascii="Times New Roman" w:hAnsi="Times New Roman" w:cs="Times New Roman" w:eastAsia="Times New Roman" w:hint="default"/>
                <w:sz w:val="21"/>
                <w:szCs w:val="21"/>
              </w:rPr>
              <w:t>402</w:t>
            </w:r>
            <w:r>
              <w:rPr>
                <w:rFonts w:ascii="Times New Roman" w:hAnsi="Times New Roman" w:cs="Times New Roman" w:eastAsia="Times New Roman" w:hint="default"/>
                <w:spacing w:val="-14"/>
                <w:sz w:val="21"/>
                <w:szCs w:val="21"/>
              </w:rPr>
              <w:t> </w:t>
            </w:r>
            <w:r>
              <w:rPr>
                <w:rFonts w:ascii="宋体" w:hAnsi="宋体" w:cs="宋体" w:eastAsia="宋体" w:hint="default"/>
                <w:spacing w:val="25"/>
                <w:sz w:val="21"/>
                <w:szCs w:val="21"/>
              </w:rPr>
              <w:t>单元、</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单 元。</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12415.62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2017.1.1-2022.12.31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月租金为</w:t>
            </w:r>
            <w:r>
              <w:rPr>
                <w:rFonts w:ascii="Times New Roman" w:hAnsi="Times New Roman" w:cs="Times New Roman" w:eastAsia="Times New Roman" w:hint="default"/>
                <w:spacing w:val="4"/>
                <w:sz w:val="21"/>
                <w:szCs w:val="21"/>
              </w:rPr>
              <w:t>165,127.75</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红相股份</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 w:right="11"/>
              <w:jc w:val="both"/>
              <w:rPr>
                <w:rFonts w:ascii="宋体" w:hAnsi="宋体" w:cs="宋体" w:eastAsia="宋体" w:hint="default"/>
                <w:sz w:val="21"/>
                <w:szCs w:val="21"/>
              </w:rPr>
            </w:pPr>
            <w:r>
              <w:rPr>
                <w:rFonts w:ascii="宋体" w:hAnsi="宋体" w:cs="宋体" w:eastAsia="宋体" w:hint="default"/>
                <w:sz w:val="21"/>
                <w:szCs w:val="21"/>
              </w:rPr>
              <w:t>厦门建 力体育 用品有 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73"/>
                <w:sz w:val="21"/>
                <w:szCs w:val="21"/>
              </w:rPr>
              <w:t> </w:t>
            </w:r>
            <w:r>
              <w:rPr>
                <w:rFonts w:ascii="宋体" w:hAnsi="宋体" w:cs="宋体" w:eastAsia="宋体" w:hint="default"/>
                <w:sz w:val="21"/>
                <w:szCs w:val="21"/>
              </w:rPr>
              <w:t>门</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思</w:t>
            </w:r>
            <w:r>
              <w:rPr>
                <w:rFonts w:ascii="宋体" w:hAnsi="宋体" w:cs="宋体" w:eastAsia="宋体" w:hint="default"/>
                <w:spacing w:val="-73"/>
                <w:sz w:val="21"/>
                <w:szCs w:val="21"/>
              </w:rPr>
              <w:t> </w:t>
            </w:r>
            <w:r>
              <w:rPr>
                <w:rFonts w:ascii="宋体" w:hAnsi="宋体" w:cs="宋体" w:eastAsia="宋体" w:hint="default"/>
                <w:sz w:val="21"/>
                <w:szCs w:val="21"/>
              </w:rPr>
              <w:t>明</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水</w:t>
            </w:r>
            <w:r>
              <w:rPr>
                <w:rFonts w:ascii="宋体" w:hAnsi="宋体" w:cs="宋体" w:eastAsia="宋体" w:hint="default"/>
                <w:sz w:val="21"/>
                <w:szCs w:val="21"/>
              </w:rPr>
              <w:t> 仙路</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21E</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182.82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2016.12.1-2018.12.31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10,055.1</w:t>
            </w:r>
            <w:r>
              <w:rPr>
                <w:rFonts w:ascii="宋体" w:hAnsi="宋体" w:cs="宋体" w:eastAsia="宋体" w:hint="default"/>
                <w:sz w:val="21"/>
                <w:szCs w:val="21"/>
              </w:rPr>
              <w:t>元</w:t>
            </w:r>
          </w:p>
        </w:tc>
      </w:tr>
      <w:tr>
        <w:trPr>
          <w:trHeight w:val="1596"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Brett</w:t>
            </w:r>
            <w:r>
              <w:rPr>
                <w:rFonts w:ascii="Times New Roman"/>
                <w:spacing w:val="-3"/>
                <w:sz w:val="21"/>
              </w:rPr>
              <w:t> </w:t>
            </w:r>
            <w:r>
              <w:rPr>
                <w:rFonts w:ascii="Times New Roman"/>
                <w:sz w:val="21"/>
              </w:rPr>
              <w:t>Behmer</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和</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Trevor Wright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澳洲红 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2" w:right="1"/>
              <w:jc w:val="left"/>
              <w:rPr>
                <w:rFonts w:ascii="Times New Roman" w:hAnsi="Times New Roman" w:cs="Times New Roman" w:eastAsia="Times New Roman" w:hint="default"/>
                <w:sz w:val="21"/>
                <w:szCs w:val="21"/>
              </w:rPr>
            </w:pPr>
            <w:r>
              <w:rPr>
                <w:rFonts w:ascii="Times New Roman"/>
                <w:sz w:val="21"/>
              </w:rPr>
              <w:t>10 Ceylon</w:t>
            </w:r>
            <w:r>
              <w:rPr>
                <w:rFonts w:ascii="Times New Roman"/>
                <w:spacing w:val="39"/>
                <w:sz w:val="21"/>
              </w:rPr>
              <w:t> </w:t>
            </w:r>
            <w:r>
              <w:rPr>
                <w:rFonts w:ascii="Times New Roman"/>
                <w:sz w:val="21"/>
              </w:rPr>
              <w:t>Street,</w:t>
            </w:r>
            <w:r>
              <w:rPr>
                <w:rFonts w:ascii="Times New Roman"/>
                <w:sz w:val="21"/>
              </w:rPr>
              <w:t> Nunawading, Victoria 3131</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8"/>
              <w:jc w:val="left"/>
              <w:rPr>
                <w:rFonts w:ascii="宋体" w:hAnsi="宋体" w:cs="宋体" w:eastAsia="宋体" w:hint="default"/>
                <w:sz w:val="21"/>
                <w:szCs w:val="21"/>
              </w:rPr>
            </w:pPr>
            <w:r>
              <w:rPr>
                <w:rFonts w:ascii="宋体" w:hAnsi="宋体" w:cs="宋体" w:eastAsia="宋体" w:hint="default"/>
                <w:spacing w:val="9"/>
                <w:sz w:val="21"/>
                <w:szCs w:val="21"/>
              </w:rPr>
              <w:t>办公、 </w:t>
            </w:r>
            <w:r>
              <w:rPr>
                <w:rFonts w:ascii="宋体" w:hAnsi="宋体" w:cs="宋体" w:eastAsia="宋体" w:hint="default"/>
                <w:sz w:val="21"/>
                <w:szCs w:val="21"/>
              </w:rPr>
              <w:t>生产</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594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2014.05.01-</w:t>
            </w:r>
          </w:p>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2019.04.30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0"/>
              <w:jc w:val="both"/>
              <w:rPr>
                <w:rFonts w:ascii="宋体" w:hAnsi="宋体" w:cs="宋体" w:eastAsia="宋体" w:hint="default"/>
                <w:sz w:val="21"/>
                <w:szCs w:val="21"/>
              </w:rPr>
            </w:pPr>
            <w:r>
              <w:rPr>
                <w:rFonts w:ascii="宋体" w:hAnsi="宋体" w:cs="宋体" w:eastAsia="宋体" w:hint="default"/>
                <w:spacing w:val="21"/>
                <w:sz w:val="21"/>
                <w:szCs w:val="21"/>
              </w:rPr>
              <w:t>前十二个月租金合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计为</w:t>
            </w:r>
            <w:r>
              <w:rPr>
                <w:rFonts w:ascii="Times New Roman" w:hAnsi="Times New Roman" w:cs="Times New Roman" w:eastAsia="Times New Roman" w:hint="default"/>
                <w:sz w:val="21"/>
                <w:szCs w:val="21"/>
              </w:rPr>
              <w:t>94,705</w:t>
            </w:r>
            <w:r>
              <w:rPr>
                <w:rFonts w:ascii="宋体" w:hAnsi="宋体" w:cs="宋体" w:eastAsia="宋体" w:hint="default"/>
                <w:sz w:val="21"/>
                <w:szCs w:val="21"/>
              </w:rPr>
              <w:t>澳元加上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
                <w:sz w:val="21"/>
                <w:szCs w:val="21"/>
              </w:rPr>
              <w:t>商品及服务税，剩余</w:t>
            </w:r>
            <w:r>
              <w:rPr>
                <w:rFonts w:ascii="宋体" w:hAnsi="宋体" w:cs="宋体" w:eastAsia="宋体" w:hint="default"/>
                <w:sz w:val="21"/>
                <w:szCs w:val="21"/>
              </w:rPr>
              <w:t> </w:t>
            </w:r>
            <w:r>
              <w:rPr>
                <w:rFonts w:ascii="宋体" w:hAnsi="宋体" w:cs="宋体" w:eastAsia="宋体" w:hint="default"/>
                <w:spacing w:val="21"/>
                <w:sz w:val="21"/>
                <w:szCs w:val="21"/>
              </w:rPr>
              <w:t>租期的租金每年增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加</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27"/>
              <w:jc w:val="right"/>
              <w:rPr>
                <w:rFonts w:ascii="Times New Roman" w:hAnsi="Times New Roman" w:cs="Times New Roman" w:eastAsia="Times New Roman" w:hint="default"/>
                <w:sz w:val="21"/>
                <w:szCs w:val="21"/>
              </w:rPr>
            </w:pPr>
            <w:r>
              <w:rPr>
                <w:rFonts w:ascii="Times New Roman"/>
                <w:sz w:val="21"/>
              </w:rPr>
              <w:t>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邓志群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both"/>
              <w:rPr>
                <w:rFonts w:ascii="宋体" w:hAnsi="宋体" w:cs="宋体" w:eastAsia="宋体" w:hint="default"/>
                <w:sz w:val="21"/>
                <w:szCs w:val="21"/>
              </w:rPr>
            </w:pPr>
            <w:r>
              <w:rPr>
                <w:rFonts w:ascii="宋体" w:hAnsi="宋体" w:cs="宋体" w:eastAsia="宋体" w:hint="default"/>
                <w:spacing w:val="10"/>
                <w:sz w:val="21"/>
                <w:szCs w:val="21"/>
              </w:rPr>
              <w:t>苏州新区邓尉路</w:t>
            </w:r>
            <w:r>
              <w:rPr>
                <w:rFonts w:ascii="Times New Roman" w:hAnsi="Times New Roman" w:cs="Times New Roman" w:eastAsia="Times New Roman" w:hint="default"/>
                <w:spacing w:val="10"/>
                <w:sz w:val="21"/>
                <w:szCs w:val="21"/>
              </w:rPr>
              <w:t>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w:t>
            </w:r>
            <w:r>
              <w:rPr>
                <w:rFonts w:ascii="宋体" w:hAnsi="宋体" w:cs="宋体" w:eastAsia="宋体" w:hint="default"/>
                <w:spacing w:val="-57"/>
                <w:sz w:val="21"/>
                <w:szCs w:val="21"/>
              </w:rPr>
              <w:t> </w:t>
            </w:r>
            <w:r>
              <w:rPr>
                <w:rFonts w:ascii="宋体" w:hAnsi="宋体" w:cs="宋体" w:eastAsia="宋体" w:hint="default"/>
                <w:sz w:val="21"/>
                <w:szCs w:val="21"/>
              </w:rPr>
              <w:t>润</w:t>
            </w:r>
            <w:r>
              <w:rPr>
                <w:rFonts w:ascii="宋体" w:hAnsi="宋体" w:cs="宋体" w:eastAsia="宋体" w:hint="default"/>
                <w:spacing w:val="-57"/>
                <w:sz w:val="21"/>
                <w:szCs w:val="21"/>
              </w:rPr>
              <w:t> </w:t>
            </w:r>
            <w:r>
              <w:rPr>
                <w:rFonts w:ascii="宋体" w:hAnsi="宋体" w:cs="宋体" w:eastAsia="宋体" w:hint="default"/>
                <w:sz w:val="21"/>
                <w:szCs w:val="21"/>
              </w:rPr>
              <w:t>捷</w:t>
            </w:r>
            <w:r>
              <w:rPr>
                <w:rFonts w:ascii="宋体" w:hAnsi="宋体" w:cs="宋体" w:eastAsia="宋体" w:hint="default"/>
                <w:spacing w:val="-55"/>
                <w:sz w:val="21"/>
                <w:szCs w:val="21"/>
              </w:rPr>
              <w:t> </w:t>
            </w:r>
            <w:r>
              <w:rPr>
                <w:rFonts w:ascii="宋体" w:hAnsi="宋体" w:cs="宋体" w:eastAsia="宋体" w:hint="default"/>
                <w:sz w:val="21"/>
                <w:szCs w:val="21"/>
              </w:rPr>
              <w:t>广</w:t>
            </w:r>
            <w:r>
              <w:rPr>
                <w:rFonts w:ascii="宋体" w:hAnsi="宋体" w:cs="宋体" w:eastAsia="宋体" w:hint="default"/>
                <w:spacing w:val="-55"/>
                <w:sz w:val="21"/>
                <w:szCs w:val="21"/>
              </w:rPr>
              <w:t> </w:t>
            </w:r>
            <w:r>
              <w:rPr>
                <w:rFonts w:ascii="宋体" w:hAnsi="宋体" w:cs="宋体" w:eastAsia="宋体" w:hint="default"/>
                <w:sz w:val="21"/>
                <w:szCs w:val="21"/>
              </w:rPr>
              <w:t>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幢 </w:t>
            </w:r>
            <w:r>
              <w:rPr>
                <w:rFonts w:ascii="Times New Roman" w:hAnsi="Times New Roman" w:cs="Times New Roman" w:eastAsia="Times New Roman" w:hint="default"/>
                <w:sz w:val="21"/>
                <w:szCs w:val="21"/>
              </w:rPr>
              <w:t>502</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129.25</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2016.11.22-2017.11.21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pacing w:val="51"/>
                <w:sz w:val="21"/>
                <w:szCs w:val="21"/>
              </w:rPr>
              <w:t>月租金为</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6,462.50 </w:t>
            </w: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应斌峰</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Times New Roman" w:hAnsi="Times New Roman" w:cs="Times New Roman" w:eastAsia="Times New Roman"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3"/>
                <w:sz w:val="21"/>
                <w:szCs w:val="21"/>
              </w:rPr>
              <w:t> </w:t>
            </w:r>
            <w:r>
              <w:rPr>
                <w:rFonts w:ascii="宋体" w:hAnsi="宋体" w:cs="宋体" w:eastAsia="宋体" w:hint="default"/>
                <w:sz w:val="21"/>
                <w:szCs w:val="21"/>
              </w:rPr>
              <w:t>余</w:t>
            </w:r>
            <w:r>
              <w:rPr>
                <w:rFonts w:ascii="宋体" w:hAnsi="宋体" w:cs="宋体" w:eastAsia="宋体" w:hint="default"/>
                <w:spacing w:val="-73"/>
                <w:sz w:val="21"/>
                <w:szCs w:val="21"/>
              </w:rPr>
              <w:t> </w:t>
            </w: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城</w:t>
            </w:r>
            <w:r>
              <w:rPr>
                <w:rFonts w:ascii="宋体" w:hAnsi="宋体" w:cs="宋体" w:eastAsia="宋体" w:hint="default"/>
                <w:sz w:val="21"/>
                <w:szCs w:val="21"/>
              </w:rPr>
              <w:t> 印象北区</w:t>
            </w:r>
            <w:r>
              <w:rPr>
                <w:rFonts w:ascii="Times New Roman" w:hAnsi="Times New Roman" w:cs="Times New Roman" w:eastAsia="Times New Roman" w:hint="default"/>
                <w:sz w:val="21"/>
                <w:szCs w:val="21"/>
              </w:rPr>
              <w:t>4-2-501</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住宿</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117.6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2017.2.24-2018.2.23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3,000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center"/>
              <w:rPr>
                <w:rFonts w:ascii="宋体" w:hAnsi="宋体" w:cs="宋体" w:eastAsia="宋体" w:hint="default"/>
                <w:sz w:val="21"/>
                <w:szCs w:val="21"/>
              </w:rPr>
            </w:pPr>
            <w:r>
              <w:rPr>
                <w:rFonts w:ascii="宋体" w:hAnsi="宋体" w:cs="宋体" w:eastAsia="宋体" w:hint="default"/>
                <w:sz w:val="21"/>
                <w:szCs w:val="21"/>
              </w:rPr>
              <w:t>海盐县国有 工业资产经 营有限责任 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3"/>
                <w:sz w:val="21"/>
                <w:szCs w:val="21"/>
              </w:rPr>
              <w:t> </w:t>
            </w:r>
            <w:r>
              <w:rPr>
                <w:rFonts w:ascii="宋体" w:hAnsi="宋体" w:cs="宋体" w:eastAsia="宋体" w:hint="default"/>
                <w:sz w:val="21"/>
                <w:szCs w:val="21"/>
              </w:rPr>
              <w:t>盐</w:t>
            </w:r>
            <w:r>
              <w:rPr>
                <w:rFonts w:ascii="宋体" w:hAnsi="宋体" w:cs="宋体" w:eastAsia="宋体" w:hint="default"/>
                <w:spacing w:val="-73"/>
                <w:sz w:val="21"/>
                <w:szCs w:val="21"/>
              </w:rPr>
              <w:t> </w:t>
            </w:r>
            <w:r>
              <w:rPr>
                <w:rFonts w:ascii="宋体" w:hAnsi="宋体" w:cs="宋体" w:eastAsia="宋体" w:hint="default"/>
                <w:sz w:val="21"/>
                <w:szCs w:val="21"/>
              </w:rPr>
              <w:t>县</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桥</w:t>
            </w:r>
            <w:r>
              <w:rPr>
                <w:rFonts w:ascii="宋体" w:hAnsi="宋体" w:cs="宋体" w:eastAsia="宋体" w:hint="default"/>
                <w:spacing w:val="-74"/>
                <w:sz w:val="21"/>
                <w:szCs w:val="21"/>
              </w:rPr>
              <w:t> </w:t>
            </w: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路</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176</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8"/>
              <w:jc w:val="left"/>
              <w:rPr>
                <w:rFonts w:ascii="宋体" w:hAnsi="宋体" w:cs="宋体" w:eastAsia="宋体" w:hint="default"/>
                <w:sz w:val="21"/>
                <w:szCs w:val="21"/>
              </w:rPr>
            </w:pPr>
            <w:r>
              <w:rPr>
                <w:rFonts w:ascii="宋体" w:hAnsi="宋体" w:cs="宋体" w:eastAsia="宋体" w:hint="default"/>
                <w:spacing w:val="9"/>
                <w:sz w:val="21"/>
                <w:szCs w:val="21"/>
              </w:rPr>
              <w:t>海盐厂 </w:t>
            </w:r>
            <w:r>
              <w:rPr>
                <w:rFonts w:ascii="宋体" w:hAnsi="宋体" w:cs="宋体" w:eastAsia="宋体" w:hint="default"/>
                <w:sz w:val="21"/>
                <w:szCs w:val="21"/>
              </w:rPr>
              <w:t>房</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2939.86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2016.1.1-2017.12.31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300,000</w:t>
            </w:r>
            <w:r>
              <w:rPr>
                <w:rFonts w:ascii="宋体" w:hAnsi="宋体" w:cs="宋体" w:eastAsia="宋体" w:hint="default"/>
                <w:sz w:val="21"/>
                <w:szCs w:val="21"/>
              </w:rPr>
              <w:t>元</w:t>
            </w:r>
          </w:p>
        </w:tc>
      </w:tr>
      <w:tr>
        <w:trPr>
          <w:trHeight w:val="1283"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涵普电力</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 w:right="11"/>
              <w:jc w:val="both"/>
              <w:rPr>
                <w:rFonts w:ascii="宋体" w:hAnsi="宋体" w:cs="宋体" w:eastAsia="宋体" w:hint="default"/>
                <w:sz w:val="21"/>
                <w:szCs w:val="21"/>
              </w:rPr>
            </w:pPr>
            <w:r>
              <w:rPr>
                <w:rFonts w:ascii="宋体" w:hAnsi="宋体" w:cs="宋体" w:eastAsia="宋体" w:hint="default"/>
                <w:sz w:val="21"/>
                <w:szCs w:val="21"/>
              </w:rPr>
              <w:t>杭州银 桐商务 咨询有 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2"/>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3"/>
                <w:sz w:val="21"/>
                <w:szCs w:val="21"/>
              </w:rPr>
              <w:t> </w:t>
            </w: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湖</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文</w:t>
            </w:r>
            <w:r>
              <w:rPr>
                <w:rFonts w:ascii="宋体" w:hAnsi="宋体" w:cs="宋体" w:eastAsia="宋体" w:hint="default"/>
                <w:spacing w:val="-73"/>
                <w:sz w:val="21"/>
                <w:szCs w:val="21"/>
              </w:rPr>
              <w:t> </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pacing w:val="9"/>
                <w:sz w:val="21"/>
                <w:szCs w:val="21"/>
              </w:rPr>
              <w:t>路</w:t>
            </w:r>
            <w:r>
              <w:rPr>
                <w:rFonts w:ascii="Times New Roman" w:hAnsi="Times New Roman" w:cs="Times New Roman" w:eastAsia="Times New Roman" w:hint="default"/>
                <w:spacing w:val="9"/>
                <w:sz w:val="21"/>
                <w:szCs w:val="21"/>
              </w:rPr>
              <w:t>252</w:t>
            </w:r>
            <w:r>
              <w:rPr>
                <w:rFonts w:ascii="宋体" w:hAnsi="宋体" w:cs="宋体" w:eastAsia="宋体" w:hint="default"/>
                <w:spacing w:val="9"/>
                <w:sz w:val="21"/>
                <w:szCs w:val="21"/>
              </w:rPr>
              <w:t>号伟星大厦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18</w:t>
            </w:r>
            <w:r>
              <w:rPr>
                <w:rFonts w:ascii="宋体" w:hAnsi="宋体" w:cs="宋体" w:eastAsia="宋体" w:hint="default"/>
                <w:sz w:val="21"/>
                <w:szCs w:val="21"/>
              </w:rPr>
              <w:t>层</w:t>
            </w:r>
            <w:r>
              <w:rPr>
                <w:rFonts w:ascii="Times New Roman" w:hAnsi="Times New Roman" w:cs="Times New Roman" w:eastAsia="Times New Roman" w:hint="default"/>
                <w:sz w:val="21"/>
                <w:szCs w:val="21"/>
              </w:rPr>
              <w:t>B</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130.21</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2016.11.18-2018.11.17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98,280</w:t>
            </w:r>
            <w:r>
              <w:rPr>
                <w:rFonts w:ascii="宋体" w:hAnsi="宋体" w:cs="宋体" w:eastAsia="宋体" w:hint="default"/>
                <w:sz w:val="21"/>
                <w:szCs w:val="21"/>
              </w:rPr>
              <w:t>元。</w:t>
            </w:r>
          </w:p>
        </w:tc>
      </w:tr>
      <w:tr>
        <w:trPr>
          <w:trHeight w:val="1595"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涵普电力</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 w:right="11"/>
              <w:jc w:val="both"/>
              <w:rPr>
                <w:rFonts w:ascii="宋体" w:hAnsi="宋体" w:cs="宋体" w:eastAsia="宋体" w:hint="default"/>
                <w:sz w:val="21"/>
                <w:szCs w:val="21"/>
              </w:rPr>
            </w:pPr>
            <w:r>
              <w:rPr>
                <w:rFonts w:ascii="宋体" w:hAnsi="宋体" w:cs="宋体" w:eastAsia="宋体" w:hint="default"/>
                <w:sz w:val="21"/>
                <w:szCs w:val="21"/>
              </w:rPr>
              <w:t>浙江舟 山颐生 堂农业 科技有 限公司</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2"/>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3"/>
                <w:sz w:val="21"/>
                <w:szCs w:val="21"/>
              </w:rPr>
              <w:t> </w:t>
            </w: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湖</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文</w:t>
            </w:r>
            <w:r>
              <w:rPr>
                <w:rFonts w:ascii="宋体" w:hAnsi="宋体" w:cs="宋体" w:eastAsia="宋体" w:hint="default"/>
                <w:spacing w:val="-73"/>
                <w:sz w:val="21"/>
                <w:szCs w:val="21"/>
              </w:rPr>
              <w:t> </w:t>
            </w:r>
            <w:r>
              <w:rPr>
                <w:rFonts w:ascii="宋体" w:hAnsi="宋体" w:cs="宋体" w:eastAsia="宋体" w:hint="default"/>
                <w:sz w:val="21"/>
                <w:szCs w:val="21"/>
              </w:rPr>
              <w:t>三</w:t>
            </w:r>
            <w:r>
              <w:rPr>
                <w:rFonts w:ascii="宋体" w:hAnsi="宋体" w:cs="宋体" w:eastAsia="宋体" w:hint="default"/>
                <w:sz w:val="21"/>
                <w:szCs w:val="21"/>
              </w:rPr>
              <w:t> </w:t>
            </w:r>
            <w:r>
              <w:rPr>
                <w:rFonts w:ascii="宋体" w:hAnsi="宋体" w:cs="宋体" w:eastAsia="宋体" w:hint="default"/>
                <w:spacing w:val="9"/>
                <w:sz w:val="21"/>
                <w:szCs w:val="21"/>
              </w:rPr>
              <w:t>路</w:t>
            </w:r>
            <w:r>
              <w:rPr>
                <w:rFonts w:ascii="Times New Roman" w:hAnsi="Times New Roman" w:cs="Times New Roman" w:eastAsia="Times New Roman" w:hint="default"/>
                <w:spacing w:val="9"/>
                <w:sz w:val="21"/>
                <w:szCs w:val="21"/>
              </w:rPr>
              <w:t>252</w:t>
            </w:r>
            <w:r>
              <w:rPr>
                <w:rFonts w:ascii="宋体" w:hAnsi="宋体" w:cs="宋体" w:eastAsia="宋体" w:hint="default"/>
                <w:spacing w:val="9"/>
                <w:sz w:val="21"/>
                <w:szCs w:val="21"/>
              </w:rPr>
              <w:t>号伟星大厦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18</w:t>
            </w:r>
            <w:r>
              <w:rPr>
                <w:rFonts w:ascii="宋体" w:hAnsi="宋体" w:cs="宋体" w:eastAsia="宋体" w:hint="default"/>
                <w:sz w:val="21"/>
                <w:szCs w:val="21"/>
              </w:rPr>
              <w:t>层</w:t>
            </w:r>
            <w:r>
              <w:rPr>
                <w:rFonts w:ascii="Times New Roman" w:hAnsi="Times New Roman" w:cs="Times New Roman" w:eastAsia="Times New Roman" w:hint="default"/>
                <w:sz w:val="21"/>
                <w:szCs w:val="21"/>
              </w:rPr>
              <w:t>C/D</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352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2016.11.18-2018.11.17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w:t>
            </w:r>
            <w:r>
              <w:rPr>
                <w:rFonts w:ascii="Times New Roman" w:hAnsi="Times New Roman" w:cs="Times New Roman" w:eastAsia="Times New Roman" w:hint="default"/>
                <w:sz w:val="21"/>
                <w:szCs w:val="21"/>
              </w:rPr>
              <w:t>240,000</w:t>
            </w:r>
            <w:r>
              <w:rPr>
                <w:rFonts w:ascii="宋体" w:hAnsi="宋体" w:cs="宋体" w:eastAsia="宋体" w:hint="default"/>
                <w:sz w:val="21"/>
                <w:szCs w:val="21"/>
              </w:rPr>
              <w:t>元。</w:t>
            </w:r>
          </w:p>
        </w:tc>
      </w:tr>
      <w:tr>
        <w:trPr>
          <w:trHeight w:val="1284"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center"/>
              <w:rPr>
                <w:rFonts w:ascii="宋体" w:hAnsi="宋体" w:cs="宋体" w:eastAsia="宋体" w:hint="default"/>
                <w:sz w:val="21"/>
                <w:szCs w:val="21"/>
              </w:rPr>
            </w:pPr>
            <w:r>
              <w:rPr>
                <w:rFonts w:ascii="宋体" w:hAnsi="宋体" w:cs="宋体" w:eastAsia="宋体" w:hint="default"/>
                <w:sz w:val="21"/>
                <w:szCs w:val="21"/>
              </w:rPr>
              <w:t>苏州正普电 力科技有限 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both"/>
              <w:rPr>
                <w:rFonts w:ascii="Times New Roman" w:hAnsi="Times New Roman" w:cs="Times New Roman" w:eastAsia="Times New Roman" w:hint="default"/>
                <w:sz w:val="21"/>
                <w:szCs w:val="21"/>
              </w:rPr>
            </w:pPr>
            <w:r>
              <w:rPr>
                <w:rFonts w:ascii="宋体" w:hAnsi="宋体" w:cs="宋体" w:eastAsia="宋体" w:hint="default"/>
                <w:spacing w:val="10"/>
                <w:sz w:val="21"/>
                <w:szCs w:val="21"/>
              </w:rPr>
              <w:t>苏州新区邓尉路</w:t>
            </w:r>
            <w:r>
              <w:rPr>
                <w:rFonts w:ascii="Times New Roman" w:hAnsi="Times New Roman" w:cs="Times New Roman" w:eastAsia="Times New Roman" w:hint="default"/>
                <w:spacing w:val="10"/>
                <w:sz w:val="21"/>
                <w:szCs w:val="21"/>
              </w:rPr>
              <w:t>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w:t>
            </w:r>
            <w:r>
              <w:rPr>
                <w:rFonts w:ascii="宋体" w:hAnsi="宋体" w:cs="宋体" w:eastAsia="宋体" w:hint="default"/>
                <w:spacing w:val="-57"/>
                <w:sz w:val="21"/>
                <w:szCs w:val="21"/>
              </w:rPr>
              <w:t> </w:t>
            </w:r>
            <w:r>
              <w:rPr>
                <w:rFonts w:ascii="宋体" w:hAnsi="宋体" w:cs="宋体" w:eastAsia="宋体" w:hint="default"/>
                <w:sz w:val="21"/>
                <w:szCs w:val="21"/>
              </w:rPr>
              <w:t>润</w:t>
            </w:r>
            <w:r>
              <w:rPr>
                <w:rFonts w:ascii="宋体" w:hAnsi="宋体" w:cs="宋体" w:eastAsia="宋体" w:hint="default"/>
                <w:spacing w:val="-57"/>
                <w:sz w:val="21"/>
                <w:szCs w:val="21"/>
              </w:rPr>
              <w:t> </w:t>
            </w:r>
            <w:r>
              <w:rPr>
                <w:rFonts w:ascii="宋体" w:hAnsi="宋体" w:cs="宋体" w:eastAsia="宋体" w:hint="default"/>
                <w:sz w:val="21"/>
                <w:szCs w:val="21"/>
              </w:rPr>
              <w:t>捷</w:t>
            </w:r>
            <w:r>
              <w:rPr>
                <w:rFonts w:ascii="宋体" w:hAnsi="宋体" w:cs="宋体" w:eastAsia="宋体" w:hint="default"/>
                <w:spacing w:val="-55"/>
                <w:sz w:val="21"/>
                <w:szCs w:val="21"/>
              </w:rPr>
              <w:t> </w:t>
            </w:r>
            <w:r>
              <w:rPr>
                <w:rFonts w:ascii="宋体" w:hAnsi="宋体" w:cs="宋体" w:eastAsia="宋体" w:hint="default"/>
                <w:sz w:val="21"/>
                <w:szCs w:val="21"/>
              </w:rPr>
              <w:t>广</w:t>
            </w:r>
            <w:r>
              <w:rPr>
                <w:rFonts w:ascii="宋体" w:hAnsi="宋体" w:cs="宋体" w:eastAsia="宋体" w:hint="default"/>
                <w:spacing w:val="-55"/>
                <w:sz w:val="21"/>
                <w:szCs w:val="21"/>
              </w:rPr>
              <w:t> </w:t>
            </w:r>
            <w:r>
              <w:rPr>
                <w:rFonts w:ascii="宋体" w:hAnsi="宋体" w:cs="宋体" w:eastAsia="宋体" w:hint="default"/>
                <w:sz w:val="21"/>
                <w:szCs w:val="21"/>
              </w:rPr>
              <w:t>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幢 </w:t>
            </w:r>
            <w:r>
              <w:rPr>
                <w:rFonts w:ascii="Times New Roman" w:hAnsi="Times New Roman" w:cs="Times New Roman" w:eastAsia="Times New Roman" w:hint="default"/>
                <w:spacing w:val="-9"/>
                <w:sz w:val="21"/>
                <w:szCs w:val="21"/>
              </w:rPr>
              <w:t>1903</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1904</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1905</w:t>
            </w:r>
          </w:p>
          <w:p>
            <w:pPr>
              <w:pStyle w:val="TableParagraph"/>
              <w:spacing w:line="240" w:lineRule="auto" w:before="5"/>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1906</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left="-123" w:right="0"/>
              <w:jc w:val="left"/>
              <w:rPr>
                <w:rFonts w:ascii="宋体" w:hAnsi="宋体" w:cs="宋体" w:eastAsia="宋体" w:hint="default"/>
                <w:sz w:val="21"/>
                <w:szCs w:val="21"/>
              </w:rPr>
            </w:pPr>
            <w:r>
              <w:rPr>
                <w:rFonts w:ascii="宋体" w:hAnsi="宋体" w:cs="宋体" w:eastAsia="宋体" w:hint="default"/>
                <w:sz w:val="21"/>
                <w:szCs w:val="21"/>
              </w:rPr>
              <w:t>、</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532.68</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2017.1.1-2017.12.31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年租金为</w:t>
            </w:r>
            <w:r>
              <w:rPr>
                <w:rFonts w:ascii="Times New Roman" w:hAnsi="Times New Roman" w:cs="Times New Roman" w:eastAsia="Times New Roman" w:hint="default"/>
                <w:spacing w:val="4"/>
                <w:sz w:val="21"/>
                <w:szCs w:val="21"/>
              </w:rPr>
              <w:t>388,856.40</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27"/>
              <w:jc w:val="right"/>
              <w:rPr>
                <w:rFonts w:ascii="Times New Roman" w:hAnsi="Times New Roman" w:cs="Times New Roman" w:eastAsia="Times New Roman" w:hint="default"/>
                <w:sz w:val="21"/>
                <w:szCs w:val="21"/>
              </w:rPr>
            </w:pPr>
            <w:r>
              <w:rPr>
                <w:rFonts w:ascii="Times New Roman"/>
                <w:sz w:val="21"/>
              </w:rPr>
              <w:t>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王京丽</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昌</w:t>
            </w:r>
            <w:r>
              <w:rPr>
                <w:rFonts w:ascii="宋体" w:hAnsi="宋体" w:cs="宋体" w:eastAsia="宋体" w:hint="default"/>
                <w:spacing w:val="-73"/>
                <w:sz w:val="21"/>
                <w:szCs w:val="21"/>
              </w:rPr>
              <w:t> </w:t>
            </w:r>
            <w:r>
              <w:rPr>
                <w:rFonts w:ascii="宋体" w:hAnsi="宋体" w:cs="宋体" w:eastAsia="宋体" w:hint="default"/>
                <w:sz w:val="21"/>
                <w:szCs w:val="21"/>
              </w:rPr>
              <w:t>平</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回</w:t>
            </w:r>
            <w:r>
              <w:rPr>
                <w:rFonts w:ascii="宋体" w:hAnsi="宋体" w:cs="宋体" w:eastAsia="宋体" w:hint="default"/>
                <w:sz w:val="21"/>
                <w:szCs w:val="21"/>
              </w:rPr>
              <w:t> 龙</w:t>
            </w:r>
            <w:r>
              <w:rPr>
                <w:rFonts w:ascii="宋体" w:hAnsi="宋体" w:cs="宋体" w:eastAsia="宋体" w:hint="default"/>
                <w:spacing w:val="-73"/>
                <w:sz w:val="21"/>
                <w:szCs w:val="21"/>
              </w:rPr>
              <w:t> </w:t>
            </w:r>
            <w:r>
              <w:rPr>
                <w:rFonts w:ascii="宋体" w:hAnsi="宋体" w:cs="宋体" w:eastAsia="宋体" w:hint="default"/>
                <w:sz w:val="21"/>
                <w:szCs w:val="21"/>
              </w:rPr>
              <w:t>观</w:t>
            </w:r>
            <w:r>
              <w:rPr>
                <w:rFonts w:ascii="宋体" w:hAnsi="宋体" w:cs="宋体" w:eastAsia="宋体" w:hint="default"/>
                <w:spacing w:val="-73"/>
                <w:sz w:val="21"/>
                <w:szCs w:val="21"/>
              </w:rPr>
              <w:t> </w:t>
            </w:r>
            <w:r>
              <w:rPr>
                <w:rFonts w:ascii="宋体" w:hAnsi="宋体" w:cs="宋体" w:eastAsia="宋体" w:hint="default"/>
                <w:sz w:val="21"/>
                <w:szCs w:val="21"/>
              </w:rPr>
              <w:t>龙</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园</w:t>
            </w:r>
            <w:r>
              <w:rPr>
                <w:rFonts w:ascii="宋体" w:hAnsi="宋体" w:cs="宋体" w:eastAsia="宋体" w:hint="default"/>
                <w:spacing w:val="-74"/>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区</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94.52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2016.4.10-2017.4.9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700</w:t>
            </w:r>
            <w:r>
              <w:rPr>
                <w:rFonts w:ascii="宋体" w:hAnsi="宋体" w:cs="宋体" w:eastAsia="宋体" w:hint="default"/>
                <w:sz w:val="21"/>
                <w:szCs w:val="21"/>
              </w:rPr>
              <w:t>元。</w:t>
            </w:r>
          </w:p>
        </w:tc>
      </w:tr>
    </w:tbl>
    <w:p>
      <w:pPr>
        <w:spacing w:after="0" w:line="285"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5"/>
        <w:gridCol w:w="1277"/>
        <w:gridCol w:w="670"/>
        <w:gridCol w:w="1683"/>
        <w:gridCol w:w="670"/>
        <w:gridCol w:w="880"/>
        <w:gridCol w:w="2121"/>
        <w:gridCol w:w="1874"/>
      </w:tblGrid>
      <w:tr>
        <w:trPr>
          <w:trHeight w:val="347" w:hRule="exact"/>
        </w:trPr>
        <w:tc>
          <w:tcPr>
            <w:tcW w:w="48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宋体" w:hAnsi="宋体" w:cs="宋体" w:eastAsia="宋体" w:hint="default"/>
                <w:sz w:val="21"/>
                <w:szCs w:val="21"/>
              </w:rPr>
              <w:t>单元</w:t>
            </w:r>
            <w:r>
              <w:rPr>
                <w:rFonts w:ascii="Times New Roman" w:hAnsi="Times New Roman" w:cs="Times New Roman" w:eastAsia="Times New Roman" w:hint="default"/>
                <w:sz w:val="21"/>
                <w:szCs w:val="21"/>
              </w:rPr>
              <w:t>301</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2121"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陈国栋</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沙</w:t>
            </w:r>
            <w:r>
              <w:rPr>
                <w:rFonts w:ascii="宋体" w:hAnsi="宋体" w:cs="宋体" w:eastAsia="宋体" w:hint="default"/>
                <w:spacing w:val="-73"/>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心</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韶</w:t>
            </w:r>
            <w:r>
              <w:rPr>
                <w:rFonts w:ascii="宋体" w:hAnsi="宋体" w:cs="宋体" w:eastAsia="宋体" w:hint="default"/>
                <w:spacing w:val="-73"/>
                <w:sz w:val="21"/>
                <w:szCs w:val="21"/>
              </w:rPr>
              <w:t> </w:t>
            </w:r>
            <w:r>
              <w:rPr>
                <w:rFonts w:ascii="宋体" w:hAnsi="宋体" w:cs="宋体" w:eastAsia="宋体" w:hint="default"/>
                <w:sz w:val="21"/>
                <w:szCs w:val="21"/>
              </w:rPr>
              <w:t>山</w:t>
            </w:r>
            <w:r>
              <w:rPr>
                <w:rFonts w:ascii="宋体" w:hAnsi="宋体" w:cs="宋体" w:eastAsia="宋体" w:hint="default"/>
                <w:sz w:val="21"/>
                <w:szCs w:val="21"/>
              </w:rPr>
              <w:t> </w:t>
            </w:r>
            <w:r>
              <w:rPr>
                <w:rFonts w:ascii="宋体" w:hAnsi="宋体" w:cs="宋体" w:eastAsia="宋体" w:hint="default"/>
                <w:spacing w:val="8"/>
                <w:sz w:val="21"/>
                <w:szCs w:val="21"/>
              </w:rPr>
              <w:t>路华景园</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栋</w:t>
            </w:r>
            <w:r>
              <w:rPr>
                <w:rFonts w:ascii="Times New Roman" w:hAnsi="Times New Roman" w:cs="Times New Roman" w:eastAsia="Times New Roman" w:hint="default"/>
                <w:spacing w:val="8"/>
                <w:sz w:val="21"/>
                <w:szCs w:val="21"/>
              </w:rPr>
              <w:t>1805</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宋体" w:hAnsi="宋体" w:cs="宋体" w:eastAsia="宋体" w:hint="default"/>
                <w:sz w:val="21"/>
                <w:szCs w:val="21"/>
              </w:rPr>
              <w:t>房</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2017.1.1-2017.12.31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1,600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李立</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碑</w:t>
            </w:r>
            <w:r>
              <w:rPr>
                <w:rFonts w:ascii="宋体" w:hAnsi="宋体" w:cs="宋体" w:eastAsia="宋体" w:hint="default"/>
                <w:spacing w:val="-73"/>
                <w:sz w:val="21"/>
                <w:szCs w:val="21"/>
              </w:rPr>
              <w:t> </w:t>
            </w:r>
            <w:r>
              <w:rPr>
                <w:rFonts w:ascii="宋体" w:hAnsi="宋体" w:cs="宋体" w:eastAsia="宋体" w:hint="default"/>
                <w:sz w:val="21"/>
                <w:szCs w:val="21"/>
              </w:rPr>
              <w:t>林</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z w:val="21"/>
                <w:szCs w:val="21"/>
              </w:rPr>
              <w:t> </w:t>
            </w:r>
            <w:r>
              <w:rPr>
                <w:rFonts w:ascii="宋体" w:hAnsi="宋体" w:cs="宋体" w:eastAsia="宋体" w:hint="default"/>
                <w:spacing w:val="10"/>
                <w:sz w:val="21"/>
                <w:szCs w:val="21"/>
              </w:rPr>
              <w:t>学南路边西街</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号</w:t>
            </w:r>
            <w:r>
              <w:rPr>
                <w:rFonts w:ascii="宋体" w:hAnsi="宋体" w:cs="宋体" w:eastAsia="宋体" w:hint="default"/>
                <w:spacing w:val="-102"/>
                <w:sz w:val="21"/>
                <w:szCs w:val="21"/>
              </w:rPr>
              <w:t> </w:t>
            </w:r>
            <w:r>
              <w:rPr>
                <w:rFonts w:ascii="宋体" w:hAnsi="宋体" w:cs="宋体" w:eastAsia="宋体" w:hint="default"/>
                <w:sz w:val="21"/>
                <w:szCs w:val="21"/>
              </w:rPr>
              <w:t>黄金屋</w:t>
            </w:r>
            <w:r>
              <w:rPr>
                <w:rFonts w:ascii="Times New Roman" w:hAnsi="Times New Roman" w:cs="Times New Roman" w:eastAsia="Times New Roman" w:hint="default"/>
                <w:sz w:val="21"/>
                <w:szCs w:val="21"/>
              </w:rPr>
              <w:t>2310</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2017.3.13-2018.3.12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2,400</w:t>
            </w:r>
            <w:r>
              <w:rPr>
                <w:rFonts w:ascii="宋体" w:hAnsi="宋体" w:cs="宋体" w:eastAsia="宋体" w:hint="default"/>
                <w:sz w:val="21"/>
                <w:szCs w:val="21"/>
              </w:rPr>
              <w:t>元。</w:t>
            </w:r>
          </w:p>
        </w:tc>
      </w:tr>
      <w:tr>
        <w:trPr>
          <w:trHeight w:val="1284"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丁珊</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0"/>
              <w:jc w:val="both"/>
              <w:rPr>
                <w:rFonts w:ascii="宋体" w:hAnsi="宋体" w:cs="宋体" w:eastAsia="宋体" w:hint="default"/>
                <w:sz w:val="21"/>
                <w:szCs w:val="21"/>
              </w:rPr>
            </w:pPr>
            <w:r>
              <w:rPr>
                <w:rFonts w:ascii="宋体" w:hAnsi="宋体" w:cs="宋体" w:eastAsia="宋体" w:hint="default"/>
                <w:sz w:val="21"/>
                <w:szCs w:val="21"/>
              </w:rPr>
              <w:t>武</w:t>
            </w:r>
            <w:r>
              <w:rPr>
                <w:rFonts w:ascii="宋体" w:hAnsi="宋体" w:cs="宋体" w:eastAsia="宋体" w:hint="default"/>
                <w:spacing w:val="-73"/>
                <w:sz w:val="21"/>
                <w:szCs w:val="21"/>
              </w:rPr>
              <w:t> </w:t>
            </w:r>
            <w:r>
              <w:rPr>
                <w:rFonts w:ascii="宋体" w:hAnsi="宋体" w:cs="宋体" w:eastAsia="宋体" w:hint="default"/>
                <w:sz w:val="21"/>
                <w:szCs w:val="21"/>
              </w:rPr>
              <w:t>汉</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武</w:t>
            </w:r>
            <w:r>
              <w:rPr>
                <w:rFonts w:ascii="宋体" w:hAnsi="宋体" w:cs="宋体" w:eastAsia="宋体" w:hint="default"/>
                <w:spacing w:val="-73"/>
                <w:sz w:val="21"/>
                <w:szCs w:val="21"/>
              </w:rPr>
              <w:t> </w:t>
            </w:r>
            <w:r>
              <w:rPr>
                <w:rFonts w:ascii="宋体" w:hAnsi="宋体" w:cs="宋体" w:eastAsia="宋体" w:hint="default"/>
                <w:sz w:val="21"/>
                <w:szCs w:val="21"/>
              </w:rPr>
              <w:t>昌</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z w:val="21"/>
                <w:szCs w:val="21"/>
              </w:rPr>
              <w:t> </w:t>
            </w:r>
            <w:r>
              <w:rPr>
                <w:rFonts w:ascii="宋体" w:hAnsi="宋体" w:cs="宋体" w:eastAsia="宋体" w:hint="default"/>
                <w:spacing w:val="21"/>
                <w:sz w:val="21"/>
                <w:szCs w:val="21"/>
              </w:rPr>
              <w:t>南二路</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88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光</w:t>
            </w:r>
            <w:r>
              <w:rPr>
                <w:rFonts w:ascii="宋体" w:hAnsi="宋体" w:cs="宋体" w:eastAsia="宋体" w:hint="default"/>
                <w:sz w:val="21"/>
                <w:szCs w:val="21"/>
              </w:rPr>
              <w:t> </w:t>
            </w:r>
            <w:r>
              <w:rPr>
                <w:rFonts w:ascii="宋体" w:hAnsi="宋体" w:cs="宋体" w:eastAsia="宋体" w:hint="default"/>
                <w:spacing w:val="33"/>
                <w:sz w:val="21"/>
                <w:szCs w:val="21"/>
              </w:rPr>
              <w:t>年华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栋</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单</w:t>
            </w:r>
            <w:r>
              <w:rPr>
                <w:rFonts w:ascii="宋体" w:hAnsi="宋体" w:cs="宋体" w:eastAsia="宋体" w:hint="default"/>
                <w:spacing w:val="-3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r>
              <w:rPr>
                <w:rFonts w:ascii="Times New Roman" w:hAnsi="Times New Roman" w:cs="Times New Roman" w:eastAsia="Times New Roman" w:hint="default"/>
                <w:sz w:val="21"/>
                <w:szCs w:val="21"/>
              </w:rPr>
              <w:t>1302</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67.99</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2016.3.9-2017.3.10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2,800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27"/>
              <w:jc w:val="right"/>
              <w:rPr>
                <w:rFonts w:ascii="Times New Roman" w:hAnsi="Times New Roman" w:cs="Times New Roman" w:eastAsia="Times New Roman" w:hint="default"/>
                <w:sz w:val="21"/>
                <w:szCs w:val="21"/>
              </w:rPr>
            </w:pPr>
            <w:r>
              <w:rPr>
                <w:rFonts w:ascii="Times New Roman"/>
                <w:sz w:val="21"/>
              </w:rPr>
              <w:t>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both"/>
              <w:rPr>
                <w:rFonts w:ascii="宋体" w:hAnsi="宋体" w:cs="宋体" w:eastAsia="宋体" w:hint="default"/>
                <w:sz w:val="21"/>
                <w:szCs w:val="21"/>
              </w:rPr>
            </w:pPr>
            <w:r>
              <w:rPr>
                <w:rFonts w:ascii="宋体" w:hAnsi="宋体" w:cs="宋体" w:eastAsia="宋体" w:hint="default"/>
                <w:sz w:val="21"/>
                <w:szCs w:val="21"/>
              </w:rPr>
              <w:t>北京自如生 活资产管理 有限公司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9"/>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丰</w:t>
            </w:r>
            <w:r>
              <w:rPr>
                <w:rFonts w:ascii="宋体" w:hAnsi="宋体" w:cs="宋体" w:eastAsia="宋体" w:hint="default"/>
                <w:spacing w:val="-73"/>
                <w:sz w:val="21"/>
                <w:szCs w:val="21"/>
              </w:rPr>
              <w:t> </w:t>
            </w:r>
            <w:r>
              <w:rPr>
                <w:rFonts w:ascii="宋体" w:hAnsi="宋体" w:cs="宋体" w:eastAsia="宋体" w:hint="default"/>
                <w:sz w:val="21"/>
                <w:szCs w:val="21"/>
              </w:rPr>
              <w:t>台</w:t>
            </w:r>
            <w:r>
              <w:rPr>
                <w:rFonts w:ascii="宋体" w:hAnsi="宋体" w:cs="宋体" w:eastAsia="宋体" w:hint="default"/>
                <w:spacing w:val="-73"/>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右</w:t>
            </w:r>
            <w:r>
              <w:rPr>
                <w:rFonts w:ascii="宋体" w:hAnsi="宋体" w:cs="宋体" w:eastAsia="宋体" w:hint="default"/>
                <w:spacing w:val="-73"/>
                <w:sz w:val="21"/>
                <w:szCs w:val="21"/>
              </w:rPr>
              <w:t> </w:t>
            </w:r>
            <w:r>
              <w:rPr>
                <w:rFonts w:ascii="宋体" w:hAnsi="宋体" w:cs="宋体" w:eastAsia="宋体" w:hint="default"/>
                <w:sz w:val="21"/>
                <w:szCs w:val="21"/>
              </w:rPr>
              <w:t>外</w:t>
            </w:r>
            <w:r>
              <w:rPr>
                <w:rFonts w:ascii="宋体" w:hAnsi="宋体" w:cs="宋体" w:eastAsia="宋体" w:hint="default"/>
                <w:sz w:val="21"/>
                <w:szCs w:val="21"/>
              </w:rPr>
              <w:t> </w:t>
            </w:r>
            <w:r>
              <w:rPr>
                <w:rFonts w:ascii="宋体" w:hAnsi="宋体" w:cs="宋体" w:eastAsia="宋体" w:hint="default"/>
                <w:spacing w:val="10"/>
                <w:sz w:val="21"/>
                <w:szCs w:val="21"/>
              </w:rPr>
              <w:t>东庄</w:t>
            </w:r>
            <w:r>
              <w:rPr>
                <w:rFonts w:ascii="Times New Roman" w:hAnsi="Times New Roman" w:cs="Times New Roman" w:eastAsia="Times New Roman" w:hint="default"/>
                <w:spacing w:val="10"/>
                <w:sz w:val="21"/>
                <w:szCs w:val="21"/>
              </w:rPr>
              <w:t>22</w:t>
            </w:r>
            <w:r>
              <w:rPr>
                <w:rFonts w:ascii="宋体" w:hAnsi="宋体" w:cs="宋体" w:eastAsia="宋体" w:hint="default"/>
                <w:spacing w:val="10"/>
                <w:sz w:val="21"/>
                <w:szCs w:val="21"/>
              </w:rPr>
              <w:t>号楼</w:t>
            </w:r>
            <w:r>
              <w:rPr>
                <w:rFonts w:ascii="Times New Roman" w:hAnsi="Times New Roman" w:cs="Times New Roman" w:eastAsia="Times New Roman" w:hint="default"/>
                <w:spacing w:val="10"/>
                <w:sz w:val="21"/>
                <w:szCs w:val="21"/>
              </w:rPr>
              <w:t>6</w:t>
            </w:r>
            <w:r>
              <w:rPr>
                <w:rFonts w:ascii="宋体" w:hAnsi="宋体" w:cs="宋体" w:eastAsia="宋体" w:hint="default"/>
                <w:spacing w:val="10"/>
                <w:sz w:val="21"/>
                <w:szCs w:val="21"/>
              </w:rPr>
              <w:t>单元</w:t>
            </w:r>
            <w:r>
              <w:rPr>
                <w:rFonts w:ascii="宋体" w:hAnsi="宋体" w:cs="宋体" w:eastAsia="宋体" w:hint="default"/>
                <w:spacing w:val="-99"/>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层</w:t>
            </w:r>
            <w:r>
              <w:rPr>
                <w:rFonts w:ascii="Times New Roman" w:hAnsi="Times New Roman" w:cs="Times New Roman" w:eastAsia="Times New Roman" w:hint="default"/>
                <w:sz w:val="21"/>
                <w:szCs w:val="21"/>
              </w:rPr>
              <w:t>601</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58.2</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2016.10.9-2018.10.8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5,060</w:t>
            </w: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高彩琴</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县</w:t>
            </w:r>
            <w:r>
              <w:rPr>
                <w:rFonts w:ascii="宋体" w:hAnsi="宋体" w:cs="宋体" w:eastAsia="宋体" w:hint="default"/>
                <w:spacing w:val="-73"/>
                <w:sz w:val="21"/>
                <w:szCs w:val="21"/>
              </w:rPr>
              <w:t> </w:t>
            </w:r>
            <w:r>
              <w:rPr>
                <w:rFonts w:ascii="宋体" w:hAnsi="宋体" w:cs="宋体" w:eastAsia="宋体" w:hint="default"/>
                <w:sz w:val="21"/>
                <w:szCs w:val="21"/>
              </w:rPr>
              <w:t>东</w:t>
            </w:r>
            <w:r>
              <w:rPr>
                <w:rFonts w:ascii="宋体" w:hAnsi="宋体" w:cs="宋体" w:eastAsia="宋体" w:hint="default"/>
                <w:spacing w:val="-73"/>
                <w:sz w:val="21"/>
                <w:szCs w:val="21"/>
              </w:rPr>
              <w:t> </w:t>
            </w:r>
            <w:r>
              <w:rPr>
                <w:rFonts w:ascii="宋体" w:hAnsi="宋体" w:cs="宋体" w:eastAsia="宋体" w:hint="default"/>
                <w:sz w:val="21"/>
                <w:szCs w:val="21"/>
              </w:rPr>
              <w:t>润</w:t>
            </w:r>
            <w:r>
              <w:rPr>
                <w:rFonts w:ascii="宋体" w:hAnsi="宋体" w:cs="宋体" w:eastAsia="宋体" w:hint="default"/>
                <w:spacing w:val="-74"/>
                <w:sz w:val="21"/>
                <w:szCs w:val="21"/>
              </w:rPr>
              <w:t> </w:t>
            </w:r>
            <w:r>
              <w:rPr>
                <w:rFonts w:ascii="宋体" w:hAnsi="宋体" w:cs="宋体" w:eastAsia="宋体" w:hint="default"/>
                <w:sz w:val="21"/>
                <w:szCs w:val="21"/>
              </w:rPr>
              <w:t>名</w:t>
            </w:r>
            <w:r>
              <w:rPr>
                <w:rFonts w:ascii="宋体" w:hAnsi="宋体" w:cs="宋体" w:eastAsia="宋体" w:hint="default"/>
                <w:spacing w:val="-73"/>
                <w:sz w:val="21"/>
                <w:szCs w:val="21"/>
              </w:rPr>
              <w:t> </w:t>
            </w:r>
            <w:r>
              <w:rPr>
                <w:rFonts w:ascii="宋体" w:hAnsi="宋体" w:cs="宋体" w:eastAsia="宋体" w:hint="default"/>
                <w:sz w:val="21"/>
                <w:szCs w:val="21"/>
              </w:rPr>
              <w:t>邸</w:t>
            </w:r>
          </w:p>
          <w:p>
            <w:pPr>
              <w:pStyle w:val="TableParagraph"/>
              <w:spacing w:line="240" w:lineRule="auto" w:before="37"/>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1604</w:t>
            </w:r>
            <w:r>
              <w:rPr>
                <w:rFonts w:ascii="宋体" w:hAnsi="宋体" w:cs="宋体" w:eastAsia="宋体" w:hint="default"/>
                <w:sz w:val="21"/>
                <w:szCs w:val="21"/>
              </w:rPr>
              <w:t>室</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40</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2016.10.10-2017.10.9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1,200</w:t>
            </w: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徐剑</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涵普电 力</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佳</w:t>
            </w:r>
            <w:r>
              <w:rPr>
                <w:rFonts w:ascii="宋体" w:hAnsi="宋体" w:cs="宋体" w:eastAsia="宋体" w:hint="default"/>
                <w:spacing w:val="-73"/>
                <w:sz w:val="21"/>
                <w:szCs w:val="21"/>
              </w:rPr>
              <w:t> </w:t>
            </w:r>
            <w:r>
              <w:rPr>
                <w:rFonts w:ascii="宋体" w:hAnsi="宋体" w:cs="宋体" w:eastAsia="宋体" w:hint="default"/>
                <w:sz w:val="21"/>
                <w:szCs w:val="21"/>
              </w:rPr>
              <w:t>源</w:t>
            </w:r>
            <w:r>
              <w:rPr>
                <w:rFonts w:ascii="宋体" w:hAnsi="宋体" w:cs="宋体" w:eastAsia="宋体" w:hint="default"/>
                <w:spacing w:val="-74"/>
                <w:sz w:val="21"/>
                <w:szCs w:val="21"/>
              </w:rPr>
              <w:t> </w:t>
            </w:r>
            <w:r>
              <w:rPr>
                <w:rFonts w:ascii="宋体" w:hAnsi="宋体" w:cs="宋体" w:eastAsia="宋体" w:hint="default"/>
                <w:sz w:val="21"/>
                <w:szCs w:val="21"/>
              </w:rPr>
              <w:t>都</w:t>
            </w:r>
            <w:r>
              <w:rPr>
                <w:rFonts w:ascii="宋体" w:hAnsi="宋体" w:cs="宋体" w:eastAsia="宋体" w:hint="default"/>
                <w:spacing w:val="-73"/>
                <w:sz w:val="21"/>
                <w:szCs w:val="21"/>
              </w:rPr>
              <w:t> </w:t>
            </w:r>
            <w:r>
              <w:rPr>
                <w:rFonts w:ascii="宋体" w:hAnsi="宋体" w:cs="宋体" w:eastAsia="宋体" w:hint="default"/>
                <w:sz w:val="21"/>
                <w:szCs w:val="21"/>
              </w:rPr>
              <w:t>市</w:t>
            </w:r>
          </w:p>
          <w:p>
            <w:pPr>
              <w:pStyle w:val="TableParagraph"/>
              <w:spacing w:line="240" w:lineRule="auto" w:before="86"/>
              <w:ind w:left="2" w:right="0"/>
              <w:jc w:val="left"/>
              <w:rPr>
                <w:rFonts w:ascii="Times New Roman" w:hAnsi="Times New Roman" w:cs="Times New Roman" w:eastAsia="Times New Roman" w:hint="default"/>
                <w:sz w:val="21"/>
                <w:szCs w:val="21"/>
              </w:rPr>
            </w:pPr>
            <w:r>
              <w:rPr>
                <w:rFonts w:ascii="Times New Roman"/>
                <w:sz w:val="21"/>
              </w:rPr>
              <w:t>32-601</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89.4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2016.11.14-2017.5.14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1,200</w:t>
            </w: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夏文莉</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银川卧 龙</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银川市唐徕花园</w:t>
            </w:r>
            <w:r>
              <w:rPr>
                <w:rFonts w:ascii="Times New Roman" w:hAnsi="Times New Roman" w:cs="Times New Roman" w:eastAsia="Times New Roman" w:hint="default"/>
                <w:spacing w:val="10"/>
                <w:sz w:val="21"/>
                <w:szCs w:val="21"/>
              </w:rPr>
              <w:t>5</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号楼</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1502</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112.87</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2017.5.2-</w:t>
            </w:r>
            <w:r>
              <w:rPr>
                <w:rFonts w:ascii="Times New Roman"/>
                <w:spacing w:val="-1"/>
                <w:sz w:val="21"/>
              </w:rPr>
              <w:t> </w:t>
            </w:r>
            <w:r>
              <w:rPr>
                <w:rFonts w:ascii="Times New Roman"/>
                <w:sz w:val="21"/>
              </w:rPr>
              <w:t>2018.5.1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1,400</w:t>
            </w:r>
            <w:r>
              <w:rPr>
                <w:rFonts w:ascii="宋体" w:hAnsi="宋体" w:cs="宋体" w:eastAsia="宋体" w:hint="default"/>
                <w:sz w:val="21"/>
                <w:szCs w:val="21"/>
              </w:rPr>
              <w:t>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周树林</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银川卧 龙</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唐徕花园</w:t>
            </w:r>
            <w:r>
              <w:rPr>
                <w:rFonts w:ascii="Times New Roman" w:hAnsi="Times New Roman" w:cs="Times New Roman" w:eastAsia="Times New Roman" w:hint="default"/>
                <w:spacing w:val="9"/>
                <w:sz w:val="21"/>
                <w:szCs w:val="21"/>
              </w:rPr>
              <w:t>15</w:t>
            </w:r>
            <w:r>
              <w:rPr>
                <w:rFonts w:ascii="宋体" w:hAnsi="宋体" w:cs="宋体" w:eastAsia="宋体" w:hint="default"/>
                <w:spacing w:val="9"/>
                <w:sz w:val="21"/>
                <w:szCs w:val="21"/>
              </w:rPr>
              <w:t>号楼</w:t>
            </w:r>
            <w:r>
              <w:rPr>
                <w:rFonts w:ascii="Times New Roman" w:hAnsi="Times New Roman" w:cs="Times New Roman" w:eastAsia="Times New Roman" w:hint="default"/>
                <w:spacing w:val="9"/>
                <w:sz w:val="21"/>
                <w:szCs w:val="21"/>
              </w:rPr>
              <w:t>3</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单元</w:t>
            </w:r>
            <w:r>
              <w:rPr>
                <w:rFonts w:ascii="Times New Roman" w:hAnsi="Times New Roman" w:cs="Times New Roman" w:eastAsia="Times New Roman" w:hint="default"/>
                <w:sz w:val="21"/>
                <w:szCs w:val="21"/>
              </w:rPr>
              <w:t>1202</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116.81</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2017.11.1-2018.10.31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1,400</w:t>
            </w:r>
            <w:r>
              <w:rPr>
                <w:rFonts w:ascii="宋体" w:hAnsi="宋体" w:cs="宋体" w:eastAsia="宋体" w:hint="default"/>
                <w:sz w:val="21"/>
                <w:szCs w:val="21"/>
              </w:rPr>
              <w:t>元。</w:t>
            </w:r>
          </w:p>
        </w:tc>
      </w:tr>
      <w:tr>
        <w:trPr>
          <w:trHeight w:val="660"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left"/>
              <w:rPr>
                <w:rFonts w:ascii="宋体" w:hAnsi="宋体" w:cs="宋体" w:eastAsia="宋体" w:hint="default"/>
                <w:sz w:val="21"/>
                <w:szCs w:val="21"/>
              </w:rPr>
            </w:pPr>
            <w:r>
              <w:rPr>
                <w:rFonts w:ascii="宋体" w:hAnsi="宋体" w:cs="宋体" w:eastAsia="宋体" w:hint="default"/>
                <w:sz w:val="21"/>
                <w:szCs w:val="21"/>
              </w:rPr>
              <w:t>宁夏众一物 流有限公司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银川卧 龙</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宁夏众一物流园</w:t>
            </w:r>
            <w:r>
              <w:rPr>
                <w:rFonts w:ascii="Times New Roman" w:hAnsi="Times New Roman" w:cs="Times New Roman" w:eastAsia="Times New Roman" w:hint="default"/>
                <w:spacing w:val="10"/>
                <w:sz w:val="21"/>
                <w:szCs w:val="21"/>
              </w:rPr>
              <w:t>4</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号楼二楼</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居住</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240</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2016.11.1-2018.10.31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48,000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27"/>
              <w:jc w:val="right"/>
              <w:rPr>
                <w:rFonts w:ascii="Times New Roman" w:hAnsi="Times New Roman" w:cs="Times New Roman" w:eastAsia="Times New Roman" w:hint="default"/>
                <w:sz w:val="21"/>
                <w:szCs w:val="21"/>
              </w:rPr>
            </w:pPr>
            <w:r>
              <w:rPr>
                <w:rFonts w:ascii="Times New Roman"/>
                <w:sz w:val="21"/>
              </w:rPr>
              <w:t>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left"/>
              <w:rPr>
                <w:rFonts w:ascii="宋体" w:hAnsi="宋体" w:cs="宋体" w:eastAsia="宋体" w:hint="default"/>
                <w:sz w:val="21"/>
                <w:szCs w:val="21"/>
              </w:rPr>
            </w:pPr>
            <w:r>
              <w:rPr>
                <w:rFonts w:ascii="宋体" w:hAnsi="宋体" w:cs="宋体" w:eastAsia="宋体" w:hint="default"/>
                <w:sz w:val="21"/>
                <w:szCs w:val="21"/>
              </w:rPr>
              <w:t>李晓芳</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2"/>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3"/>
                <w:sz w:val="21"/>
                <w:szCs w:val="21"/>
              </w:rPr>
              <w:t> </w:t>
            </w:r>
            <w:r>
              <w:rPr>
                <w:rFonts w:ascii="宋体" w:hAnsi="宋体" w:cs="宋体" w:eastAsia="宋体" w:hint="default"/>
                <w:sz w:val="21"/>
                <w:szCs w:val="21"/>
              </w:rPr>
              <w:t>川</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庆</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凤</w:t>
            </w:r>
            <w:r>
              <w:rPr>
                <w:rFonts w:ascii="宋体" w:hAnsi="宋体" w:cs="宋体" w:eastAsia="宋体" w:hint="default"/>
                <w:sz w:val="21"/>
                <w:szCs w:val="21"/>
              </w:rPr>
              <w:t> </w:t>
            </w:r>
            <w:r>
              <w:rPr>
                <w:rFonts w:ascii="宋体" w:hAnsi="宋体" w:cs="宋体" w:eastAsia="宋体" w:hint="default"/>
                <w:spacing w:val="10"/>
                <w:sz w:val="21"/>
                <w:szCs w:val="21"/>
              </w:rPr>
              <w:t>凰北街北安小区</w:t>
            </w:r>
            <w:r>
              <w:rPr>
                <w:rFonts w:ascii="Times New Roman" w:hAnsi="Times New Roman" w:cs="Times New Roman" w:eastAsia="Times New Roman" w:hint="default"/>
                <w:spacing w:val="10"/>
                <w:sz w:val="21"/>
                <w:szCs w:val="21"/>
              </w:rPr>
              <w:t>6</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号楼</w:t>
            </w:r>
            <w:r>
              <w:rPr>
                <w:rFonts w:ascii="Times New Roman" w:hAnsi="Times New Roman" w:cs="Times New Roman" w:eastAsia="Times New Roman" w:hint="default"/>
                <w:sz w:val="21"/>
                <w:szCs w:val="21"/>
              </w:rPr>
              <w:t>10</w:t>
            </w:r>
            <w:r>
              <w:rPr>
                <w:rFonts w:ascii="宋体" w:hAnsi="宋体" w:cs="宋体" w:eastAsia="宋体" w:hint="default"/>
                <w:sz w:val="21"/>
                <w:szCs w:val="21"/>
              </w:rPr>
              <w:t>营业房</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营业</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47</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2016.12.1-2018.12.31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1,200</w:t>
            </w:r>
            <w:r>
              <w:rPr>
                <w:rFonts w:ascii="宋体" w:hAnsi="宋体" w:cs="宋体" w:eastAsia="宋体" w:hint="default"/>
                <w:sz w:val="21"/>
                <w:szCs w:val="21"/>
              </w:rPr>
              <w:t>元。</w:t>
            </w:r>
          </w:p>
        </w:tc>
      </w:tr>
      <w:tr>
        <w:trPr>
          <w:trHeight w:val="971"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银川卧龙</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 w:right="0"/>
              <w:jc w:val="left"/>
              <w:rPr>
                <w:rFonts w:ascii="宋体" w:hAnsi="宋体" w:cs="宋体" w:eastAsia="宋体" w:hint="default"/>
                <w:sz w:val="21"/>
                <w:szCs w:val="21"/>
              </w:rPr>
            </w:pPr>
            <w:r>
              <w:rPr>
                <w:rFonts w:ascii="宋体" w:hAnsi="宋体" w:cs="宋体" w:eastAsia="宋体" w:hint="default"/>
                <w:sz w:val="21"/>
                <w:szCs w:val="21"/>
              </w:rPr>
              <w:t>于孟弘</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3"/>
                <w:sz w:val="21"/>
                <w:szCs w:val="21"/>
              </w:rPr>
              <w:t> </w:t>
            </w:r>
            <w:r>
              <w:rPr>
                <w:rFonts w:ascii="宋体" w:hAnsi="宋体" w:cs="宋体" w:eastAsia="宋体" w:hint="default"/>
                <w:sz w:val="21"/>
                <w:szCs w:val="21"/>
              </w:rPr>
              <w:t>川</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兴</w:t>
            </w:r>
            <w:r>
              <w:rPr>
                <w:rFonts w:ascii="宋体" w:hAnsi="宋体" w:cs="宋体" w:eastAsia="宋体" w:hint="default"/>
                <w:spacing w:val="-73"/>
                <w:sz w:val="21"/>
                <w:szCs w:val="21"/>
              </w:rPr>
              <w:t> </w:t>
            </w:r>
            <w:r>
              <w:rPr>
                <w:rFonts w:ascii="宋体" w:hAnsi="宋体" w:cs="宋体" w:eastAsia="宋体" w:hint="default"/>
                <w:sz w:val="21"/>
                <w:szCs w:val="21"/>
              </w:rPr>
              <w:t>庆</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清</w:t>
            </w:r>
            <w:r>
              <w:rPr>
                <w:rFonts w:ascii="宋体" w:hAnsi="宋体" w:cs="宋体" w:eastAsia="宋体" w:hint="default"/>
                <w:sz w:val="21"/>
                <w:szCs w:val="21"/>
              </w:rPr>
              <w:t> </w:t>
            </w:r>
            <w:r>
              <w:rPr>
                <w:rFonts w:ascii="宋体" w:hAnsi="宋体" w:cs="宋体" w:eastAsia="宋体" w:hint="default"/>
                <w:spacing w:val="21"/>
                <w:sz w:val="21"/>
                <w:szCs w:val="21"/>
              </w:rPr>
              <w:t>河北街</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至</w:t>
            </w:r>
            <w:r>
              <w:rPr>
                <w:rFonts w:ascii="宋体" w:hAnsi="宋体" w:cs="宋体" w:eastAsia="宋体" w:hint="default"/>
                <w:sz w:val="21"/>
                <w:szCs w:val="21"/>
              </w:rPr>
              <w:t> 四层营业房屋</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营业</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1090</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2015.7.1-2018.8.31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年租金为</w:t>
            </w:r>
            <w:r>
              <w:rPr>
                <w:rFonts w:ascii="Times New Roman" w:hAnsi="Times New Roman" w:cs="Times New Roman" w:eastAsia="Times New Roman" w:hint="default"/>
                <w:sz w:val="21"/>
                <w:szCs w:val="21"/>
              </w:rPr>
              <w:t>40</w:t>
            </w:r>
            <w:r>
              <w:rPr>
                <w:rFonts w:ascii="宋体" w:hAnsi="宋体" w:cs="宋体" w:eastAsia="宋体" w:hint="default"/>
                <w:sz w:val="21"/>
                <w:szCs w:val="21"/>
              </w:rPr>
              <w:t>万元。</w:t>
            </w:r>
          </w:p>
        </w:tc>
      </w:tr>
      <w:tr>
        <w:trPr>
          <w:trHeight w:val="659"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39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4"/>
              <w:jc w:val="left"/>
              <w:rPr>
                <w:rFonts w:ascii="宋体" w:hAnsi="宋体" w:cs="宋体" w:eastAsia="宋体" w:hint="default"/>
                <w:sz w:val="21"/>
                <w:szCs w:val="21"/>
              </w:rPr>
            </w:pPr>
            <w:r>
              <w:rPr>
                <w:rFonts w:ascii="宋体" w:hAnsi="宋体" w:cs="宋体" w:eastAsia="宋体" w:hint="default"/>
                <w:sz w:val="21"/>
                <w:szCs w:val="21"/>
              </w:rPr>
              <w:t>合肥星波电 子有限公司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星波通 信</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徽</w:t>
            </w:r>
            <w:r>
              <w:rPr>
                <w:rFonts w:ascii="宋体" w:hAnsi="宋体" w:cs="宋体" w:eastAsia="宋体" w:hint="default"/>
                <w:spacing w:val="-73"/>
                <w:sz w:val="21"/>
                <w:szCs w:val="21"/>
              </w:rPr>
              <w:t> </w:t>
            </w:r>
            <w:r>
              <w:rPr>
                <w:rFonts w:ascii="宋体" w:hAnsi="宋体" w:cs="宋体" w:eastAsia="宋体" w:hint="default"/>
                <w:sz w:val="21"/>
                <w:szCs w:val="21"/>
              </w:rPr>
              <w:t>省</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肥</w:t>
            </w:r>
            <w:r>
              <w:rPr>
                <w:rFonts w:ascii="宋体" w:hAnsi="宋体" w:cs="宋体" w:eastAsia="宋体" w:hint="default"/>
                <w:spacing w:val="-74"/>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高</w:t>
            </w:r>
            <w:r>
              <w:rPr>
                <w:rFonts w:ascii="宋体" w:hAnsi="宋体" w:cs="宋体" w:eastAsia="宋体" w:hint="default"/>
                <w:sz w:val="21"/>
                <w:szCs w:val="21"/>
              </w:rPr>
              <w:t> 新区梦园路</w:t>
            </w:r>
            <w:r>
              <w:rPr>
                <w:rFonts w:ascii="Times New Roman" w:hAnsi="Times New Roman" w:cs="Times New Roman" w:eastAsia="Times New Roman" w:hint="default"/>
                <w:sz w:val="21"/>
                <w:szCs w:val="21"/>
              </w:rPr>
              <w:t>11</w:t>
            </w:r>
            <w:r>
              <w:rPr>
                <w:rFonts w:ascii="宋体" w:hAnsi="宋体" w:cs="宋体" w:eastAsia="宋体" w:hint="default"/>
                <w:sz w:val="21"/>
                <w:szCs w:val="21"/>
              </w:rPr>
              <w:t>号</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8"/>
              <w:jc w:val="left"/>
              <w:rPr>
                <w:rFonts w:ascii="宋体" w:hAnsi="宋体" w:cs="宋体" w:eastAsia="宋体" w:hint="default"/>
                <w:sz w:val="21"/>
                <w:szCs w:val="21"/>
              </w:rPr>
            </w:pPr>
            <w:r>
              <w:rPr>
                <w:rFonts w:ascii="宋体" w:hAnsi="宋体" w:cs="宋体" w:eastAsia="宋体" w:hint="default"/>
                <w:spacing w:val="9"/>
                <w:sz w:val="21"/>
                <w:szCs w:val="21"/>
              </w:rPr>
              <w:t>工业厂 </w:t>
            </w:r>
            <w:r>
              <w:rPr>
                <w:rFonts w:ascii="宋体" w:hAnsi="宋体" w:cs="宋体" w:eastAsia="宋体" w:hint="default"/>
                <w:sz w:val="21"/>
                <w:szCs w:val="21"/>
              </w:rPr>
              <w:t>房</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4316</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2017.7.1-2022.6.30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50,000</w:t>
            </w:r>
            <w:r>
              <w:rPr>
                <w:rFonts w:ascii="宋体" w:hAnsi="宋体" w:cs="宋体" w:eastAsia="宋体" w:hint="default"/>
                <w:sz w:val="21"/>
                <w:szCs w:val="21"/>
              </w:rPr>
              <w:t>元。</w:t>
            </w:r>
          </w:p>
        </w:tc>
      </w:tr>
      <w:tr>
        <w:trPr>
          <w:trHeight w:val="972" w:hRule="exact"/>
        </w:trPr>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27"/>
              <w:jc w:val="right"/>
              <w:rPr>
                <w:rFonts w:ascii="Times New Roman" w:hAnsi="Times New Roman" w:cs="Times New Roman" w:eastAsia="Times New Roman" w:hint="default"/>
                <w:sz w:val="21"/>
                <w:szCs w:val="21"/>
              </w:rPr>
            </w:pPr>
            <w:r>
              <w:rPr>
                <w:rFonts w:ascii="Times New Roman"/>
                <w:sz w:val="21"/>
              </w:rPr>
              <w:t>40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夏秀玉</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3" w:right="11" w:hanging="210"/>
              <w:jc w:val="left"/>
              <w:rPr>
                <w:rFonts w:ascii="宋体" w:hAnsi="宋体" w:cs="宋体" w:eastAsia="宋体" w:hint="default"/>
                <w:sz w:val="21"/>
                <w:szCs w:val="21"/>
              </w:rPr>
            </w:pPr>
            <w:r>
              <w:rPr>
                <w:rFonts w:ascii="宋体" w:hAnsi="宋体" w:cs="宋体" w:eastAsia="宋体" w:hint="default"/>
                <w:sz w:val="21"/>
                <w:szCs w:val="21"/>
              </w:rPr>
              <w:t>红相股 份</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spacing w:val="-73"/>
                <w:sz w:val="21"/>
                <w:szCs w:val="21"/>
              </w:rPr>
              <w:t> </w:t>
            </w:r>
            <w:r>
              <w:rPr>
                <w:rFonts w:ascii="宋体" w:hAnsi="宋体" w:cs="宋体" w:eastAsia="宋体" w:hint="default"/>
                <w:sz w:val="21"/>
                <w:szCs w:val="21"/>
              </w:rPr>
              <w:t>阳</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3"/>
                <w:sz w:val="21"/>
                <w:szCs w:val="21"/>
              </w:rPr>
              <w:t> </w:t>
            </w:r>
            <w:r>
              <w:rPr>
                <w:rFonts w:ascii="宋体" w:hAnsi="宋体" w:cs="宋体" w:eastAsia="宋体" w:hint="default"/>
                <w:sz w:val="21"/>
                <w:szCs w:val="21"/>
              </w:rPr>
              <w:t>铁</w:t>
            </w:r>
            <w:r>
              <w:rPr>
                <w:rFonts w:ascii="宋体" w:hAnsi="宋体" w:cs="宋体" w:eastAsia="宋体" w:hint="default"/>
                <w:spacing w:val="-73"/>
                <w:sz w:val="21"/>
                <w:szCs w:val="21"/>
              </w:rPr>
              <w:t> </w:t>
            </w:r>
            <w:r>
              <w:rPr>
                <w:rFonts w:ascii="宋体" w:hAnsi="宋体" w:cs="宋体" w:eastAsia="宋体" w:hint="default"/>
                <w:sz w:val="21"/>
                <w:szCs w:val="21"/>
              </w:rPr>
              <w:t>西</w:t>
            </w:r>
            <w:r>
              <w:rPr>
                <w:rFonts w:ascii="宋体" w:hAnsi="宋体" w:cs="宋体" w:eastAsia="宋体" w:hint="default"/>
                <w:spacing w:val="-74"/>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云</w:t>
            </w:r>
            <w:r>
              <w:rPr>
                <w:rFonts w:ascii="宋体" w:hAnsi="宋体" w:cs="宋体" w:eastAsia="宋体" w:hint="default"/>
                <w:sz w:val="21"/>
                <w:szCs w:val="21"/>
              </w:rPr>
              <w:t> 峰 北 街 </w:t>
            </w:r>
            <w:r>
              <w:rPr>
                <w:rFonts w:ascii="Times New Roman" w:hAnsi="Times New Roman" w:cs="Times New Roman" w:eastAsia="Times New Roman" w:hint="default"/>
                <w:sz w:val="21"/>
                <w:szCs w:val="21"/>
              </w:rPr>
              <w:t>62    </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号</w:t>
            </w:r>
          </w:p>
          <w:p>
            <w:pPr>
              <w:pStyle w:val="TableParagraph"/>
              <w:spacing w:line="279"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1911</w:t>
            </w:r>
            <w:r>
              <w:rPr>
                <w:rFonts w:ascii="宋体" w:hAnsi="宋体" w:cs="宋体" w:eastAsia="宋体" w:hint="default"/>
                <w:sz w:val="21"/>
                <w:szCs w:val="21"/>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41.64</w:t>
            </w:r>
          </w:p>
        </w:tc>
        <w:tc>
          <w:tcPr>
            <w:tcW w:w="2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2017.12.1-2019.11.30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月租金为</w:t>
            </w:r>
            <w:r>
              <w:rPr>
                <w:rFonts w:ascii="Times New Roman" w:hAnsi="Times New Roman" w:cs="Times New Roman" w:eastAsia="Times New Roman" w:hint="default"/>
                <w:sz w:val="21"/>
                <w:szCs w:val="21"/>
              </w:rPr>
              <w:t>2,200</w:t>
            </w:r>
            <w:r>
              <w:rPr>
                <w:rFonts w:ascii="宋体" w:hAnsi="宋体" w:cs="宋体" w:eastAsia="宋体" w:hint="default"/>
                <w:sz w:val="21"/>
                <w:szCs w:val="21"/>
              </w:rPr>
              <w:t>元。</w:t>
            </w:r>
          </w:p>
        </w:tc>
      </w:tr>
    </w:tbl>
    <w:p>
      <w:pPr>
        <w:spacing w:line="240" w:lineRule="auto" w:before="11"/>
        <w:rPr>
          <w:rFonts w:ascii="Times New Roman" w:hAnsi="Times New Roman" w:cs="Times New Roman" w:eastAsia="Times New Roman" w:hint="default"/>
          <w:sz w:val="25"/>
          <w:szCs w:val="25"/>
        </w:rPr>
      </w:pPr>
    </w:p>
    <w:p>
      <w:pPr>
        <w:spacing w:line="244" w:lineRule="auto" w:before="31"/>
        <w:ind w:left="1134" w:right="1116" w:firstLine="420"/>
        <w:jc w:val="left"/>
        <w:rPr>
          <w:rFonts w:ascii="宋体" w:hAnsi="宋体" w:cs="宋体" w:eastAsia="宋体" w:hint="default"/>
          <w:sz w:val="22"/>
          <w:szCs w:val="22"/>
        </w:rPr>
      </w:pP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、报告期内，对单人联络处公司不再租赁固定场所，第</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7</w:t>
      </w:r>
      <w:r>
        <w:rPr>
          <w:rFonts w:ascii="宋体" w:hAnsi="宋体" w:cs="宋体" w:eastAsia="宋体" w:hint="default"/>
          <w:spacing w:val="2"/>
          <w:sz w:val="22"/>
          <w:szCs w:val="22"/>
        </w:rPr>
        <w:t>号房屋租赁到期后不再续租，员工</w:t>
      </w:r>
      <w:r>
        <w:rPr>
          <w:rFonts w:ascii="宋体" w:hAnsi="宋体" w:cs="宋体" w:eastAsia="宋体" w:hint="default"/>
          <w:spacing w:val="2"/>
          <w:w w:val="99"/>
          <w:sz w:val="22"/>
          <w:szCs w:val="22"/>
        </w:rPr>
        <w:t> </w:t>
      </w:r>
      <w:r>
        <w:rPr>
          <w:rFonts w:ascii="宋体" w:hAnsi="宋体" w:cs="宋体" w:eastAsia="宋体" w:hint="default"/>
          <w:sz w:val="22"/>
          <w:szCs w:val="22"/>
        </w:rPr>
        <w:t>家庭场所将兼顾一定的联络功能，以上房屋不再续租对公司生产经营不会产生影响。</w:t>
      </w:r>
    </w:p>
    <w:p>
      <w:pPr>
        <w:spacing w:line="247" w:lineRule="auto" w:before="58"/>
        <w:ind w:left="1134" w:right="1129" w:firstLine="42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、第</w:t>
      </w:r>
      <w:r>
        <w:rPr>
          <w:rFonts w:ascii="Times New Roman" w:hAnsi="Times New Roman" w:cs="Times New Roman" w:eastAsia="Times New Roman" w:hint="default"/>
          <w:sz w:val="22"/>
          <w:szCs w:val="22"/>
        </w:rPr>
        <w:t>18</w:t>
      </w:r>
      <w:r>
        <w:rPr>
          <w:rFonts w:ascii="宋体" w:hAnsi="宋体" w:cs="宋体" w:eastAsia="宋体" w:hint="default"/>
          <w:sz w:val="22"/>
          <w:szCs w:val="22"/>
        </w:rPr>
        <w:t>号房屋的租赁期限为</w:t>
      </w:r>
      <w:r>
        <w:rPr>
          <w:rFonts w:ascii="Times New Roman" w:hAnsi="Times New Roman" w:cs="Times New Roman" w:eastAsia="Times New Roman" w:hint="default"/>
          <w:sz w:val="22"/>
          <w:szCs w:val="22"/>
        </w:rPr>
        <w:t>2016.12.1-2018.12.31</w:t>
      </w:r>
      <w:r>
        <w:rPr>
          <w:rFonts w:ascii="宋体" w:hAnsi="宋体" w:cs="宋体" w:eastAsia="宋体" w:hint="default"/>
          <w:sz w:val="22"/>
          <w:szCs w:val="22"/>
        </w:rPr>
        <w:t>，该房屋</w:t>
      </w: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日至</w:t>
      </w: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日为装</w:t>
      </w:r>
      <w:r>
        <w:rPr>
          <w:rFonts w:ascii="宋体" w:hAnsi="宋体" w:cs="宋体" w:eastAsia="宋体" w:hint="default"/>
          <w:w w:val="99"/>
          <w:sz w:val="22"/>
          <w:szCs w:val="22"/>
        </w:rPr>
        <w:t> </w:t>
      </w:r>
      <w:r>
        <w:rPr>
          <w:rFonts w:ascii="宋体" w:hAnsi="宋体" w:cs="宋体" w:eastAsia="宋体" w:hint="default"/>
          <w:sz w:val="22"/>
          <w:szCs w:val="22"/>
        </w:rPr>
        <w:t>修免租期，租金从</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日开始算起。</w:t>
      </w:r>
    </w:p>
    <w:p>
      <w:pPr>
        <w:spacing w:before="41"/>
        <w:ind w:left="155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、报告期内，第</w:t>
      </w:r>
      <w:r>
        <w:rPr>
          <w:rFonts w:ascii="Times New Roman" w:hAnsi="Times New Roman" w:cs="Times New Roman" w:eastAsia="Times New Roman" w:hint="default"/>
          <w:sz w:val="22"/>
          <w:szCs w:val="22"/>
        </w:rPr>
        <w:t>21</w:t>
      </w:r>
      <w:r>
        <w:rPr>
          <w:rFonts w:ascii="宋体" w:hAnsi="宋体" w:cs="宋体" w:eastAsia="宋体" w:hint="default"/>
          <w:sz w:val="22"/>
          <w:szCs w:val="22"/>
        </w:rPr>
        <w:t>号房屋不再租赁，系与第</w:t>
      </w:r>
      <w:r>
        <w:rPr>
          <w:rFonts w:ascii="Times New Roman" w:hAnsi="Times New Roman" w:cs="Times New Roman" w:eastAsia="Times New Roman" w:hint="default"/>
          <w:sz w:val="22"/>
          <w:szCs w:val="22"/>
        </w:rPr>
        <w:t>22</w:t>
      </w:r>
      <w:r>
        <w:rPr>
          <w:rFonts w:ascii="宋体" w:hAnsi="宋体" w:cs="宋体" w:eastAsia="宋体" w:hint="default"/>
          <w:sz w:val="22"/>
          <w:szCs w:val="22"/>
        </w:rPr>
        <w:t>号房屋进行整合，无需再租赁办公场所。</w:t>
      </w:r>
    </w:p>
    <w:p>
      <w:pPr>
        <w:spacing w:before="46"/>
        <w:ind w:left="1554" w:right="0" w:firstLine="0"/>
        <w:jc w:val="left"/>
        <w:rPr>
          <w:rFonts w:ascii="宋体" w:hAnsi="宋体" w:cs="宋体" w:eastAsia="宋体" w:hint="default"/>
          <w:sz w:val="22"/>
          <w:szCs w:val="22"/>
        </w:rPr>
      </w:pP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、报告期内，第</w:t>
      </w:r>
      <w:r>
        <w:rPr>
          <w:rFonts w:ascii="Times New Roman" w:hAnsi="Times New Roman" w:cs="Times New Roman" w:eastAsia="Times New Roman" w:hint="default"/>
          <w:spacing w:val="2"/>
          <w:sz w:val="22"/>
          <w:szCs w:val="22"/>
        </w:rPr>
        <w:t>27</w:t>
      </w:r>
      <w:r>
        <w:rPr>
          <w:rFonts w:ascii="宋体" w:hAnsi="宋体" w:cs="宋体" w:eastAsia="宋体" w:hint="default"/>
          <w:spacing w:val="2"/>
          <w:sz w:val="22"/>
          <w:szCs w:val="22"/>
        </w:rPr>
        <w:t>号房屋不再租赁，主要系因为该处房屋距离客户地址较远，为方便工作迁移</w:t>
      </w:r>
    </w:p>
    <w:p>
      <w:pPr>
        <w:spacing w:after="0"/>
        <w:jc w:val="left"/>
        <w:rPr>
          <w:rFonts w:ascii="宋体" w:hAnsi="宋体" w:cs="宋体" w:eastAsia="宋体" w:hint="default"/>
          <w:sz w:val="22"/>
          <w:szCs w:val="22"/>
        </w:rPr>
        <w:sectPr>
          <w:pgSz w:w="11910" w:h="16840"/>
          <w:pgMar w:header="747" w:footer="979" w:top="1060" w:bottom="1160" w:left="0" w:right="0"/>
        </w:sectPr>
      </w:pPr>
    </w:p>
    <w:p>
      <w:pPr>
        <w:spacing w:line="240" w:lineRule="auto" w:before="5"/>
        <w:rPr>
          <w:rFonts w:ascii="宋体" w:hAnsi="宋体" w:cs="宋体" w:eastAsia="宋体" w:hint="default"/>
          <w:sz w:val="24"/>
          <w:szCs w:val="24"/>
        </w:rPr>
      </w:pPr>
    </w:p>
    <w:p>
      <w:pPr>
        <w:spacing w:before="31"/>
        <w:ind w:left="1133" w:right="0" w:firstLine="0"/>
        <w:jc w:val="both"/>
        <w:rPr>
          <w:rFonts w:ascii="宋体" w:hAnsi="宋体" w:cs="宋体" w:eastAsia="宋体" w:hint="default"/>
          <w:sz w:val="22"/>
          <w:szCs w:val="22"/>
        </w:rPr>
      </w:pPr>
      <w:r>
        <w:rPr>
          <w:rFonts w:ascii="宋体" w:hAnsi="宋体" w:cs="宋体" w:eastAsia="宋体" w:hint="default"/>
          <w:sz w:val="22"/>
          <w:szCs w:val="22"/>
        </w:rPr>
        <w:t>到距离较近的第</w:t>
      </w:r>
      <w:r>
        <w:rPr>
          <w:rFonts w:ascii="Times New Roman" w:hAnsi="Times New Roman" w:cs="Times New Roman" w:eastAsia="Times New Roman" w:hint="default"/>
          <w:sz w:val="22"/>
          <w:szCs w:val="22"/>
        </w:rPr>
        <w:t>31</w:t>
      </w:r>
      <w:r>
        <w:rPr>
          <w:rFonts w:ascii="宋体" w:hAnsi="宋体" w:cs="宋体" w:eastAsia="宋体" w:hint="default"/>
          <w:sz w:val="22"/>
          <w:szCs w:val="22"/>
        </w:rPr>
        <w:t>号租赁地址。</w:t>
      </w:r>
    </w:p>
    <w:p>
      <w:pPr>
        <w:spacing w:before="47"/>
        <w:ind w:left="1553"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、报告期内，第</w:t>
      </w:r>
      <w:r>
        <w:rPr>
          <w:rFonts w:ascii="Times New Roman" w:hAnsi="Times New Roman" w:cs="Times New Roman" w:eastAsia="Times New Roman" w:hint="default"/>
          <w:sz w:val="22"/>
          <w:szCs w:val="22"/>
        </w:rPr>
        <w:t>30</w:t>
      </w:r>
      <w:r>
        <w:rPr>
          <w:rFonts w:ascii="宋体" w:hAnsi="宋体" w:cs="宋体" w:eastAsia="宋体" w:hint="default"/>
          <w:sz w:val="22"/>
          <w:szCs w:val="22"/>
        </w:rPr>
        <w:t>号房屋不再租赁系涵普电力武汉联络处搬往长沙联络处与其合并。</w:t>
      </w:r>
    </w:p>
    <w:p>
      <w:pPr>
        <w:spacing w:before="48"/>
        <w:ind w:left="1553"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、报告期内，第</w:t>
      </w:r>
      <w:r>
        <w:rPr>
          <w:rFonts w:ascii="Times New Roman" w:hAnsi="Times New Roman" w:cs="Times New Roman" w:eastAsia="Times New Roman" w:hint="default"/>
          <w:sz w:val="22"/>
          <w:szCs w:val="22"/>
        </w:rPr>
        <w:t>32</w:t>
      </w:r>
      <w:r>
        <w:rPr>
          <w:rFonts w:ascii="宋体" w:hAnsi="宋体" w:cs="宋体" w:eastAsia="宋体" w:hint="default"/>
          <w:sz w:val="22"/>
          <w:szCs w:val="22"/>
        </w:rPr>
        <w:t>、</w:t>
      </w:r>
      <w:r>
        <w:rPr>
          <w:rFonts w:ascii="Times New Roman" w:hAnsi="Times New Roman" w:cs="Times New Roman" w:eastAsia="Times New Roman" w:hint="default"/>
          <w:sz w:val="22"/>
          <w:szCs w:val="22"/>
        </w:rPr>
        <w:t>33</w:t>
      </w:r>
      <w:r>
        <w:rPr>
          <w:rFonts w:ascii="宋体" w:hAnsi="宋体" w:cs="宋体" w:eastAsia="宋体" w:hint="default"/>
          <w:sz w:val="22"/>
          <w:szCs w:val="22"/>
        </w:rPr>
        <w:t>号房屋到期后不再续租，系员工当地化，无需再租赁宿舍。</w:t>
      </w:r>
    </w:p>
    <w:p>
      <w:pPr>
        <w:spacing w:before="47"/>
        <w:ind w:left="155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、除以上说明的房屋外，其他房屋租赁期限到</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日的继续租赁。</w:t>
      </w:r>
    </w:p>
    <w:p>
      <w:pPr>
        <w:spacing w:before="47"/>
        <w:ind w:left="155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宋体" w:hAnsi="宋体" w:cs="宋体" w:eastAsia="宋体" w:hint="default"/>
          <w:sz w:val="22"/>
          <w:szCs w:val="22"/>
        </w:rPr>
        <w:t>、报告期内，公司以上租赁均不构成重大租赁。</w:t>
      </w:r>
    </w:p>
    <w:p>
      <w:pPr>
        <w:spacing w:before="81"/>
        <w:ind w:left="1134" w:right="0" w:firstLine="0"/>
        <w:jc w:val="both"/>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重大担保"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spacing w:before="0"/>
        <w:ind w:left="1133" w:right="0" w:firstLine="0"/>
        <w:jc w:val="both"/>
        <w:rPr>
          <w:rFonts w:ascii="宋体" w:hAnsi="宋体" w:cs="宋体" w:eastAsia="宋体" w:hint="default"/>
          <w:sz w:val="21"/>
          <w:szCs w:val="21"/>
        </w:rPr>
      </w:pPr>
      <w:bookmarkStart w:name="3、委托他人进行现金资产管理情况" w:id="91"/>
      <w:bookmarkEnd w:id="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委托理财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spacing w:before="0"/>
        <w:ind w:left="1133" w:right="0" w:firstLine="0"/>
        <w:jc w:val="both"/>
        <w:rPr>
          <w:rFonts w:ascii="宋体" w:hAnsi="宋体" w:cs="宋体" w:eastAsia="宋体" w:hint="default"/>
          <w:sz w:val="21"/>
          <w:szCs w:val="21"/>
        </w:rPr>
      </w:pPr>
      <w:bookmarkStart w:name="（2）委托贷款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spacing w:before="0"/>
        <w:ind w:left="1133" w:right="0" w:firstLine="0"/>
        <w:jc w:val="both"/>
        <w:rPr>
          <w:rFonts w:ascii="宋体" w:hAnsi="宋体" w:cs="宋体" w:eastAsia="宋体" w:hint="default"/>
          <w:sz w:val="21"/>
          <w:szCs w:val="21"/>
        </w:rPr>
      </w:pPr>
      <w:bookmarkStart w:name="4、其他重大合同" w:id="94"/>
      <w:bookmarkEnd w:id="9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履行社会责任情况" w:id="96"/>
      <w:bookmarkEnd w:id="9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pStyle w:val="BodyText"/>
        <w:spacing w:line="450" w:lineRule="atLeast" w:before="179"/>
        <w:ind w:left="1554" w:right="1136"/>
        <w:jc w:val="left"/>
      </w:pPr>
      <w:r>
        <w:rPr>
          <w:rFonts w:ascii="Times New Roman" w:hAnsi="Times New Roman" w:cs="Times New Roman" w:eastAsia="Times New Roman" w:hint="default"/>
        </w:rPr>
        <w:t>1</w:t>
      </w:r>
      <w:r>
        <w:rPr/>
        <w:t>、完善公司治理结构 </w:t>
      </w:r>
      <w:r>
        <w:rPr>
          <w:spacing w:val="2"/>
        </w:rPr>
        <w:t>公司根据《公司法》、《证券法》、《上市公司治理准则》、《深圳证券交易所创业板</w:t>
      </w:r>
    </w:p>
    <w:p>
      <w:pPr>
        <w:pStyle w:val="BodyText"/>
        <w:spacing w:line="237" w:lineRule="auto"/>
        <w:ind w:left="1134" w:right="1139"/>
        <w:jc w:val="both"/>
      </w:pPr>
      <w:r>
        <w:rPr/>
        <w:t>股票上市规则》、《上市公司信息披露管理办法》等法律、法规及规范性文件的要求，建立 了由股东大会、董事会、监事会和公司管理层组成的健全、完善的公司治理架构，形成了权 利机构、决策机构、监督机构和管理层之间权责明确、运作规范、相互协调、互相制衡的完 整的议事、决策、授权、执行的公司治理体系。</w:t>
      </w:r>
    </w:p>
    <w:p>
      <w:pPr>
        <w:pStyle w:val="BodyText"/>
        <w:spacing w:line="240" w:lineRule="auto" w:before="154"/>
        <w:ind w:left="1554" w:right="0"/>
        <w:jc w:val="left"/>
      </w:pPr>
      <w:r>
        <w:rPr>
          <w:rFonts w:ascii="Times New Roman" w:hAnsi="Times New Roman" w:cs="Times New Roman" w:eastAsia="Times New Roman" w:hint="default"/>
        </w:rPr>
        <w:t>2</w:t>
      </w:r>
      <w:r>
        <w:rPr/>
        <w:t>、股东权益保护</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3" w:firstLine="420"/>
        <w:jc w:val="both"/>
      </w:pPr>
      <w:r>
        <w:rPr>
          <w:spacing w:val="-4"/>
        </w:rPr>
        <w:t>公司严格按照《公司法》、《证券法》、《深圳证券交易所创业板股票上市规则》、《上</w:t>
      </w:r>
      <w:r>
        <w:rPr/>
        <w:t> 市公司信息披露管理办法》等相关法律法规的要求，及时、准确、真实、完整地进行信息披</w:t>
      </w:r>
      <w:r>
        <w:rPr>
          <w:spacing w:val="-117"/>
        </w:rPr>
        <w:t> </w:t>
      </w:r>
      <w:r>
        <w:rPr>
          <w:spacing w:val="-117"/>
        </w:rPr>
      </w:r>
      <w:r>
        <w:rPr/>
        <w:t>露，通过设置专人直线接听投资者电话、电子邮箱、公司网站和投资者关系互动平台等多种 方式与投资者进行沟通交流，提高了公司的透明度和诚信度。</w:t>
      </w:r>
    </w:p>
    <w:p>
      <w:pPr>
        <w:pStyle w:val="BodyText"/>
        <w:spacing w:line="312" w:lineRule="exact" w:before="156"/>
        <w:ind w:right="1132" w:firstLine="420"/>
        <w:jc w:val="both"/>
      </w:pPr>
      <w:r>
        <w:rPr>
          <w:spacing w:val="2"/>
        </w:rPr>
        <w:t>在经济效益稳步增长的同时，公司十分重视对投资者的合理回报，制定了相对稳定的利</w:t>
      </w:r>
      <w:r>
        <w:rPr/>
        <w:t> 润分配政策和分红方案以回报股东，</w:t>
      </w:r>
      <w:r>
        <w:rPr>
          <w:rFonts w:ascii="Times New Roman" w:hAnsi="Times New Roman" w:cs="Times New Roman" w:eastAsia="Times New Roman" w:hint="default"/>
        </w:rPr>
        <w:t>2017</w:t>
      </w:r>
      <w:r>
        <w:rPr/>
        <w:t>年公司向全体股东实施</w:t>
      </w:r>
      <w:r>
        <w:rPr>
          <w:rFonts w:ascii="Times New Roman" w:hAnsi="Times New Roman" w:cs="Times New Roman" w:eastAsia="Times New Roman" w:hint="default"/>
        </w:rPr>
        <w:t>2016</w:t>
      </w:r>
      <w:r>
        <w:rPr/>
        <w:t>年度利润分配方案，分</w:t>
      </w:r>
      <w:r>
        <w:rPr>
          <w:spacing w:val="-110"/>
        </w:rPr>
        <w:t> </w:t>
      </w:r>
      <w:r>
        <w:rPr>
          <w:spacing w:val="-110"/>
        </w:rPr>
      </w:r>
      <w:r>
        <w:rPr/>
        <w:t>配现金股利人民币</w:t>
      </w:r>
      <w:r>
        <w:rPr>
          <w:rFonts w:ascii="Times New Roman" w:hAnsi="Times New Roman" w:cs="Times New Roman" w:eastAsia="Times New Roman" w:hint="default"/>
        </w:rPr>
        <w:t>12,768,480</w:t>
      </w:r>
      <w:r>
        <w:rPr/>
        <w:t>元（含税）。</w:t>
      </w:r>
    </w:p>
    <w:p>
      <w:pPr>
        <w:pStyle w:val="BodyText"/>
        <w:spacing w:line="450" w:lineRule="atLeast" w:before="7"/>
        <w:ind w:left="1554" w:right="1136"/>
        <w:jc w:val="left"/>
      </w:pPr>
      <w:r>
        <w:rPr>
          <w:rFonts w:ascii="Times New Roman" w:hAnsi="Times New Roman" w:cs="Times New Roman" w:eastAsia="Times New Roman" w:hint="default"/>
        </w:rPr>
        <w:t>3</w:t>
      </w:r>
      <w:r>
        <w:rPr/>
        <w:t>、职工权益保护 </w:t>
      </w:r>
      <w:r>
        <w:rPr>
          <w:spacing w:val="2"/>
        </w:rPr>
        <w:t>公司一直坚持以人为本的人才理念，实施企业人才战略，严格遵守《劳动法》、《劳动</w:t>
      </w:r>
    </w:p>
    <w:p>
      <w:pPr>
        <w:pStyle w:val="BodyText"/>
        <w:spacing w:line="312" w:lineRule="exact" w:before="28"/>
        <w:ind w:right="0"/>
        <w:jc w:val="left"/>
      </w:pPr>
      <w:r>
        <w:rPr/>
        <w:t>合同法》等相关法律法规，积极做好员工的健康管理工作，内部实行员工工作机会平等；在 薪酬福利方面，建立较为完善的薪酬考核体系，激励机制及人才选拔机制，提高员工的福利 </w:t>
      </w:r>
      <w:r>
        <w:rPr>
          <w:spacing w:val="-3"/>
        </w:rPr>
        <w:t>待遇，建立健全规范的员工社会保险管理体系，促进劳资关系的和谐稳定；在培训管理方面，</w:t>
      </w:r>
      <w:r>
        <w:rPr>
          <w:spacing w:val="-81"/>
        </w:rPr>
        <w:t> </w:t>
      </w:r>
      <w:r>
        <w:rPr>
          <w:spacing w:val="-81"/>
        </w:rPr>
      </w:r>
      <w:r>
        <w:rPr/>
        <w:t>持续开展员工培训工作，通过培训提供员工技能，提供组织和个人的应变、适应能力，提高 工作绩效水平和工作能力。</w:t>
      </w:r>
    </w:p>
    <w:p>
      <w:pPr>
        <w:pStyle w:val="BodyText"/>
        <w:spacing w:line="468" w:lineRule="exact" w:before="31"/>
        <w:ind w:left="1554" w:right="1119"/>
        <w:jc w:val="left"/>
      </w:pPr>
      <w:r>
        <w:rPr>
          <w:rFonts w:ascii="Times New Roman" w:hAnsi="Times New Roman" w:cs="Times New Roman" w:eastAsia="Times New Roman" w:hint="default"/>
        </w:rPr>
        <w:t>4</w:t>
      </w:r>
      <w:r>
        <w:rPr/>
        <w:t>、依法经营 </w:t>
      </w:r>
      <w:r>
        <w:rPr>
          <w:rFonts w:ascii="Times New Roman" w:hAnsi="Times New Roman" w:cs="Times New Roman" w:eastAsia="Times New Roman" w:hint="default"/>
          <w:spacing w:val="-3"/>
        </w:rPr>
        <w:t>“</w:t>
      </w:r>
      <w:r>
        <w:rPr>
          <w:spacing w:val="-3"/>
        </w:rPr>
        <w:t>依法纳税、合规经营</w:t>
      </w:r>
      <w:r>
        <w:rPr>
          <w:rFonts w:ascii="Times New Roman" w:hAnsi="Times New Roman" w:cs="Times New Roman" w:eastAsia="Times New Roman" w:hint="default"/>
          <w:spacing w:val="-3"/>
        </w:rPr>
        <w:t>”</w:t>
      </w:r>
      <w:r>
        <w:rPr>
          <w:spacing w:val="-3"/>
        </w:rPr>
        <w:t>是公司践行社会责任的重要基石，也是公司诚信经营理念的重要体</w:t>
      </w:r>
    </w:p>
    <w:p>
      <w:pPr>
        <w:pStyle w:val="BodyText"/>
        <w:spacing w:line="251" w:lineRule="exact"/>
        <w:ind w:left="1134" w:right="0"/>
        <w:jc w:val="left"/>
      </w:pPr>
      <w:r>
        <w:rPr/>
        <w:t>现。报告期内，公司进一步加强税务基础管理、降低税务风险、提供全员纳税意识和税法遵</w:t>
      </w:r>
    </w:p>
    <w:p>
      <w:pPr>
        <w:pStyle w:val="BodyText"/>
        <w:spacing w:line="312" w:lineRule="exact" w:before="29"/>
        <w:ind w:left="1134" w:right="0"/>
        <w:jc w:val="left"/>
      </w:pPr>
      <w:r>
        <w:rPr/>
        <w:t>从度，提升税务工作合法、合规性。公司始终将依法经营作为公司运行的基本原则，注重企 业经济效益和社会效益的同步共赢。</w:t>
      </w:r>
    </w:p>
    <w:p>
      <w:pPr>
        <w:spacing w:line="240" w:lineRule="auto" w:before="7"/>
        <w:rPr>
          <w:rFonts w:ascii="宋体" w:hAnsi="宋体" w:cs="宋体" w:eastAsia="宋体" w:hint="default"/>
          <w:sz w:val="22"/>
          <w:szCs w:val="22"/>
        </w:rPr>
      </w:pPr>
    </w:p>
    <w:p>
      <w:pPr>
        <w:spacing w:line="506" w:lineRule="auto" w:before="0"/>
        <w:ind w:left="1554" w:right="4242" w:hanging="420"/>
        <w:jc w:val="left"/>
        <w:rPr>
          <w:rFonts w:ascii="宋体" w:hAnsi="宋体" w:cs="宋体" w:eastAsia="宋体" w:hint="default"/>
          <w:sz w:val="21"/>
          <w:szCs w:val="21"/>
        </w:rPr>
      </w:pPr>
      <w:bookmarkStart w:name="2、履行精准扶贫社会责任情况" w:id="97"/>
      <w:bookmarkEnd w:id="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bookmarkStart w:name="公司报告年度暂未开展精准扶贫工作，也暂无后续精准扶贫计划。" w:id="98"/>
      <w:bookmarkEnd w:id="98"/>
      <w:r>
        <w:rPr>
          <w:rFonts w:ascii="宋体" w:hAnsi="宋体" w:cs="宋体" w:eastAsia="宋体" w:hint="default"/>
          <w:b/>
          <w:bCs/>
          <w:w w:val="99"/>
          <w:sz w:val="21"/>
          <w:szCs w:val="21"/>
        </w:rPr>
      </w:r>
      <w:r>
        <w:rPr>
          <w:rFonts w:ascii="宋体" w:hAnsi="宋体" w:cs="宋体" w:eastAsia="宋体" w:hint="default"/>
          <w:sz w:val="21"/>
          <w:szCs w:val="21"/>
        </w:rPr>
        <w:t>公司报告年度暂未开展精准扶贫工作，也暂无后续精准扶贫计划。</w:t>
      </w:r>
    </w:p>
    <w:p>
      <w:pPr>
        <w:spacing w:before="105"/>
        <w:ind w:left="1134" w:right="0" w:firstLine="0"/>
        <w:jc w:val="left"/>
        <w:rPr>
          <w:rFonts w:ascii="宋体" w:hAnsi="宋体" w:cs="宋体" w:eastAsia="宋体" w:hint="default"/>
          <w:sz w:val="21"/>
          <w:szCs w:val="21"/>
        </w:rPr>
      </w:pPr>
      <w:bookmarkStart w:name="3、环境保护相关的情况" w:id="99"/>
      <w:bookmarkEnd w:id="9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本公司及其子公司不属于环保部门公布的重点排污单位</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28" w:lineRule="auto" w:before="65"/>
        <w:ind w:right="1130"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13</w:t>
      </w:r>
      <w:r>
        <w:rPr>
          <w:spacing w:val="-1"/>
        </w:rPr>
        <w:t>日，公司召开第三届董事会第二十二次会议，审议通过了《</w:t>
      </w:r>
      <w:r>
        <w:rPr>
          <w:rFonts w:ascii="Times New Roman" w:hAnsi="Times New Roman" w:cs="Times New Roman" w:eastAsia="Times New Roman" w:hint="default"/>
          <w:spacing w:val="-1"/>
        </w:rPr>
        <w:t>&lt;</w:t>
      </w:r>
      <w:r>
        <w:rPr>
          <w:spacing w:val="-1"/>
        </w:rPr>
        <w:t>厦门红相电</w:t>
      </w:r>
      <w:r>
        <w:rPr/>
        <w:t> </w:t>
      </w:r>
      <w:r>
        <w:rPr>
          <w:spacing w:val="6"/>
        </w:rPr>
        <w:t>力设备股份有限公司发行股份及支付现金购买资产并募集配套资金暨关联交易报告书（草</w:t>
      </w:r>
      <w:r>
        <w:rPr>
          <w:spacing w:val="-86"/>
        </w:rPr>
        <w:t> </w:t>
      </w:r>
      <w:r>
        <w:rPr>
          <w:spacing w:val="-86"/>
        </w:rPr>
      </w:r>
      <w:r>
        <w:rPr>
          <w:spacing w:val="-3"/>
        </w:rPr>
        <w:t>案）</w:t>
      </w:r>
      <w:r>
        <w:rPr>
          <w:rFonts w:ascii="Times New Roman" w:hAnsi="Times New Roman" w:cs="Times New Roman" w:eastAsia="Times New Roman" w:hint="default"/>
          <w:spacing w:val="-3"/>
        </w:rPr>
        <w:t>&gt;</w:t>
      </w:r>
      <w:r>
        <w:rPr>
          <w:spacing w:val="-3"/>
        </w:rPr>
        <w:t>及其摘要的议案》等相关议案。公司拟以发行股份及支付现金方式购买卧龙电气集团股</w:t>
      </w:r>
      <w:r>
        <w:rPr>
          <w:spacing w:val="-96"/>
        </w:rPr>
        <w:t> </w:t>
      </w:r>
      <w:r>
        <w:rPr>
          <w:spacing w:val="-96"/>
        </w:rPr>
      </w:r>
      <w:r>
        <w:rPr>
          <w:spacing w:val="-2"/>
        </w:rPr>
        <w:t>份有限公司、席立功、何东武和吴国敏等</w:t>
      </w:r>
      <w:r>
        <w:rPr>
          <w:rFonts w:ascii="Times New Roman" w:hAnsi="Times New Roman" w:cs="Times New Roman" w:eastAsia="Times New Roman" w:hint="default"/>
          <w:spacing w:val="-2"/>
        </w:rPr>
        <w:t>4</w:t>
      </w:r>
      <w:r>
        <w:rPr>
          <w:spacing w:val="-2"/>
        </w:rPr>
        <w:t>名交易对方合计持有的卧龙电气银川变压器有限公</w:t>
      </w:r>
      <w:r>
        <w:rPr/>
        <w:t> </w:t>
      </w:r>
      <w:r>
        <w:rPr>
          <w:rFonts w:ascii="Times New Roman" w:hAnsi="Times New Roman" w:cs="Times New Roman" w:eastAsia="Times New Roman" w:hint="default"/>
          <w:spacing w:val="-2"/>
        </w:rPr>
        <w:t>100%</w:t>
      </w:r>
      <w:r>
        <w:rPr>
          <w:spacing w:val="-2"/>
        </w:rPr>
        <w:t>股权以及张青等</w:t>
      </w:r>
      <w:r>
        <w:rPr>
          <w:rFonts w:ascii="Times New Roman" w:hAnsi="Times New Roman" w:cs="Times New Roman" w:eastAsia="Times New Roman" w:hint="default"/>
          <w:spacing w:val="-2"/>
        </w:rPr>
        <w:t>24</w:t>
      </w:r>
      <w:r>
        <w:rPr>
          <w:spacing w:val="-2"/>
        </w:rPr>
        <w:t>名交易对方合计持有的合肥星波通信股份有限公司</w:t>
      </w:r>
      <w:r>
        <w:rPr>
          <w:rFonts w:ascii="Times New Roman" w:hAnsi="Times New Roman" w:cs="Times New Roman" w:eastAsia="Times New Roman" w:hint="default"/>
          <w:spacing w:val="-2"/>
        </w:rPr>
        <w:t>67.54%</w:t>
      </w:r>
      <w:r>
        <w:rPr>
          <w:spacing w:val="-2"/>
        </w:rPr>
        <w:t>股份；同时</w:t>
      </w:r>
      <w:r>
        <w:rPr>
          <w:spacing w:val="-91"/>
        </w:rPr>
        <w:t> </w:t>
      </w:r>
      <w:r>
        <w:rPr>
          <w:spacing w:val="-91"/>
        </w:rPr>
      </w:r>
      <w:r>
        <w:rPr/>
        <w:t>拟向长江证券（上海）资产管理有限公司、唐艳媛、厦门蜜呆贰号股权投资合伙企业（有限 合伙）、宁波梅山保税港区厚扬启航二期股权投资中心（有限合伙）和天堂硅谷</w:t>
      </w:r>
      <w:r>
        <w:rPr>
          <w:rFonts w:ascii="Times New Roman" w:hAnsi="Times New Roman" w:cs="Times New Roman" w:eastAsia="Times New Roman" w:hint="default"/>
        </w:rPr>
        <w:t>-</w:t>
      </w:r>
      <w:r>
        <w:rPr/>
        <w:t>定增融源</w:t>
      </w:r>
      <w:r>
        <w:rPr>
          <w:rFonts w:ascii="Times New Roman" w:hAnsi="Times New Roman" w:cs="Times New Roman" w:eastAsia="Times New Roman" w:hint="default"/>
        </w:rPr>
        <w:t>3 </w:t>
      </w:r>
      <w:r>
        <w:rPr>
          <w:spacing w:val="-2"/>
        </w:rPr>
        <w:t>号私募投资基金等</w:t>
      </w:r>
      <w:r>
        <w:rPr>
          <w:rFonts w:ascii="Times New Roman" w:hAnsi="Times New Roman" w:cs="Times New Roman" w:eastAsia="Times New Roman" w:hint="default"/>
          <w:spacing w:val="-2"/>
        </w:rPr>
        <w:t>5</w:t>
      </w:r>
      <w:r>
        <w:rPr>
          <w:spacing w:val="-2"/>
        </w:rPr>
        <w:t>名特定投资者非公开发行股份募集配套资金不超过</w:t>
      </w:r>
      <w:r>
        <w:rPr>
          <w:rFonts w:ascii="Times New Roman" w:hAnsi="Times New Roman" w:cs="Times New Roman" w:eastAsia="Times New Roman" w:hint="default"/>
          <w:spacing w:val="-2"/>
        </w:rPr>
        <w:t>96,908.71</w:t>
      </w:r>
      <w:r>
        <w:rPr>
          <w:spacing w:val="-2"/>
        </w:rPr>
        <w:t>万元，且募集</w:t>
      </w:r>
      <w:r>
        <w:rPr>
          <w:spacing w:val="-110"/>
        </w:rPr>
        <w:t> </w:t>
      </w:r>
      <w:r>
        <w:rPr>
          <w:spacing w:val="-110"/>
        </w:rPr>
      </w:r>
      <w:r>
        <w:rPr/>
        <w:t>配套资金总额不超过以发行股份方式购买标的资产的交易价格的</w:t>
      </w:r>
      <w:r>
        <w:rPr>
          <w:spacing w:val="-44"/>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w:t>
      </w:r>
    </w:p>
    <w:p>
      <w:pPr>
        <w:spacing w:after="0" w:line="228"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司</w:t>
      </w:r>
      <w:r>
        <w:rPr>
          <w:rFonts w:ascii="Times New Roman" w:hAnsi="Times New Roman" w:cs="Times New Roman" w:eastAsia="Times New Roman" w:hint="default"/>
        </w:rPr>
        <w:t>2017</w:t>
      </w:r>
      <w:r>
        <w:rPr/>
        <w:t>年第一次临时股东大会审议通过上述议案。</w:t>
      </w:r>
    </w:p>
    <w:p>
      <w:pPr>
        <w:spacing w:line="240" w:lineRule="auto" w:before="8"/>
        <w:rPr>
          <w:rFonts w:ascii="宋体" w:hAnsi="宋体" w:cs="宋体" w:eastAsia="宋体" w:hint="default"/>
          <w:sz w:val="23"/>
          <w:szCs w:val="23"/>
        </w:rPr>
      </w:pPr>
    </w:p>
    <w:p>
      <w:pPr>
        <w:pStyle w:val="BodyText"/>
        <w:spacing w:line="225" w:lineRule="auto"/>
        <w:ind w:left="1134" w:right="1132"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日，公司在巨潮资讯网刊登《关于中国证监会上市公司并购重组审核委 员会审核公司重大资产重组事项的停牌公告》（公告编号：</w:t>
      </w:r>
      <w:r>
        <w:rPr>
          <w:rFonts w:ascii="Times New Roman" w:hAnsi="Times New Roman" w:cs="Times New Roman" w:eastAsia="Times New Roman" w:hint="default"/>
        </w:rPr>
        <w:t>2017-049</w:t>
      </w:r>
      <w:r>
        <w:rPr/>
        <w:t>），公司股票（证券代</w:t>
      </w:r>
      <w:r>
        <w:rPr>
          <w:spacing w:val="-55"/>
        </w:rPr>
        <w:t> </w:t>
      </w:r>
      <w:r>
        <w:rPr>
          <w:spacing w:val="-55"/>
        </w:rPr>
      </w:r>
      <w:r>
        <w:rPr>
          <w:spacing w:val="-2"/>
        </w:rPr>
        <w:t>码：</w:t>
      </w:r>
      <w:r>
        <w:rPr>
          <w:rFonts w:ascii="Times New Roman" w:hAnsi="Times New Roman" w:cs="Times New Roman" w:eastAsia="Times New Roman" w:hint="default"/>
          <w:spacing w:val="-2"/>
        </w:rPr>
        <w:t>300427</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日开市起停牌。具体内容详见中国证监会指定信息披露网站巨潮</w:t>
      </w:r>
      <w:r>
        <w:rPr>
          <w:spacing w:val="-110"/>
        </w:rPr>
        <w:t> </w:t>
      </w:r>
      <w:r>
        <w:rPr>
          <w:spacing w:val="-110"/>
        </w:rPr>
      </w:r>
      <w:r>
        <w:rPr/>
        <w:t>资讯网上的公告。</w:t>
      </w:r>
    </w:p>
    <w:p>
      <w:pPr>
        <w:spacing w:line="240" w:lineRule="auto" w:before="2"/>
        <w:rPr>
          <w:rFonts w:ascii="宋体" w:hAnsi="宋体" w:cs="宋体" w:eastAsia="宋体" w:hint="default"/>
          <w:sz w:val="26"/>
          <w:szCs w:val="26"/>
        </w:rPr>
      </w:pPr>
    </w:p>
    <w:p>
      <w:pPr>
        <w:pStyle w:val="BodyText"/>
        <w:spacing w:line="312" w:lineRule="exact"/>
        <w:ind w:right="1130"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日，公司收到中国证券监督管理委员会通知，经中国证监会上市公司并 </w:t>
      </w:r>
      <w:r>
        <w:rPr>
          <w:spacing w:val="-2"/>
        </w:rPr>
        <w:t>购重组审核委员会于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日召开的</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32</w:t>
      </w:r>
      <w:r>
        <w:rPr>
          <w:spacing w:val="-2"/>
        </w:rPr>
        <w:t>次工作会议审核。公司筹划的发行股份</w:t>
      </w:r>
      <w:r>
        <w:rPr>
          <w:spacing w:val="-108"/>
        </w:rPr>
        <w:t> </w:t>
      </w:r>
      <w:r>
        <w:rPr>
          <w:spacing w:val="-108"/>
        </w:rPr>
      </w:r>
      <w:r>
        <w:rPr/>
        <w:t>及支付现金购买资产并募集配套资金暨关联交易事项获得无条件通过。根据《上市公司重大 资产重组管理办法》等相关规定，经公司向深圳证券交易所申请，公司股票（股票简称：红 相电力，股票代码：</w:t>
      </w:r>
      <w:r>
        <w:rPr>
          <w:rFonts w:ascii="Times New Roman" w:hAnsi="Times New Roman" w:cs="Times New Roman" w:eastAsia="Times New Roman" w:hint="default"/>
        </w:rPr>
        <w:t>300427</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日开市起复牌。具体内容详见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日刊</w:t>
      </w:r>
      <w:r>
        <w:rPr>
          <w:spacing w:val="-102"/>
        </w:rPr>
        <w:t> </w:t>
      </w:r>
      <w:r>
        <w:rPr/>
        <w:t>登在中国证监会指定信息披露网站巨潮资讯网的《关于公司发行股份及支付现金购买资产并</w:t>
      </w:r>
      <w:r>
        <w:rPr/>
        <w:t> 募集配套资金暨关联交易事项获得中国证监会上市公司并购重组审核委员会审核通过暨公司</w:t>
      </w:r>
      <w:r>
        <w:rPr>
          <w:spacing w:val="-116"/>
        </w:rPr>
        <w:t> </w:t>
      </w:r>
      <w:r>
        <w:rPr>
          <w:spacing w:val="-116"/>
        </w:rPr>
      </w:r>
      <w:r>
        <w:rPr/>
        <w:t>股票复牌的公告》（公告编号：</w:t>
      </w:r>
      <w:r>
        <w:rPr>
          <w:rFonts w:ascii="Times New Roman" w:hAnsi="Times New Roman" w:cs="Times New Roman" w:eastAsia="Times New Roman" w:hint="default"/>
        </w:rPr>
        <w:t>2017-050</w:t>
      </w:r>
      <w:r>
        <w:rPr/>
        <w:t>）。</w:t>
      </w:r>
    </w:p>
    <w:p>
      <w:pPr>
        <w:spacing w:line="240" w:lineRule="auto" w:before="11"/>
        <w:rPr>
          <w:rFonts w:ascii="宋体" w:hAnsi="宋体" w:cs="宋体" w:eastAsia="宋体" w:hint="default"/>
          <w:sz w:val="23"/>
          <w:szCs w:val="23"/>
        </w:rPr>
      </w:pPr>
    </w:p>
    <w:p>
      <w:pPr>
        <w:pStyle w:val="BodyText"/>
        <w:spacing w:line="312" w:lineRule="exact"/>
        <w:ind w:right="1131" w:firstLine="42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日，公司取得中国证监会证监许可</w:t>
      </w:r>
      <w:r>
        <w:rPr>
          <w:rFonts w:ascii="Times New Roman" w:hAnsi="Times New Roman" w:cs="Times New Roman" w:eastAsia="Times New Roman" w:hint="default"/>
          <w:spacing w:val="-2"/>
        </w:rPr>
        <w:t>[2017]1351</w:t>
      </w:r>
      <w:r>
        <w:rPr>
          <w:spacing w:val="-2"/>
        </w:rPr>
        <w:t>号《关于核准厦门红相电力</w:t>
      </w:r>
      <w:r>
        <w:rPr/>
        <w:t> </w:t>
      </w:r>
      <w:r>
        <w:rPr>
          <w:spacing w:val="6"/>
        </w:rPr>
        <w:t>设备股份有限公司向卧龙电气集团股份有限公司等发行股份购买资产并募集配套资金的批</w:t>
      </w:r>
      <w:r>
        <w:rPr>
          <w:spacing w:val="-86"/>
        </w:rPr>
        <w:t> </w:t>
      </w:r>
      <w:r>
        <w:rPr>
          <w:spacing w:val="-86"/>
        </w:rPr>
      </w:r>
      <w:r>
        <w:rPr/>
        <w:t>复》。</w:t>
      </w:r>
    </w:p>
    <w:p>
      <w:pPr>
        <w:spacing w:line="240" w:lineRule="auto" w:before="11"/>
        <w:rPr>
          <w:rFonts w:ascii="宋体" w:hAnsi="宋体" w:cs="宋体" w:eastAsia="宋体" w:hint="default"/>
          <w:sz w:val="23"/>
          <w:szCs w:val="23"/>
        </w:rPr>
      </w:pPr>
    </w:p>
    <w:p>
      <w:pPr>
        <w:pStyle w:val="BodyText"/>
        <w:spacing w:line="312" w:lineRule="exact"/>
        <w:ind w:right="1130" w:firstLine="42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月，公司完成了重大资产重组标的星波通信</w:t>
      </w:r>
      <w:r>
        <w:rPr>
          <w:rFonts w:ascii="Times New Roman" w:hAnsi="Times New Roman" w:cs="Times New Roman" w:eastAsia="Times New Roman" w:hint="default"/>
        </w:rPr>
        <w:t>67.54%</w:t>
      </w:r>
      <w:r>
        <w:rPr/>
        <w:t>股权和银川卧龙</w:t>
      </w:r>
      <w:r>
        <w:rPr>
          <w:rFonts w:ascii="Times New Roman" w:hAnsi="Times New Roman" w:cs="Times New Roman" w:eastAsia="Times New Roman" w:hint="default"/>
        </w:rPr>
        <w:t>100%</w:t>
      </w:r>
      <w:r>
        <w:rPr/>
        <w:t>股权 </w:t>
      </w:r>
      <w:r>
        <w:rPr>
          <w:spacing w:val="-2"/>
        </w:rPr>
        <w:t>的工商过户。</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日，公司在巨潮资讯网披露《关于公司发行股份及支付现金购买资</w:t>
      </w:r>
      <w:r>
        <w:rPr>
          <w:spacing w:val="-116"/>
        </w:rPr>
        <w:t> </w:t>
      </w:r>
      <w:r>
        <w:rPr>
          <w:spacing w:val="-116"/>
        </w:rPr>
      </w:r>
      <w:r>
        <w:rPr/>
        <w:t>产并募集配套资金暨关联交易之标的资产过户完成的公告》（公告编号：</w:t>
      </w:r>
      <w:r>
        <w:rPr>
          <w:rFonts w:ascii="Times New Roman" w:hAnsi="Times New Roman" w:cs="Times New Roman" w:eastAsia="Times New Roman" w:hint="default"/>
        </w:rPr>
        <w:t>2017-065</w:t>
      </w:r>
      <w:r>
        <w:rPr/>
        <w:t>）。</w:t>
      </w:r>
    </w:p>
    <w:p>
      <w:pPr>
        <w:spacing w:line="240" w:lineRule="auto" w:before="11"/>
        <w:rPr>
          <w:rFonts w:ascii="宋体" w:hAnsi="宋体" w:cs="宋体" w:eastAsia="宋体" w:hint="default"/>
          <w:sz w:val="23"/>
          <w:szCs w:val="23"/>
        </w:rPr>
      </w:pPr>
    </w:p>
    <w:p>
      <w:pPr>
        <w:pStyle w:val="BodyText"/>
        <w:spacing w:line="312" w:lineRule="exact"/>
        <w:ind w:right="1169" w:firstLine="42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日，中国证券登记结算有限公司深圳分公司受理公司发行股份购买资产 的非公开发行</w:t>
      </w:r>
      <w:r>
        <w:rPr>
          <w:rFonts w:ascii="Times New Roman" w:hAnsi="Times New Roman" w:cs="Times New Roman" w:eastAsia="Times New Roman" w:hint="default"/>
        </w:rPr>
        <w:t>68842786</w:t>
      </w:r>
      <w:r>
        <w:rPr/>
        <w:t>股新股的登记申请材料，该等股份于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日在深圳证券交易 所上市。公司总股本增加至</w:t>
      </w:r>
      <w:r>
        <w:rPr>
          <w:rFonts w:ascii="Times New Roman" w:hAnsi="Times New Roman" w:cs="Times New Roman" w:eastAsia="Times New Roman" w:hint="default"/>
        </w:rPr>
        <w:t>352,586,786</w:t>
      </w:r>
      <w:r>
        <w:rPr/>
        <w:t>股。</w:t>
      </w:r>
    </w:p>
    <w:p>
      <w:pPr>
        <w:spacing w:line="240" w:lineRule="auto" w:before="11"/>
        <w:rPr>
          <w:rFonts w:ascii="宋体" w:hAnsi="宋体" w:cs="宋体" w:eastAsia="宋体" w:hint="default"/>
          <w:sz w:val="23"/>
          <w:szCs w:val="23"/>
        </w:rPr>
      </w:pPr>
    </w:p>
    <w:p>
      <w:pPr>
        <w:pStyle w:val="BodyText"/>
        <w:spacing w:line="312" w:lineRule="exact"/>
        <w:ind w:right="1131" w:firstLine="420"/>
        <w:jc w:val="both"/>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日，公司召开</w:t>
      </w:r>
      <w:r>
        <w:rPr>
          <w:rFonts w:ascii="Times New Roman" w:hAnsi="Times New Roman" w:cs="Times New Roman" w:eastAsia="Times New Roman" w:hint="default"/>
          <w:spacing w:val="-1"/>
        </w:rPr>
        <w:t>2017</w:t>
      </w:r>
      <w:r>
        <w:rPr>
          <w:spacing w:val="-1"/>
        </w:rPr>
        <w:t>年第二次临时股东大会审议通过了《关于公司董事会</w:t>
      </w:r>
      <w:r>
        <w:rPr/>
        <w:t> 换届选举暨提名第四届董事会非独立董事候选人的议案》、《关于公司董事会换届选举暨提 名第四届董事会独立董事候选人的议案》等相关议案，公司完成第四届董事会、监事会的换 届选举。具体内容详见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日公司于巨潮资讯网披露的公告文件。</w:t>
      </w:r>
    </w:p>
    <w:p>
      <w:pPr>
        <w:spacing w:line="240" w:lineRule="auto" w:before="11"/>
        <w:rPr>
          <w:rFonts w:ascii="宋体" w:hAnsi="宋体" w:cs="宋体" w:eastAsia="宋体" w:hint="default"/>
          <w:sz w:val="23"/>
          <w:szCs w:val="23"/>
        </w:rPr>
      </w:pPr>
    </w:p>
    <w:p>
      <w:pPr>
        <w:pStyle w:val="BodyText"/>
        <w:spacing w:line="312" w:lineRule="exact"/>
        <w:ind w:right="1129" w:firstLine="420"/>
        <w:jc w:val="left"/>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日，公司召开第四届董事会第二次会议审议通过了《关于取消重大资产</w:t>
      </w:r>
      <w:r>
        <w:rPr/>
        <w:t> 重组募集配套资金的议案》、《关于终止公司第一期员工持股计划的议案》，公司配套融资 发行，并终止公司第一期员工持股计划。同时，本次会议审议通过了《关于公司非公开发行 股票方案的议案》等关于非公开发行</w:t>
      </w:r>
      <w:r>
        <w:rPr>
          <w:rFonts w:ascii="Times New Roman" w:hAnsi="Times New Roman" w:cs="Times New Roman" w:eastAsia="Times New Roman" w:hint="default"/>
        </w:rPr>
        <w:t>A</w:t>
      </w:r>
      <w:r>
        <w:rPr/>
        <w:t>股股票相关议案，公司本次非公开发行股份募集资金 </w:t>
      </w:r>
      <w:r>
        <w:rPr>
          <w:spacing w:val="-2"/>
        </w:rPr>
        <w:t>总额不超过</w:t>
      </w:r>
      <w:r>
        <w:rPr>
          <w:rFonts w:ascii="Times New Roman" w:hAnsi="Times New Roman" w:cs="Times New Roman" w:eastAsia="Times New Roman" w:hint="default"/>
          <w:spacing w:val="-2"/>
        </w:rPr>
        <w:t>128,000</w:t>
      </w:r>
      <w:r>
        <w:rPr>
          <w:spacing w:val="-2"/>
        </w:rPr>
        <w:t>万元（含</w:t>
      </w:r>
      <w:r>
        <w:rPr>
          <w:rFonts w:ascii="Times New Roman" w:hAnsi="Times New Roman" w:cs="Times New Roman" w:eastAsia="Times New Roman" w:hint="default"/>
          <w:spacing w:val="-2"/>
        </w:rPr>
        <w:t>128,000</w:t>
      </w:r>
      <w:r>
        <w:rPr>
          <w:spacing w:val="-2"/>
        </w:rPr>
        <w:t>万元）。第四届董事会第六次会议审议事项的具体内容详</w:t>
      </w:r>
      <w:r>
        <w:rPr>
          <w:spacing w:val="-108"/>
        </w:rPr>
        <w:t> </w:t>
      </w:r>
      <w:r>
        <w:rPr>
          <w:spacing w:val="-108"/>
        </w:rPr>
      </w:r>
      <w:r>
        <w:rPr/>
        <w:t>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日在巨潮资讯网上刊登的公告。</w:t>
      </w:r>
    </w:p>
    <w:p>
      <w:pPr>
        <w:spacing w:line="240" w:lineRule="auto" w:before="11"/>
        <w:rPr>
          <w:rFonts w:ascii="宋体" w:hAnsi="宋体" w:cs="宋体" w:eastAsia="宋体" w:hint="default"/>
          <w:sz w:val="23"/>
          <w:szCs w:val="23"/>
        </w:rPr>
      </w:pPr>
    </w:p>
    <w:p>
      <w:pPr>
        <w:pStyle w:val="BodyText"/>
        <w:spacing w:line="312" w:lineRule="exact"/>
        <w:ind w:right="1129"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
        </w:rPr>
        <w:t>9</w:t>
      </w:r>
      <w:r>
        <w:rPr>
          <w:spacing w:val="-1"/>
        </w:rPr>
        <w:t>、经公司第四届董事会第四次会议、第四届监事会第四次会议及</w:t>
      </w:r>
      <w:r>
        <w:rPr>
          <w:rFonts w:ascii="Times New Roman" w:hAnsi="Times New Roman" w:cs="Times New Roman" w:eastAsia="Times New Roman" w:hint="default"/>
          <w:spacing w:val="-1"/>
        </w:rPr>
        <w:t>2018</w:t>
      </w:r>
      <w:r>
        <w:rPr>
          <w:spacing w:val="-1"/>
        </w:rPr>
        <w:t>年第二次临时股东</w:t>
      </w:r>
      <w:r>
        <w:rPr/>
        <w:t> </w:t>
      </w:r>
      <w:r>
        <w:rPr>
          <w:spacing w:val="-2"/>
        </w:rPr>
        <w:t>大会审议通过《关于变更公司名称、证券简称的议案》，公司名称由</w:t>
      </w:r>
      <w:r>
        <w:rPr>
          <w:rFonts w:ascii="Times New Roman" w:hAnsi="Times New Roman" w:cs="Times New Roman" w:eastAsia="Times New Roman" w:hint="default"/>
          <w:spacing w:val="-2"/>
        </w:rPr>
        <w:t>“</w:t>
      </w:r>
      <w:r>
        <w:rPr>
          <w:spacing w:val="-2"/>
        </w:rPr>
        <w:t>厦门红相电力设备股份</w:t>
      </w:r>
      <w:r>
        <w:rPr>
          <w:spacing w:val="-106"/>
        </w:rPr>
        <w:t> </w:t>
      </w:r>
      <w:r>
        <w:rPr/>
        <w:t>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红相股份有限公司</w:t>
      </w:r>
      <w:r>
        <w:rPr>
          <w:rFonts w:ascii="Times New Roman" w:hAnsi="Times New Roman" w:cs="Times New Roman" w:eastAsia="Times New Roman" w:hint="default"/>
        </w:rPr>
        <w:t>”</w:t>
      </w:r>
      <w:r>
        <w:rPr/>
        <w:t>；英文名称变更为</w:t>
      </w:r>
      <w:r>
        <w:rPr>
          <w:rFonts w:ascii="Times New Roman" w:hAnsi="Times New Roman" w:cs="Times New Roman" w:eastAsia="Times New Roman" w:hint="default"/>
        </w:rPr>
        <w:t>“Red</w:t>
      </w:r>
      <w:r>
        <w:rPr>
          <w:rFonts w:ascii="Times New Roman" w:hAnsi="Times New Roman" w:cs="Times New Roman" w:eastAsia="Times New Roman" w:hint="default"/>
          <w:spacing w:val="-29"/>
        </w:rPr>
        <w:t> </w:t>
      </w:r>
      <w:r>
        <w:rPr>
          <w:rFonts w:ascii="Times New Roman" w:hAnsi="Times New Roman" w:cs="Times New Roman" w:eastAsia="Times New Roman" w:hint="default"/>
        </w:rPr>
        <w:t>phase</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3"/>
        </w:rPr>
        <w:t>INC.”</w:t>
      </w:r>
      <w:r>
        <w:rPr>
          <w:spacing w:val="-3"/>
        </w:rPr>
        <w:t>；公司证券简称变更</w:t>
      </w:r>
      <w:r>
        <w:rPr/>
        <w:t> 为</w:t>
      </w:r>
      <w:r>
        <w:rPr>
          <w:rFonts w:ascii="Times New Roman" w:hAnsi="Times New Roman" w:cs="Times New Roman" w:eastAsia="Times New Roman" w:hint="default"/>
        </w:rPr>
        <w:t>“</w:t>
      </w:r>
      <w:r>
        <w:rPr/>
        <w:t>红相股份</w:t>
      </w:r>
      <w:r>
        <w:rPr>
          <w:rFonts w:ascii="Times New Roman" w:hAnsi="Times New Roman" w:cs="Times New Roman" w:eastAsia="Times New Roman" w:hint="default"/>
        </w:rPr>
        <w:t>”</w:t>
      </w:r>
      <w:r>
        <w:rPr/>
        <w:t>。公司的证券代码（证券代码：</w:t>
      </w:r>
      <w:r>
        <w:rPr>
          <w:rFonts w:ascii="Times New Roman" w:hAnsi="Times New Roman" w:cs="Times New Roman" w:eastAsia="Times New Roman" w:hint="default"/>
        </w:rPr>
        <w:t>300427</w:t>
      </w:r>
      <w:r>
        <w:rPr/>
        <w:t>）保持不变。具体内容详见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p>
    <w:p>
      <w:pPr>
        <w:spacing w:after="0" w:line="312" w:lineRule="exact"/>
        <w:jc w:val="both"/>
        <w:rPr>
          <w:rFonts w:ascii="Times New Roman" w:hAnsi="Times New Roman" w:cs="Times New Roman" w:eastAsia="Times New Roman" w:hint="default"/>
        </w:rPr>
        <w:sectPr>
          <w:pgSz w:w="11910" w:h="16840"/>
          <w:pgMar w:header="747" w:footer="979" w:top="1060" w:bottom="1160" w:left="0" w:right="0"/>
        </w:sectPr>
      </w:pPr>
    </w:p>
    <w:p>
      <w:pPr>
        <w:spacing w:line="240" w:lineRule="auto" w:before="9"/>
        <w:rPr>
          <w:rFonts w:ascii="Times New Roman" w:hAnsi="Times New Roman" w:cs="Times New Roman" w:eastAsia="Times New Roman" w:hint="default"/>
          <w:sz w:val="26"/>
          <w:szCs w:val="26"/>
        </w:rPr>
      </w:pPr>
    </w:p>
    <w:p>
      <w:pPr>
        <w:spacing w:line="470" w:lineRule="auto" w:before="26"/>
        <w:ind w:left="1133" w:right="7393" w:firstLine="0"/>
        <w:jc w:val="left"/>
        <w:rPr>
          <w:rFonts w:ascii="宋体" w:hAnsi="宋体" w:cs="宋体" w:eastAsia="宋体" w:hint="default"/>
          <w:sz w:val="24"/>
          <w:szCs w:val="24"/>
        </w:rPr>
      </w:pPr>
      <w:r>
        <w:rPr>
          <w:rFonts w:ascii="宋体" w:hAnsi="宋体" w:cs="宋体" w:eastAsia="宋体" w:hint="default"/>
          <w:sz w:val="24"/>
          <w:szCs w:val="24"/>
        </w:rPr>
        <w:t>日在巨潮资讯网上刊登的公告。 </w:t>
      </w:r>
      <w:bookmarkStart w:name="十九、公司子公司重大事项" w:id="101"/>
      <w:bookmarkEnd w:id="101"/>
      <w:r>
        <w:rPr>
          <w:rFonts w:ascii="宋体" w:hAnsi="宋体" w:cs="宋体" w:eastAsia="宋体" w:hint="default"/>
          <w:sz w:val="24"/>
          <w:szCs w:val="24"/>
        </w:rPr>
      </w:r>
      <w:r>
        <w:rPr>
          <w:rFonts w:ascii="宋体" w:hAnsi="宋体" w:cs="宋体" w:eastAsia="宋体" w:hint="default"/>
          <w:b/>
          <w:bCs/>
          <w:sz w:val="24"/>
          <w:szCs w:val="24"/>
        </w:rPr>
        <w:t>十九、公司子公司重大事项</w:t>
      </w:r>
      <w:r>
        <w:rPr>
          <w:rFonts w:ascii="宋体" w:hAnsi="宋体" w:cs="宋体" w:eastAsia="宋体" w:hint="default"/>
          <w:sz w:val="24"/>
          <w:szCs w:val="24"/>
        </w:rPr>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股份变动情况" w:id="105"/>
      <w:bookmarkEnd w:id="10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68.96%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68,842,78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-10,745,7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58,097,08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3,267,661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3,267,661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3,267,661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68.96%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-10,745,7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54,829,42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49,527,09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49,527,09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14.05%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184,142,2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774,296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16,822,32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200,964,5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88,081,77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88,081,77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10,745,70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98,827,48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68,842,78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68,842,78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352,586,7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5"/>
        <w:ind w:left="1133" w:right="119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日，公司解除首发前机构类限售股份</w:t>
      </w:r>
      <w:r>
        <w:rPr>
          <w:rFonts w:ascii="Times New Roman" w:hAnsi="Times New Roman" w:cs="Times New Roman" w:eastAsia="Times New Roman" w:hint="default"/>
          <w:sz w:val="21"/>
          <w:szCs w:val="21"/>
        </w:rPr>
        <w:t>11,520,000</w:t>
      </w:r>
      <w:r>
        <w:rPr>
          <w:rFonts w:ascii="宋体" w:hAnsi="宋体" w:cs="宋体" w:eastAsia="宋体" w:hint="default"/>
          <w:sz w:val="21"/>
          <w:szCs w:val="21"/>
        </w:rPr>
        <w:t>股。本次解除限售股份的上市流通日 期为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日，解除限售股东共计</w:t>
      </w:r>
      <w:r>
        <w:rPr>
          <w:rFonts w:ascii="Times New Roman" w:hAnsi="Times New Roman" w:cs="Times New Roman" w:eastAsia="Times New Roman" w:hint="default"/>
          <w:sz w:val="21"/>
          <w:szCs w:val="21"/>
        </w:rPr>
        <w:t>1</w:t>
      </w:r>
      <w:r>
        <w:rPr>
          <w:rFonts w:ascii="宋体" w:hAnsi="宋体" w:cs="宋体" w:eastAsia="宋体" w:hint="default"/>
          <w:sz w:val="21"/>
          <w:szCs w:val="21"/>
        </w:rPr>
        <w:t>名，为公司法人股东长江成长资本投资有限公司。</w:t>
      </w:r>
    </w:p>
    <w:p>
      <w:pPr>
        <w:spacing w:after="0" w:line="25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56" w:lineRule="auto" w:before="35"/>
        <w:ind w:left="1133"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、报告期内，公司实施了发行股份及支付现金购买银川卧龙</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股权、星波通信</w:t>
      </w:r>
      <w:r>
        <w:rPr>
          <w:rFonts w:ascii="Times New Roman" w:hAnsi="Times New Roman" w:cs="Times New Roman" w:eastAsia="Times New Roman" w:hint="default"/>
          <w:spacing w:val="-3"/>
          <w:sz w:val="21"/>
          <w:szCs w:val="21"/>
        </w:rPr>
        <w:t>67.54%</w:t>
      </w:r>
      <w:r>
        <w:rPr>
          <w:rFonts w:ascii="宋体" w:hAnsi="宋体" w:cs="宋体" w:eastAsia="宋体" w:hint="default"/>
          <w:spacing w:val="-3"/>
          <w:sz w:val="21"/>
          <w:szCs w:val="21"/>
        </w:rPr>
        <w:t>股权的事宜，</w:t>
      </w:r>
      <w:r>
        <w:rPr>
          <w:rFonts w:ascii="宋体" w:hAnsi="宋体" w:cs="宋体" w:eastAsia="宋体" w:hint="default"/>
          <w:sz w:val="21"/>
          <w:szCs w:val="21"/>
        </w:rPr>
        <w:t> 公司向卧龙电气集团股份有限公司、张青等交易方发行</w:t>
      </w:r>
      <w:r>
        <w:rPr>
          <w:rFonts w:ascii="Times New Roman" w:hAnsi="Times New Roman" w:cs="Times New Roman" w:eastAsia="Times New Roman" w:hint="default"/>
          <w:sz w:val="21"/>
          <w:szCs w:val="21"/>
        </w:rPr>
        <w:t>68,842,786</w:t>
      </w:r>
      <w:r>
        <w:rPr>
          <w:rFonts w:ascii="宋体" w:hAnsi="宋体" w:cs="宋体" w:eastAsia="宋体" w:hint="default"/>
          <w:sz w:val="21"/>
          <w:szCs w:val="21"/>
        </w:rPr>
        <w:t>股股份。上述股份于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日在 深圳证券交易所上市，公司总股本增加至</w:t>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w:t>
      </w:r>
    </w:p>
    <w:p>
      <w:pPr>
        <w:spacing w:line="256" w:lineRule="auto" w:before="5"/>
        <w:ind w:left="1133" w:right="119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日，经</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年第二次临时股东大会审议通过，公司完成第四届董事会、监事会的换 届工作；部分换届离任的董监高所持股份自离任日起锁定</w:t>
      </w:r>
      <w:r>
        <w:rPr>
          <w:rFonts w:ascii="Times New Roman" w:hAnsi="Times New Roman" w:cs="Times New Roman" w:eastAsia="Times New Roman" w:hint="default"/>
          <w:sz w:val="21"/>
          <w:szCs w:val="21"/>
        </w:rPr>
        <w:t>6</w:t>
      </w:r>
      <w:r>
        <w:rPr>
          <w:rFonts w:ascii="宋体" w:hAnsi="宋体" w:cs="宋体" w:eastAsia="宋体" w:hint="default"/>
          <w:sz w:val="21"/>
          <w:szCs w:val="21"/>
        </w:rPr>
        <w:t>个月，新增高管锁定股</w:t>
      </w:r>
      <w:r>
        <w:rPr>
          <w:rFonts w:ascii="Times New Roman" w:hAnsi="Times New Roman" w:cs="Times New Roman" w:eastAsia="Times New Roman" w:hint="default"/>
          <w:sz w:val="21"/>
          <w:szCs w:val="21"/>
        </w:rPr>
        <w:t>774,296</w:t>
      </w:r>
      <w:r>
        <w:rPr>
          <w:rFonts w:ascii="宋体" w:hAnsi="宋体" w:cs="宋体" w:eastAsia="宋体" w:hint="default"/>
          <w:sz w:val="21"/>
          <w:szCs w:val="21"/>
        </w:rPr>
        <w:t>股。</w:t>
      </w:r>
    </w:p>
    <w:p>
      <w:pPr>
        <w:spacing w:before="71"/>
        <w:ind w:left="113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3" w:lineRule="auto" w:before="75"/>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发行股份及支付现金购买资产的批准情况</w:t>
      </w:r>
      <w:r>
        <w:rPr>
          <w:rFonts w:ascii="宋体" w:hAnsi="宋体" w:cs="宋体" w:eastAsia="宋体" w:hint="default"/>
          <w:b/>
          <w:bCs/>
          <w:w w:val="99"/>
          <w:sz w:val="21"/>
          <w:szCs w:val="21"/>
        </w:rPr>
        <w:t> </w:t>
      </w:r>
      <w:r>
        <w:rPr>
          <w:rFonts w:ascii="宋体" w:hAnsi="宋体" w:cs="宋体" w:eastAsia="宋体" w:hint="default"/>
          <w:sz w:val="21"/>
          <w:szCs w:val="21"/>
        </w:rPr>
        <w:t>经证监会证监许可</w:t>
      </w:r>
      <w:r>
        <w:rPr>
          <w:rFonts w:ascii="Times New Roman" w:hAnsi="Times New Roman" w:cs="Times New Roman" w:eastAsia="Times New Roman" w:hint="default"/>
          <w:sz w:val="21"/>
          <w:szCs w:val="21"/>
        </w:rPr>
        <w:t>[2017]1351</w:t>
      </w:r>
      <w:r>
        <w:rPr>
          <w:rFonts w:ascii="宋体" w:hAnsi="宋体" w:cs="宋体" w:eastAsia="宋体" w:hint="default"/>
          <w:sz w:val="21"/>
          <w:szCs w:val="21"/>
        </w:rPr>
        <w:t>号《关于核准厦门红相电力设备股份有限公司向卧龙电气集团股份有限</w:t>
      </w:r>
    </w:p>
    <w:p>
      <w:pPr>
        <w:spacing w:line="261" w:lineRule="auto" w:before="0"/>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公司等发行股份购买资产并募集配套资金的批复》核准，公司向卧龙电气集团股份有限公司、张青等交易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方发行</w:t>
      </w:r>
      <w:r>
        <w:rPr>
          <w:rFonts w:ascii="Times New Roman" w:hAnsi="Times New Roman" w:cs="Times New Roman" w:eastAsia="Times New Roman" w:hint="default"/>
          <w:sz w:val="21"/>
          <w:szCs w:val="21"/>
        </w:rPr>
        <w:t>68,842,786</w:t>
      </w:r>
      <w:r>
        <w:rPr>
          <w:rFonts w:ascii="宋体" w:hAnsi="宋体" w:cs="宋体" w:eastAsia="宋体" w:hint="default"/>
          <w:sz w:val="21"/>
          <w:szCs w:val="21"/>
        </w:rPr>
        <w:t>股股份并支付现金购买其持有的卧龙电气银川变压器有限公司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股权、合肥星波通信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技术有限公司</w:t>
      </w:r>
      <w:r>
        <w:rPr>
          <w:rFonts w:ascii="Times New Roman" w:hAnsi="Times New Roman" w:cs="Times New Roman" w:eastAsia="Times New Roman" w:hint="default"/>
          <w:spacing w:val="11"/>
          <w:sz w:val="21"/>
          <w:szCs w:val="21"/>
        </w:rPr>
        <w:t>67.54%</w:t>
      </w:r>
      <w:r>
        <w:rPr>
          <w:rFonts w:ascii="宋体" w:hAnsi="宋体" w:cs="宋体" w:eastAsia="宋体" w:hint="default"/>
          <w:spacing w:val="11"/>
          <w:sz w:val="21"/>
          <w:szCs w:val="21"/>
        </w:rPr>
        <w:t>股权。上述股份于</w:t>
      </w:r>
      <w:r>
        <w:rPr>
          <w:rFonts w:ascii="Times New Roman" w:hAnsi="Times New Roman" w:cs="Times New Roman" w:eastAsia="Times New Roman" w:hint="default"/>
          <w:spacing w:val="11"/>
          <w:sz w:val="21"/>
          <w:szCs w:val="21"/>
        </w:rPr>
        <w:t>2017</w:t>
      </w:r>
      <w:r>
        <w:rPr>
          <w:rFonts w:ascii="宋体" w:hAnsi="宋体" w:cs="宋体" w:eastAsia="宋体" w:hint="default"/>
          <w:spacing w:val="11"/>
          <w:sz w:val="21"/>
          <w:szCs w:val="21"/>
        </w:rPr>
        <w:t>年</w:t>
      </w:r>
      <w:r>
        <w:rPr>
          <w:rFonts w:ascii="Times New Roman" w:hAnsi="Times New Roman" w:cs="Times New Roman" w:eastAsia="Times New Roman" w:hint="default"/>
          <w:spacing w:val="11"/>
          <w:sz w:val="21"/>
          <w:szCs w:val="21"/>
        </w:rPr>
        <w:t>10</w:t>
      </w:r>
      <w:r>
        <w:rPr>
          <w:rFonts w:ascii="宋体" w:hAnsi="宋体" w:cs="宋体" w:eastAsia="宋体" w:hint="default"/>
          <w:spacing w:val="11"/>
          <w:sz w:val="21"/>
          <w:szCs w:val="21"/>
        </w:rPr>
        <w:t>月</w:t>
      </w:r>
      <w:r>
        <w:rPr>
          <w:rFonts w:ascii="Times New Roman" w:hAnsi="Times New Roman" w:cs="Times New Roman" w:eastAsia="Times New Roman" w:hint="default"/>
          <w:spacing w:val="11"/>
          <w:sz w:val="21"/>
          <w:szCs w:val="21"/>
        </w:rPr>
        <w:t>13</w:t>
      </w:r>
      <w:r>
        <w:rPr>
          <w:rFonts w:ascii="宋体" w:hAnsi="宋体" w:cs="宋体" w:eastAsia="宋体" w:hint="default"/>
          <w:spacing w:val="11"/>
          <w:sz w:val="21"/>
          <w:szCs w:val="21"/>
        </w:rPr>
        <w:t>日在深圳证券交易所上市，公司总股本增加至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w:t>
      </w:r>
    </w:p>
    <w:p>
      <w:pPr>
        <w:spacing w:line="240" w:lineRule="auto" w:before="12"/>
        <w:rPr>
          <w:rFonts w:ascii="宋体" w:hAnsi="宋体" w:cs="宋体" w:eastAsia="宋体" w:hint="default"/>
          <w:sz w:val="28"/>
          <w:szCs w:val="28"/>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61" w:lineRule="auto" w:before="75"/>
        <w:ind w:left="1133" w:right="1131" w:firstLine="420"/>
        <w:jc w:val="both"/>
        <w:rPr>
          <w:rFonts w:ascii="宋体" w:hAnsi="宋体" w:cs="宋体" w:eastAsia="宋体" w:hint="default"/>
          <w:sz w:val="21"/>
          <w:szCs w:val="21"/>
        </w:rPr>
      </w:pPr>
      <w:r>
        <w:rPr>
          <w:rFonts w:ascii="宋体" w:hAnsi="宋体" w:cs="宋体" w:eastAsia="宋体" w:hint="default"/>
          <w:sz w:val="21"/>
          <w:szCs w:val="21"/>
        </w:rPr>
        <w:t>经证监会证监许可</w:t>
      </w:r>
      <w:r>
        <w:rPr>
          <w:rFonts w:ascii="Times New Roman" w:hAnsi="Times New Roman" w:cs="Times New Roman" w:eastAsia="Times New Roman" w:hint="default"/>
          <w:sz w:val="21"/>
          <w:szCs w:val="21"/>
        </w:rPr>
        <w:t>[2017]1351</w:t>
      </w:r>
      <w:r>
        <w:rPr>
          <w:rFonts w:ascii="宋体" w:hAnsi="宋体" w:cs="宋体" w:eastAsia="宋体" w:hint="default"/>
          <w:sz w:val="21"/>
          <w:szCs w:val="21"/>
        </w:rPr>
        <w:t>号《关于核准厦门红相电力设备股份有限公司向卧龙电气集团股份有限 </w:t>
      </w:r>
      <w:r>
        <w:rPr>
          <w:rFonts w:ascii="宋体" w:hAnsi="宋体" w:cs="宋体" w:eastAsia="宋体" w:hint="default"/>
          <w:spacing w:val="-1"/>
          <w:sz w:val="21"/>
          <w:szCs w:val="21"/>
        </w:rPr>
        <w:t>公司等发行股份购买资产并募集配套资金的批复》核准，本次新增股份数量为</w:t>
      </w:r>
      <w:r>
        <w:rPr>
          <w:rFonts w:ascii="Times New Roman" w:hAnsi="Times New Roman" w:cs="Times New Roman" w:eastAsia="Times New Roman" w:hint="default"/>
          <w:spacing w:val="-1"/>
          <w:sz w:val="21"/>
          <w:szCs w:val="21"/>
        </w:rPr>
        <w:t>68842786</w:t>
      </w:r>
      <w:r>
        <w:rPr>
          <w:rFonts w:ascii="宋体" w:hAnsi="宋体" w:cs="宋体" w:eastAsia="宋体" w:hint="default"/>
          <w:spacing w:val="-1"/>
          <w:sz w:val="21"/>
          <w:szCs w:val="21"/>
        </w:rPr>
        <w:t>股，发行后公司股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份数量为</w:t>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日，中国证券登记结算有限公司深圳分公司出具的《股份登记申请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
          <w:sz w:val="21"/>
          <w:szCs w:val="21"/>
        </w:rPr>
        <w:t>受理确认书》和《证券持有人名册（在册股东与未到账股东合并名册）》，相关股份登记到账后正式列入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上市公司的股东名册。</w:t>
      </w:r>
    </w:p>
    <w:p>
      <w:pPr>
        <w:spacing w:line="240" w:lineRule="auto" w:before="0"/>
        <w:rPr>
          <w:rFonts w:ascii="宋体" w:hAnsi="宋体" w:cs="宋体" w:eastAsia="宋体" w:hint="default"/>
          <w:sz w:val="20"/>
          <w:szCs w:val="20"/>
        </w:rPr>
      </w:pPr>
    </w:p>
    <w:p>
      <w:pPr>
        <w:spacing w:before="173"/>
        <w:ind w:left="113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5"/>
        <w:ind w:left="1133" w:right="1120" w:firstLine="420"/>
        <w:jc w:val="left"/>
        <w:rPr>
          <w:rFonts w:ascii="宋体" w:hAnsi="宋体" w:cs="宋体" w:eastAsia="宋体" w:hint="default"/>
          <w:sz w:val="21"/>
          <w:szCs w:val="21"/>
        </w:rPr>
      </w:pPr>
      <w:r>
        <w:rPr>
          <w:rFonts w:ascii="宋体" w:hAnsi="宋体" w:cs="宋体" w:eastAsia="宋体" w:hint="default"/>
          <w:sz w:val="21"/>
          <w:szCs w:val="21"/>
        </w:rPr>
        <w:t>截止报告期末，公司总股本为</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35,258.6786</w:t>
      </w:r>
      <w:r>
        <w:rPr>
          <w:rFonts w:ascii="宋体" w:hAnsi="宋体" w:cs="宋体" w:eastAsia="宋体" w:hint="default"/>
          <w:sz w:val="21"/>
          <w:szCs w:val="21"/>
        </w:rPr>
        <w:t>万股，基本每股收益为</w:t>
      </w:r>
      <w:r>
        <w:rPr>
          <w:rFonts w:ascii="Times New Roman" w:hAnsi="Times New Roman" w:cs="Times New Roman" w:eastAsia="Times New Roman" w:hint="default"/>
          <w:sz w:val="21"/>
          <w:szCs w:val="21"/>
        </w:rPr>
        <w:t>0.38</w:t>
      </w:r>
      <w:r>
        <w:rPr>
          <w:rFonts w:ascii="宋体" w:hAnsi="宋体" w:cs="宋体" w:eastAsia="宋体" w:hint="default"/>
          <w:sz w:val="21"/>
          <w:szCs w:val="21"/>
        </w:rPr>
        <w:t>元，稀释每股收益</w:t>
      </w:r>
      <w:r>
        <w:rPr>
          <w:rFonts w:ascii="Times New Roman" w:hAnsi="Times New Roman" w:cs="Times New Roman" w:eastAsia="Times New Roman" w:hint="default"/>
          <w:sz w:val="21"/>
          <w:szCs w:val="21"/>
        </w:rPr>
        <w:t>0.38</w:t>
      </w:r>
      <w:r>
        <w:rPr>
          <w:rFonts w:ascii="宋体" w:hAnsi="宋体" w:cs="宋体" w:eastAsia="宋体" w:hint="default"/>
          <w:sz w:val="21"/>
          <w:szCs w:val="21"/>
        </w:rPr>
        <w:t>元，归属 于公司普通股股东的每股净资产为</w:t>
      </w:r>
      <w:r>
        <w:rPr>
          <w:rFonts w:ascii="Times New Roman" w:hAnsi="Times New Roman" w:cs="Times New Roman" w:eastAsia="Times New Roman" w:hint="default"/>
          <w:sz w:val="21"/>
          <w:szCs w:val="21"/>
        </w:rPr>
        <w:t>5.31</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1"/>
          <w:szCs w:val="31"/>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限售股份变动情况" w:id="106"/>
      <w:bookmarkEnd w:id="1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124,898,042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124,898,042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日限售期届满， 并于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45,013,368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45,013,368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38,853,113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38,853,113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日限售期届满， 并于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9,897,958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9,897,958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董监高锁定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每年初按持股总 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长江成长资本投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首发前机构类限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319" w:lineRule="auto" w:before="61"/>
              <w:ind w:left="22" w:right="67"/>
              <w:jc w:val="left"/>
              <w:rPr>
                <w:rFonts w:ascii="宋体" w:hAnsi="宋体" w:cs="宋体" w:eastAsia="宋体" w:hint="default"/>
                <w:sz w:val="18"/>
                <w:szCs w:val="18"/>
              </w:rPr>
            </w:pPr>
            <w:r>
              <w:rPr>
                <w:rFonts w:ascii="宋体" w:hAnsi="宋体" w:cs="宋体" w:eastAsia="宋体" w:hint="default"/>
                <w:sz w:val="18"/>
                <w:szCs w:val="18"/>
              </w:rPr>
              <w:t>日解除限售上市 流通。</w:t>
            </w:r>
          </w:p>
        </w:tc>
      </w:tr>
      <w:tr>
        <w:trPr>
          <w:trHeight w:val="508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8,419,109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8,419,109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首发后个人类限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、首发后个人类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限售股自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09" w:lineRule="auto" w:before="31"/>
              <w:ind w:left="22" w:right="53"/>
              <w:jc w:val="both"/>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12"/>
                <w:sz w:val="18"/>
                <w:szCs w:val="18"/>
              </w:rPr>
              <w:t>件）；</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、高管锁</w:t>
            </w:r>
            <w:r>
              <w:rPr>
                <w:rFonts w:ascii="宋体" w:hAnsi="宋体" w:cs="宋体" w:eastAsia="宋体" w:hint="default"/>
                <w:spacing w:val="-84"/>
                <w:sz w:val="18"/>
                <w:szCs w:val="18"/>
              </w:rPr>
              <w:t> </w:t>
            </w:r>
            <w:r>
              <w:rPr>
                <w:rFonts w:ascii="宋体" w:hAnsi="宋体" w:cs="宋体" w:eastAsia="宋体" w:hint="default"/>
                <w:sz w:val="18"/>
                <w:szCs w:val="18"/>
              </w:rPr>
              <w:t>定股每年初按持 股总数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 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8,170,211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5"/>
              <w:jc w:val="left"/>
              <w:rPr>
                <w:rFonts w:ascii="宋体" w:hAnsi="宋体" w:cs="宋体" w:eastAsia="宋体" w:hint="default"/>
                <w:sz w:val="18"/>
                <w:szCs w:val="18"/>
              </w:rPr>
            </w:pPr>
            <w:r>
              <w:rPr>
                <w:rFonts w:ascii="宋体" w:hAnsi="宋体" w:cs="宋体" w:eastAsia="宋体" w:hint="default"/>
                <w:sz w:val="18"/>
                <w:szCs w:val="18"/>
              </w:rPr>
              <w:t>首发前个人类限 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日限售期届满， 并于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安徽兴皖创业投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3,267,661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上海兆韧投资管 理合伙企业（有 限合伙）－上海 兆戈投资管理合 伙企业（有限合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2,614,128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合肥星睿股权投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1,899,600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席立功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1,668,449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1,668,449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1,091,252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1,091,252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首发后个人类限 售股自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19" w:lineRule="auto" w:before="31"/>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765,959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1,021,278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何东武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834,224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589,789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379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635,016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635,016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首发后个人类限 售股自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（如满足解锁条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刘宏胜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652,896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首发后个人类限 售股自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19" w:lineRule="auto" w:before="31"/>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吴国敏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625,668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陈小杰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620,711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620,711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首发后个人类限 售股自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19" w:lineRule="auto" w:before="31"/>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459,575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459,574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9"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bl>
    <w:p>
      <w:pPr>
        <w:spacing w:after="0" w:line="302" w:lineRule="auto"/>
        <w:jc w:val="both"/>
        <w:rPr>
          <w:rFonts w:ascii="宋体" w:hAnsi="宋体" w:cs="宋体" w:eastAsia="宋体" w:hint="default"/>
          <w:sz w:val="18"/>
          <w:szCs w:val="18"/>
        </w:rPr>
        <w:sectPr>
          <w:footerReference w:type="default" r:id="rId13"/>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414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王长乐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首发后个人类限 售股自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日，每年按</w:t>
            </w:r>
            <w:r>
              <w:rPr>
                <w:rFonts w:ascii="宋体" w:hAnsi="宋体" w:cs="宋体" w:eastAsia="宋体" w:hint="default"/>
                <w:sz w:val="18"/>
                <w:szCs w:val="18"/>
              </w:rPr>
              <w:t> 取得股份的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、累计的</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、累计的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、累计的</w:t>
            </w:r>
          </w:p>
          <w:p>
            <w:pPr>
              <w:pStyle w:val="TableParagraph"/>
              <w:spacing w:line="300" w:lineRule="auto" w:before="63"/>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19" w:lineRule="auto" w:before="31"/>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刘启斌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程小虎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左克刚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19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王加玉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6"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9" w:lineRule="auto" w:before="63"/>
              <w:ind w:left="22" w:right="66"/>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w:t>
            </w:r>
          </w:p>
        </w:tc>
      </w:tr>
    </w:tbl>
    <w:p>
      <w:pPr>
        <w:spacing w:after="0" w:line="309" w:lineRule="auto"/>
        <w:jc w:val="both"/>
        <w:rPr>
          <w:rFonts w:ascii="宋体" w:hAnsi="宋体" w:cs="宋体" w:eastAsia="宋体" w:hint="default"/>
          <w:sz w:val="18"/>
          <w:szCs w:val="18"/>
        </w:rPr>
        <w:sectPr>
          <w:footerReference w:type="default" r:id="rId14"/>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1298"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w:t>
            </w:r>
            <w:r>
              <w:rPr>
                <w:rFonts w:ascii="宋体" w:hAnsi="宋体" w:cs="宋体" w:eastAsia="宋体" w:hint="default"/>
                <w:w w:val="99"/>
                <w:sz w:val="18"/>
                <w:szCs w:val="18"/>
              </w:rPr>
              <w:t> </w:t>
            </w:r>
            <w:r>
              <w:rPr>
                <w:rFonts w:ascii="宋体" w:hAnsi="宋体" w:cs="宋体" w:eastAsia="宋体" w:hint="default"/>
                <w:sz w:val="18"/>
                <w:szCs w:val="18"/>
              </w:rPr>
              <w:t>的比例分批解锁</w:t>
            </w:r>
          </w:p>
          <w:p>
            <w:pPr>
              <w:pStyle w:val="TableParagraph"/>
              <w:spacing w:line="319" w:lineRule="auto" w:before="31"/>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王延慧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邢成林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85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奚银春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240" w:lineRule="auto" w:before="28"/>
              <w:ind w:left="22" w:right="0"/>
              <w:jc w:val="left"/>
              <w:rPr>
                <w:rFonts w:ascii="宋体" w:hAnsi="宋体" w:cs="宋体" w:eastAsia="宋体" w:hint="default"/>
                <w:sz w:val="18"/>
                <w:szCs w:val="18"/>
              </w:rPr>
            </w:pPr>
            <w:r>
              <w:rPr>
                <w:rFonts w:ascii="宋体" w:hAnsi="宋体" w:cs="宋体" w:eastAsia="宋体" w:hint="default"/>
                <w:sz w:val="18"/>
                <w:szCs w:val="18"/>
              </w:rPr>
              <w:t>（如满足解锁条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胡万云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魏京保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321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袁长亮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6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谢安安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首发后个人类限 </w:t>
            </w:r>
            <w:r>
              <w:rPr>
                <w:rFonts w:ascii="宋体" w:hAnsi="宋体" w:cs="宋体" w:eastAsia="宋体" w:hint="default"/>
                <w:spacing w:val="-7"/>
                <w:sz w:val="18"/>
                <w:szCs w:val="18"/>
              </w:rPr>
              <w:t>售股，</w:t>
            </w:r>
            <w:r>
              <w:rPr>
                <w:rFonts w:ascii="Times New Roman" w:hAnsi="Times New Roman" w:cs="Times New Roman" w:eastAsia="Times New Roman" w:hint="default"/>
                <w:spacing w:val="-7"/>
                <w:sz w:val="18"/>
                <w:szCs w:val="18"/>
              </w:rPr>
              <w:t>2020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2547"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p>
          <w:p>
            <w:pPr>
              <w:pStyle w:val="TableParagraph"/>
              <w:spacing w:line="304" w:lineRule="auto" w:before="63"/>
              <w:ind w:left="22" w:right="6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每年按取得股份</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、累计 </w:t>
            </w:r>
            <w:r>
              <w:rPr>
                <w:rFonts w:ascii="Times New Roman" w:hAnsi="Times New Roman" w:cs="Times New Roman" w:eastAsia="Times New Roman" w:hint="default"/>
                <w:sz w:val="18"/>
                <w:szCs w:val="18"/>
              </w:rPr>
              <w:t>60%</w:t>
            </w:r>
            <w:r>
              <w:rPr>
                <w:rFonts w:ascii="宋体" w:hAnsi="宋体" w:cs="宋体" w:eastAsia="宋体" w:hint="default"/>
                <w:sz w:val="18"/>
                <w:szCs w:val="18"/>
              </w:rPr>
              <w:t>、剩余股份 的比例分批解锁</w:t>
            </w:r>
          </w:p>
          <w:p>
            <w:pPr>
              <w:pStyle w:val="TableParagraph"/>
              <w:spacing w:line="319" w:lineRule="auto" w:before="28"/>
              <w:ind w:left="22" w:right="67"/>
              <w:jc w:val="left"/>
              <w:rPr>
                <w:rFonts w:ascii="宋体" w:hAnsi="宋体" w:cs="宋体" w:eastAsia="宋体" w:hint="default"/>
                <w:sz w:val="18"/>
                <w:szCs w:val="18"/>
              </w:rPr>
            </w:pPr>
            <w:r>
              <w:rPr>
                <w:rFonts w:ascii="宋体" w:hAnsi="宋体" w:cs="宋体" w:eastAsia="宋体" w:hint="default"/>
                <w:sz w:val="18"/>
                <w:szCs w:val="18"/>
              </w:rPr>
              <w:t>（如满足解锁条 </w:t>
            </w:r>
            <w:r>
              <w:rPr>
                <w:rFonts w:ascii="宋体" w:hAnsi="宋体" w:cs="宋体" w:eastAsia="宋体" w:hint="default"/>
                <w:spacing w:val="-30"/>
                <w:sz w:val="18"/>
                <w:szCs w:val="18"/>
              </w:rPr>
              <w:t>件）；</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615"/>
              <w:jc w:val="right"/>
              <w:rPr>
                <w:rFonts w:ascii="宋体" w:hAnsi="宋体" w:cs="宋体" w:eastAsia="宋体" w:hint="default"/>
                <w:sz w:val="18"/>
                <w:szCs w:val="18"/>
              </w:rPr>
            </w:pPr>
            <w:r>
              <w:rPr>
                <w:rFonts w:ascii="宋体" w:hAnsi="宋体" w:cs="宋体" w:eastAsia="宋体" w:hint="default"/>
                <w:sz w:val="18"/>
                <w:szCs w:val="18"/>
              </w:rPr>
              <w:t>高管锁定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16" w:lineRule="auto" w:before="6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日届满离任，董 监高离任股份自 离任之日起锁定 </w:t>
            </w:r>
            <w:r>
              <w:rPr>
                <w:rFonts w:ascii="Times New Roman" w:hAnsi="Times New Roman" w:cs="Times New Roman" w:eastAsia="Times New Roman" w:hint="default"/>
                <w:sz w:val="18"/>
                <w:szCs w:val="18"/>
              </w:rPr>
              <w:t>6 </w:t>
            </w:r>
            <w:r>
              <w:rPr>
                <w:rFonts w:ascii="宋体" w:hAnsi="宋体" w:cs="宋体" w:eastAsia="宋体" w:hint="default"/>
                <w:spacing w:val="-13"/>
                <w:sz w:val="18"/>
                <w:szCs w:val="18"/>
              </w:rPr>
              <w:t>个月，</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2" w:lineRule="auto"/>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日锁定期届 满。</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195,662,221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69,617,082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253,759,303</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报告期内证券发行（不含优先股）情况" w:id="108"/>
      <w:bookmarkEnd w:id="1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8"/>
              <w:jc w:val="left"/>
              <w:rPr>
                <w:rFonts w:ascii="宋体" w:hAnsi="宋体" w:cs="宋体" w:eastAsia="宋体" w:hint="default"/>
                <w:sz w:val="18"/>
                <w:szCs w:val="18"/>
              </w:rPr>
            </w:pPr>
            <w:r>
              <w:rPr>
                <w:rFonts w:ascii="宋体" w:hAnsi="宋体" w:cs="宋体" w:eastAsia="宋体" w:hint="default"/>
                <w:sz w:val="18"/>
                <w:szCs w:val="18"/>
              </w:rPr>
              <w:t>发行股份及支付 现金购买资产</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68,842,786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68,842,786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before="90"/>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（一）报告期内公司发行股票审批程序</w:t>
      </w:r>
      <w:r>
        <w:rPr>
          <w:rFonts w:ascii="宋体" w:hAnsi="宋体" w:cs="宋体" w:eastAsia="宋体" w:hint="default"/>
          <w:sz w:val="21"/>
          <w:szCs w:val="21"/>
        </w:rPr>
      </w:r>
    </w:p>
    <w:p>
      <w:pPr>
        <w:spacing w:line="259" w:lineRule="auto" w:before="76"/>
        <w:ind w:left="1133"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日，公司召开第三届董事会第二十二次会议、第三届监事会第十四次会议，审议通过</w:t>
      </w:r>
      <w:r>
        <w:rPr>
          <w:rFonts w:ascii="宋体" w:hAnsi="宋体" w:cs="宋体" w:eastAsia="宋体" w:hint="default"/>
          <w:sz w:val="21"/>
          <w:szCs w:val="21"/>
        </w:rPr>
        <w:t> </w:t>
      </w:r>
      <w:r>
        <w:rPr>
          <w:rFonts w:ascii="宋体" w:hAnsi="宋体" w:cs="宋体" w:eastAsia="宋体" w:hint="default"/>
          <w:spacing w:val="-2"/>
          <w:sz w:val="21"/>
          <w:szCs w:val="21"/>
        </w:rPr>
        <w:t>了《</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公司发行股份及支付现金购买资产并募集配套资金暨关联交易报告书（草案）</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及其摘要的议案》等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相关议案。</w:t>
      </w:r>
    </w:p>
    <w:p>
      <w:pPr>
        <w:spacing w:line="266" w:lineRule="auto" w:before="58"/>
        <w:ind w:left="1133" w:right="111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日，公司召开</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年第一次临时股东大会，审议通过了《〈厦门红相电力设备股份 </w:t>
      </w:r>
      <w:r>
        <w:rPr>
          <w:rFonts w:ascii="宋体" w:hAnsi="宋体" w:cs="宋体" w:eastAsia="宋体" w:hint="default"/>
          <w:spacing w:val="-1"/>
          <w:sz w:val="21"/>
          <w:szCs w:val="21"/>
        </w:rPr>
        <w:t>有限公司发行股份及支付现金购买资产并募集配套资金暨关联交易报告书（草案）〉及其摘要的议案》等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相关议案。</w:t>
      </w:r>
    </w:p>
    <w:p>
      <w:pPr>
        <w:spacing w:line="259" w:lineRule="auto" w:before="53"/>
        <w:ind w:left="1133"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日，公司召开第三届董事会第二十五次会议，审议通过了《关于公司与卧龙电气集团</w:t>
      </w:r>
      <w:r>
        <w:rPr>
          <w:rFonts w:ascii="宋体" w:hAnsi="宋体" w:cs="宋体" w:eastAsia="宋体" w:hint="default"/>
          <w:sz w:val="21"/>
          <w:szCs w:val="21"/>
        </w:rPr>
        <w:t> 股份有限公司、席立功、何东武、吴国敏签署附生效条件的议案》等相关议案。</w:t>
      </w:r>
    </w:p>
    <w:p>
      <w:pPr>
        <w:spacing w:line="259" w:lineRule="auto" w:before="60"/>
        <w:ind w:left="1133"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日，公司召开的第三届董事会第三十次会议，审议通过了《关于公司募集配套资金方</w:t>
      </w:r>
      <w:r>
        <w:rPr>
          <w:rFonts w:ascii="宋体" w:hAnsi="宋体" w:cs="宋体" w:eastAsia="宋体" w:hint="default"/>
          <w:sz w:val="21"/>
          <w:szCs w:val="21"/>
        </w:rPr>
        <w:t> 案调整相关事项的议案》等相关议案。</w:t>
      </w:r>
    </w:p>
    <w:p>
      <w:pPr>
        <w:spacing w:after="0" w:line="259"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59" w:lineRule="auto" w:before="35"/>
        <w:ind w:left="1133" w:right="117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日，公司取得中国证监会证监许可</w:t>
      </w:r>
      <w:r>
        <w:rPr>
          <w:rFonts w:ascii="Times New Roman" w:hAnsi="Times New Roman" w:cs="Times New Roman" w:eastAsia="Times New Roman" w:hint="default"/>
          <w:sz w:val="21"/>
          <w:szCs w:val="21"/>
        </w:rPr>
        <w:t>[2017]1351</w:t>
      </w:r>
      <w:r>
        <w:rPr>
          <w:rFonts w:ascii="宋体" w:hAnsi="宋体" w:cs="宋体" w:eastAsia="宋体" w:hint="default"/>
          <w:sz w:val="21"/>
          <w:szCs w:val="21"/>
        </w:rPr>
        <w:t>号《关于核准厦门红相电力设备股份有 限公司向卧龙电气集团股份有限公司等发行股份购买资产并募集配套资金的批复》。</w:t>
      </w:r>
    </w:p>
    <w:p>
      <w:pPr>
        <w:pStyle w:val="Heading2"/>
        <w:spacing w:line="240" w:lineRule="auto" w:before="35"/>
        <w:ind w:left="1616" w:right="0"/>
        <w:jc w:val="left"/>
        <w:rPr>
          <w:b w:val="0"/>
          <w:bCs w:val="0"/>
        </w:rPr>
      </w:pPr>
      <w:r>
        <w:rPr/>
        <w:t>（二）发行股份购买资产新增股份登记及上市</w:t>
      </w:r>
      <w:r>
        <w:rPr>
          <w:b w:val="0"/>
          <w:bCs w:val="0"/>
        </w:rPr>
      </w:r>
    </w:p>
    <w:p>
      <w:pPr>
        <w:spacing w:line="256" w:lineRule="auto" w:before="61"/>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日，审计机构出具了致同验字（</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）第</w:t>
      </w:r>
      <w:r>
        <w:rPr>
          <w:rFonts w:ascii="Times New Roman" w:hAnsi="Times New Roman" w:cs="Times New Roman" w:eastAsia="Times New Roman" w:hint="default"/>
          <w:spacing w:val="-2"/>
          <w:sz w:val="21"/>
          <w:szCs w:val="21"/>
        </w:rPr>
        <w:t>350ZA0049</w:t>
      </w:r>
      <w:r>
        <w:rPr>
          <w:rFonts w:ascii="宋体" w:hAnsi="宋体" w:cs="宋体" w:eastAsia="宋体" w:hint="default"/>
          <w:spacing w:val="-2"/>
          <w:sz w:val="21"/>
          <w:szCs w:val="21"/>
        </w:rPr>
        <w:t>号《验资报告》，经其审验认为：截</w:t>
      </w:r>
      <w:r>
        <w:rPr>
          <w:rFonts w:ascii="宋体" w:hAnsi="宋体" w:cs="宋体" w:eastAsia="宋体" w:hint="default"/>
          <w:sz w:val="21"/>
          <w:szCs w:val="21"/>
        </w:rPr>
        <w:t> </w:t>
      </w:r>
      <w:r>
        <w:rPr>
          <w:rFonts w:ascii="宋体" w:hAnsi="宋体" w:cs="宋体" w:eastAsia="宋体" w:hint="default"/>
          <w:spacing w:val="-2"/>
          <w:sz w:val="21"/>
          <w:szCs w:val="21"/>
        </w:rPr>
        <w:t>至</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日止，卧龙电气、席立功等</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位新股东将其所持有的银川卧龙</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权益转让给红相电力，张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青、兴皖创投 等</w:t>
      </w:r>
      <w:r>
        <w:rPr>
          <w:rFonts w:ascii="Times New Roman" w:hAnsi="Times New Roman" w:cs="Times New Roman" w:eastAsia="Times New Roman" w:hint="default"/>
          <w:sz w:val="21"/>
          <w:szCs w:val="21"/>
        </w:rPr>
        <w:t>24</w:t>
      </w:r>
      <w:r>
        <w:rPr>
          <w:rFonts w:ascii="宋体" w:hAnsi="宋体" w:cs="宋体" w:eastAsia="宋体" w:hint="default"/>
          <w:sz w:val="21"/>
          <w:szCs w:val="21"/>
        </w:rPr>
        <w:t>位新股东将其持有的星波通信</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67.5411%</w:t>
      </w:r>
      <w:r>
        <w:rPr>
          <w:rFonts w:ascii="宋体" w:hAnsi="宋体" w:cs="宋体" w:eastAsia="宋体" w:hint="default"/>
          <w:sz w:val="21"/>
          <w:szCs w:val="21"/>
        </w:rPr>
        <w:t>权益转让给红相电力，用于认购红相电力定向 增发人民币普通股（</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 </w:t>
      </w:r>
      <w:r>
        <w:rPr>
          <w:rFonts w:ascii="Times New Roman" w:hAnsi="Times New Roman" w:cs="Times New Roman" w:eastAsia="Times New Roman" w:hint="default"/>
          <w:sz w:val="21"/>
          <w:szCs w:val="21"/>
        </w:rPr>
        <w:t>68,842,786</w:t>
      </w:r>
      <w:r>
        <w:rPr>
          <w:rFonts w:ascii="宋体" w:hAnsi="宋体" w:cs="宋体" w:eastAsia="宋体" w:hint="default"/>
          <w:sz w:val="21"/>
          <w:szCs w:val="21"/>
        </w:rPr>
        <w:t>股；截至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日止，公司变更后的股本为人民币</w:t>
      </w:r>
    </w:p>
    <w:p>
      <w:pPr>
        <w:spacing w:before="6"/>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352,586,786.00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日，上述新增股份</w:t>
      </w:r>
      <w:r>
        <w:rPr>
          <w:rFonts w:ascii="Times New Roman" w:hAnsi="Times New Roman" w:cs="Times New Roman" w:eastAsia="Times New Roman" w:hint="default"/>
          <w:sz w:val="21"/>
          <w:szCs w:val="21"/>
        </w:rPr>
        <w:t>68,842,786</w:t>
      </w:r>
      <w:r>
        <w:rPr>
          <w:rFonts w:ascii="宋体" w:hAnsi="宋体" w:cs="宋体" w:eastAsia="宋体" w:hint="default"/>
          <w:sz w:val="21"/>
          <w:szCs w:val="21"/>
        </w:rPr>
        <w:t>股正式上市。</w:t>
      </w:r>
    </w:p>
    <w:p>
      <w:pPr>
        <w:spacing w:line="240" w:lineRule="auto" w:before="6"/>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2、公司股份总数及股东结构的变动、公司资产和负债结构的变动情况说明"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7"/>
        <w:ind w:left="1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）股份总数的变动详见本章节报告期内</w:t>
      </w:r>
      <w:r>
        <w:rPr>
          <w:rFonts w:ascii="Times New Roman" w:hAnsi="Times New Roman" w:cs="Times New Roman" w:eastAsia="Times New Roman" w:hint="default"/>
          <w:sz w:val="21"/>
          <w:szCs w:val="21"/>
        </w:rPr>
        <w:t>“</w:t>
      </w:r>
      <w:r>
        <w:rPr>
          <w:rFonts w:ascii="宋体" w:hAnsi="宋体" w:cs="宋体" w:eastAsia="宋体" w:hint="default"/>
          <w:sz w:val="21"/>
          <w:szCs w:val="21"/>
        </w:rPr>
        <w:t>证券发行（不含优先股）情况</w:t>
      </w:r>
      <w:r>
        <w:rPr>
          <w:rFonts w:ascii="Times New Roman" w:hAnsi="Times New Roman" w:cs="Times New Roman" w:eastAsia="Times New Roman" w:hint="default"/>
          <w:sz w:val="21"/>
          <w:szCs w:val="21"/>
        </w:rPr>
        <w:t>”</w:t>
      </w:r>
      <w:r>
        <w:rPr>
          <w:rFonts w:ascii="宋体" w:hAnsi="宋体" w:cs="宋体" w:eastAsia="宋体" w:hint="default"/>
          <w:sz w:val="21"/>
          <w:szCs w:val="21"/>
        </w:rPr>
        <w:t>的说明。</w:t>
      </w:r>
    </w:p>
    <w:p>
      <w:pPr>
        <w:spacing w:before="61"/>
        <w:ind w:left="1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）股东结构变动情况如下：</w:t>
      </w:r>
    </w:p>
    <w:p>
      <w:pPr>
        <w:spacing w:line="240" w:lineRule="auto" w:before="10"/>
        <w:rPr>
          <w:rFonts w:ascii="宋体" w:hAnsi="宋体" w:cs="宋体" w:eastAsia="宋体" w:hint="default"/>
          <w:sz w:val="5"/>
          <w:szCs w:val="5"/>
        </w:rPr>
      </w:pPr>
    </w:p>
    <w:tbl>
      <w:tblPr>
        <w:tblW w:w="0" w:type="auto"/>
        <w:jc w:val="left"/>
        <w:tblInd w:w="1112" w:type="dxa"/>
        <w:tblLayout w:type="fixed"/>
        <w:tblCellMar>
          <w:top w:w="0" w:type="dxa"/>
          <w:left w:w="0" w:type="dxa"/>
          <w:bottom w:w="0" w:type="dxa"/>
          <w:right w:w="0" w:type="dxa"/>
        </w:tblCellMar>
        <w:tblLook w:val="01E0"/>
      </w:tblPr>
      <w:tblGrid>
        <w:gridCol w:w="414"/>
        <w:gridCol w:w="2664"/>
        <w:gridCol w:w="1692"/>
        <w:gridCol w:w="1396"/>
      </w:tblGrid>
      <w:tr>
        <w:trPr>
          <w:trHeight w:val="347" w:hRule="exact"/>
        </w:trPr>
        <w:tc>
          <w:tcPr>
            <w:tcW w:w="3078" w:type="dxa"/>
            <w:gridSpan w:val="2"/>
            <w:tcBorders>
              <w:top w:val="single" w:sz="6" w:space="0" w:color="000000"/>
              <w:left w:val="nil" w:sz="6" w:space="0" w:color="auto"/>
              <w:bottom w:val="single" w:sz="6" w:space="0" w:color="000000"/>
              <w:right w:val="single" w:sz="6" w:space="0" w:color="000000"/>
            </w:tcBorders>
          </w:tcPr>
          <w:p>
            <w:pPr>
              <w:pStyle w:val="TableParagraph"/>
              <w:spacing w:line="271" w:lineRule="exact"/>
              <w:ind w:left="20" w:right="0"/>
              <w:jc w:val="center"/>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股份数量（股）</w:t>
            </w:r>
            <w:r>
              <w:rPr>
                <w:rFonts w:ascii="宋体" w:hAnsi="宋体" w:cs="宋体" w:eastAsia="宋体" w:hint="default"/>
                <w:sz w:val="21"/>
                <w:szCs w:val="21"/>
              </w:rPr>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2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宋体" w:hAnsi="宋体" w:cs="宋体" w:eastAsia="宋体" w:hint="default"/>
                <w:b/>
                <w:bCs/>
                <w:spacing w:val="-16"/>
                <w:sz w:val="21"/>
                <w:szCs w:val="21"/>
              </w:rPr>
              <w:t> </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47" w:hRule="exact"/>
        </w:trPr>
        <w:tc>
          <w:tcPr>
            <w:tcW w:w="3078" w:type="dxa"/>
            <w:gridSpan w:val="2"/>
            <w:tcBorders>
              <w:top w:val="single" w:sz="6" w:space="0" w:color="000000"/>
              <w:left w:val="nil" w:sz="6" w:space="0" w:color="auto"/>
              <w:bottom w:val="single" w:sz="6" w:space="0" w:color="000000"/>
              <w:right w:val="single" w:sz="6" w:space="0" w:color="000000"/>
            </w:tcBorders>
          </w:tcPr>
          <w:p>
            <w:pPr>
              <w:pStyle w:val="TableParagraph"/>
              <w:spacing w:line="287"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一、限售条件流通股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非流通股</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253,759,303</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71.97</w:t>
            </w:r>
          </w:p>
        </w:tc>
      </w:tr>
      <w:tr>
        <w:trPr>
          <w:trHeight w:val="347" w:hRule="exact"/>
        </w:trPr>
        <w:tc>
          <w:tcPr>
            <w:tcW w:w="414" w:type="dxa"/>
            <w:tcBorders>
              <w:top w:val="single" w:sz="6" w:space="0" w:color="000000"/>
              <w:left w:val="nil" w:sz="6" w:space="0" w:color="auto"/>
              <w:bottom w:val="single" w:sz="6" w:space="0" w:color="000000"/>
              <w:right w:val="single" w:sz="6" w:space="0" w:color="000000"/>
            </w:tcBorders>
          </w:tcPr>
          <w:p>
            <w:pP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高管锁定股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12,995,151</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3.69</w:t>
            </w:r>
          </w:p>
        </w:tc>
      </w:tr>
      <w:tr>
        <w:trPr>
          <w:trHeight w:val="347" w:hRule="exact"/>
        </w:trPr>
        <w:tc>
          <w:tcPr>
            <w:tcW w:w="414" w:type="dxa"/>
            <w:tcBorders>
              <w:top w:val="single" w:sz="6" w:space="0" w:color="000000"/>
              <w:left w:val="nil" w:sz="6" w:space="0" w:color="auto"/>
              <w:bottom w:val="single" w:sz="6" w:space="0" w:color="000000"/>
              <w:right w:val="single" w:sz="6" w:space="0" w:color="000000"/>
            </w:tcBorders>
          </w:tcPr>
          <w:p>
            <w:pP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首发后限售股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68,842,786</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19.53</w:t>
            </w:r>
          </w:p>
        </w:tc>
      </w:tr>
      <w:tr>
        <w:trPr>
          <w:trHeight w:val="348" w:hRule="exact"/>
        </w:trPr>
        <w:tc>
          <w:tcPr>
            <w:tcW w:w="414" w:type="dxa"/>
            <w:tcBorders>
              <w:top w:val="single" w:sz="6" w:space="0" w:color="000000"/>
              <w:left w:val="nil" w:sz="6" w:space="0" w:color="auto"/>
              <w:bottom w:val="single" w:sz="6" w:space="0" w:color="000000"/>
              <w:right w:val="single" w:sz="6" w:space="0" w:color="000000"/>
            </w:tcBorders>
          </w:tcPr>
          <w:p>
            <w:pPr/>
          </w:p>
        </w:tc>
        <w:tc>
          <w:tcPr>
            <w:tcW w:w="26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首发前限售股</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171,921,366</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48.76</w:t>
            </w:r>
          </w:p>
        </w:tc>
      </w:tr>
      <w:tr>
        <w:trPr>
          <w:trHeight w:val="347" w:hRule="exact"/>
        </w:trPr>
        <w:tc>
          <w:tcPr>
            <w:tcW w:w="3078" w:type="dxa"/>
            <w:gridSpan w:val="2"/>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二、无限售条件流通股</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98,827,483</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28.03</w:t>
            </w:r>
          </w:p>
        </w:tc>
      </w:tr>
      <w:tr>
        <w:trPr>
          <w:trHeight w:val="347" w:hRule="exact"/>
        </w:trPr>
        <w:tc>
          <w:tcPr>
            <w:tcW w:w="3078" w:type="dxa"/>
            <w:gridSpan w:val="2"/>
            <w:tcBorders>
              <w:top w:val="single" w:sz="6" w:space="0" w:color="000000"/>
              <w:left w:val="nil" w:sz="6" w:space="0" w:color="auto"/>
              <w:bottom w:val="single" w:sz="6" w:space="0" w:color="000000"/>
              <w:right w:val="single" w:sz="6"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三、总股本</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352,586,786</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3、现存的内部职工股情况" w:id="110"/>
      <w:bookmarkEnd w:id="1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公司股东数量及持股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49.277008pt;margin-top:70.491722pt;width:85.6pt;height:31.2pt;mso-position-horizontal-relative:page;mso-position-vertical-relative:paragraph;z-index:-146058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491722pt;width:52.45pt;height:31.2pt;mso-position-horizontal-relative:page;mso-position-vertical-relative:paragraph;z-index:-1460560"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23"/>
        <w:gridCol w:w="134"/>
        <w:gridCol w:w="673"/>
        <w:gridCol w:w="739"/>
        <w:gridCol w:w="744"/>
        <w:gridCol w:w="842"/>
        <w:gridCol w:w="332"/>
        <w:gridCol w:w="445"/>
        <w:gridCol w:w="824"/>
        <w:gridCol w:w="791"/>
        <w:gridCol w:w="334"/>
        <w:gridCol w:w="1027"/>
        <w:gridCol w:w="279"/>
        <w:gridCol w:w="513"/>
        <w:gridCol w:w="558"/>
      </w:tblGrid>
      <w:tr>
        <w:trPr>
          <w:trHeight w:val="161"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18,802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16,518</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4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1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right w:val="single" w:sz="4" w:space="0" w:color="000000"/>
            </w:tcBorders>
            <w:shd w:val="clear" w:color="auto" w:fill="D2D2D2"/>
          </w:tcPr>
          <w:p>
            <w:pPr/>
          </w:p>
        </w:tc>
      </w:tr>
      <w:tr>
        <w:trPr>
          <w:trHeight w:val="14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2711"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 w:right="-22"/>
              <w:jc w:val="left"/>
              <w:rPr>
                <w:rFonts w:ascii="Times New Roman" w:hAnsi="Times New Roman" w:cs="Times New Roman" w:eastAsia="Times New Roman" w:hint="default"/>
                <w:sz w:val="18"/>
                <w:szCs w:val="18"/>
              </w:rPr>
            </w:pPr>
            <w:r>
              <w:rPr>
                <w:rFonts w:ascii="Times New Roman"/>
                <w:sz w:val="18"/>
              </w:rPr>
              <w:t>35.42%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124,898,0</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124,898,0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1361"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506" w:right="0"/>
              <w:jc w:val="left"/>
              <w:rPr>
                <w:rFonts w:ascii="Times New Roman" w:hAnsi="Times New Roman" w:cs="Times New Roman" w:eastAsia="Times New Roman" w:hint="default"/>
                <w:sz w:val="18"/>
                <w:szCs w:val="18"/>
              </w:rPr>
            </w:pPr>
            <w:r>
              <w:rPr>
                <w:rFonts w:ascii="Times New Roman"/>
                <w:sz w:val="18"/>
              </w:rPr>
              <w:t>89,603,000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42</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42</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卧龙电气集团股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45,013,36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45,013,36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27,520,000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9,897,958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3,299,319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长江成长资本投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8,419,109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8,419,109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8,419,109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安徽兴皖创业投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3,267,661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3,267,661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上海兆韧投资管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合伙）－上海兆戈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投资管理合伙企 业（有限合伙）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2,614,128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2,614,128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2,614,128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合肥星睿股权投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1,899,600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1,899,600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、杨保田与杨成系父子，杨成与杨力系兄弟关系。杨保田、杨成两人合计持有公司</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163,751,155  </w:t>
            </w:r>
            <w:r>
              <w:rPr>
                <w:rFonts w:ascii="宋体" w:hAnsi="宋体" w:cs="宋体" w:eastAsia="宋体" w:hint="default"/>
                <w:sz w:val="18"/>
                <w:szCs w:val="18"/>
              </w:rPr>
              <w:t>股股份，占公司股本总额的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46.44%</w:t>
            </w:r>
            <w:r>
              <w:rPr>
                <w:rFonts w:ascii="宋体" w:hAnsi="宋体" w:cs="宋体" w:eastAsia="宋体" w:hint="default"/>
                <w:sz w:val="18"/>
                <w:szCs w:val="18"/>
              </w:rPr>
              <w:t>，是公司的实际控制人。</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、张青系合肥星睿股权投资合伙企业（有限合伙）的执行事务合伙人。</w:t>
            </w:r>
          </w:p>
          <w:p>
            <w:pPr>
              <w:pStyle w:val="TableParagraph"/>
              <w:spacing w:line="302" w:lineRule="auto" w:before="101"/>
              <w:ind w:left="16"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、除前述股东外，公司未知前十名股东之间是否存在关联关系或是属于《上市公司 股东持股变动信息披露管理办法》规定的一致行动人。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51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长江成长资本投资有限公司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11,519,000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3,299,319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3,299,319</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天津信托有限责任公司－天津信 托</w:t>
            </w:r>
            <w:r>
              <w:rPr>
                <w:rFonts w:ascii="Times New Roman" w:hAnsi="Times New Roman" w:cs="Times New Roman" w:eastAsia="Times New Roman" w:hint="default"/>
                <w:sz w:val="18"/>
                <w:szCs w:val="18"/>
              </w:rPr>
              <w:t>·</w:t>
            </w:r>
            <w:r>
              <w:rPr>
                <w:rFonts w:ascii="宋体" w:hAnsi="宋体" w:cs="宋体" w:eastAsia="宋体" w:hint="default"/>
                <w:sz w:val="18"/>
                <w:szCs w:val="18"/>
              </w:rPr>
              <w:t>丰裕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 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1,566,446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1,566,446</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浙江瀚木资产管理有限公司－瀚木 资产瀚木一号基金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1,508,780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1,508,780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刘燕萍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1,012,821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1,012,821</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上海慧眼投资管理有限公司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829,964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829,964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中国工商银行股份有限公司－诺安 新经济股票型证券投资基金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743,300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光大兴陇信托有限责任公司－光大 信托</w:t>
            </w:r>
            <w:r>
              <w:rPr>
                <w:rFonts w:ascii="Times New Roman" w:hAnsi="Times New Roman" w:cs="Times New Roman" w:eastAsia="Times New Roman" w:hint="default"/>
                <w:sz w:val="18"/>
                <w:szCs w:val="18"/>
              </w:rPr>
              <w:t>·</w:t>
            </w:r>
            <w:r>
              <w:rPr>
                <w:rFonts w:ascii="宋体" w:hAnsi="宋体" w:cs="宋体" w:eastAsia="宋体" w:hint="default"/>
                <w:sz w:val="18"/>
                <w:szCs w:val="18"/>
              </w:rPr>
              <w:t>招盈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号证券投资单一资金信 托</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709,726</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诺安基金－建设银行－中国人寿－ 中国人寿委托诺安基金中证全指组 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683,776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683,776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赵聪</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w:t>
            </w:r>
          </w:p>
        </w:tc>
      </w:tr>
      <w:tr>
        <w:trPr>
          <w:trHeight w:val="169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、公司前十名无限售流通股股东与公司两名控股股东、实际控制人杨成、杨保田及 关联方杨力，不存在任何关联关系。</w:t>
            </w:r>
          </w:p>
          <w:p>
            <w:pPr>
              <w:pStyle w:val="TableParagraph"/>
              <w:spacing w:line="309" w:lineRule="auto" w:before="6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、除前述情况外，公司未知前十名无限售流通股股东之间，以及前十名无限售流通 </w:t>
            </w:r>
            <w:r>
              <w:rPr>
                <w:rFonts w:ascii="宋体" w:hAnsi="宋体" w:cs="宋体" w:eastAsia="宋体" w:hint="default"/>
                <w:spacing w:val="-1"/>
                <w:sz w:val="18"/>
                <w:szCs w:val="18"/>
              </w:rPr>
              <w:t>股股东和其他前十名股东之间是否存在关联关系或是属于《上市公司股东持股变动信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息披露管理办法》规定的一致行动人。</w:t>
            </w:r>
          </w:p>
        </w:tc>
      </w:tr>
      <w:tr>
        <w:trPr>
          <w:trHeight w:val="1691"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、公司股东浙江瀚木资产管理有限公司－瀚木资产瀚木一号基金通过申万宏源证券 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1,508,780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1,508,780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、公司股东刘燕萍除通过普通证券账户持有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560,621</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股外，还通过申万宏源证券有限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1,012,821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公司控股股东情况"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643" w:firstLine="0"/>
        <w:jc w:val="right"/>
        <w:rPr>
          <w:rFonts w:ascii="宋体" w:hAnsi="宋体" w:cs="宋体" w:eastAsia="宋体" w:hint="default"/>
          <w:sz w:val="18"/>
          <w:szCs w:val="18"/>
        </w:rPr>
      </w:pPr>
      <w:r>
        <w:rPr/>
        <w:pict>
          <v:shape style="position:absolute;margin-left:35.160pt;margin-top:-125.688278pt;width:525.4pt;height:221.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5164"/>
                    <w:gridCol w:w="4619"/>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80"/>
                          <w:jc w:val="left"/>
                          <w:rPr>
                            <w:rFonts w:ascii="宋体" w:hAnsi="宋体" w:cs="宋体" w:eastAsia="宋体" w:hint="default"/>
                            <w:sz w:val="18"/>
                            <w:szCs w:val="18"/>
                          </w:rPr>
                        </w:pPr>
                        <w:r>
                          <w:rPr>
                            <w:rFonts w:ascii="宋体" w:hAnsi="宋体" w:cs="宋体" w:eastAsia="宋体" w:hint="default"/>
                            <w:sz w:val="18"/>
                            <w:szCs w:val="18"/>
                          </w:rPr>
                          <w:t>控股股 东姓名</w:t>
                        </w:r>
                      </w:p>
                    </w:tc>
                    <w:tc>
                      <w:tcPr>
                        <w:tcW w:w="5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5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5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5"/>
                          <w:jc w:val="both"/>
                          <w:rPr>
                            <w:rFonts w:ascii="宋体" w:hAnsi="宋体" w:cs="宋体" w:eastAsia="宋体" w:hint="default"/>
                            <w:sz w:val="18"/>
                            <w:szCs w:val="18"/>
                          </w:rPr>
                        </w:pPr>
                        <w:r>
                          <w:rPr>
                            <w:rFonts w:ascii="宋体" w:hAnsi="宋体" w:cs="宋体" w:eastAsia="宋体" w:hint="default"/>
                            <w:sz w:val="18"/>
                            <w:szCs w:val="18"/>
                          </w:rPr>
                          <w:t>主要职 业及职 务</w:t>
                        </w:r>
                      </w:p>
                    </w:tc>
                    <w:tc>
                      <w:tcPr>
                        <w:tcW w:w="9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杨成先生：公司董事长、总经理及法定代表人；中国籍，无境外居留权，</w:t>
                        </w:r>
                        <w:r>
                          <w:rPr>
                            <w:rFonts w:ascii="Times New Roman" w:hAnsi="Times New Roman" w:cs="Times New Roman" w:eastAsia="Times New Roman" w:hint="default"/>
                            <w:spacing w:val="-2"/>
                            <w:sz w:val="18"/>
                            <w:szCs w:val="18"/>
                          </w:rPr>
                          <w:t>1961</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年出生，厦门大学统计学硕士。</w:t>
                        </w:r>
                        <w:r>
                          <w:rPr>
                            <w:rFonts w:ascii="Times New Roman" w:hAnsi="Times New Roman" w:cs="Times New Roman" w:eastAsia="Times New Roman" w:hint="default"/>
                            <w:spacing w:val="-2"/>
                            <w:sz w:val="18"/>
                            <w:szCs w:val="18"/>
                          </w:rPr>
                          <w:t>1991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年前，杨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成先生曾先后在安徽省淮南发电总厂、中国土产畜产进出口总公司厦门公司工作，</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年就读于澳大利亚皇家理 工学院会计专业，</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年起进入红相电力澳大利亚有限公司的前身 </w:t>
                        </w:r>
                        <w:r>
                          <w:rPr>
                            <w:rFonts w:ascii="Times New Roman" w:hAnsi="Times New Roman" w:cs="Times New Roman" w:eastAsia="Times New Roman" w:hint="default"/>
                            <w:sz w:val="18"/>
                            <w:szCs w:val="18"/>
                          </w:rPr>
                          <w:t>R.M.D Electronics Pty Ltd </w:t>
                        </w:r>
                        <w:r>
                          <w:rPr>
                            <w:rFonts w:ascii="宋体" w:hAnsi="宋体" w:cs="宋体" w:eastAsia="宋体" w:hint="default"/>
                            <w:sz w:val="18"/>
                            <w:szCs w:val="18"/>
                          </w:rPr>
                          <w:t>生产营销部工作，</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年起任 厦门红相电力设备有限公司副总经理，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月起任厦门红相电力设备进出口有限公司（以下简称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红相有限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）副总经理</w:t>
                        </w:r>
                        <w:r>
                          <w:rPr>
                            <w:rFonts w:ascii="宋体" w:hAnsi="宋体" w:cs="宋体" w:eastAsia="宋体" w:hint="default"/>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月至今任红相有限和公司董事长、</w:t>
                        </w:r>
                        <w:r>
                          <w:rPr>
                            <w:rFonts w:ascii="宋体" w:hAnsi="宋体" w:cs="宋体" w:eastAsia="宋体" w:hint="default"/>
                            <w:spacing w:val="-18"/>
                            <w:sz w:val="18"/>
                            <w:szCs w:val="18"/>
                          </w:rPr>
                          <w:t> </w:t>
                        </w:r>
                        <w:r>
                          <w:rPr>
                            <w:rFonts w:ascii="宋体" w:hAnsi="宋体" w:cs="宋体" w:eastAsia="宋体" w:hint="default"/>
                            <w:sz w:val="18"/>
                            <w:szCs w:val="18"/>
                          </w:rPr>
                          <w:t>总经理及法定代表人，</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月起，兼任厦门红相软件有限公司执行董事及 </w:t>
                        </w:r>
                        <w:r>
                          <w:rPr>
                            <w:rFonts w:ascii="宋体" w:hAnsi="宋体" w:cs="宋体" w:eastAsia="宋体" w:hint="default"/>
                            <w:spacing w:val="-3"/>
                            <w:sz w:val="18"/>
                            <w:szCs w:val="18"/>
                          </w:rPr>
                          <w:t>法定代表人。</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月起，兼任厦门红相信息科技有限公司执行董事兼法定代表人。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月起，兼任卧龙电气银川变 压器有限公司董事长、法定代表人。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月起，兼任中宁县银变新能源有限公司董事。杨成先生于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13"/>
                          <w:ind w:left="23" w:right="23"/>
                          <w:jc w:val="left"/>
                          <w:rPr>
                            <w:rFonts w:ascii="宋体" w:hAnsi="宋体" w:cs="宋体" w:eastAsia="宋体" w:hint="default"/>
                            <w:sz w:val="18"/>
                            <w:szCs w:val="18"/>
                          </w:rPr>
                        </w:pPr>
                        <w:r>
                          <w:rPr>
                            <w:rFonts w:ascii="宋体" w:hAnsi="宋体" w:cs="宋体" w:eastAsia="宋体" w:hint="default"/>
                            <w:sz w:val="18"/>
                            <w:szCs w:val="18"/>
                          </w:rPr>
                          <w:t>取得澳大利亚永久居留权；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日，杨成先生放弃澳大利亚永久居留权；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日，厦门市公安局出入境 管理处恢复杨成先生的常住户口。</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1357" w:lineRule="exact"/>
        <w:ind w:left="703"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525.15pt;height:67.9pt;mso-position-horizontal-relative:char;mso-position-vertical-relative:line" coordorigin="0,0" coordsize="10503,1358">
            <v:group style="position:absolute;left:10;top:14;width:700;height:1329" coordorigin="10,14" coordsize="700,1329">
              <v:shape style="position:absolute;left:10;top:14;width:700;height:1329" coordorigin="10,14" coordsize="700,1329" path="m10,1343l709,1343,709,14,10,14,10,1343xe" filled="true" fillcolor="#d2d2d2" stroked="false">
                <v:path arrowok="t"/>
                <v:fill type="solid"/>
              </v:shape>
            </v:group>
            <v:group style="position:absolute;left:10;top:10;width:701;height:2" coordorigin="10,10" coordsize="701,2">
              <v:shape style="position:absolute;left:10;top:10;width:701;height:2" coordorigin="10,10" coordsize="701,0" path="m10,10l710,10e" filled="false" stroked="true" strokeweight=".48pt" strokecolor="#000000">
                <v:path arrowok="t"/>
              </v:shape>
            </v:group>
            <v:group style="position:absolute;left:720;top:10;width:9773;height:2" coordorigin="720,10" coordsize="9773,2">
              <v:shape style="position:absolute;left:720;top:10;width:9773;height:2" coordorigin="720,10" coordsize="9773,0" path="m720,10l10493,10e" filled="false" stroked="true" strokeweight=".48pt" strokecolor="#000000">
                <v:path arrowok="t"/>
              </v:shape>
            </v:group>
            <v:group style="position:absolute;left:5;top:5;width:2;height:1348" coordorigin="5,5" coordsize="2,1348">
              <v:shape style="position:absolute;left:5;top:5;width:2;height:1348" coordorigin="5,5" coordsize="0,1348" path="m5,5l5,1352e" filled="false" stroked="true" strokeweight=".48pt" strokecolor="#000000">
                <v:path arrowok="t"/>
              </v:shape>
            </v:group>
            <v:group style="position:absolute;left:10;top:1348;width:701;height:2" coordorigin="10,1348" coordsize="701,2">
              <v:shape style="position:absolute;left:10;top:1348;width:701;height:2" coordorigin="10,1348" coordsize="701,0" path="m10,1348l710,1348e" filled="false" stroked="true" strokeweight=".48pt" strokecolor="#000000">
                <v:path arrowok="t"/>
              </v:shape>
            </v:group>
            <v:group style="position:absolute;left:715;top:5;width:2;height:1348" coordorigin="715,5" coordsize="2,1348">
              <v:shape style="position:absolute;left:715;top:5;width:2;height:1348" coordorigin="715,5" coordsize="0,1348" path="m715,5l715,1352e" filled="false" stroked="true" strokeweight=".48pt" strokecolor="#000000">
                <v:path arrowok="t"/>
              </v:shape>
            </v:group>
            <v:group style="position:absolute;left:720;top:1348;width:9773;height:2" coordorigin="720,1348" coordsize="9773,2">
              <v:shape style="position:absolute;left:720;top:1348;width:9773;height:2" coordorigin="720,1348" coordsize="9773,0" path="m720,1348l10493,1348e" filled="false" stroked="true" strokeweight=".48pt" strokecolor="#000000">
                <v:path arrowok="t"/>
              </v:shape>
            </v:group>
            <v:group style="position:absolute;left:10498;top:5;width:2;height:1348" coordorigin="10498,5" coordsize="2,1348">
              <v:shape style="position:absolute;left:10498;top:5;width:2;height:1348" coordorigin="10498,5" coordsize="0,1348" path="m10498,5l10498,1352e" filled="false" stroked="true" strokeweight=".48pt" strokecolor="#000000">
                <v:path arrowok="t"/>
              </v:shape>
              <v:shape style="position:absolute;left:715;top:10;width:9783;height:1338" type="#_x0000_t202" filled="false" stroked="false">
                <v:textbox inset="0,0,0,0">
                  <w:txbxContent>
                    <w:p>
                      <w:pPr>
                        <w:spacing w:line="300" w:lineRule="auto" w:before="56"/>
                        <w:ind w:left="28" w:right="26" w:firstLine="0"/>
                        <w:jc w:val="both"/>
                        <w:rPr>
                          <w:rFonts w:ascii="宋体" w:hAnsi="宋体" w:cs="宋体" w:eastAsia="宋体" w:hint="default"/>
                          <w:sz w:val="18"/>
                          <w:szCs w:val="18"/>
                        </w:rPr>
                      </w:pPr>
                      <w:r>
                        <w:rPr>
                          <w:rFonts w:ascii="宋体" w:hAnsi="宋体" w:cs="宋体" w:eastAsia="宋体" w:hint="default"/>
                          <w:sz w:val="18"/>
                          <w:szCs w:val="18"/>
                        </w:rPr>
                        <w:t>杨保田先生：公司董事；中国籍，无境外居留权，</w:t>
                      </w:r>
                      <w:r>
                        <w:rPr>
                          <w:rFonts w:ascii="Times New Roman" w:hAnsi="Times New Roman" w:cs="Times New Roman" w:eastAsia="Times New Roman" w:hint="default"/>
                          <w:sz w:val="18"/>
                          <w:szCs w:val="18"/>
                        </w:rPr>
                        <w:t>1930 </w:t>
                      </w:r>
                      <w:r>
                        <w:rPr>
                          <w:rFonts w:ascii="宋体" w:hAnsi="宋体" w:cs="宋体" w:eastAsia="宋体" w:hint="default"/>
                          <w:sz w:val="18"/>
                          <w:szCs w:val="18"/>
                        </w:rPr>
                        <w:t>年出生，厦门大学计划统计专业本科。杨保田先生于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年退休， 退休前一直任教于厦门大学；</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年起任公司执行董事、总经理、法定代表人，</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月任红相有限法定 代表人、执行董事兼总经理，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月任红相有限董事、副总经理，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月任公司 董事。</w:t>
                      </w:r>
                    </w:p>
                  </w:txbxContent>
                </v:textbox>
                <w10:wrap type="none"/>
              </v:shape>
            </v:group>
          </v:group>
        </w:pict>
      </w:r>
      <w:r>
        <w:rPr>
          <w:rFonts w:ascii="宋体" w:hAnsi="宋体" w:cs="宋体" w:eastAsia="宋体" w:hint="default"/>
          <w:position w:val="-26"/>
          <w:sz w:val="20"/>
          <w:szCs w:val="20"/>
        </w:rPr>
      </w:r>
    </w:p>
    <w:p>
      <w:pPr>
        <w:spacing w:before="47"/>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3、公司实际控制人情况"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杨保田先生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月担任公司董事，及其子公司上海红相 董事；杨成先生担任公司董事长、法定代表人、总经理，同时兼任子公司澳洲 红相董事，子公司上海红相法定代表人及董事长，子公司红相软件、红相信息 法定代表人、执行董事。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65"/>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8"/>
        <w:rPr>
          <w:rFonts w:ascii="宋体" w:hAnsi="宋体" w:cs="宋体" w:eastAsia="宋体" w:hint="default"/>
          <w:sz w:val="21"/>
          <w:szCs w:val="21"/>
        </w:rPr>
      </w:pPr>
    </w:p>
    <w:p>
      <w:pPr>
        <w:spacing w:line="3540" w:lineRule="exact"/>
        <w:ind w:left="233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592292" cy="22479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2292" cy="224790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4"/>
        <w:rPr>
          <w:rFonts w:ascii="宋体" w:hAnsi="宋体" w:cs="宋体" w:eastAsia="宋体" w:hint="default"/>
          <w:sz w:val="20"/>
          <w:szCs w:val="20"/>
        </w:rPr>
      </w:pPr>
    </w:p>
    <w:p>
      <w:pPr>
        <w:pStyle w:val="BodyText"/>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其他持股在10%以上的法人股东" w:id="115"/>
      <w:bookmarkEnd w:id="11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4"/>
        <w:ind w:left="0" w:right="1138" w:firstLine="0"/>
        <w:jc w:val="right"/>
        <w:rPr>
          <w:rFonts w:ascii="宋体" w:hAnsi="宋体" w:cs="宋体" w:eastAsia="宋体" w:hint="default"/>
          <w:sz w:val="18"/>
          <w:szCs w:val="18"/>
        </w:rPr>
      </w:pPr>
      <w:r>
        <w:rPr/>
        <w:pict>
          <v:shape style="position:absolute;margin-left:56.459999pt;margin-top:-83.338303pt;width:479.2pt;height:243.5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147"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卧龙电气集团股份有限公司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刘红旗</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128,889.96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开展对外承包工程业务</w:t>
                        </w:r>
                      </w:p>
                      <w:p>
                        <w:pPr>
                          <w:pStyle w:val="TableParagraph"/>
                          <w:spacing w:line="319" w:lineRule="auto" w:before="75"/>
                          <w:ind w:left="22" w:right="19"/>
                          <w:jc w:val="left"/>
                          <w:rPr>
                            <w:rFonts w:ascii="宋体" w:hAnsi="宋体" w:cs="宋体" w:eastAsia="宋体" w:hint="default"/>
                            <w:sz w:val="18"/>
                            <w:szCs w:val="18"/>
                          </w:rPr>
                        </w:pPr>
                        <w:r>
                          <w:rPr>
                            <w:rFonts w:ascii="宋体" w:hAnsi="宋体" w:cs="宋体" w:eastAsia="宋体" w:hint="default"/>
                            <w:spacing w:val="-8"/>
                            <w:sz w:val="18"/>
                            <w:szCs w:val="18"/>
                          </w:rPr>
                          <w:t>（范围详见商务部批文）。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电机、发电机、驱动与控 制器、变频器、软启动器 励磁装置、整流与逆变装 置、变压器、变配电装置</w:t>
                        </w:r>
                        <w:r>
                          <w:rPr>
                            <w:rFonts w:ascii="宋体" w:hAnsi="宋体" w:cs="宋体" w:eastAsia="宋体" w:hint="default"/>
                            <w:sz w:val="18"/>
                            <w:szCs w:val="18"/>
                          </w:rPr>
                          <w:t> 电气系统成套设备、工业 自动化装备、振动机械、 蓄电池、电源设备的研发 制造、销售、安装；经营 </w:t>
                        </w:r>
                        <w:r>
                          <w:rPr>
                            <w:rFonts w:ascii="宋体" w:hAnsi="宋体" w:cs="宋体" w:eastAsia="宋体" w:hint="default"/>
                            <w:spacing w:val="-8"/>
                            <w:sz w:val="18"/>
                            <w:szCs w:val="18"/>
                          </w:rPr>
                          <w:t>进出口业务。（依法须经批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准的项目，经相关部门批 准后方可开展经营活动）</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5、控股股东、实际控制人、重组方及其他承诺主体股份限制减持情况" w:id="116"/>
      <w:bookmarkEnd w:id="11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38,853,11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13,197,27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8,170,211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8,170,211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786,384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786,384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612,766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1,021,278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1,021,278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188,215,8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196,634,9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56" w:lineRule="auto" w:before="90"/>
        <w:ind w:left="1133" w:right="10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、杨成先生：公司董事长、总经理及法定代表人；中国籍，无境外居留权，</w:t>
      </w:r>
      <w:r>
        <w:rPr>
          <w:rFonts w:ascii="Times New Roman" w:hAnsi="Times New Roman" w:cs="Times New Roman" w:eastAsia="Times New Roman" w:hint="default"/>
          <w:sz w:val="21"/>
          <w:szCs w:val="21"/>
        </w:rPr>
        <w:t>1961</w:t>
      </w:r>
      <w:r>
        <w:rPr>
          <w:rFonts w:ascii="宋体" w:hAnsi="宋体" w:cs="宋体" w:eastAsia="宋体" w:hint="default"/>
          <w:sz w:val="21"/>
          <w:szCs w:val="21"/>
        </w:rPr>
        <w:t>年出生，厦门大学统计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学硕士。</w:t>
      </w:r>
      <w:r>
        <w:rPr>
          <w:rFonts w:ascii="Times New Roman" w:hAnsi="Times New Roman" w:cs="Times New Roman" w:eastAsia="Times New Roman" w:hint="default"/>
          <w:sz w:val="21"/>
          <w:szCs w:val="21"/>
        </w:rPr>
        <w:t>1991</w:t>
      </w:r>
      <w:r>
        <w:rPr>
          <w:rFonts w:ascii="宋体" w:hAnsi="宋体" w:cs="宋体" w:eastAsia="宋体" w:hint="default"/>
          <w:sz w:val="21"/>
          <w:szCs w:val="21"/>
        </w:rPr>
        <w:t>年前，杨成先生曾先后在安徽省淮南发电总厂、中国土产畜产进出口总公司厦门公司工作， </w:t>
      </w:r>
      <w:r>
        <w:rPr>
          <w:rFonts w:ascii="Times New Roman" w:hAnsi="Times New Roman" w:cs="Times New Roman" w:eastAsia="Times New Roman" w:hint="default"/>
          <w:sz w:val="21"/>
          <w:szCs w:val="21"/>
        </w:rPr>
        <w:t>1991</w:t>
      </w:r>
      <w:r>
        <w:rPr>
          <w:rFonts w:ascii="宋体" w:hAnsi="宋体" w:cs="宋体" w:eastAsia="宋体" w:hint="default"/>
          <w:sz w:val="21"/>
          <w:szCs w:val="21"/>
        </w:rPr>
        <w:t>年至</w:t>
      </w:r>
      <w:r>
        <w:rPr>
          <w:rFonts w:ascii="Times New Roman" w:hAnsi="Times New Roman" w:cs="Times New Roman" w:eastAsia="Times New Roman" w:hint="default"/>
          <w:sz w:val="21"/>
          <w:szCs w:val="21"/>
        </w:rPr>
        <w:t>1993</w:t>
      </w:r>
      <w:r>
        <w:rPr>
          <w:rFonts w:ascii="宋体" w:hAnsi="宋体" w:cs="宋体" w:eastAsia="宋体" w:hint="default"/>
          <w:sz w:val="21"/>
          <w:szCs w:val="21"/>
        </w:rPr>
        <w:t>年就读于澳大利亚皇家理工学院会计专业，</w:t>
      </w:r>
      <w:r>
        <w:rPr>
          <w:rFonts w:ascii="Times New Roman" w:hAnsi="Times New Roman" w:cs="Times New Roman" w:eastAsia="Times New Roman" w:hint="default"/>
          <w:sz w:val="21"/>
          <w:szCs w:val="21"/>
        </w:rPr>
        <w:t>1993 </w:t>
      </w:r>
      <w:r>
        <w:rPr>
          <w:rFonts w:ascii="宋体" w:hAnsi="宋体" w:cs="宋体" w:eastAsia="宋体" w:hint="default"/>
          <w:spacing w:val="2"/>
          <w:sz w:val="21"/>
          <w:szCs w:val="21"/>
        </w:rPr>
        <w:t>年起进入红相电力澳大利亚有限公司的前</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身</w:t>
      </w:r>
      <w:r>
        <w:rPr>
          <w:rFonts w:ascii="Times New Roman" w:hAnsi="Times New Roman" w:cs="Times New Roman" w:eastAsia="Times New Roman" w:hint="default"/>
          <w:sz w:val="21"/>
          <w:szCs w:val="21"/>
        </w:rPr>
        <w:t>R.M.D Electronics Pty Ltd</w:t>
      </w:r>
      <w:r>
        <w:rPr>
          <w:rFonts w:ascii="宋体" w:hAnsi="宋体" w:cs="宋体" w:eastAsia="宋体" w:hint="default"/>
          <w:sz w:val="21"/>
          <w:szCs w:val="21"/>
        </w:rPr>
        <w:t>生产营销部工作，</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年起任厦门红相电力设备有限公司副总经理，</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7 </w:t>
      </w:r>
      <w:r>
        <w:rPr>
          <w:rFonts w:ascii="宋体" w:hAnsi="宋体" w:cs="宋体" w:eastAsia="宋体" w:hint="default"/>
          <w:sz w:val="21"/>
          <w:szCs w:val="21"/>
        </w:rPr>
        <w:t>月起任厦门红相电力设备进出口有限公司（以下简称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红相有限</w:t>
      </w:r>
      <w:r>
        <w:rPr>
          <w:rFonts w:ascii="Times New Roman" w:hAnsi="Times New Roman" w:cs="Times New Roman" w:eastAsia="Times New Roman" w:hint="default"/>
          <w:sz w:val="21"/>
          <w:szCs w:val="21"/>
        </w:rPr>
        <w:t>”</w:t>
      </w:r>
      <w:r>
        <w:rPr>
          <w:rFonts w:ascii="宋体" w:hAnsi="宋体" w:cs="宋体" w:eastAsia="宋体" w:hint="default"/>
          <w:sz w:val="21"/>
          <w:szCs w:val="21"/>
        </w:rPr>
        <w:t>）副总经理，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月至今任红相有限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和公司董事长、</w:t>
      </w:r>
      <w:r>
        <w:rPr>
          <w:rFonts w:ascii="宋体" w:hAnsi="宋体" w:cs="宋体" w:eastAsia="宋体" w:hint="default"/>
          <w:spacing w:val="-47"/>
          <w:sz w:val="21"/>
          <w:szCs w:val="21"/>
        </w:rPr>
        <w:t> </w:t>
      </w:r>
      <w:r>
        <w:rPr>
          <w:rFonts w:ascii="宋体" w:hAnsi="宋体" w:cs="宋体" w:eastAsia="宋体" w:hint="default"/>
          <w:spacing w:val="-2"/>
          <w:sz w:val="21"/>
          <w:szCs w:val="21"/>
        </w:rPr>
        <w:t>总经理及法定代表人，</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月起，兼任厦门红相软件有限公司执行董事及法定代表人。</w:t>
      </w:r>
      <w:r>
        <w:rPr>
          <w:rFonts w:ascii="宋体" w:hAnsi="宋体" w:cs="宋体" w:eastAsia="宋体" w:hint="default"/>
          <w:sz w:val="21"/>
          <w:szCs w:val="21"/>
        </w:rPr>
        <w:t> </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月起，兼任厦门红相信息科技有限公司执行董事兼法定代表人。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月起，兼任卧龙电气银川 变压器有限公司董事长、法定代表人。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月起，兼任中宁县银变新能源有限公司董事。杨成先生于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日取得澳大利亚永久居留权；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日，杨成先生放弃澳大利亚永久居留权；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日，厦门市公安局出入境管理处恢复杨成先生的常住户口。</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line="256" w:lineRule="auto" w:before="0"/>
        <w:ind w:left="1133" w:right="11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、杨力先生：公司董事；中国籍，无境外居留权，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年出生，厦门大学计算机应用专业毕业。</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 </w:t>
      </w: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1998</w:t>
      </w:r>
      <w:r>
        <w:rPr>
          <w:rFonts w:ascii="宋体" w:hAnsi="宋体" w:cs="宋体" w:eastAsia="宋体" w:hint="default"/>
          <w:spacing w:val="-1"/>
          <w:sz w:val="21"/>
          <w:szCs w:val="21"/>
        </w:rPr>
        <w:t>年，曾先后任职于厦门建发股份有限公司和厦门海外旅游公司，</w:t>
      </w:r>
      <w:r>
        <w:rPr>
          <w:rFonts w:ascii="Times New Roman" w:hAnsi="Times New Roman" w:cs="Times New Roman" w:eastAsia="Times New Roman" w:hint="default"/>
          <w:spacing w:val="-1"/>
          <w:sz w:val="21"/>
          <w:szCs w:val="21"/>
        </w:rPr>
        <w:t>1997</w:t>
      </w:r>
      <w:r>
        <w:rPr>
          <w:rFonts w:ascii="宋体" w:hAnsi="宋体" w:cs="宋体" w:eastAsia="宋体" w:hint="default"/>
          <w:spacing w:val="-1"/>
          <w:sz w:val="21"/>
          <w:szCs w:val="21"/>
        </w:rPr>
        <w:t>年起任厦门红相电力设备有限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公司监事，</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月任红相有限监事、部门经理，</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月任红相有限和红 相电力董事、部门经理，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月至今任公司董事、红相塑胶执行董事、总经理及法定代表人。</w:t>
      </w:r>
    </w:p>
    <w:p>
      <w:pPr>
        <w:spacing w:line="240" w:lineRule="auto" w:before="3"/>
        <w:rPr>
          <w:rFonts w:ascii="宋体" w:hAnsi="宋体" w:cs="宋体" w:eastAsia="宋体" w:hint="default"/>
          <w:sz w:val="24"/>
          <w:szCs w:val="24"/>
        </w:rPr>
      </w:pPr>
    </w:p>
    <w:p>
      <w:pPr>
        <w:spacing w:line="256" w:lineRule="auto" w:before="0"/>
        <w:ind w:left="1133" w:right="112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、吴志阳先生，公司副董事长、副总经理；中国籍，无境外居留权，</w:t>
      </w:r>
      <w:r>
        <w:rPr>
          <w:rFonts w:ascii="Times New Roman" w:hAnsi="Times New Roman" w:cs="Times New Roman" w:eastAsia="Times New Roman" w:hint="default"/>
          <w:sz w:val="21"/>
          <w:szCs w:val="21"/>
        </w:rPr>
        <w:t>1967</w:t>
      </w:r>
      <w:r>
        <w:rPr>
          <w:rFonts w:ascii="宋体" w:hAnsi="宋体" w:cs="宋体" w:eastAsia="宋体" w:hint="default"/>
          <w:sz w:val="21"/>
          <w:szCs w:val="21"/>
        </w:rPr>
        <w:t>年出生，厦门大学无线电技术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
          <w:sz w:val="21"/>
          <w:szCs w:val="21"/>
        </w:rPr>
        <w:t>专业本科。</w:t>
      </w:r>
      <w:r>
        <w:rPr>
          <w:rFonts w:ascii="Times New Roman" w:hAnsi="Times New Roman" w:cs="Times New Roman" w:eastAsia="Times New Roman" w:hint="default"/>
          <w:spacing w:val="-1"/>
          <w:sz w:val="21"/>
          <w:szCs w:val="21"/>
        </w:rPr>
        <w:t>1989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月担任厦门华侨电子企业有限公司工程师，</w:t>
      </w:r>
      <w:r>
        <w:rPr>
          <w:rFonts w:ascii="Times New Roman" w:hAnsi="Times New Roman" w:cs="Times New Roman" w:eastAsia="Times New Roman" w:hint="default"/>
          <w:spacing w:val="-1"/>
          <w:sz w:val="21"/>
          <w:szCs w:val="21"/>
        </w:rPr>
        <w:t>1992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月担任南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非大宇电子公司总工程师，</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月任厦门红相电力设备有限公司副总经理，</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宋体" w:hAnsi="宋体" w:cs="宋体" w:eastAsia="宋体" w:hint="default"/>
          <w:spacing w:val="-28"/>
          <w:sz w:val="21"/>
          <w:szCs w:val="21"/>
        </w:rPr>
        <w:t> </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月任红相有限副总经理，</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月至今任公司董事、副总经理，</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月起至</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月兼任</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红相软件总经理。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月兼任澳洲红相总经理。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月起任公司副董事长。</w:t>
      </w:r>
    </w:p>
    <w:p>
      <w:pPr>
        <w:spacing w:line="240" w:lineRule="auto" w:before="3"/>
        <w:rPr>
          <w:rFonts w:ascii="宋体" w:hAnsi="宋体" w:cs="宋体" w:eastAsia="宋体" w:hint="default"/>
          <w:sz w:val="24"/>
          <w:szCs w:val="24"/>
        </w:rPr>
      </w:pPr>
    </w:p>
    <w:p>
      <w:pPr>
        <w:spacing w:line="256" w:lineRule="auto" w:before="0"/>
        <w:ind w:left="1133" w:right="1130" w:firstLine="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、张青先生，男，中国籍，无境外居留权，</w:t>
      </w:r>
      <w:r>
        <w:rPr>
          <w:rFonts w:ascii="Times New Roman" w:hAnsi="Times New Roman" w:cs="Times New Roman" w:eastAsia="Times New Roman" w:hint="default"/>
          <w:spacing w:val="-3"/>
          <w:sz w:val="21"/>
          <w:szCs w:val="21"/>
        </w:rPr>
        <w:t>1966</w:t>
      </w:r>
      <w:r>
        <w:rPr>
          <w:rFonts w:ascii="宋体" w:hAnsi="宋体" w:cs="宋体" w:eastAsia="宋体" w:hint="default"/>
          <w:spacing w:val="-3"/>
          <w:sz w:val="21"/>
          <w:szCs w:val="21"/>
        </w:rPr>
        <w:t>年出生，南京邮电学院通讯网规划专业，硕士学历。</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年至今，任合肥睿晶科技股份有限公司执行董事；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月起，兼任合肥睿晶电力科技股份有限公司董</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事长；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月，任合肥星波通信股份有限公司董事、总经理；</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月起，兼任合肥</w:t>
      </w:r>
    </w:p>
    <w:p>
      <w:pPr>
        <w:spacing w:after="0" w:line="256"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both"/>
        <w:rPr>
          <w:rFonts w:ascii="宋体" w:hAnsi="宋体" w:cs="宋体" w:eastAsia="宋体" w:hint="default"/>
          <w:sz w:val="21"/>
          <w:szCs w:val="21"/>
        </w:rPr>
      </w:pPr>
      <w:r>
        <w:rPr>
          <w:rFonts w:ascii="宋体" w:hAnsi="宋体" w:cs="宋体" w:eastAsia="宋体" w:hint="default"/>
          <w:sz w:val="21"/>
          <w:szCs w:val="21"/>
        </w:rPr>
        <w:t>星波通信技术有限公司董事长。</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月起担任公司董事。</w:t>
      </w:r>
    </w:p>
    <w:p>
      <w:pPr>
        <w:spacing w:line="240" w:lineRule="auto" w:before="6"/>
        <w:rPr>
          <w:rFonts w:ascii="宋体" w:hAnsi="宋体" w:cs="宋体" w:eastAsia="宋体" w:hint="default"/>
          <w:sz w:val="25"/>
          <w:szCs w:val="25"/>
        </w:rPr>
      </w:pPr>
    </w:p>
    <w:p>
      <w:pPr>
        <w:spacing w:line="256" w:lineRule="auto" w:before="0"/>
        <w:ind w:left="1133" w:right="113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、唐炎钊先生：公司独立董事，中国籍，无境外居留权，</w:t>
      </w:r>
      <w:r>
        <w:rPr>
          <w:rFonts w:ascii="Times New Roman" w:hAnsi="Times New Roman" w:cs="Times New Roman" w:eastAsia="Times New Roman" w:hint="default"/>
          <w:sz w:val="21"/>
          <w:szCs w:val="21"/>
        </w:rPr>
        <w:t>1968</w:t>
      </w:r>
      <w:r>
        <w:rPr>
          <w:rFonts w:ascii="宋体" w:hAnsi="宋体" w:cs="宋体" w:eastAsia="宋体" w:hint="default"/>
          <w:sz w:val="21"/>
          <w:szCs w:val="21"/>
        </w:rPr>
        <w:t>年出生，华中科技大学管理科学与工程专</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业博士，厦门大学管理学院教授、博士生导师。</w:t>
      </w:r>
      <w:r>
        <w:rPr>
          <w:rFonts w:ascii="Times New Roman" w:hAnsi="Times New Roman" w:cs="Times New Roman" w:eastAsia="Times New Roman" w:hint="default"/>
          <w:spacing w:val="-1"/>
          <w:sz w:val="21"/>
          <w:szCs w:val="21"/>
        </w:rPr>
        <w:t>1990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1994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月于武汉冶金设备制造公司党委组织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部及车间从事组织管理、基层管理工作，</w:t>
      </w:r>
      <w:r>
        <w:rPr>
          <w:rFonts w:ascii="Times New Roman" w:hAnsi="Times New Roman" w:cs="Times New Roman" w:eastAsia="Times New Roman" w:hint="default"/>
          <w:spacing w:val="-1"/>
          <w:sz w:val="21"/>
          <w:szCs w:val="21"/>
        </w:rPr>
        <w:t>1999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月于中国科技开发院医药科技开发所从事风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险投资的理论研究及评估工作，</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年至今任教于厦门大学，期间赴纽卡斯尔大学学习，并于曼切斯特大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学、百森商学院作访问学者。唐炎钊先生自</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月起担任公司的独立董事，现兼任福建龙马环卫装备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股份有限公司的独立董事、鹭燕医药股份有限公司的独立董事。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264" w:lineRule="auto" w:before="0"/>
        <w:ind w:left="1133" w:right="113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、汤金木先生：公司独立董事，中国籍，无境外居留权，</w:t>
      </w:r>
      <w:r>
        <w:rPr>
          <w:rFonts w:ascii="Times New Roman" w:hAnsi="Times New Roman" w:cs="Times New Roman" w:eastAsia="Times New Roman" w:hint="default"/>
          <w:sz w:val="21"/>
          <w:szCs w:val="21"/>
        </w:rPr>
        <w:t>1966</w:t>
      </w:r>
      <w:r>
        <w:rPr>
          <w:rFonts w:ascii="宋体" w:hAnsi="宋体" w:cs="宋体" w:eastAsia="宋体" w:hint="default"/>
          <w:sz w:val="21"/>
          <w:szCs w:val="21"/>
        </w:rPr>
        <w:t>年出生，中共党员，财政学博士学历，高</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级会计师、注册会计师。汤金木先生曾任厦门会计师事务所、厦门资产评估所经理、副主任、所长，厦门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天健华天会计师事务所董事、合伙人，现任厦门市注册会计师协会秘书长，厦门资产评估协会秘书长。现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任厦门灿坤实业股份有限公司独立董事</w:t>
      </w:r>
      <w:r>
        <w:rPr>
          <w:rFonts w:ascii="Times New Roman" w:hAnsi="Times New Roman" w:cs="Times New Roman" w:eastAsia="Times New Roman" w:hint="default"/>
          <w:sz w:val="21"/>
          <w:szCs w:val="21"/>
        </w:rPr>
        <w:t>, </w:t>
      </w:r>
      <w:r>
        <w:rPr>
          <w:rFonts w:ascii="宋体" w:hAnsi="宋体" w:cs="宋体" w:eastAsia="宋体" w:hint="default"/>
          <w:sz w:val="21"/>
          <w:szCs w:val="21"/>
        </w:rPr>
        <w:t>三达膜环境技术股份有限公司独立董事，厦门光莆电子股份有限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公司独立董事，兴业皮革科技股份有限公司独立董事。</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月起担任公司独立董事。</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spacing w:line="256" w:lineRule="auto" w:before="0"/>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、丁兴号先生：公司独立董事，中国籍，无境外居留权，</w:t>
      </w:r>
      <w:r>
        <w:rPr>
          <w:rFonts w:ascii="Times New Roman" w:hAnsi="Times New Roman" w:cs="Times New Roman" w:eastAsia="Times New Roman" w:hint="default"/>
          <w:sz w:val="21"/>
          <w:szCs w:val="21"/>
        </w:rPr>
        <w:t>1976</w:t>
      </w:r>
      <w:r>
        <w:rPr>
          <w:rFonts w:ascii="宋体" w:hAnsi="宋体" w:cs="宋体" w:eastAsia="宋体" w:hint="default"/>
          <w:sz w:val="21"/>
          <w:szCs w:val="21"/>
        </w:rPr>
        <w:t>年出生，博士研究生，厦门大学信息科学</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与技术学院教授、博导，福建省高等学校新世纪优秀人才</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福建省智慧城市感知与计算重点实验室副主任。</w:t>
      </w:r>
      <w:r>
        <w:rPr>
          <w:rFonts w:ascii="宋体" w:hAnsi="宋体" w:cs="宋体" w:eastAsia="宋体" w:hint="default"/>
          <w:spacing w:val="-97"/>
          <w:sz w:val="21"/>
          <w:szCs w:val="21"/>
        </w:rPr>
        <w:t> </w:t>
      </w:r>
      <w:r>
        <w:rPr>
          <w:rFonts w:ascii="宋体" w:hAnsi="宋体" w:cs="宋体" w:eastAsia="宋体" w:hint="default"/>
          <w:spacing w:val="-3"/>
          <w:sz w:val="21"/>
          <w:szCs w:val="21"/>
        </w:rPr>
        <w:t>丁兴号分别于</w:t>
      </w:r>
      <w:r>
        <w:rPr>
          <w:rFonts w:ascii="Times New Roman" w:hAnsi="Times New Roman" w:cs="Times New Roman" w:eastAsia="Times New Roman" w:hint="default"/>
          <w:spacing w:val="-3"/>
          <w:sz w:val="21"/>
          <w:szCs w:val="21"/>
        </w:rPr>
        <w:t>1998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2003</w:t>
      </w:r>
      <w:r>
        <w:rPr>
          <w:rFonts w:ascii="宋体" w:hAnsi="宋体" w:cs="宋体" w:eastAsia="宋体" w:hint="default"/>
          <w:spacing w:val="-3"/>
          <w:sz w:val="21"/>
          <w:szCs w:val="21"/>
        </w:rPr>
        <w:t>年获合肥工业大学学士、博士学位。</w:t>
      </w:r>
      <w:r>
        <w:rPr>
          <w:rFonts w:ascii="Times New Roman" w:hAnsi="Times New Roman" w:cs="Times New Roman" w:eastAsia="Times New Roman" w:hint="default"/>
          <w:spacing w:val="-3"/>
          <w:sz w:val="21"/>
          <w:szCs w:val="21"/>
        </w:rPr>
        <w:t>2006.1</w:t>
      </w:r>
      <w:r>
        <w:rPr>
          <w:rFonts w:ascii="宋体" w:hAnsi="宋体" w:cs="宋体" w:eastAsia="宋体" w:hint="default"/>
          <w:spacing w:val="-3"/>
          <w:sz w:val="21"/>
          <w:szCs w:val="21"/>
        </w:rPr>
        <w:t>至</w:t>
      </w:r>
      <w:r>
        <w:rPr>
          <w:rFonts w:ascii="Times New Roman" w:hAnsi="Times New Roman" w:cs="Times New Roman" w:eastAsia="Times New Roman" w:hint="default"/>
          <w:spacing w:val="-3"/>
          <w:sz w:val="21"/>
          <w:szCs w:val="21"/>
        </w:rPr>
        <w:t>2008.10</w:t>
      </w:r>
      <w:r>
        <w:rPr>
          <w:rFonts w:ascii="宋体" w:hAnsi="宋体" w:cs="宋体" w:eastAsia="宋体" w:hint="default"/>
          <w:spacing w:val="-3"/>
          <w:sz w:val="21"/>
          <w:szCs w:val="21"/>
        </w:rPr>
        <w:t>年厦门大学物理学博士后。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sz w:val="21"/>
          <w:szCs w:val="21"/>
        </w:rPr>
        <w:t>2009.9</w:t>
      </w:r>
      <w:r>
        <w:rPr>
          <w:rFonts w:ascii="宋体" w:hAnsi="宋体" w:cs="宋体" w:eastAsia="宋体" w:hint="default"/>
          <w:sz w:val="21"/>
          <w:szCs w:val="21"/>
        </w:rPr>
        <w:t>至</w:t>
      </w:r>
      <w:r>
        <w:rPr>
          <w:rFonts w:ascii="Times New Roman" w:hAnsi="Times New Roman" w:cs="Times New Roman" w:eastAsia="Times New Roman" w:hint="default"/>
          <w:sz w:val="21"/>
          <w:szCs w:val="21"/>
        </w:rPr>
        <w:t>2011.3</w:t>
      </w:r>
      <w:r>
        <w:rPr>
          <w:rFonts w:ascii="宋体" w:hAnsi="宋体" w:cs="宋体" w:eastAsia="宋体" w:hint="default"/>
          <w:sz w:val="21"/>
          <w:szCs w:val="21"/>
        </w:rPr>
        <w:t>美国</w:t>
      </w:r>
      <w:r>
        <w:rPr>
          <w:rFonts w:ascii="Times New Roman" w:hAnsi="Times New Roman" w:cs="Times New Roman" w:eastAsia="Times New Roman" w:hint="default"/>
          <w:sz w:val="21"/>
          <w:szCs w:val="21"/>
        </w:rPr>
        <w:t>Duke</w:t>
      </w:r>
      <w:r>
        <w:rPr>
          <w:rFonts w:ascii="宋体" w:hAnsi="宋体" w:cs="宋体" w:eastAsia="宋体" w:hint="default"/>
          <w:sz w:val="21"/>
          <w:szCs w:val="21"/>
        </w:rPr>
        <w:t>大学电子与计算机工程系博士后。</w:t>
      </w:r>
      <w:r>
        <w:rPr>
          <w:rFonts w:ascii="Times New Roman" w:hAnsi="Times New Roman" w:cs="Times New Roman" w:eastAsia="Times New Roman" w:hint="default"/>
          <w:sz w:val="21"/>
          <w:szCs w:val="21"/>
        </w:rPr>
        <w:t>2003</w:t>
      </w:r>
      <w:r>
        <w:rPr>
          <w:rFonts w:ascii="宋体" w:hAnsi="宋体" w:cs="宋体" w:eastAsia="宋体" w:hint="default"/>
          <w:sz w:val="21"/>
          <w:szCs w:val="21"/>
        </w:rPr>
        <w:t>年至今在厦门大学信息科学与技术学院工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作。目前的主要研究方向是机器学习、深度学习、图像处理与分析、智能数据分析与处理等。</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 起担任公司独立董事。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256" w:lineRule="auto" w:before="0"/>
        <w:ind w:left="1133" w:right="1026"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、方育阳：公司监事会主席、职工代表监事，中国籍，无境外居留权，男，</w:t>
      </w:r>
      <w:r>
        <w:rPr>
          <w:rFonts w:ascii="Times New Roman" w:hAnsi="Times New Roman" w:cs="Times New Roman" w:eastAsia="Times New Roman" w:hint="default"/>
          <w:sz w:val="21"/>
          <w:szCs w:val="21"/>
        </w:rPr>
        <w:t>1983</w:t>
      </w:r>
      <w:r>
        <w:rPr>
          <w:rFonts w:ascii="宋体" w:hAnsi="宋体" w:cs="宋体" w:eastAsia="宋体" w:hint="default"/>
          <w:sz w:val="21"/>
          <w:szCs w:val="21"/>
        </w:rPr>
        <w:t>年出生，山东科技大学</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电气工程及其自动化专业本科学历。</w:t>
      </w:r>
      <w:r>
        <w:rPr>
          <w:rFonts w:ascii="Times New Roman" w:hAnsi="Times New Roman" w:cs="Times New Roman" w:eastAsia="Times New Roman" w:hint="default"/>
          <w:spacing w:val="3"/>
          <w:sz w:val="21"/>
          <w:szCs w:val="21"/>
        </w:rPr>
        <w:t>2005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月至</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月任厦门红相电力设备有限公司技术工程师，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月任公司研发中心风险评价研究所副所长，</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月任公司研发中心风 </w:t>
      </w:r>
      <w:r>
        <w:rPr>
          <w:rFonts w:ascii="宋体" w:hAnsi="宋体" w:cs="宋体" w:eastAsia="宋体" w:hint="default"/>
          <w:spacing w:val="-1"/>
          <w:sz w:val="21"/>
          <w:szCs w:val="21"/>
        </w:rPr>
        <w:t>险评价研究所所长，</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月至今任投资中心经理。</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月起担任公司监事会主席、职工代表监事。</w:t>
      </w:r>
    </w:p>
    <w:p>
      <w:pPr>
        <w:spacing w:line="240" w:lineRule="auto" w:before="3"/>
        <w:rPr>
          <w:rFonts w:ascii="宋体" w:hAnsi="宋体" w:cs="宋体" w:eastAsia="宋体" w:hint="default"/>
          <w:sz w:val="24"/>
          <w:szCs w:val="24"/>
        </w:rPr>
      </w:pPr>
    </w:p>
    <w:p>
      <w:pPr>
        <w:spacing w:line="256" w:lineRule="auto" w:before="0"/>
        <w:ind w:left="1133" w:right="1127"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、李文斐先生：公司监事，男，中国籍，无境外居留权，</w:t>
      </w:r>
      <w:r>
        <w:rPr>
          <w:rFonts w:ascii="Times New Roman" w:hAnsi="Times New Roman" w:cs="Times New Roman" w:eastAsia="Times New Roman" w:hint="default"/>
          <w:sz w:val="21"/>
          <w:szCs w:val="21"/>
        </w:rPr>
        <w:t>1983</w:t>
      </w:r>
      <w:r>
        <w:rPr>
          <w:rFonts w:ascii="宋体" w:hAnsi="宋体" w:cs="宋体" w:eastAsia="宋体" w:hint="default"/>
          <w:sz w:val="21"/>
          <w:szCs w:val="21"/>
        </w:rPr>
        <w:t>年出生，华东交通大学电气工程及其自动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1"/>
          <w:sz w:val="21"/>
          <w:szCs w:val="21"/>
        </w:rPr>
        <w:t>化本科毕业。进入本公司前曾任职于江西省火电建设公司，</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月任红相电力技术部技术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工程师、产品经理，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月任红相电力状态检修部副经理，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月至今任公司状态检</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修二部经理。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line="240" w:lineRule="auto" w:before="3"/>
        <w:rPr>
          <w:rFonts w:ascii="宋体" w:hAnsi="宋体" w:cs="宋体" w:eastAsia="宋体" w:hint="default"/>
          <w:sz w:val="24"/>
          <w:szCs w:val="24"/>
        </w:rPr>
      </w:pPr>
    </w:p>
    <w:p>
      <w:pPr>
        <w:spacing w:line="256" w:lineRule="auto" w:before="0"/>
        <w:ind w:left="1133" w:right="112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、吴章坤先生：公司监事，男，中国籍，无境外居留权，</w:t>
      </w:r>
      <w:r>
        <w:rPr>
          <w:rFonts w:ascii="Times New Roman" w:hAnsi="Times New Roman" w:cs="Times New Roman" w:eastAsia="Times New Roman" w:hint="default"/>
          <w:sz w:val="21"/>
          <w:szCs w:val="21"/>
        </w:rPr>
        <w:t>1985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月出生，福建工程学院电气工程及其</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自动化专业工学学士，厦门大学项目管理工程硕士。进入本公司前曾任职于福耀集团</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汽车玻璃有限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公司工程部，</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月任红公司工程师，</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月任公司工厂管理部主管，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月任红相电力工厂副厂长，</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月任公司工厂厂长，</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月至今</w:t>
      </w:r>
      <w:r>
        <w:rPr>
          <w:rFonts w:ascii="宋体" w:hAnsi="宋体" w:cs="宋体" w:eastAsia="宋体" w:hint="default"/>
          <w:spacing w:val="-77"/>
          <w:sz w:val="21"/>
          <w:szCs w:val="21"/>
        </w:rPr>
        <w:t> </w:t>
      </w:r>
      <w:r>
        <w:rPr>
          <w:rFonts w:ascii="宋体" w:hAnsi="宋体" w:cs="宋体" w:eastAsia="宋体" w:hint="default"/>
          <w:sz w:val="21"/>
          <w:szCs w:val="21"/>
        </w:rPr>
        <w:t>任物资采购部经理。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月起担任公司监事。</w:t>
      </w:r>
    </w:p>
    <w:p>
      <w:pPr>
        <w:spacing w:line="240" w:lineRule="auto" w:before="0"/>
        <w:rPr>
          <w:rFonts w:ascii="宋体" w:hAnsi="宋体" w:cs="宋体" w:eastAsia="宋体" w:hint="default"/>
          <w:sz w:val="22"/>
          <w:szCs w:val="22"/>
        </w:rPr>
      </w:pPr>
    </w:p>
    <w:p>
      <w:pPr>
        <w:spacing w:line="256" w:lineRule="auto" w:before="149"/>
        <w:ind w:left="1133" w:right="1129"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、李喜娇女士：公司董事会秘书、副总经理，</w:t>
      </w:r>
      <w:r>
        <w:rPr>
          <w:rFonts w:ascii="宋体" w:hAnsi="宋体" w:cs="宋体" w:eastAsia="宋体" w:hint="default"/>
          <w:color w:val="2B2B2B"/>
          <w:spacing w:val="-1"/>
          <w:sz w:val="21"/>
          <w:szCs w:val="21"/>
        </w:rPr>
        <w:t>中国国籍，无境外永久居留权，女，</w:t>
      </w:r>
      <w:r>
        <w:rPr>
          <w:rFonts w:ascii="Times New Roman" w:hAnsi="Times New Roman" w:cs="Times New Roman" w:eastAsia="Times New Roman" w:hint="default"/>
          <w:color w:val="2B2B2B"/>
          <w:spacing w:val="-1"/>
          <w:sz w:val="21"/>
          <w:szCs w:val="21"/>
        </w:rPr>
        <w:t>1988</w:t>
      </w:r>
      <w:r>
        <w:rPr>
          <w:rFonts w:ascii="宋体" w:hAnsi="宋体" w:cs="宋体" w:eastAsia="宋体" w:hint="default"/>
          <w:color w:val="2B2B2B"/>
          <w:spacing w:val="-1"/>
          <w:sz w:val="21"/>
          <w:szCs w:val="21"/>
        </w:rPr>
        <w:t>年出生，集美大</w:t>
      </w:r>
      <w:r>
        <w:rPr>
          <w:rFonts w:ascii="宋体" w:hAnsi="宋体" w:cs="宋体" w:eastAsia="宋体" w:hint="default"/>
          <w:color w:val="2B2B2B"/>
          <w:spacing w:val="-84"/>
          <w:sz w:val="21"/>
          <w:szCs w:val="21"/>
        </w:rPr>
        <w:t> </w:t>
      </w:r>
      <w:r>
        <w:rPr>
          <w:rFonts w:ascii="宋体" w:hAnsi="宋体" w:cs="宋体" w:eastAsia="宋体" w:hint="default"/>
          <w:color w:val="2B2B2B"/>
          <w:spacing w:val="-84"/>
          <w:sz w:val="21"/>
          <w:szCs w:val="21"/>
        </w:rPr>
      </w:r>
      <w:r>
        <w:rPr>
          <w:rFonts w:ascii="宋体" w:hAnsi="宋体" w:cs="宋体" w:eastAsia="宋体" w:hint="default"/>
          <w:color w:val="2B2B2B"/>
          <w:sz w:val="21"/>
          <w:szCs w:val="21"/>
        </w:rPr>
        <w:t>学金融学专业，经济学学士。</w:t>
      </w:r>
      <w:r>
        <w:rPr>
          <w:rFonts w:ascii="Times New Roman" w:hAnsi="Times New Roman" w:cs="Times New Roman" w:eastAsia="Times New Roman" w:hint="default"/>
          <w:color w:val="2B2B2B"/>
          <w:sz w:val="21"/>
          <w:szCs w:val="21"/>
        </w:rPr>
        <w:t>2011</w:t>
      </w:r>
      <w:r>
        <w:rPr>
          <w:rFonts w:ascii="宋体" w:hAnsi="宋体" w:cs="宋体" w:eastAsia="宋体" w:hint="default"/>
          <w:color w:val="2B2B2B"/>
          <w:sz w:val="21"/>
          <w:szCs w:val="21"/>
        </w:rPr>
        <w:t>年</w:t>
      </w:r>
      <w:r>
        <w:rPr>
          <w:rFonts w:ascii="Times New Roman" w:hAnsi="Times New Roman" w:cs="Times New Roman" w:eastAsia="Times New Roman" w:hint="default"/>
          <w:color w:val="2B2B2B"/>
          <w:sz w:val="21"/>
          <w:szCs w:val="21"/>
        </w:rPr>
        <w:t>4</w:t>
      </w:r>
      <w:r>
        <w:rPr>
          <w:rFonts w:ascii="宋体" w:hAnsi="宋体" w:cs="宋体" w:eastAsia="宋体" w:hint="default"/>
          <w:color w:val="2B2B2B"/>
          <w:sz w:val="21"/>
          <w:szCs w:val="21"/>
        </w:rPr>
        <w:t>月至</w:t>
      </w:r>
      <w:r>
        <w:rPr>
          <w:rFonts w:ascii="Times New Roman" w:hAnsi="Times New Roman" w:cs="Times New Roman" w:eastAsia="Times New Roman" w:hint="default"/>
          <w:color w:val="2B2B2B"/>
          <w:sz w:val="21"/>
          <w:szCs w:val="21"/>
        </w:rPr>
        <w:t>2013</w:t>
      </w:r>
      <w:r>
        <w:rPr>
          <w:rFonts w:ascii="宋体" w:hAnsi="宋体" w:cs="宋体" w:eastAsia="宋体" w:hint="default"/>
          <w:color w:val="2B2B2B"/>
          <w:sz w:val="21"/>
          <w:szCs w:val="21"/>
        </w:rPr>
        <w:t>年</w:t>
      </w:r>
      <w:r>
        <w:rPr>
          <w:rFonts w:ascii="Times New Roman" w:hAnsi="Times New Roman" w:cs="Times New Roman" w:eastAsia="Times New Roman" w:hint="default"/>
          <w:color w:val="2B2B2B"/>
          <w:sz w:val="21"/>
          <w:szCs w:val="21"/>
        </w:rPr>
        <w:t>4</w:t>
      </w:r>
      <w:r>
        <w:rPr>
          <w:rFonts w:ascii="宋体" w:hAnsi="宋体" w:cs="宋体" w:eastAsia="宋体" w:hint="default"/>
          <w:color w:val="2B2B2B"/>
          <w:sz w:val="21"/>
          <w:szCs w:val="21"/>
        </w:rPr>
        <w:t>月任公司证券部证券事务助理职务；</w:t>
      </w:r>
      <w:r>
        <w:rPr>
          <w:rFonts w:ascii="Times New Roman" w:hAnsi="Times New Roman" w:cs="Times New Roman" w:eastAsia="Times New Roman" w:hint="default"/>
          <w:color w:val="2B2B2B"/>
          <w:sz w:val="21"/>
          <w:szCs w:val="21"/>
        </w:rPr>
        <w:t>2013</w:t>
      </w:r>
      <w:r>
        <w:rPr>
          <w:rFonts w:ascii="宋体" w:hAnsi="宋体" w:cs="宋体" w:eastAsia="宋体" w:hint="default"/>
          <w:color w:val="2B2B2B"/>
          <w:sz w:val="21"/>
          <w:szCs w:val="21"/>
        </w:rPr>
        <w:t>年</w:t>
      </w:r>
      <w:r>
        <w:rPr>
          <w:rFonts w:ascii="Times New Roman" w:hAnsi="Times New Roman" w:cs="Times New Roman" w:eastAsia="Times New Roman" w:hint="default"/>
          <w:color w:val="2B2B2B"/>
          <w:sz w:val="21"/>
          <w:szCs w:val="21"/>
        </w:rPr>
        <w:t>5</w:t>
      </w:r>
      <w:r>
        <w:rPr>
          <w:rFonts w:ascii="宋体" w:hAnsi="宋体" w:cs="宋体" w:eastAsia="宋体" w:hint="default"/>
          <w:color w:val="2B2B2B"/>
          <w:sz w:val="21"/>
          <w:szCs w:val="21"/>
        </w:rPr>
        <w:t>月至</w:t>
      </w:r>
      <w:r>
        <w:rPr>
          <w:rFonts w:ascii="Times New Roman" w:hAnsi="Times New Roman" w:cs="Times New Roman" w:eastAsia="Times New Roman" w:hint="default"/>
          <w:color w:val="2B2B2B"/>
          <w:sz w:val="21"/>
          <w:szCs w:val="21"/>
        </w:rPr>
        <w:t>2014</w:t>
      </w:r>
      <w:r>
        <w:rPr>
          <w:rFonts w:ascii="Times New Roman" w:hAnsi="Times New Roman" w:cs="Times New Roman" w:eastAsia="Times New Roman" w:hint="default"/>
          <w:color w:val="2B2B2B"/>
          <w:spacing w:val="22"/>
          <w:sz w:val="21"/>
          <w:szCs w:val="21"/>
        </w:rPr>
        <w:t> </w:t>
      </w:r>
      <w:r>
        <w:rPr>
          <w:rFonts w:ascii="宋体" w:hAnsi="宋体" w:cs="宋体" w:eastAsia="宋体" w:hint="default"/>
          <w:color w:val="2B2B2B"/>
          <w:spacing w:val="-1"/>
          <w:sz w:val="21"/>
          <w:szCs w:val="21"/>
        </w:rPr>
        <w:t>年</w:t>
      </w:r>
      <w:r>
        <w:rPr>
          <w:rFonts w:ascii="Times New Roman" w:hAnsi="Times New Roman" w:cs="Times New Roman" w:eastAsia="Times New Roman" w:hint="default"/>
          <w:color w:val="2B2B2B"/>
          <w:spacing w:val="-1"/>
          <w:sz w:val="21"/>
          <w:szCs w:val="21"/>
        </w:rPr>
        <w:t>11</w:t>
      </w:r>
      <w:r>
        <w:rPr>
          <w:rFonts w:ascii="宋体" w:hAnsi="宋体" w:cs="宋体" w:eastAsia="宋体" w:hint="default"/>
          <w:color w:val="2B2B2B"/>
          <w:spacing w:val="-1"/>
          <w:sz w:val="21"/>
          <w:szCs w:val="21"/>
        </w:rPr>
        <w:t>月任证券事务主管职务；</w:t>
      </w:r>
      <w:r>
        <w:rPr>
          <w:rFonts w:ascii="Times New Roman" w:hAnsi="Times New Roman" w:cs="Times New Roman" w:eastAsia="Times New Roman" w:hint="default"/>
          <w:color w:val="2B2B2B"/>
          <w:spacing w:val="-1"/>
          <w:sz w:val="21"/>
          <w:szCs w:val="21"/>
        </w:rPr>
        <w:t>2014</w:t>
      </w:r>
      <w:r>
        <w:rPr>
          <w:rFonts w:ascii="宋体" w:hAnsi="宋体" w:cs="宋体" w:eastAsia="宋体" w:hint="default"/>
          <w:color w:val="2B2B2B"/>
          <w:spacing w:val="-1"/>
          <w:sz w:val="21"/>
          <w:szCs w:val="21"/>
        </w:rPr>
        <w:t>年</w:t>
      </w:r>
      <w:r>
        <w:rPr>
          <w:rFonts w:ascii="Times New Roman" w:hAnsi="Times New Roman" w:cs="Times New Roman" w:eastAsia="Times New Roman" w:hint="default"/>
          <w:color w:val="2B2B2B"/>
          <w:spacing w:val="-1"/>
          <w:sz w:val="21"/>
          <w:szCs w:val="21"/>
        </w:rPr>
        <w:t>6</w:t>
      </w:r>
      <w:r>
        <w:rPr>
          <w:rFonts w:ascii="宋体" w:hAnsi="宋体" w:cs="宋体" w:eastAsia="宋体" w:hint="default"/>
          <w:color w:val="2B2B2B"/>
          <w:spacing w:val="-1"/>
          <w:sz w:val="21"/>
          <w:szCs w:val="21"/>
        </w:rPr>
        <w:t>月起任证券事务代表，</w:t>
      </w:r>
      <w:r>
        <w:rPr>
          <w:rFonts w:ascii="Times New Roman" w:hAnsi="Times New Roman" w:cs="Times New Roman" w:eastAsia="Times New Roman" w:hint="default"/>
          <w:color w:val="2B2B2B"/>
          <w:spacing w:val="-1"/>
          <w:sz w:val="21"/>
          <w:szCs w:val="21"/>
        </w:rPr>
        <w:t>2015</w:t>
      </w:r>
      <w:r>
        <w:rPr>
          <w:rFonts w:ascii="宋体" w:hAnsi="宋体" w:cs="宋体" w:eastAsia="宋体" w:hint="default"/>
          <w:color w:val="2B2B2B"/>
          <w:spacing w:val="-1"/>
          <w:sz w:val="21"/>
          <w:szCs w:val="21"/>
        </w:rPr>
        <w:t>年</w:t>
      </w:r>
      <w:r>
        <w:rPr>
          <w:rFonts w:ascii="Times New Roman" w:hAnsi="Times New Roman" w:cs="Times New Roman" w:eastAsia="Times New Roman" w:hint="default"/>
          <w:color w:val="2B2B2B"/>
          <w:spacing w:val="-1"/>
          <w:sz w:val="21"/>
          <w:szCs w:val="21"/>
        </w:rPr>
        <w:t>4</w:t>
      </w:r>
      <w:r>
        <w:rPr>
          <w:rFonts w:ascii="宋体" w:hAnsi="宋体" w:cs="宋体" w:eastAsia="宋体" w:hint="default"/>
          <w:color w:val="2B2B2B"/>
          <w:spacing w:val="-1"/>
          <w:sz w:val="21"/>
          <w:szCs w:val="21"/>
        </w:rPr>
        <w:t>月起兼任公司证券部经理。</w:t>
      </w:r>
      <w:r>
        <w:rPr>
          <w:rFonts w:ascii="Times New Roman" w:hAnsi="Times New Roman" w:cs="Times New Roman" w:eastAsia="Times New Roman" w:hint="default"/>
          <w:color w:val="2B2B2B"/>
          <w:spacing w:val="-1"/>
          <w:sz w:val="21"/>
          <w:szCs w:val="21"/>
        </w:rPr>
        <w:t>2017</w:t>
      </w:r>
      <w:r>
        <w:rPr>
          <w:rFonts w:ascii="宋体" w:hAnsi="宋体" w:cs="宋体" w:eastAsia="宋体" w:hint="default"/>
          <w:color w:val="2B2B2B"/>
          <w:spacing w:val="-1"/>
          <w:sz w:val="21"/>
          <w:szCs w:val="21"/>
        </w:rPr>
        <w:t>年</w:t>
      </w:r>
      <w:r>
        <w:rPr>
          <w:rFonts w:ascii="Times New Roman" w:hAnsi="Times New Roman" w:cs="Times New Roman" w:eastAsia="Times New Roman" w:hint="default"/>
          <w:color w:val="2B2B2B"/>
          <w:spacing w:val="-1"/>
          <w:sz w:val="21"/>
          <w:szCs w:val="21"/>
        </w:rPr>
        <w:t>11</w:t>
      </w:r>
      <w:r>
        <w:rPr>
          <w:rFonts w:ascii="Times New Roman" w:hAnsi="Times New Roman" w:cs="Times New Roman" w:eastAsia="Times New Roman" w:hint="default"/>
          <w:color w:val="2B2B2B"/>
          <w:spacing w:val="-27"/>
          <w:sz w:val="21"/>
          <w:szCs w:val="21"/>
        </w:rPr>
        <w:t> </w:t>
      </w:r>
      <w:r>
        <w:rPr>
          <w:rFonts w:ascii="宋体" w:hAnsi="宋体" w:cs="宋体" w:eastAsia="宋体" w:hint="default"/>
          <w:color w:val="2B2B2B"/>
          <w:sz w:val="21"/>
          <w:szCs w:val="21"/>
        </w:rPr>
        <w:t>月起担任公司董事会秘书、副总经理。</w:t>
      </w:r>
      <w:r>
        <w:rPr>
          <w:rFonts w:ascii="宋体" w:hAnsi="宋体" w:cs="宋体" w:eastAsia="宋体" w:hint="default"/>
          <w:sz w:val="21"/>
          <w:szCs w:val="21"/>
        </w:rPr>
      </w:r>
    </w:p>
    <w:p>
      <w:pPr>
        <w:spacing w:after="0" w:line="256"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256" w:lineRule="auto" w:before="35"/>
        <w:ind w:left="1133" w:right="1111" w:firstLine="0"/>
        <w:jc w:val="both"/>
        <w:rPr>
          <w:rFonts w:ascii="宋体" w:hAnsi="宋体" w:cs="宋体" w:eastAsia="宋体" w:hint="default"/>
          <w:sz w:val="21"/>
          <w:szCs w:val="21"/>
        </w:rPr>
      </w:pPr>
      <w:r>
        <w:rPr>
          <w:rFonts w:ascii="Times New Roman" w:hAnsi="Times New Roman" w:cs="Times New Roman" w:eastAsia="Times New Roman" w:hint="default"/>
          <w:color w:val="2B2B2B"/>
          <w:spacing w:val="-1"/>
          <w:sz w:val="21"/>
          <w:szCs w:val="21"/>
        </w:rPr>
        <w:t>12</w:t>
      </w:r>
      <w:r>
        <w:rPr>
          <w:rFonts w:ascii="宋体" w:hAnsi="宋体" w:cs="宋体" w:eastAsia="宋体" w:hint="default"/>
          <w:color w:val="2B2B2B"/>
          <w:spacing w:val="-1"/>
          <w:sz w:val="21"/>
          <w:szCs w:val="21"/>
        </w:rPr>
        <w:t>、廖雪林女士：公司财务总监，</w:t>
      </w:r>
      <w:r>
        <w:rPr>
          <w:rFonts w:ascii="宋体" w:hAnsi="宋体" w:cs="宋体" w:eastAsia="宋体" w:hint="default"/>
          <w:spacing w:val="-1"/>
          <w:sz w:val="21"/>
          <w:szCs w:val="21"/>
        </w:rPr>
        <w:t>中国籍，无境外居留权，女，</w:t>
      </w:r>
      <w:r>
        <w:rPr>
          <w:rFonts w:ascii="Times New Roman" w:hAnsi="Times New Roman" w:cs="Times New Roman" w:eastAsia="Times New Roman" w:hint="default"/>
          <w:spacing w:val="-1"/>
          <w:sz w:val="21"/>
          <w:szCs w:val="21"/>
        </w:rPr>
        <w:t>1982</w:t>
      </w:r>
      <w:r>
        <w:rPr>
          <w:rFonts w:ascii="宋体" w:hAnsi="宋体" w:cs="宋体" w:eastAsia="宋体" w:hint="default"/>
          <w:spacing w:val="-1"/>
          <w:sz w:val="21"/>
          <w:szCs w:val="21"/>
        </w:rPr>
        <w:t>年出生，西南财经大学财经系本科毕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业。</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月担任公司内部审计部职员，</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月担任公司内部审计部主管，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月担任公司内部审计部副经理，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月担任公司内部审计部经理。</w:t>
      </w:r>
    </w:p>
    <w:p>
      <w:pPr>
        <w:spacing w:before="5"/>
        <w:ind w:left="113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月起担任公司财务总监。</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3"/>
          <w:szCs w:val="23"/>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0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8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sz w:val="18"/>
                <w:szCs w:val="18"/>
              </w:rPr>
              <w:t>合肥星睿股权投资合伙企业（有限合伙</w:t>
            </w:r>
          </w:p>
        </w:tc>
        <w:tc>
          <w:tcPr>
            <w:tcW w:w="1064"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6"/>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4" w:lineRule="exact"/>
              <w:ind w:left="16" w:right="-28"/>
              <w:jc w:val="left"/>
              <w:rPr>
                <w:rFonts w:ascii="宋体" w:hAnsi="宋体" w:cs="宋体" w:eastAsia="宋体" w:hint="default"/>
                <w:sz w:val="20"/>
                <w:szCs w:val="20"/>
              </w:rPr>
            </w:pPr>
            <w:r>
              <w:rPr>
                <w:rFonts w:ascii="宋体" w:hAnsi="宋体" w:cs="宋体" w:eastAsia="宋体" w:hint="default"/>
                <w:position w:val="-13"/>
                <w:sz w:val="20"/>
                <w:szCs w:val="20"/>
              </w:rPr>
              <w:pict>
                <v:group style="width:50.4pt;height:35.25pt;mso-position-horizontal-relative:char;mso-position-vertical-relative:line" coordorigin="0,0" coordsize="1008,705">
                  <v:group style="position:absolute;left:0;top:0;width:1008;height:352" coordorigin="0,0" coordsize="1008,352">
                    <v:shape style="position:absolute;left:0;top:0;width:1008;height:352" coordorigin="0,0" coordsize="1008,352" path="m0,352l1008,352,1008,0,0,0,0,352xe" filled="true" fillcolor="#ffffff" stroked="false">
                      <v:path arrowok="t"/>
                      <v:fill type="solid"/>
                    </v:shape>
                  </v:group>
                  <v:group style="position:absolute;left:0;top:352;width:1008;height:353" coordorigin="0,352" coordsize="1008,353">
                    <v:shape style="position:absolute;left:0;top:352;width:1008;height:353" coordorigin="0,352" coordsize="1008,353" path="m0,704l1008,704,1008,352,0,352,0,704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红相电力澳大利亚有限公司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董事长兼法 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中宁县银变新能源有限公司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厦门红相塑胶材料有限公司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合肥睿晶电力科技股份有限公司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合肥睿晶科技股份有限公司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合肥捷杰电子有限公司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新余丰睿投资管理合伙企业（有限合伙</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196" w:lineRule="exact" w:before="51"/>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4" w:lineRule="exact"/>
              <w:ind w:left="16" w:right="-28"/>
              <w:jc w:val="left"/>
              <w:rPr>
                <w:rFonts w:ascii="宋体" w:hAnsi="宋体" w:cs="宋体" w:eastAsia="宋体" w:hint="default"/>
                <w:sz w:val="20"/>
                <w:szCs w:val="20"/>
              </w:rPr>
            </w:pPr>
            <w:r>
              <w:rPr>
                <w:rFonts w:ascii="宋体" w:hAnsi="宋体" w:cs="宋体" w:eastAsia="宋体" w:hint="default"/>
                <w:position w:val="-13"/>
                <w:sz w:val="20"/>
                <w:szCs w:val="20"/>
              </w:rPr>
              <w:pict>
                <v:group style="width:50.4pt;height:35.25pt;mso-position-horizontal-relative:char;mso-position-vertical-relative:line" coordorigin="0,0" coordsize="1008,705">
                  <v:group style="position:absolute;left:0;top:0;width:1008;height:353" coordorigin="0,0" coordsize="1008,353">
                    <v:shape style="position:absolute;left:0;top:0;width:1008;height:353" coordorigin="0,0" coordsize="1008,353" path="m0,353l1008,353,1008,0,0,0,0,353xe" filled="true" fillcolor="#ffffff" stroked="false">
                      <v:path arrowok="t"/>
                      <v:fill type="solid"/>
                    </v:shape>
                  </v:group>
                  <v:group style="position:absolute;left:0;top:353;width:1008;height:352" coordorigin="0,353" coordsize="1008,352">
                    <v:shape style="position:absolute;left:0;top:353;width:1008;height:352" coordorigin="0,353" coordsize="1008,352" path="m0,704l1008,704,1008,353,0,353,0,704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巢湖市国胜光伏发电有限公司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巢湖市晶阁光伏发电有限公司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福建龙马环卫装备股份有限公司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鹭燕医药股份有限公司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厦门市注册会计师协会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厦门市资产评估协会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兴业皮革科技股份有限公司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厦门光莆电子股份有限公司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厦门灿坤实业股份有限公司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三达膜环境技术股份有限公司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22"/>
          <w:szCs w:val="22"/>
        </w:rPr>
      </w:pPr>
    </w:p>
    <w:p>
      <w:pPr>
        <w:spacing w:line="273" w:lineRule="auto" w:before="0"/>
        <w:ind w:left="1133" w:right="1093" w:firstLine="420"/>
        <w:jc w:val="left"/>
        <w:rPr>
          <w:rFonts w:ascii="宋体" w:hAnsi="宋体" w:cs="宋体" w:eastAsia="宋体" w:hint="default"/>
          <w:sz w:val="21"/>
          <w:szCs w:val="21"/>
        </w:rPr>
      </w:pPr>
      <w:r>
        <w:rPr>
          <w:rFonts w:ascii="宋体" w:hAnsi="宋体" w:cs="宋体" w:eastAsia="宋体" w:hint="default"/>
          <w:sz w:val="21"/>
          <w:szCs w:val="21"/>
        </w:rPr>
        <w:t>公司董事、监事在公司领取津贴，高级管理人员及其他核心人员的薪酬由基本工资和绩效奖金组成。 公司董事、监事的津贴经过股东大会审议，高级管理人员的薪酬经过董事会审议。</w:t>
      </w:r>
    </w:p>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杨保田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吴志阳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陈耀高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王新火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林庆乙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方育阳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李文斐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吴章坤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马露萍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李喜娇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廖雪林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员工数量、专业构成及教育程度" w:id="126"/>
      <w:bookmarkEnd w:id="1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bl>
    <w:p>
      <w:pPr>
        <w:spacing w:line="240" w:lineRule="auto" w:before="2"/>
        <w:rPr>
          <w:rFonts w:ascii="宋体" w:hAnsi="宋体" w:cs="宋体" w:eastAsia="宋体" w:hint="default"/>
          <w:b/>
          <w:bCs/>
          <w:sz w:val="19"/>
          <w:szCs w:val="19"/>
        </w:rPr>
      </w:pPr>
    </w:p>
    <w:p>
      <w:pPr>
        <w:spacing w:before="35"/>
        <w:ind w:left="1134" w:right="0" w:firstLine="0"/>
        <w:jc w:val="both"/>
        <w:rPr>
          <w:rFonts w:ascii="宋体" w:hAnsi="宋体" w:cs="宋体" w:eastAsia="宋体" w:hint="default"/>
          <w:sz w:val="21"/>
          <w:szCs w:val="21"/>
        </w:rPr>
      </w:pPr>
      <w:bookmarkStart w:name="2、薪酬政策" w:id="127"/>
      <w:bookmarkEnd w:id="1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134" w:right="1131" w:firstLine="300"/>
        <w:jc w:val="both"/>
        <w:rPr>
          <w:rFonts w:ascii="宋体" w:hAnsi="宋体" w:cs="宋体" w:eastAsia="宋体" w:hint="default"/>
          <w:sz w:val="21"/>
          <w:szCs w:val="21"/>
        </w:rPr>
      </w:pPr>
      <w:r>
        <w:rPr>
          <w:rFonts w:ascii="宋体" w:hAnsi="宋体" w:cs="宋体" w:eastAsia="宋体" w:hint="default"/>
          <w:sz w:val="21"/>
          <w:szCs w:val="21"/>
        </w:rPr>
        <w:t>为充分调动员工的工作积极性、主动性和创造性，根据相关规定，结合具体情况，公司制定了《薪酬 </w:t>
      </w:r>
      <w:r>
        <w:rPr>
          <w:rFonts w:ascii="宋体" w:hAnsi="宋体" w:cs="宋体" w:eastAsia="宋体" w:hint="default"/>
          <w:spacing w:val="-1"/>
          <w:sz w:val="21"/>
          <w:szCs w:val="21"/>
        </w:rPr>
        <w:t>管理制度》，实行结构性薪酬体系。薪酬构成包括固定工资、浮动工资、保险与福利三部分，并实行绩效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考核机制。公司在实践的基础上，对考核指标不断进行优化，加强对考核员工存在问题的反馈，提出解决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和改进方法，对一些关键岗位和重大问题，做到二次或多次考核，多次反馈。将员工的收入与公司的发展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和员工的绩效以及员工价值创造紧密联系，更加有效调动全体员工的积极性和创造力。</w:t>
      </w:r>
    </w:p>
    <w:p>
      <w:pPr>
        <w:spacing w:line="240" w:lineRule="auto" w:before="8"/>
        <w:rPr>
          <w:rFonts w:ascii="宋体" w:hAnsi="宋体" w:cs="宋体" w:eastAsia="宋体" w:hint="default"/>
          <w:sz w:val="24"/>
          <w:szCs w:val="24"/>
        </w:rPr>
      </w:pPr>
    </w:p>
    <w:p>
      <w:pPr>
        <w:spacing w:line="590" w:lineRule="atLeast" w:before="0"/>
        <w:ind w:left="1433" w:right="1118" w:hanging="300"/>
        <w:jc w:val="left"/>
        <w:rPr>
          <w:rFonts w:ascii="宋体" w:hAnsi="宋体" w:cs="宋体" w:eastAsia="宋体" w:hint="default"/>
          <w:sz w:val="21"/>
          <w:szCs w:val="21"/>
        </w:rPr>
      </w:pPr>
      <w:bookmarkStart w:name="3、培训计划" w:id="128"/>
      <w:bookmarkEnd w:id="1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b/>
          <w:bCs/>
          <w:w w:val="99"/>
          <w:sz w:val="21"/>
          <w:szCs w:val="21"/>
        </w:rPr>
        <w:t> </w:t>
      </w:r>
      <w:r>
        <w:rPr>
          <w:rFonts w:ascii="宋体" w:hAnsi="宋体" w:cs="宋体" w:eastAsia="宋体" w:hint="default"/>
          <w:sz w:val="21"/>
          <w:szCs w:val="21"/>
        </w:rPr>
        <w:t>公司针对不同的群体制定针对性的培训计划。人力资源部门将根据各个部门的需求，制定一系列的培</w:t>
      </w:r>
    </w:p>
    <w:p>
      <w:pPr>
        <w:spacing w:line="273" w:lineRule="auto" w:before="37"/>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训计划，并根据实践中的效果对计划进行完善，开展应需式培训。进一步加强中高层领导干部职业能力培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训，通过内外培训相结合的方式，重点提高技术部门的专业水平；市场和采购部门的前瞻性思维、风险控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制意识、产品技术水平和市场敏感度；生产部门成本控制、计划制定、安全生产、提高劳动效率、工艺改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进等方面的能力；财务部门成本核算水平，对税务和外汇结算等政策的掌握能力。</w:t>
      </w:r>
    </w:p>
    <w:p>
      <w:pPr>
        <w:spacing w:after="0" w:line="273"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劳务外包情况" w:id="129"/>
      <w:bookmarkEnd w:id="12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133" w:right="1132"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报告期内，公司严格按照《公司法》、《证券法》、《上市公司治理准则》、《深圳证券交易所创业</w:t>
      </w:r>
      <w:r>
        <w:rPr>
          <w:rFonts w:ascii="宋体" w:hAnsi="宋体" w:cs="宋体" w:eastAsia="宋体" w:hint="default"/>
          <w:sz w:val="21"/>
          <w:szCs w:val="21"/>
        </w:rPr>
        <w:t> </w:t>
      </w:r>
      <w:r>
        <w:rPr>
          <w:rFonts w:ascii="宋体" w:hAnsi="宋体" w:cs="宋体" w:eastAsia="宋体" w:hint="default"/>
          <w:spacing w:val="-1"/>
          <w:sz w:val="21"/>
          <w:szCs w:val="21"/>
        </w:rPr>
        <w:t>板上市公司规范运作指引》、《深圳证券交易所创业板股票上市规则》等法律、法规和中国证监会有关法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律、法规等的要求，不断完善公司的法人治理结构，建立健全公司内部管理和控制制度，持续深入开展公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司治理活动，促进了公司规范运作，提高了公司治理水平。截至报告期末，公司治理的实际状况符合《上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市公司治理准则》和《深圳证券交易所创业板上市公司规范运作指引》等相关规定的要求。</w:t>
      </w:r>
    </w:p>
    <w:p>
      <w:pPr>
        <w:spacing w:line="450" w:lineRule="atLeast" w:before="4"/>
        <w:ind w:left="1553" w:right="101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、关于股东及股东大会</w:t>
      </w:r>
      <w:r>
        <w:rPr>
          <w:rFonts w:ascii="宋体" w:hAnsi="宋体" w:cs="宋体" w:eastAsia="宋体" w:hint="default"/>
          <w:b/>
          <w:bCs/>
          <w:w w:val="99"/>
          <w:sz w:val="21"/>
          <w:szCs w:val="21"/>
        </w:rPr>
        <w:t> </w:t>
      </w:r>
      <w:r>
        <w:rPr>
          <w:rFonts w:ascii="宋体" w:hAnsi="宋体" w:cs="宋体" w:eastAsia="宋体" w:hint="default"/>
          <w:spacing w:val="-3"/>
          <w:sz w:val="21"/>
          <w:szCs w:val="21"/>
        </w:rPr>
        <w:t>公司严格按照《上市公司股东大会规则》、《公司章程》和《股东大会议事规则》等相关规定和要求，</w:t>
      </w:r>
    </w:p>
    <w:p>
      <w:pPr>
        <w:spacing w:line="264" w:lineRule="auto" w:before="37"/>
        <w:ind w:left="1133" w:right="1110" w:firstLine="0"/>
        <w:jc w:val="both"/>
        <w:rPr>
          <w:rFonts w:ascii="宋体" w:hAnsi="宋体" w:cs="宋体" w:eastAsia="宋体" w:hint="default"/>
          <w:sz w:val="21"/>
          <w:szCs w:val="21"/>
        </w:rPr>
      </w:pPr>
      <w:r>
        <w:rPr>
          <w:rFonts w:ascii="宋体" w:hAnsi="宋体" w:cs="宋体" w:eastAsia="宋体" w:hint="default"/>
          <w:spacing w:val="-1"/>
          <w:sz w:val="21"/>
          <w:szCs w:val="21"/>
        </w:rPr>
        <w:t>规范股东大会召集、召开、表决程序，确保所有股东享有平等地位、平等权利，充分行使自己的权利，并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承担相应的义务。报告期内，公司共召开了</w:t>
      </w:r>
      <w:r>
        <w:rPr>
          <w:rFonts w:ascii="Times New Roman" w:hAnsi="Times New Roman" w:cs="Times New Roman" w:eastAsia="Times New Roman" w:hint="default"/>
          <w:sz w:val="21"/>
          <w:szCs w:val="21"/>
        </w:rPr>
        <w:t>1</w:t>
      </w:r>
      <w:r>
        <w:rPr>
          <w:rFonts w:ascii="宋体" w:hAnsi="宋体" w:cs="宋体" w:eastAsia="宋体" w:hint="default"/>
          <w:sz w:val="21"/>
          <w:szCs w:val="21"/>
        </w:rPr>
        <w:t>次年度股东大会，</w:t>
      </w:r>
      <w:r>
        <w:rPr>
          <w:rFonts w:ascii="Times New Roman" w:hAnsi="Times New Roman" w:cs="Times New Roman" w:eastAsia="Times New Roman" w:hint="default"/>
          <w:sz w:val="21"/>
          <w:szCs w:val="21"/>
        </w:rPr>
        <w:t>3</w:t>
      </w:r>
      <w:r>
        <w:rPr>
          <w:rFonts w:ascii="宋体" w:hAnsi="宋体" w:cs="宋体" w:eastAsia="宋体" w:hint="default"/>
          <w:sz w:val="21"/>
          <w:szCs w:val="21"/>
        </w:rPr>
        <w:t>次临时股东大会，会议均由董事会召集、 召开。</w:t>
      </w:r>
    </w:p>
    <w:p>
      <w:pPr>
        <w:spacing w:line="450" w:lineRule="atLeast" w:before="13"/>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w:t>
      </w:r>
      <w:r>
        <w:rPr>
          <w:rFonts w:ascii="宋体" w:hAnsi="宋体" w:cs="宋体" w:eastAsia="宋体" w:hint="default"/>
          <w:b/>
          <w:bCs/>
          <w:w w:val="99"/>
          <w:sz w:val="21"/>
          <w:szCs w:val="21"/>
        </w:rPr>
        <w:t> </w:t>
      </w:r>
      <w:r>
        <w:rPr>
          <w:rFonts w:ascii="宋体" w:hAnsi="宋体" w:cs="宋体" w:eastAsia="宋体" w:hint="default"/>
          <w:spacing w:val="-1"/>
          <w:sz w:val="21"/>
          <w:szCs w:val="21"/>
        </w:rPr>
        <w:t>公司控股股东严格规范自己的行为，没有超越股东大会直接或间接干预公司的决策和经营活动。公司</w:t>
      </w:r>
    </w:p>
    <w:p>
      <w:pPr>
        <w:spacing w:line="273" w:lineRule="auto" w:before="37"/>
        <w:ind w:left="1133" w:right="1024" w:firstLine="0"/>
        <w:jc w:val="left"/>
        <w:rPr>
          <w:rFonts w:ascii="宋体" w:hAnsi="宋体" w:cs="宋体" w:eastAsia="宋体" w:hint="default"/>
          <w:sz w:val="21"/>
          <w:szCs w:val="21"/>
        </w:rPr>
      </w:pPr>
      <w:r>
        <w:rPr>
          <w:rFonts w:ascii="宋体" w:hAnsi="宋体" w:cs="宋体" w:eastAsia="宋体" w:hint="default"/>
          <w:spacing w:val="-3"/>
          <w:sz w:val="21"/>
          <w:szCs w:val="21"/>
        </w:rPr>
        <w:t>拥有独立完整的业务和自主经营能力，在业务、人员、资产、机构、财务上独立于控股股东，公司董事会、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监事会和内部机构独立运作。</w:t>
      </w:r>
    </w:p>
    <w:p>
      <w:pPr>
        <w:spacing w:line="468" w:lineRule="exact" w:before="35"/>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、关于董事和董事会</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报告期内，公司董事会设董事</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名，其中独立董事</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名，董事会人数及人员构成符合法律、法规和《公</w:t>
      </w:r>
    </w:p>
    <w:p>
      <w:pPr>
        <w:spacing w:line="248" w:lineRule="exact" w:before="0"/>
        <w:ind w:left="1133" w:right="0" w:firstLine="0"/>
        <w:jc w:val="both"/>
        <w:rPr>
          <w:rFonts w:ascii="宋体" w:hAnsi="宋体" w:cs="宋体" w:eastAsia="宋体" w:hint="default"/>
          <w:sz w:val="21"/>
          <w:szCs w:val="21"/>
        </w:rPr>
      </w:pPr>
      <w:r>
        <w:rPr>
          <w:rFonts w:ascii="宋体" w:hAnsi="宋体" w:cs="宋体" w:eastAsia="宋体" w:hint="default"/>
          <w:spacing w:val="-3"/>
          <w:sz w:val="21"/>
          <w:szCs w:val="21"/>
        </w:rPr>
        <w:t>司章程》的要求。各位董事能够依据《深圳证券交易所上市公司规范运作指引》、《公司董事会议事规则》</w:t>
      </w:r>
    </w:p>
    <w:p>
      <w:pPr>
        <w:spacing w:line="273" w:lineRule="auto" w:before="37"/>
        <w:ind w:left="1133" w:right="0" w:firstLine="0"/>
        <w:jc w:val="left"/>
        <w:rPr>
          <w:rFonts w:ascii="宋体" w:hAnsi="宋体" w:cs="宋体" w:eastAsia="宋体" w:hint="default"/>
          <w:sz w:val="21"/>
          <w:szCs w:val="21"/>
        </w:rPr>
      </w:pPr>
      <w:r>
        <w:rPr>
          <w:rFonts w:ascii="宋体" w:hAnsi="宋体" w:cs="宋体" w:eastAsia="宋体" w:hint="default"/>
          <w:spacing w:val="-1"/>
          <w:sz w:val="21"/>
          <w:szCs w:val="21"/>
        </w:rPr>
        <w:t>和《公司独立董事工作细则》等开展工作，诚信、勤勉地履行职责和义务，同时积极参加有关培训，熟悉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有关法律法规。报告期内，公司共召开了</w:t>
      </w:r>
      <w:r>
        <w:rPr>
          <w:rFonts w:ascii="Times New Roman" w:hAnsi="Times New Roman" w:cs="Times New Roman" w:eastAsia="Times New Roman" w:hint="default"/>
          <w:sz w:val="21"/>
          <w:szCs w:val="21"/>
        </w:rPr>
        <w:t>15</w:t>
      </w:r>
      <w:r>
        <w:rPr>
          <w:rFonts w:ascii="宋体" w:hAnsi="宋体" w:cs="宋体" w:eastAsia="宋体" w:hint="default"/>
          <w:sz w:val="21"/>
          <w:szCs w:val="21"/>
        </w:rPr>
        <w:t>次董事会，均由董事长召集、召开。</w:t>
      </w:r>
    </w:p>
    <w:p>
      <w:pPr>
        <w:spacing w:line="264" w:lineRule="auto" w:before="144"/>
        <w:ind w:left="1133" w:right="1021" w:firstLine="420"/>
        <w:jc w:val="left"/>
        <w:rPr>
          <w:rFonts w:ascii="宋体" w:hAnsi="宋体" w:cs="宋体" w:eastAsia="宋体" w:hint="default"/>
          <w:sz w:val="21"/>
          <w:szCs w:val="21"/>
        </w:rPr>
      </w:pPr>
      <w:r>
        <w:rPr>
          <w:rFonts w:ascii="宋体" w:hAnsi="宋体" w:cs="宋体" w:eastAsia="宋体" w:hint="default"/>
          <w:sz w:val="21"/>
          <w:szCs w:val="21"/>
        </w:rPr>
        <w:t>董事会下设战略委员会、提名委员会、审计委员会和薪酬与考核委员会，除战略委员会外其他委员会 </w:t>
      </w:r>
      <w:r>
        <w:rPr>
          <w:rFonts w:ascii="宋体" w:hAnsi="宋体" w:cs="宋体" w:eastAsia="宋体" w:hint="default"/>
          <w:spacing w:val="-4"/>
          <w:sz w:val="21"/>
          <w:szCs w:val="21"/>
        </w:rPr>
        <w:t>中独立董事占比均超过</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，为董事会的决策提供了科学和专业的意见和参考。各个委员会依据《公司章程》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和各委员会议事细则等相关规定履行职权，不受公司其他部门和个人的干预。</w:t>
      </w:r>
    </w:p>
    <w:p>
      <w:pPr>
        <w:spacing w:line="468" w:lineRule="exact" w:before="43"/>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、关于监事和监事会</w:t>
      </w:r>
      <w:r>
        <w:rPr>
          <w:rFonts w:ascii="宋体" w:hAnsi="宋体" w:cs="宋体" w:eastAsia="宋体" w:hint="default"/>
          <w:b/>
          <w:bCs/>
          <w:w w:val="99"/>
          <w:sz w:val="21"/>
          <w:szCs w:val="21"/>
        </w:rPr>
        <w:t> </w:t>
      </w:r>
      <w:r>
        <w:rPr>
          <w:rFonts w:ascii="宋体" w:hAnsi="宋体" w:cs="宋体" w:eastAsia="宋体" w:hint="default"/>
          <w:spacing w:val="-1"/>
          <w:sz w:val="21"/>
          <w:szCs w:val="21"/>
        </w:rPr>
        <w:t>公司监事会设监事</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名，其中职工监事</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名，监事会的人数和构成符合法律、法规的要求。各位监事能</w:t>
      </w:r>
    </w:p>
    <w:p>
      <w:pPr>
        <w:spacing w:line="248" w:lineRule="exact" w:before="0"/>
        <w:ind w:left="1133" w:right="0" w:firstLine="0"/>
        <w:jc w:val="both"/>
        <w:rPr>
          <w:rFonts w:ascii="宋体" w:hAnsi="宋体" w:cs="宋体" w:eastAsia="宋体" w:hint="default"/>
          <w:sz w:val="21"/>
          <w:szCs w:val="21"/>
        </w:rPr>
      </w:pPr>
      <w:r>
        <w:rPr>
          <w:rFonts w:ascii="宋体" w:hAnsi="宋体" w:cs="宋体" w:eastAsia="宋体" w:hint="default"/>
          <w:sz w:val="21"/>
          <w:szCs w:val="21"/>
        </w:rPr>
        <w:t>够按照《监事会议事规则》等相关规定，认真履行自己的职责、对公司重大事项、关联交易、财务状况以</w:t>
      </w:r>
    </w:p>
    <w:p>
      <w:pPr>
        <w:spacing w:line="256" w:lineRule="auto" w:before="37"/>
        <w:ind w:left="1133" w:right="0" w:firstLine="0"/>
        <w:jc w:val="left"/>
        <w:rPr>
          <w:rFonts w:ascii="宋体" w:hAnsi="宋体" w:cs="宋体" w:eastAsia="宋体" w:hint="default"/>
          <w:sz w:val="21"/>
          <w:szCs w:val="21"/>
        </w:rPr>
      </w:pPr>
      <w:r>
        <w:rPr>
          <w:rFonts w:ascii="宋体" w:hAnsi="宋体" w:cs="宋体" w:eastAsia="宋体" w:hint="default"/>
          <w:spacing w:val="-1"/>
          <w:sz w:val="21"/>
          <w:szCs w:val="21"/>
        </w:rPr>
        <w:t>及董事、高管人员履行职责的合法合规性进行监督。报告期内，公司共召开了</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次监事会，均由监事会主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席召集、召开。</w:t>
      </w:r>
    </w:p>
    <w:p>
      <w:pPr>
        <w:spacing w:line="450" w:lineRule="atLeast" w:before="19"/>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、关于信息披露</w:t>
      </w:r>
      <w:r>
        <w:rPr>
          <w:rFonts w:ascii="宋体" w:hAnsi="宋体" w:cs="宋体" w:eastAsia="宋体" w:hint="default"/>
          <w:b/>
          <w:bCs/>
          <w:w w:val="99"/>
          <w:sz w:val="21"/>
          <w:szCs w:val="21"/>
        </w:rPr>
        <w:t> </w:t>
      </w:r>
      <w:r>
        <w:rPr>
          <w:rFonts w:ascii="宋体" w:hAnsi="宋体" w:cs="宋体" w:eastAsia="宋体" w:hint="default"/>
          <w:spacing w:val="-1"/>
          <w:sz w:val="21"/>
          <w:szCs w:val="21"/>
        </w:rPr>
        <w:t>公司严格按照有关法律法规及《信息披露事务管理制度》、《投资者关系管理制度》等相关规定，真</w:t>
      </w:r>
    </w:p>
    <w:p>
      <w:pPr>
        <w:spacing w:line="273" w:lineRule="auto" w:before="37"/>
        <w:ind w:left="1133" w:right="0" w:firstLine="0"/>
        <w:jc w:val="left"/>
        <w:rPr>
          <w:rFonts w:ascii="宋体" w:hAnsi="宋体" w:cs="宋体" w:eastAsia="宋体" w:hint="default"/>
          <w:sz w:val="21"/>
          <w:szCs w:val="21"/>
        </w:rPr>
      </w:pPr>
      <w:r>
        <w:rPr>
          <w:rFonts w:ascii="宋体" w:hAnsi="宋体" w:cs="宋体" w:eastAsia="宋体" w:hint="default"/>
          <w:sz w:val="21"/>
          <w:szCs w:val="21"/>
        </w:rPr>
        <w:t>实、准确、完整、及时、公平地披露有关信息，并指定公司董事会秘书负责信息披露工作，协调公司与投 </w:t>
      </w:r>
      <w:r>
        <w:rPr>
          <w:rFonts w:ascii="宋体" w:hAnsi="宋体" w:cs="宋体" w:eastAsia="宋体" w:hint="default"/>
          <w:spacing w:val="-8"/>
          <w:sz w:val="21"/>
          <w:szCs w:val="21"/>
        </w:rPr>
        <w:t>资者的关系，接待股东来访，回答投资者咨询，向投资者提供公司已披露的资料。同时，指定《证券时报》、</w:t>
      </w:r>
    </w:p>
    <w:p>
      <w:pPr>
        <w:spacing w:before="7"/>
        <w:ind w:left="1133" w:right="0" w:firstLine="0"/>
        <w:jc w:val="both"/>
        <w:rPr>
          <w:rFonts w:ascii="宋体" w:hAnsi="宋体" w:cs="宋体" w:eastAsia="宋体" w:hint="default"/>
          <w:sz w:val="21"/>
          <w:szCs w:val="21"/>
        </w:rPr>
      </w:pPr>
      <w:r>
        <w:rPr>
          <w:rFonts w:ascii="宋体" w:hAnsi="宋体" w:cs="宋体" w:eastAsia="宋体" w:hint="default"/>
          <w:sz w:val="21"/>
          <w:szCs w:val="21"/>
        </w:rPr>
        <w:t>《中国证券报》、《上海证券报》、《证券日报》和巨潮资讯网（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）为公司信息披露的</w:t>
      </w:r>
    </w:p>
    <w:p>
      <w:pPr>
        <w:spacing w:after="0"/>
        <w:jc w:val="both"/>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r>
        <w:rPr>
          <w:rFonts w:ascii="宋体" w:hAnsi="宋体" w:cs="宋体" w:eastAsia="宋体" w:hint="default"/>
          <w:sz w:val="21"/>
          <w:szCs w:val="21"/>
        </w:rPr>
        <w:t>指定报纸和网站，确保公司所有股东能够以平等的机会获取信息。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spacing w:line="273" w:lineRule="auto" w:before="0"/>
        <w:ind w:left="1133" w:right="1093" w:firstLine="420"/>
        <w:jc w:val="left"/>
        <w:rPr>
          <w:rFonts w:ascii="宋体" w:hAnsi="宋体" w:cs="宋体" w:eastAsia="宋体" w:hint="default"/>
          <w:sz w:val="21"/>
          <w:szCs w:val="21"/>
        </w:rPr>
      </w:pPr>
      <w:r>
        <w:rPr>
          <w:rFonts w:ascii="宋体" w:hAnsi="宋体" w:cs="宋体" w:eastAsia="宋体" w:hint="default"/>
          <w:sz w:val="21"/>
          <w:szCs w:val="21"/>
        </w:rPr>
        <w:t>公司控股股东、实际控制人为自然人。公司与控股股东实行了业务、人员、资产、机构、财务独立， 各自独立核算、独立承担责任和风险，公司具有独立完整的业务和自主经营的能力。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本报告期股东大会情况" w:id="136"/>
      <w:bookmarkEnd w:id="13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141" w:firstLine="0"/>
        <w:jc w:val="right"/>
        <w:rPr>
          <w:rFonts w:ascii="宋体" w:hAnsi="宋体" w:cs="宋体" w:eastAsia="宋体" w:hint="default"/>
          <w:sz w:val="18"/>
          <w:szCs w:val="18"/>
        </w:rPr>
      </w:pPr>
      <w:r>
        <w:rPr/>
        <w:pict>
          <v:shape style="position:absolute;margin-left:56.459999pt;margin-top:-52.138275pt;width:479.1pt;height:303.8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418"/>
                    <w:gridCol w:w="1134"/>
                    <w:gridCol w:w="1842"/>
                    <w:gridCol w:w="1419"/>
                    <w:gridCol w:w="2478"/>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81" w:right="111"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《红相电力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 </w:t>
                        </w:r>
                        <w:r>
                          <w:rPr>
                            <w:rFonts w:ascii="宋体" w:hAnsi="宋体" w:cs="宋体" w:eastAsia="宋体" w:hint="default"/>
                            <w:spacing w:val="-5"/>
                            <w:sz w:val="18"/>
                            <w:szCs w:val="18"/>
                          </w:rPr>
                          <w:t>股东大会决议公告》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pacing w:val="-18"/>
                            <w:sz w:val="18"/>
                            <w:szCs w:val="18"/>
                          </w:rPr>
                          <w:t>2017-008</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《红相电力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 </w:t>
                        </w:r>
                        <w:r>
                          <w:rPr>
                            <w:rFonts w:ascii="宋体" w:hAnsi="宋体" w:cs="宋体" w:eastAsia="宋体" w:hint="default"/>
                            <w:spacing w:val="-8"/>
                            <w:sz w:val="18"/>
                            <w:szCs w:val="18"/>
                          </w:rPr>
                          <w:t>会决议公告》（公告编号：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8"/>
                            <w:sz w:val="18"/>
                            <w:szCs w:val="18"/>
                          </w:rPr>
                          <w:t>2017-032</w:t>
                        </w:r>
                        <w:r>
                          <w:rPr>
                            <w:rFonts w:ascii="宋体" w:hAnsi="宋体" w:cs="宋体" w:eastAsia="宋体" w:hint="default"/>
                            <w:spacing w:val="-18"/>
                            <w:sz w:val="18"/>
                            <w:szCs w:val="18"/>
                          </w:rPr>
                          <w:t>）：</w:t>
                        </w:r>
                        <w:r>
                          <w:rPr>
                            <w:rFonts w:ascii="宋体" w:hAnsi="宋体" w:cs="宋体" w:eastAsia="宋体" w:hint="default"/>
                            <w:sz w:val="18"/>
                            <w:szCs w:val="18"/>
                          </w:rPr>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《红相电力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 </w:t>
                        </w:r>
                        <w:r>
                          <w:rPr>
                            <w:rFonts w:ascii="宋体" w:hAnsi="宋体" w:cs="宋体" w:eastAsia="宋体" w:hint="default"/>
                            <w:spacing w:val="-7"/>
                            <w:sz w:val="18"/>
                            <w:szCs w:val="18"/>
                          </w:rPr>
                          <w:t>股东大会决议公告》（公告编</w:t>
                        </w:r>
                        <w:r>
                          <w:rPr>
                            <w:rFonts w:ascii="宋体" w:hAnsi="宋体" w:cs="宋体" w:eastAsia="宋体" w:hint="default"/>
                            <w:sz w:val="18"/>
                            <w:szCs w:val="18"/>
                          </w:rPr>
                          <w:t> </w:t>
                        </w:r>
                        <w:r>
                          <w:rPr>
                            <w:rFonts w:ascii="宋体" w:hAnsi="宋体" w:cs="宋体" w:eastAsia="宋体" w:hint="default"/>
                            <w:spacing w:val="-15"/>
                            <w:sz w:val="18"/>
                            <w:szCs w:val="18"/>
                          </w:rPr>
                          <w:t>号：</w:t>
                        </w:r>
                        <w:r>
                          <w:rPr>
                            <w:rFonts w:ascii="Times New Roman" w:hAnsi="Times New Roman" w:cs="Times New Roman" w:eastAsia="Times New Roman" w:hint="default"/>
                            <w:spacing w:val="-15"/>
                            <w:sz w:val="18"/>
                            <w:szCs w:val="18"/>
                          </w:rPr>
                          <w:t>2017-079</w:t>
                        </w:r>
                        <w:r>
                          <w:rPr>
                            <w:rFonts w:ascii="宋体" w:hAnsi="宋体" w:cs="宋体" w:eastAsia="宋体" w:hint="default"/>
                            <w:spacing w:val="-15"/>
                            <w:sz w:val="18"/>
                            <w:szCs w:val="18"/>
                          </w:rPr>
                          <w:t>）：</w:t>
                        </w:r>
                        <w:r>
                          <w:rPr>
                            <w:rFonts w:ascii="宋体" w:hAnsi="宋体" w:cs="宋体" w:eastAsia="宋体" w:hint="default"/>
                            <w:sz w:val="18"/>
                            <w:szCs w:val="18"/>
                          </w:rPr>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34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《红相电力</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年第三次临时 </w:t>
                        </w:r>
                        <w:r>
                          <w:rPr>
                            <w:rFonts w:ascii="宋体" w:hAnsi="宋体" w:cs="宋体" w:eastAsia="宋体" w:hint="default"/>
                            <w:spacing w:val="-7"/>
                            <w:sz w:val="18"/>
                            <w:szCs w:val="18"/>
                          </w:rPr>
                          <w:t>股东大会决议公告》（公告编</w:t>
                        </w:r>
                        <w:r>
                          <w:rPr>
                            <w:rFonts w:ascii="宋体" w:hAnsi="宋体" w:cs="宋体" w:eastAsia="宋体" w:hint="default"/>
                            <w:sz w:val="18"/>
                            <w:szCs w:val="18"/>
                          </w:rPr>
                          <w:t> </w:t>
                        </w:r>
                        <w:r>
                          <w:rPr>
                            <w:rFonts w:ascii="宋体" w:hAnsi="宋体" w:cs="宋体" w:eastAsia="宋体" w:hint="default"/>
                            <w:spacing w:val="-15"/>
                            <w:sz w:val="18"/>
                            <w:szCs w:val="18"/>
                          </w:rPr>
                          <w:t>号：</w:t>
                        </w:r>
                        <w:r>
                          <w:rPr>
                            <w:rFonts w:ascii="Times New Roman" w:hAnsi="Times New Roman" w:cs="Times New Roman" w:eastAsia="Times New Roman" w:hint="default"/>
                            <w:spacing w:val="-15"/>
                            <w:sz w:val="18"/>
                            <w:szCs w:val="18"/>
                          </w:rPr>
                          <w:t>2017-098</w:t>
                        </w:r>
                        <w:r>
                          <w:rPr>
                            <w:rFonts w:ascii="宋体" w:hAnsi="宋体" w:cs="宋体" w:eastAsia="宋体" w:hint="default"/>
                            <w:spacing w:val="-15"/>
                            <w:sz w:val="18"/>
                            <w:szCs w:val="18"/>
                          </w:rPr>
                          <w:t>）：</w:t>
                        </w:r>
                        <w:r>
                          <w:rPr>
                            <w:rFonts w:ascii="宋体" w:hAnsi="宋体" w:cs="宋体" w:eastAsia="宋体" w:hint="default"/>
                            <w:sz w:val="18"/>
                            <w:szCs w:val="18"/>
                          </w:rPr>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35"/>
        <w:ind w:left="1134" w:right="0" w:firstLine="0"/>
        <w:jc w:val="left"/>
        <w:rPr>
          <w:rFonts w:ascii="宋体" w:hAnsi="宋体" w:cs="宋体" w:eastAsia="宋体" w:hint="default"/>
          <w:sz w:val="21"/>
          <w:szCs w:val="21"/>
        </w:rPr>
      </w:pPr>
      <w:bookmarkStart w:name="2、表决权恢复的优先股股东请求召开临时股东大会" w:id="137"/>
      <w:bookmarkEnd w:id="1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独立董事出席董事会及股东大会的情况" w:id="139"/>
      <w:bookmarkEnd w:id="1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唐炎钊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丁兴号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汤金木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尹久远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陈守德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独立董事对公司有关事项提出异议的情况"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3、独立董事履行职责的其他说明" w:id="141"/>
      <w:bookmarkEnd w:id="1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271" w:lineRule="auto" w:before="97"/>
        <w:ind w:left="1133" w:right="1110" w:firstLine="420"/>
        <w:jc w:val="both"/>
        <w:rPr>
          <w:rFonts w:ascii="宋体" w:hAnsi="宋体" w:cs="宋体" w:eastAsia="宋体" w:hint="default"/>
          <w:sz w:val="21"/>
          <w:szCs w:val="21"/>
        </w:rPr>
      </w:pPr>
      <w:r>
        <w:rPr>
          <w:rFonts w:ascii="宋体" w:hAnsi="宋体" w:cs="宋体" w:eastAsia="宋体" w:hint="default"/>
          <w:sz w:val="21"/>
          <w:szCs w:val="21"/>
        </w:rPr>
        <w:t>公司独立董事根据《公司法》、《证券法》、《创业板股票上市规则》及《公司章程》等相关规定， 关注公司运作，独立履行职责，对公司的制度完善和日常经营决策等方面提出了很多宝贵的专业性建议， </w:t>
      </w:r>
      <w:r>
        <w:rPr>
          <w:rFonts w:ascii="宋体" w:hAnsi="宋体" w:cs="宋体" w:eastAsia="宋体" w:hint="default"/>
          <w:spacing w:val="-1"/>
          <w:sz w:val="21"/>
          <w:szCs w:val="21"/>
        </w:rPr>
        <w:t>公司结合自身实际情况予以采纳。独立董事对报告期内年度利润分配预案、募集资金使用等事项提出了独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立、客观的意见，为完善公司监督机制，维护公司和全体股东的合法权益发挥了应有的作用。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133" w:right="1133" w:firstLine="420"/>
        <w:jc w:val="both"/>
        <w:rPr>
          <w:rFonts w:ascii="宋体" w:hAnsi="宋体" w:cs="宋体" w:eastAsia="宋体" w:hint="default"/>
          <w:sz w:val="21"/>
          <w:szCs w:val="21"/>
        </w:rPr>
      </w:pPr>
      <w:r>
        <w:rPr>
          <w:rFonts w:ascii="宋体" w:hAnsi="宋体" w:cs="宋体" w:eastAsia="宋体" w:hint="default"/>
          <w:spacing w:val="-1"/>
          <w:sz w:val="21"/>
          <w:szCs w:val="21"/>
        </w:rPr>
        <w:t>公司董事会下设审计委员会、战略委员会、提名委员会、薪酬与考核委员会。各专门委员会在报告期</w:t>
      </w:r>
      <w:r>
        <w:rPr>
          <w:rFonts w:ascii="宋体" w:hAnsi="宋体" w:cs="宋体" w:eastAsia="宋体" w:hint="default"/>
          <w:sz w:val="21"/>
          <w:szCs w:val="21"/>
        </w:rPr>
        <w:t> 内的履职情况如下：</w:t>
      </w:r>
    </w:p>
    <w:p>
      <w:pPr>
        <w:spacing w:line="432" w:lineRule="exact" w:before="27"/>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（一）审计委员的履职情况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报告期内，公司审计委员会严格按照公司《审计委员会工作细则》等相关要求，积极履行职责，报告</w:t>
      </w:r>
    </w:p>
    <w:p>
      <w:pPr>
        <w:spacing w:line="271" w:lineRule="exact" w:before="0"/>
        <w:ind w:left="1133" w:right="0" w:firstLine="0"/>
        <w:jc w:val="left"/>
        <w:rPr>
          <w:rFonts w:ascii="宋体" w:hAnsi="宋体" w:cs="宋体" w:eastAsia="宋体" w:hint="default"/>
          <w:sz w:val="21"/>
          <w:szCs w:val="21"/>
        </w:rPr>
      </w:pPr>
      <w:r>
        <w:rPr>
          <w:rFonts w:ascii="宋体" w:hAnsi="宋体" w:cs="宋体" w:eastAsia="宋体" w:hint="default"/>
          <w:sz w:val="21"/>
          <w:szCs w:val="21"/>
        </w:rPr>
        <w:t>期内共召开了</w:t>
      </w:r>
      <w:r>
        <w:rPr>
          <w:rFonts w:ascii="Times New Roman" w:hAnsi="Times New Roman" w:cs="Times New Roman" w:eastAsia="Times New Roman" w:hint="default"/>
          <w:sz w:val="21"/>
          <w:szCs w:val="21"/>
        </w:rPr>
        <w:t>4</w:t>
      </w:r>
      <w:r>
        <w:rPr>
          <w:rFonts w:ascii="宋体" w:hAnsi="宋体" w:cs="宋体" w:eastAsia="宋体" w:hint="default"/>
          <w:sz w:val="21"/>
          <w:szCs w:val="21"/>
        </w:rPr>
        <w:t>次会议，对公司定期报告进行审议并形成决议；及时审阅内部审计部门定期工作计划和报</w:t>
      </w:r>
    </w:p>
    <w:p>
      <w:pPr>
        <w:spacing w:before="21"/>
        <w:ind w:left="1133" w:right="0" w:firstLine="0"/>
        <w:jc w:val="left"/>
        <w:rPr>
          <w:rFonts w:ascii="宋体" w:hAnsi="宋体" w:cs="宋体" w:eastAsia="宋体" w:hint="default"/>
          <w:sz w:val="21"/>
          <w:szCs w:val="21"/>
        </w:rPr>
      </w:pPr>
      <w:r>
        <w:rPr>
          <w:rFonts w:ascii="宋体" w:hAnsi="宋体" w:cs="宋体" w:eastAsia="宋体" w:hint="default"/>
          <w:sz w:val="21"/>
          <w:szCs w:val="21"/>
        </w:rPr>
        <w:t>告，并向董事会报告。</w:t>
      </w:r>
    </w:p>
    <w:p>
      <w:pPr>
        <w:spacing w:after="0"/>
        <w:jc w:val="left"/>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（二）提名委员会履职情况</w:t>
      </w:r>
      <w:r>
        <w:rPr>
          <w:rFonts w:ascii="宋体" w:hAnsi="宋体" w:cs="宋体" w:eastAsia="宋体" w:hint="default"/>
          <w:sz w:val="21"/>
          <w:szCs w:val="21"/>
        </w:rPr>
      </w:r>
    </w:p>
    <w:p>
      <w:pPr>
        <w:spacing w:line="273" w:lineRule="auto" w:before="157"/>
        <w:ind w:left="1133" w:right="0" w:firstLine="420"/>
        <w:jc w:val="left"/>
        <w:rPr>
          <w:rFonts w:ascii="宋体" w:hAnsi="宋体" w:cs="宋体" w:eastAsia="宋体" w:hint="default"/>
          <w:sz w:val="21"/>
          <w:szCs w:val="21"/>
        </w:rPr>
      </w:pPr>
      <w:r>
        <w:rPr>
          <w:rFonts w:ascii="宋体" w:hAnsi="宋体" w:cs="宋体" w:eastAsia="宋体" w:hint="default"/>
          <w:spacing w:val="-1"/>
          <w:sz w:val="21"/>
          <w:szCs w:val="21"/>
        </w:rPr>
        <w:t>报告期内，提名委员会根据公司《提名委员会工作细则》等相关规定，积极履行职责，报告期内共召</w:t>
      </w:r>
      <w:r>
        <w:rPr>
          <w:rFonts w:ascii="宋体" w:hAnsi="宋体" w:cs="宋体" w:eastAsia="宋体" w:hint="default"/>
          <w:sz w:val="21"/>
          <w:szCs w:val="21"/>
        </w:rPr>
        <w:t> 开了</w:t>
      </w:r>
      <w:r>
        <w:rPr>
          <w:rFonts w:ascii="Times New Roman" w:hAnsi="Times New Roman" w:cs="Times New Roman" w:eastAsia="Times New Roman" w:hint="default"/>
          <w:sz w:val="21"/>
          <w:szCs w:val="21"/>
        </w:rPr>
        <w:t>2</w:t>
      </w:r>
      <w:r>
        <w:rPr>
          <w:rFonts w:ascii="宋体" w:hAnsi="宋体" w:cs="宋体" w:eastAsia="宋体" w:hint="default"/>
          <w:sz w:val="21"/>
          <w:szCs w:val="21"/>
        </w:rPr>
        <w:t>次会议，对公司董事会规模及高级管理人员任职资格进行了审核，并发表审核意见。</w:t>
      </w:r>
    </w:p>
    <w:p>
      <w:pPr>
        <w:spacing w:line="432" w:lineRule="exact" w:before="9"/>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（三）薪酬与考核委员会履职情况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报告期内，薪酬与考核委员会根据公司章程及《薪酬与考核委员会工作细则》等相关规定，召开</w:t>
      </w:r>
      <w:r>
        <w:rPr>
          <w:rFonts w:ascii="Times New Roman" w:hAnsi="Times New Roman" w:cs="Times New Roman" w:eastAsia="Times New Roman" w:hint="default"/>
          <w:sz w:val="21"/>
          <w:szCs w:val="21"/>
        </w:rPr>
        <w:t>3</w:t>
      </w:r>
      <w:r>
        <w:rPr>
          <w:rFonts w:ascii="宋体" w:hAnsi="宋体" w:cs="宋体" w:eastAsia="宋体" w:hint="default"/>
          <w:sz w:val="21"/>
          <w:szCs w:val="21"/>
        </w:rPr>
        <w:t>次</w:t>
      </w:r>
    </w:p>
    <w:p>
      <w:pPr>
        <w:spacing w:line="271" w:lineRule="exact" w:before="0"/>
        <w:ind w:left="1133" w:right="0" w:firstLine="0"/>
        <w:jc w:val="both"/>
        <w:rPr>
          <w:rFonts w:ascii="宋体" w:hAnsi="宋体" w:cs="宋体" w:eastAsia="宋体" w:hint="default"/>
          <w:sz w:val="21"/>
          <w:szCs w:val="21"/>
        </w:rPr>
      </w:pPr>
      <w:r>
        <w:rPr>
          <w:rFonts w:ascii="宋体" w:hAnsi="宋体" w:cs="宋体" w:eastAsia="宋体" w:hint="default"/>
          <w:sz w:val="21"/>
          <w:szCs w:val="21"/>
        </w:rPr>
        <w:t>会议，对公司董事和高级管理人员工作及薪酬情况进行考核和检查；对公司董事和高级管理人员</w:t>
      </w:r>
      <w:r>
        <w:rPr>
          <w:rFonts w:ascii="Times New Roman" w:hAnsi="Times New Roman" w:cs="Times New Roman" w:eastAsia="Times New Roman" w:hint="default"/>
          <w:sz w:val="21"/>
          <w:szCs w:val="21"/>
        </w:rPr>
        <w:t>2016</w:t>
      </w:r>
      <w:r>
        <w:rPr>
          <w:rFonts w:ascii="宋体" w:hAnsi="宋体" w:cs="宋体" w:eastAsia="宋体" w:hint="default"/>
          <w:sz w:val="21"/>
          <w:szCs w:val="21"/>
        </w:rPr>
        <w:t>年薪</w:t>
      </w:r>
    </w:p>
    <w:p>
      <w:pPr>
        <w:spacing w:before="21"/>
        <w:ind w:left="1133" w:right="0" w:firstLine="0"/>
        <w:jc w:val="both"/>
        <w:rPr>
          <w:rFonts w:ascii="宋体" w:hAnsi="宋体" w:cs="宋体" w:eastAsia="宋体" w:hint="default"/>
          <w:sz w:val="21"/>
          <w:szCs w:val="21"/>
        </w:rPr>
      </w:pPr>
      <w:r>
        <w:rPr>
          <w:rFonts w:ascii="宋体" w:hAnsi="宋体" w:cs="宋体" w:eastAsia="宋体" w:hint="default"/>
          <w:sz w:val="21"/>
          <w:szCs w:val="21"/>
        </w:rPr>
        <w:t>酬方案发表意见；对新一届董事、高级管理人员薪酬方案发表意见；并就上述事项形成报告。</w:t>
      </w:r>
    </w:p>
    <w:p>
      <w:pPr>
        <w:spacing w:line="430" w:lineRule="atLeast" w:before="2"/>
        <w:ind w:left="1553" w:right="1093" w:firstLine="2"/>
        <w:jc w:val="left"/>
        <w:rPr>
          <w:rFonts w:ascii="宋体" w:hAnsi="宋体" w:cs="宋体" w:eastAsia="宋体" w:hint="default"/>
          <w:sz w:val="21"/>
          <w:szCs w:val="21"/>
        </w:rPr>
      </w:pPr>
      <w:r>
        <w:rPr>
          <w:rFonts w:ascii="宋体" w:hAnsi="宋体" w:cs="宋体" w:eastAsia="宋体" w:hint="default"/>
          <w:b/>
          <w:bCs/>
          <w:sz w:val="21"/>
          <w:szCs w:val="21"/>
        </w:rPr>
        <w:t>（四）战略委员会履职情况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报告期内，战略委员会根据公司《战略委员会工作细则》等相关规定，结合公司实际发展战略需要，</w:t>
      </w:r>
    </w:p>
    <w:p>
      <w:pPr>
        <w:spacing w:line="256" w:lineRule="auto" w:before="37"/>
        <w:ind w:left="1133" w:right="1129" w:firstLine="0"/>
        <w:jc w:val="left"/>
        <w:rPr>
          <w:rFonts w:ascii="宋体" w:hAnsi="宋体" w:cs="宋体" w:eastAsia="宋体" w:hint="default"/>
          <w:sz w:val="21"/>
          <w:szCs w:val="21"/>
        </w:rPr>
      </w:pPr>
      <w:r>
        <w:rPr>
          <w:rFonts w:ascii="宋体" w:hAnsi="宋体" w:cs="宋体" w:eastAsia="宋体" w:hint="default"/>
          <w:spacing w:val="-3"/>
          <w:sz w:val="21"/>
          <w:szCs w:val="21"/>
        </w:rPr>
        <w:t>共召开了</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次会议，审议并通过了《关于公司收购合肥星波通信技术有限公司少数股东股权的议案》、《关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于公司非公开发行股票方案的预案》。</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spacing w:line="268" w:lineRule="auto" w:before="0"/>
        <w:ind w:left="1133" w:right="1130" w:firstLine="0"/>
        <w:jc w:val="both"/>
        <w:rPr>
          <w:rFonts w:ascii="宋体" w:hAnsi="宋体" w:cs="宋体" w:eastAsia="宋体" w:hint="default"/>
          <w:sz w:val="21"/>
          <w:szCs w:val="21"/>
        </w:rPr>
      </w:pPr>
      <w:r>
        <w:rPr>
          <w:rFonts w:ascii="宋体" w:hAnsi="宋体" w:cs="宋体" w:eastAsia="宋体" w:hint="default"/>
          <w:spacing w:val="-1"/>
          <w:sz w:val="21"/>
          <w:szCs w:val="21"/>
        </w:rPr>
        <w:t>公司根据薪酬管理制度，建立了高级管理人员的薪酬与公司业绩挂钩的绩效考核与激励约束机制，公司高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级管理人员实行岗位薪酬与年终绩效考核相结合的薪酬制度。根据公司年度经营目标完成情况及高级管理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人员的工作业绩，由公司董事会薪酬与考核委员会对高级管理人员进行年度绩效考核，并监督薪酬制度执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行情况。公司则根据绩效考核结果兑现其绩效年薪，并进行奖惩。公司董事会薪酬与考核委员会根据实际</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情况对公司高级管理人员进行考核后，一致认为：</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年度公司高级管理人员薪酬方案严格执行了公司薪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酬管理制度。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ind w:right="0"/>
        <w:jc w:val="both"/>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报告期内发现的内部控制重大缺陷的具体情况" w:id="146"/>
      <w:bookmarkEnd w:id="1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内控自我评价报告" w:id="147"/>
      <w:bookmarkEnd w:id="1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中国证监会指定创业板信息披露网站巨潮资讯网（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pgSz w:w="11910" w:h="16840"/>
          <w:pgMar w:header="747" w:footer="979" w:top="1060" w:bottom="1160" w:left="0" w:right="0"/>
        </w:sectPr>
      </w:pPr>
    </w:p>
    <w:p>
      <w:pPr>
        <w:spacing w:line="319" w:lineRule="auto" w:before="44"/>
        <w:ind w:left="1161" w:right="-20" w:firstLine="0"/>
        <w:jc w:val="left"/>
        <w:rPr>
          <w:rFonts w:ascii="宋体" w:hAnsi="宋体" w:cs="宋体" w:eastAsia="宋体" w:hint="default"/>
          <w:sz w:val="18"/>
          <w:szCs w:val="18"/>
        </w:rPr>
      </w:pPr>
      <w:r>
        <w:rPr/>
        <w:pict>
          <v:group style="position:absolute;margin-left:56.459999pt;margin-top:-1.088296pt;width:478.95pt;height:556.3pt;mso-position-horizontal-relative:page;mso-position-vertical-relative:paragraph;z-index:-1460344" coordorigin="1129,-22" coordsize="9579,11126">
            <v:group style="position:absolute;left:1150;top:-7;width:2;height:705" coordorigin="1150,-7" coordsize="2,705">
              <v:shape style="position:absolute;left:1150;top:-7;width:2;height:705" coordorigin="1150,-7" coordsize="0,705" path="m1150,-7l1150,697e" filled="false" stroked="true" strokeweight="1.140pt" strokecolor="#d2d2d2">
                <v:path arrowok="t"/>
              </v:shape>
            </v:group>
            <v:group style="position:absolute;left:4311;top:-7;width:2;height:705" coordorigin="4311,-7" coordsize="2,705">
              <v:shape style="position:absolute;left:4311;top:-7;width:2;height:705" coordorigin="4311,-7" coordsize="0,705" path="m4311,-7l4311,697e" filled="false" stroked="true" strokeweight="1.140pt" strokecolor="#d2d2d2">
                <v:path arrowok="t"/>
              </v:shape>
            </v:group>
            <v:group style="position:absolute;left:1162;top:-7;width:3139;height:353" coordorigin="1162,-7" coordsize="3139,353">
              <v:shape style="position:absolute;left:1162;top:-7;width:3139;height:353" coordorigin="1162,-7" coordsize="3139,353" path="m1162,345l4300,345,4300,-7,1162,-7,1162,345xe" filled="true" fillcolor="#d2d2d2" stroked="false">
                <v:path arrowok="t"/>
                <v:fill type="solid"/>
              </v:shape>
            </v:group>
            <v:group style="position:absolute;left:1162;top:345;width:3139;height:352" coordorigin="1162,345" coordsize="3139,352">
              <v:shape style="position:absolute;left:1162;top:345;width:3139;height:352" coordorigin="1162,345" coordsize="3139,352" path="m1162,697l4300,697,4300,345,1162,345,1162,697xe" filled="true" fillcolor="#d2d2d2" stroked="false">
                <v:path arrowok="t"/>
                <v:fill type="solid"/>
              </v:shape>
            </v:group>
            <v:group style="position:absolute;left:1139;top:-12;width:3186;height:2" coordorigin="1139,-12" coordsize="3186,2">
              <v:shape style="position:absolute;left:1139;top:-12;width:3186;height:2" coordorigin="1139,-12" coordsize="3186,0" path="m1139,-12l4324,-12e" filled="false" stroked="true" strokeweight=".48pt" strokecolor="#000000">
                <v:path arrowok="t"/>
              </v:shape>
            </v:group>
            <v:group style="position:absolute;left:4334;top:-12;width:6365;height:2" coordorigin="4334,-12" coordsize="6365,2">
              <v:shape style="position:absolute;left:4334;top:-12;width:6365;height:2" coordorigin="4334,-12" coordsize="6365,0" path="m4334,-12l10698,-12e" filled="false" stroked="true" strokeweight=".48pt" strokecolor="#000000">
                <v:path arrowok="t"/>
              </v:shape>
            </v:group>
            <v:group style="position:absolute;left:4329;top:-17;width:2;height:724" coordorigin="4329,-17" coordsize="2,724">
              <v:shape style="position:absolute;left:4329;top:-17;width:2;height:724" coordorigin="4329,-17" coordsize="0,724" path="m4329,-17l4329,707e" filled="false" stroked="true" strokeweight=".48pt" strokecolor="#000000">
                <v:path arrowok="t"/>
              </v:shape>
            </v:group>
            <v:group style="position:absolute;left:1150;top:707;width:2;height:393" coordorigin="1150,707" coordsize="2,393">
              <v:shape style="position:absolute;left:1150;top:707;width:2;height:393" coordorigin="1150,707" coordsize="0,393" path="m1150,707l1150,1099e" filled="false" stroked="true" strokeweight="1.140pt" strokecolor="#d2d2d2">
                <v:path arrowok="t"/>
              </v:shape>
            </v:group>
            <v:group style="position:absolute;left:10687;top:707;width:2;height:393" coordorigin="10687,707" coordsize="2,393">
              <v:shape style="position:absolute;left:10687;top:707;width:2;height:393" coordorigin="10687,707" coordsize="0,393" path="m10687,707l10687,1099e" filled="false" stroked="true" strokeweight="1.140pt" strokecolor="#d2d2d2">
                <v:path arrowok="t"/>
              </v:shape>
            </v:group>
            <v:group style="position:absolute;left:1162;top:707;width:9514;height:393" coordorigin="1162,707" coordsize="9514,393">
              <v:shape style="position:absolute;left:1162;top:707;width:9514;height:393" coordorigin="1162,707" coordsize="9514,393" path="m1162,1099l10675,1099,10675,707,1162,707,1162,1099xe" filled="true" fillcolor="#d2d2d2" stroked="false">
                <v:path arrowok="t"/>
                <v:fill type="solid"/>
              </v:shape>
            </v:group>
            <v:group style="position:absolute;left:1139;top:702;width:3186;height:2" coordorigin="1139,702" coordsize="3186,2">
              <v:shape style="position:absolute;left:1139;top:702;width:3186;height:2" coordorigin="1139,702" coordsize="3186,0" path="m1139,702l4324,702e" filled="false" stroked="true" strokeweight=".48pt" strokecolor="#000000">
                <v:path arrowok="t"/>
              </v:shape>
            </v:group>
            <v:group style="position:absolute;left:4334;top:702;width:6365;height:2" coordorigin="4334,702" coordsize="6365,2">
              <v:shape style="position:absolute;left:4334;top:702;width:6365;height:2" coordorigin="4334,702" coordsize="6365,0" path="m4334,702l10698,702e" filled="false" stroked="true" strokeweight=".48pt" strokecolor="#000000">
                <v:path arrowok="t"/>
              </v:shape>
            </v:group>
            <v:group style="position:absolute;left:1150;top:1109;width:2;height:393" coordorigin="1150,1109" coordsize="2,393">
              <v:shape style="position:absolute;left:1150;top:1109;width:2;height:393" coordorigin="1150,1109" coordsize="0,393" path="m1150,1109l1150,1501e" filled="false" stroked="true" strokeweight="1.140pt" strokecolor="#d2d2d2">
                <v:path arrowok="t"/>
              </v:shape>
            </v:group>
            <v:group style="position:absolute;left:4311;top:1109;width:2;height:393" coordorigin="4311,1109" coordsize="2,393">
              <v:shape style="position:absolute;left:4311;top:1109;width:2;height:393" coordorigin="4311,1109" coordsize="0,393" path="m4311,1109l4311,1501e" filled="false" stroked="true" strokeweight="1.140pt" strokecolor="#d2d2d2">
                <v:path arrowok="t"/>
              </v:shape>
            </v:group>
            <v:group style="position:absolute;left:1162;top:1109;width:3139;height:393" coordorigin="1162,1109" coordsize="3139,393">
              <v:shape style="position:absolute;left:1162;top:1109;width:3139;height:393" coordorigin="1162,1109" coordsize="3139,393" path="m1162,1501l4300,1501,4300,1109,1162,1109,1162,1501xe" filled="true" fillcolor="#d2d2d2" stroked="false">
                <v:path arrowok="t"/>
                <v:fill type="solid"/>
              </v:shape>
            </v:group>
            <v:group style="position:absolute;left:4345;top:1109;width:2;height:393" coordorigin="4345,1109" coordsize="2,393">
              <v:shape style="position:absolute;left:4345;top:1109;width:2;height:393" coordorigin="4345,1109" coordsize="0,393" path="m4345,1109l4345,1501e" filled="false" stroked="true" strokeweight="1.140pt" strokecolor="#d2d2d2">
                <v:path arrowok="t"/>
              </v:shape>
            </v:group>
            <v:group style="position:absolute;left:7635;top:1109;width:2;height:393" coordorigin="7635,1109" coordsize="2,393">
              <v:shape style="position:absolute;left:7635;top:1109;width:2;height:393" coordorigin="7635,1109" coordsize="0,393" path="m7635,1109l7635,1501e" filled="false" stroked="true" strokeweight="1.2pt" strokecolor="#d2d2d2">
                <v:path arrowok="t"/>
              </v:shape>
            </v:group>
            <v:group style="position:absolute;left:4356;top:1109;width:3267;height:393" coordorigin="4356,1109" coordsize="3267,393">
              <v:shape style="position:absolute;left:4356;top:1109;width:3267;height:393" coordorigin="4356,1109" coordsize="3267,393" path="m4356,1501l7623,1501,7623,1109,4356,1109,4356,1501xe" filled="true" fillcolor="#d2d2d2" stroked="false">
                <v:path arrowok="t"/>
                <v:fill type="solid"/>
              </v:shape>
            </v:group>
            <v:group style="position:absolute;left:7668;top:1109;width:2;height:393" coordorigin="7668,1109" coordsize="2,393">
              <v:shape style="position:absolute;left:7668;top:1109;width:2;height:393" coordorigin="7668,1109" coordsize="0,393" path="m7668,1109l7668,1501e" filled="false" stroked="true" strokeweight="1.140pt" strokecolor="#d2d2d2">
                <v:path arrowok="t"/>
              </v:shape>
            </v:group>
            <v:group style="position:absolute;left:10687;top:1109;width:2;height:393" coordorigin="10687,1109" coordsize="2,393">
              <v:shape style="position:absolute;left:10687;top:1109;width:2;height:393" coordorigin="10687,1109" coordsize="0,393" path="m10687,1109l10687,1501e" filled="false" stroked="true" strokeweight="1.140pt" strokecolor="#d2d2d2">
                <v:path arrowok="t"/>
              </v:shape>
            </v:group>
            <v:group style="position:absolute;left:7680;top:1109;width:2996;height:393" coordorigin="7680,1109" coordsize="2996,393">
              <v:shape style="position:absolute;left:7680;top:1109;width:2996;height:393" coordorigin="7680,1109" coordsize="2996,393" path="m7680,1501l10675,1501,10675,1109,7680,1109,7680,1501xe" filled="true" fillcolor="#d2d2d2" stroked="false">
                <v:path arrowok="t"/>
                <v:fill type="solid"/>
              </v:shape>
            </v:group>
            <v:group style="position:absolute;left:1139;top:1104;width:3186;height:2" coordorigin="1139,1104" coordsize="3186,2">
              <v:shape style="position:absolute;left:1139;top:1104;width:3186;height:2" coordorigin="1139,1104" coordsize="3186,0" path="m1139,1104l4324,1104e" filled="false" stroked="true" strokeweight=".48pt" strokecolor="#000000">
                <v:path arrowok="t"/>
              </v:shape>
            </v:group>
            <v:group style="position:absolute;left:4334;top:1104;width:3314;height:2" coordorigin="4334,1104" coordsize="3314,2">
              <v:shape style="position:absolute;left:4334;top:1104;width:3314;height:2" coordorigin="4334,1104" coordsize="3314,0" path="m4334,1104l7647,1104e" filled="false" stroked="true" strokeweight=".48pt" strokecolor="#000000">
                <v:path arrowok="t"/>
              </v:shape>
            </v:group>
            <v:group style="position:absolute;left:7657;top:1104;width:3042;height:2" coordorigin="7657,1104" coordsize="3042,2">
              <v:shape style="position:absolute;left:7657;top:1104;width:3042;height:2" coordorigin="7657,1104" coordsize="3042,0" path="m7657,1104l10698,1104e" filled="false" stroked="true" strokeweight=".48pt" strokecolor="#000000">
                <v:path arrowok="t"/>
              </v:shape>
            </v:group>
            <v:group style="position:absolute;left:1139;top:1511;width:3184;height:2496" coordorigin="1139,1511" coordsize="3184,2496">
              <v:shape style="position:absolute;left:1139;top:1511;width:3184;height:2496" coordorigin="1139,1511" coordsize="3184,2496" path="m1139,4007l4323,4007,4323,1511,1139,1511,1139,4007xe" filled="true" fillcolor="#d2d2d2" stroked="false">
                <v:path arrowok="t"/>
                <v:fill type="solid"/>
              </v:shape>
            </v:group>
            <v:group style="position:absolute;left:1150;top:4007;width:2;height:393" coordorigin="1150,4007" coordsize="2,393">
              <v:shape style="position:absolute;left:1150;top:4007;width:2;height:393" coordorigin="1150,4007" coordsize="0,393" path="m1150,4007l1150,4399e" filled="false" stroked="true" strokeweight="1.140pt" strokecolor="#d2d2d2">
                <v:path arrowok="t"/>
              </v:shape>
            </v:group>
            <v:group style="position:absolute;left:4311;top:4007;width:2;height:393" coordorigin="4311,4007" coordsize="2,393">
              <v:shape style="position:absolute;left:4311;top:4007;width:2;height:393" coordorigin="4311,4007" coordsize="0,393" path="m4311,4007l4311,4399e" filled="false" stroked="true" strokeweight="1.140pt" strokecolor="#d2d2d2">
                <v:path arrowok="t"/>
              </v:shape>
            </v:group>
            <v:group style="position:absolute;left:1139;top:4399;width:3184;height:2496" coordorigin="1139,4399" coordsize="3184,2496">
              <v:shape style="position:absolute;left:1139;top:4399;width:3184;height:2496" coordorigin="1139,4399" coordsize="3184,2496" path="m1139,6895l4323,6895,4323,4399,1139,4399,1139,6895xe" filled="true" fillcolor="#d2d2d2" stroked="false">
                <v:path arrowok="t"/>
                <v:fill type="solid"/>
              </v:shape>
            </v:group>
            <v:group style="position:absolute;left:1162;top:4007;width:3139;height:393" coordorigin="1162,4007" coordsize="3139,393">
              <v:shape style="position:absolute;left:1162;top:4007;width:3139;height:393" coordorigin="1162,4007" coordsize="3139,393" path="m1162,4399l4300,4399,4300,4007,1162,4007,1162,4399xe" filled="true" fillcolor="#d2d2d2" stroked="false">
                <v:path arrowok="t"/>
                <v:fill type="solid"/>
              </v:shape>
            </v:group>
            <v:group style="position:absolute;left:7657;top:1511;width:3042;height:312" coordorigin="7657,1511" coordsize="3042,312">
              <v:shape style="position:absolute;left:7657;top:1511;width:3042;height:312" coordorigin="7657,1511" coordsize="3042,312" path="m7657,1823l10698,1823,10698,1511,7657,1511,7657,1823xe" filled="true" fillcolor="#ffffff" stroked="false">
                <v:path arrowok="t"/>
                <v:fill type="solid"/>
              </v:shape>
            </v:group>
            <v:group style="position:absolute;left:7668;top:1823;width:2;height:4761" coordorigin="7668,1823" coordsize="2,4761">
              <v:shape style="position:absolute;left:7668;top:1823;width:2;height:4761" coordorigin="7668,1823" coordsize="0,4761" path="m7668,1823l7668,6583e" filled="false" stroked="true" strokeweight="1.140pt" strokecolor="#ffffff">
                <v:path arrowok="t"/>
              </v:shape>
            </v:group>
            <v:group style="position:absolute;left:7680;top:3736;width:2996;height:312" coordorigin="7680,3736" coordsize="2996,312">
              <v:shape style="position:absolute;left:7680;top:3736;width:2996;height:312" coordorigin="7680,3736" coordsize="2996,312" path="m7680,4048l10675,4048,10675,3736,7680,3736,7680,4048xe" filled="true" fillcolor="#ffffff" stroked="false">
                <v:path arrowok="t"/>
                <v:fill type="solid"/>
              </v:shape>
            </v:group>
            <v:group style="position:absolute;left:7680;top:4360;width:2996;height:312" coordorigin="7680,4360" coordsize="2996,312">
              <v:shape style="position:absolute;left:7680;top:4360;width:2996;height:312" coordorigin="7680,4360" coordsize="2996,312" path="m7680,4672l10675,4672,10675,4360,7680,4360,7680,4672xe" filled="true" fillcolor="#ffffff" stroked="false">
                <v:path arrowok="t"/>
                <v:fill type="solid"/>
              </v:shape>
            </v:group>
            <v:group style="position:absolute;left:1139;top:1506;width:3186;height:2" coordorigin="1139,1506" coordsize="3186,2">
              <v:shape style="position:absolute;left:1139;top:1506;width:3186;height:2" coordorigin="1139,1506" coordsize="3186,0" path="m1139,1506l4324,1506e" filled="false" stroked="true" strokeweight=".48pt" strokecolor="#000000">
                <v:path arrowok="t"/>
              </v:shape>
            </v:group>
            <v:group style="position:absolute;left:4334;top:1506;width:3314;height:2" coordorigin="4334,1506" coordsize="3314,2">
              <v:shape style="position:absolute;left:4334;top:1506;width:3314;height:2" coordorigin="4334,1506" coordsize="3314,0" path="m4334,1506l7647,1506e" filled="false" stroked="true" strokeweight=".48pt" strokecolor="#000000">
                <v:path arrowok="t"/>
              </v:shape>
            </v:group>
            <v:group style="position:absolute;left:7657;top:1506;width:3042;height:2" coordorigin="7657,1506" coordsize="3042,2">
              <v:shape style="position:absolute;left:7657;top:1506;width:3042;height:2" coordorigin="7657,1506" coordsize="3042,0" path="m7657,1506l10698,1506e" filled="false" stroked="true" strokeweight=".48pt" strokecolor="#000000">
                <v:path arrowok="t"/>
              </v:shape>
            </v:group>
            <v:group style="position:absolute;left:1139;top:6905;width:3184;height:1093" coordorigin="1139,6905" coordsize="3184,1093">
              <v:shape style="position:absolute;left:1139;top:6905;width:3184;height:1093" coordorigin="1139,6905" coordsize="3184,1093" path="m1139,7997l4323,7997,4323,6905,1139,6905,1139,7997xe" filled="true" fillcolor="#d2d2d2" stroked="false">
                <v:path arrowok="t"/>
                <v:fill type="solid"/>
              </v:shape>
            </v:group>
            <v:group style="position:absolute;left:1150;top:7997;width:2;height:393" coordorigin="1150,7997" coordsize="2,393">
              <v:shape style="position:absolute;left:1150;top:7997;width:2;height:393" coordorigin="1150,7997" coordsize="0,393" path="m1150,7997l1150,8390e" filled="false" stroked="true" strokeweight="1.140pt" strokecolor="#d2d2d2">
                <v:path arrowok="t"/>
              </v:shape>
            </v:group>
            <v:group style="position:absolute;left:4311;top:7997;width:2;height:393" coordorigin="4311,7997" coordsize="2,393">
              <v:shape style="position:absolute;left:4311;top:7997;width:2;height:393" coordorigin="4311,7997" coordsize="0,393" path="m4311,7997l4311,8390e" filled="false" stroked="true" strokeweight="1.140pt" strokecolor="#d2d2d2">
                <v:path arrowok="t"/>
              </v:shape>
            </v:group>
            <v:group style="position:absolute;left:1139;top:8390;width:3184;height:1092" coordorigin="1139,8390" coordsize="3184,1092">
              <v:shape style="position:absolute;left:1139;top:8390;width:3184;height:1092" coordorigin="1139,8390" coordsize="3184,1092" path="m1139,9482l4323,9482,4323,8390,1139,8390,1139,9482xe" filled="true" fillcolor="#d2d2d2" stroked="false">
                <v:path arrowok="t"/>
                <v:fill type="solid"/>
              </v:shape>
            </v:group>
            <v:group style="position:absolute;left:1162;top:7997;width:3139;height:393" coordorigin="1162,7997" coordsize="3139,393">
              <v:shape style="position:absolute;left:1162;top:7997;width:3139;height:393" coordorigin="1162,7997" coordsize="3139,393" path="m1162,8390l4300,8390,4300,7997,1162,7997,1162,8390xe" filled="true" fillcolor="#d2d2d2" stroked="false">
                <v:path arrowok="t"/>
                <v:fill type="solid"/>
              </v:shape>
            </v:group>
            <v:group style="position:absolute;left:7668;top:7061;width:2;height:2265" coordorigin="7668,7061" coordsize="2,2265">
              <v:shape style="position:absolute;left:7668;top:7061;width:2;height:2265" coordorigin="7668,7061" coordsize="0,2265" path="m7668,7061l7668,9326e" filled="false" stroked="true" strokeweight="1.140pt" strokecolor="#ffffff">
                <v:path arrowok="t"/>
              </v:shape>
            </v:group>
            <v:group style="position:absolute;left:7680;top:8038;width:2996;height:312" coordorigin="7680,8038" coordsize="2996,312">
              <v:shape style="position:absolute;left:7680;top:8038;width:2996;height:312" coordorigin="7680,8038" coordsize="2996,312" path="m7680,8350l10675,8350,10675,8038,7680,8038,7680,8350xe" filled="true" fillcolor="#ffffff" stroked="false">
                <v:path arrowok="t"/>
                <v:fill type="solid"/>
              </v:shape>
            </v:group>
            <v:group style="position:absolute;left:7680;top:8350;width:2996;height:312" coordorigin="7680,8350" coordsize="2996,312">
              <v:shape style="position:absolute;left:7680;top:8350;width:2996;height:312" coordorigin="7680,8350" coordsize="2996,312" path="m7680,8662l10675,8662,10675,8350,7680,8350,7680,8662xe" filled="true" fillcolor="#ffffff" stroked="false">
                <v:path arrowok="t"/>
                <v:fill type="solid"/>
              </v:shape>
            </v:group>
            <v:group style="position:absolute;left:1139;top:6900;width:3186;height:2" coordorigin="1139,6900" coordsize="3186,2">
              <v:shape style="position:absolute;left:1139;top:6900;width:3186;height:2" coordorigin="1139,6900" coordsize="3186,0" path="m1139,6900l4324,6900e" filled="false" stroked="true" strokeweight=".48pt" strokecolor="#000000">
                <v:path arrowok="t"/>
              </v:shape>
            </v:group>
            <v:group style="position:absolute;left:4334;top:6900;width:3314;height:2" coordorigin="4334,6900" coordsize="3314,2">
              <v:shape style="position:absolute;left:4334;top:6900;width:3314;height:2" coordorigin="4334,6900" coordsize="3314,0" path="m4334,6900l7647,6900e" filled="false" stroked="true" strokeweight=".48pt" strokecolor="#000000">
                <v:path arrowok="t"/>
              </v:shape>
            </v:group>
            <v:group style="position:absolute;left:7657;top:6900;width:3042;height:2" coordorigin="7657,6900" coordsize="3042,2">
              <v:shape style="position:absolute;left:7657;top:6900;width:3042;height:2" coordorigin="7657,6900" coordsize="3042,0" path="m7657,6900l10698,6900e" filled="false" stroked="true" strokeweight=".48pt" strokecolor="#000000">
                <v:path arrowok="t"/>
              </v:shape>
            </v:group>
            <v:group style="position:absolute;left:7652;top:1099;width:2;height:8393" coordorigin="7652,1099" coordsize="2,8393">
              <v:shape style="position:absolute;left:7652;top:1099;width:2;height:8393" coordorigin="7652,1099" coordsize="0,8393" path="m7652,1099l7652,9491e" filled="false" stroked="true" strokeweight=".48pt" strokecolor="#000000">
                <v:path arrowok="t"/>
              </v:shape>
            </v:group>
            <v:group style="position:absolute;left:1150;top:9491;width:2;height:393" coordorigin="1150,9491" coordsize="2,393">
              <v:shape style="position:absolute;left:1150;top:9491;width:2;height:393" coordorigin="1150,9491" coordsize="0,393" path="m1150,9491l1150,9884e" filled="false" stroked="true" strokeweight="1.140pt" strokecolor="#d2d2d2">
                <v:path arrowok="t"/>
              </v:shape>
            </v:group>
            <v:group style="position:absolute;left:4311;top:9491;width:2;height:393" coordorigin="4311,9491" coordsize="2,393">
              <v:shape style="position:absolute;left:4311;top:9491;width:2;height:393" coordorigin="4311,9491" coordsize="0,393" path="m4311,9491l4311,9884e" filled="false" stroked="true" strokeweight="1.140pt" strokecolor="#d2d2d2">
                <v:path arrowok="t"/>
              </v:shape>
            </v:group>
            <v:group style="position:absolute;left:1162;top:9491;width:3139;height:393" coordorigin="1162,9491" coordsize="3139,393">
              <v:shape style="position:absolute;left:1162;top:9491;width:3139;height:393" coordorigin="1162,9491" coordsize="3139,393" path="m1162,9884l4300,9884,4300,9491,1162,9491,1162,9884xe" filled="true" fillcolor="#d2d2d2" stroked="false">
                <v:path arrowok="t"/>
                <v:fill type="solid"/>
              </v:shape>
            </v:group>
            <v:group style="position:absolute;left:1139;top:9487;width:3186;height:2" coordorigin="1139,9487" coordsize="3186,2">
              <v:shape style="position:absolute;left:1139;top:9487;width:3186;height:2" coordorigin="1139,9487" coordsize="3186,0" path="m1139,9487l4324,9487e" filled="false" stroked="true" strokeweight=".48pt" strokecolor="#000000">
                <v:path arrowok="t"/>
              </v:shape>
            </v:group>
            <v:group style="position:absolute;left:4334;top:9487;width:3314;height:2" coordorigin="4334,9487" coordsize="3314,2">
              <v:shape style="position:absolute;left:4334;top:9487;width:3314;height:2" coordorigin="4334,9487" coordsize="3314,0" path="m4334,9487l7647,9487e" filled="false" stroked="true" strokeweight=".48pt" strokecolor="#000000">
                <v:path arrowok="t"/>
              </v:shape>
            </v:group>
            <v:group style="position:absolute;left:7657;top:9487;width:3042;height:2" coordorigin="7657,9487" coordsize="3042,2">
              <v:shape style="position:absolute;left:7657;top:9487;width:3042;height:2" coordorigin="7657,9487" coordsize="3042,0" path="m7657,9487l10698,9487e" filled="false" stroked="true" strokeweight=".48pt" strokecolor="#000000">
                <v:path arrowok="t"/>
              </v:shape>
            </v:group>
            <v:group style="position:absolute;left:1150;top:9893;width:2;height:393" coordorigin="1150,9893" coordsize="2,393">
              <v:shape style="position:absolute;left:1150;top:9893;width:2;height:393" coordorigin="1150,9893" coordsize="0,393" path="m1150,9893l1150,10286e" filled="false" stroked="true" strokeweight="1.140pt" strokecolor="#d2d2d2">
                <v:path arrowok="t"/>
              </v:shape>
            </v:group>
            <v:group style="position:absolute;left:4311;top:9893;width:2;height:393" coordorigin="4311,9893" coordsize="2,393">
              <v:shape style="position:absolute;left:4311;top:9893;width:2;height:393" coordorigin="4311,9893" coordsize="0,393" path="m4311,9893l4311,10286e" filled="false" stroked="true" strokeweight="1.140pt" strokecolor="#d2d2d2">
                <v:path arrowok="t"/>
              </v:shape>
            </v:group>
            <v:group style="position:absolute;left:1162;top:9893;width:3139;height:393" coordorigin="1162,9893" coordsize="3139,393">
              <v:shape style="position:absolute;left:1162;top:9893;width:3139;height:393" coordorigin="1162,9893" coordsize="3139,393" path="m1162,10286l4300,10286,4300,9893,1162,9893,1162,10286xe" filled="true" fillcolor="#d2d2d2" stroked="false">
                <v:path arrowok="t"/>
                <v:fill type="solid"/>
              </v:shape>
            </v:group>
            <v:group style="position:absolute;left:1139;top:9889;width:3186;height:2" coordorigin="1139,9889" coordsize="3186,2">
              <v:shape style="position:absolute;left:1139;top:9889;width:3186;height:2" coordorigin="1139,9889" coordsize="3186,0" path="m1139,9889l4324,9889e" filled="false" stroked="true" strokeweight=".48pt" strokecolor="#000000">
                <v:path arrowok="t"/>
              </v:shape>
            </v:group>
            <v:group style="position:absolute;left:4334;top:9889;width:6365;height:2" coordorigin="4334,9889" coordsize="6365,2">
              <v:shape style="position:absolute;left:4334;top:9889;width:6365;height:2" coordorigin="4334,9889" coordsize="6365,0" path="m4334,9889l10698,9889e" filled="false" stroked="true" strokeweight=".48pt" strokecolor="#000000">
                <v:path arrowok="t"/>
              </v:shape>
            </v:group>
            <v:group style="position:absolute;left:1150;top:10295;width:2;height:393" coordorigin="1150,10295" coordsize="2,393">
              <v:shape style="position:absolute;left:1150;top:10295;width:2;height:393" coordorigin="1150,10295" coordsize="0,393" path="m1150,10295l1150,10688e" filled="false" stroked="true" strokeweight="1.140pt" strokecolor="#d2d2d2">
                <v:path arrowok="t"/>
              </v:shape>
            </v:group>
            <v:group style="position:absolute;left:4311;top:10295;width:2;height:393" coordorigin="4311,10295" coordsize="2,393">
              <v:shape style="position:absolute;left:4311;top:10295;width:2;height:393" coordorigin="4311,10295" coordsize="0,393" path="m4311,10295l4311,10688e" filled="false" stroked="true" strokeweight="1.140pt" strokecolor="#d2d2d2">
                <v:path arrowok="t"/>
              </v:shape>
            </v:group>
            <v:group style="position:absolute;left:1162;top:10295;width:3139;height:393" coordorigin="1162,10295" coordsize="3139,393">
              <v:shape style="position:absolute;left:1162;top:10295;width:3139;height:393" coordorigin="1162,10295" coordsize="3139,393" path="m1162,10688l4300,10688,4300,10295,1162,10295,1162,10688xe" filled="true" fillcolor="#d2d2d2" stroked="false">
                <v:path arrowok="t"/>
                <v:fill type="solid"/>
              </v:shape>
            </v:group>
            <v:group style="position:absolute;left:1139;top:10291;width:3186;height:2" coordorigin="1139,10291" coordsize="3186,2">
              <v:shape style="position:absolute;left:1139;top:10291;width:3186;height:2" coordorigin="1139,10291" coordsize="3186,0" path="m1139,10291l4324,10291e" filled="false" stroked="true" strokeweight=".48pt" strokecolor="#000000">
                <v:path arrowok="t"/>
              </v:shape>
            </v:group>
            <v:group style="position:absolute;left:4334;top:10291;width:6365;height:2" coordorigin="4334,10291" coordsize="6365,2">
              <v:shape style="position:absolute;left:4334;top:10291;width:6365;height:2" coordorigin="4334,10291" coordsize="6365,0" path="m4334,10291l10698,10291e" filled="false" stroked="true" strokeweight=".48pt" strokecolor="#000000">
                <v:path arrowok="t"/>
              </v:shape>
            </v:group>
            <v:group style="position:absolute;left:1150;top:10697;width:2;height:393" coordorigin="1150,10697" coordsize="2,393">
              <v:shape style="position:absolute;left:1150;top:10697;width:2;height:393" coordorigin="1150,10697" coordsize="0,393" path="m1150,10697l1150,11090e" filled="false" stroked="true" strokeweight="1.140pt" strokecolor="#d2d2d2">
                <v:path arrowok="t"/>
              </v:shape>
            </v:group>
            <v:group style="position:absolute;left:4311;top:10697;width:2;height:393" coordorigin="4311,10697" coordsize="2,393">
              <v:shape style="position:absolute;left:4311;top:10697;width:2;height:393" coordorigin="4311,10697" coordsize="0,393" path="m4311,10697l4311,11090e" filled="false" stroked="true" strokeweight="1.140pt" strokecolor="#d2d2d2">
                <v:path arrowok="t"/>
              </v:shape>
            </v:group>
            <v:group style="position:absolute;left:1162;top:10697;width:3139;height:393" coordorigin="1162,10697" coordsize="3139,393">
              <v:shape style="position:absolute;left:1162;top:10697;width:3139;height:393" coordorigin="1162,10697" coordsize="3139,393" path="m1162,11090l4300,11090,4300,10697,1162,10697,1162,11090xe" filled="true" fillcolor="#d2d2d2" stroked="false">
                <v:path arrowok="t"/>
                <v:fill type="solid"/>
              </v:shape>
            </v:group>
            <v:group style="position:absolute;left:1139;top:10693;width:3186;height:2" coordorigin="1139,10693" coordsize="3186,2">
              <v:shape style="position:absolute;left:1139;top:10693;width:3186;height:2" coordorigin="1139,10693" coordsize="3186,0" path="m1139,10693l4324,10693e" filled="false" stroked="true" strokeweight=".48pt" strokecolor="#000000">
                <v:path arrowok="t"/>
              </v:shape>
            </v:group>
            <v:group style="position:absolute;left:4334;top:10693;width:6365;height:2" coordorigin="4334,10693" coordsize="6365,2">
              <v:shape style="position:absolute;left:4334;top:10693;width:6365;height:2" coordorigin="4334,10693" coordsize="6365,0" path="m4334,10693l10698,10693e" filled="false" stroked="true" strokeweight=".48pt" strokecolor="#000000">
                <v:path arrowok="t"/>
              </v:shape>
            </v:group>
            <v:group style="position:absolute;left:1134;top:-17;width:2;height:11117" coordorigin="1134,-17" coordsize="2,11117">
              <v:shape style="position:absolute;left:1134;top:-17;width:2;height:11117" coordorigin="1134,-17" coordsize="0,11117" path="m1134,-17l1134,11099e" filled="false" stroked="true" strokeweight=".48pt" strokecolor="#000000">
                <v:path arrowok="t"/>
              </v:shape>
            </v:group>
            <v:group style="position:absolute;left:1139;top:11095;width:3186;height:2" coordorigin="1139,11095" coordsize="3186,2">
              <v:shape style="position:absolute;left:1139;top:11095;width:3186;height:2" coordorigin="1139,11095" coordsize="3186,0" path="m1139,11095l4324,11095e" filled="false" stroked="true" strokeweight=".48pt" strokecolor="#000000">
                <v:path arrowok="t"/>
              </v:shape>
            </v:group>
            <v:group style="position:absolute;left:4329;top:1099;width:2;height:10001" coordorigin="4329,1099" coordsize="2,10001">
              <v:shape style="position:absolute;left:4329;top:1099;width:2;height:10001" coordorigin="4329,1099" coordsize="0,10001" path="m4329,1099l4329,11099e" filled="false" stroked="true" strokeweight=".48pt" strokecolor="#000000">
                <v:path arrowok="t"/>
              </v:shape>
            </v:group>
            <v:group style="position:absolute;left:4334;top:11095;width:6365;height:2" coordorigin="4334,11095" coordsize="6365,2">
              <v:shape style="position:absolute;left:4334;top:11095;width:6365;height:2" coordorigin="4334,11095" coordsize="6365,0" path="m4334,11095l10698,11095e" filled="false" stroked="true" strokeweight=".48pt" strokecolor="#000000">
                <v:path arrowok="t"/>
              </v:shape>
            </v:group>
            <v:group style="position:absolute;left:10703;top:-17;width:2;height:11117" coordorigin="10703,-17" coordsize="2,11117">
              <v:shape style="position:absolute;left:10703;top:-17;width:2;height:11117" coordorigin="10703,-17" coordsize="0,11117" path="m10703,-17l10703,11099e" filled="false" stroked="true" strokeweight=".48pt" strokecolor="#000000">
                <v:path arrowok="t"/>
              </v:shape>
            </v:group>
            <w10:wrap type="none"/>
          </v:group>
        </w:pict>
      </w:r>
      <w:r>
        <w:rPr>
          <w:rFonts w:ascii="宋体" w:hAnsi="宋体" w:cs="宋体" w:eastAsia="宋体" w:hint="default"/>
          <w:sz w:val="18"/>
          <w:szCs w:val="18"/>
        </w:rPr>
        <w:t>纳入评价范围单位营业收入占公司合并 财务报表营业收入的比例</w:t>
      </w:r>
    </w:p>
    <w:p>
      <w:pPr>
        <w:spacing w:line="240" w:lineRule="auto" w:before="5"/>
        <w:rPr>
          <w:rFonts w:ascii="宋体" w:hAnsi="宋体" w:cs="宋体" w:eastAsia="宋体" w:hint="default"/>
          <w:sz w:val="18"/>
          <w:szCs w:val="18"/>
        </w:rPr>
      </w:pPr>
      <w:r>
        <w:rPr/>
        <w:br w:type="column"/>
      </w:r>
      <w:r>
        <w:rPr>
          <w:rFonts w:ascii="宋体"/>
          <w:sz w:val="18"/>
        </w:rPr>
      </w:r>
    </w:p>
    <w:p>
      <w:pPr>
        <w:spacing w:before="0"/>
        <w:ind w:left="1143" w:right="1209" w:firstLine="0"/>
        <w:jc w:val="center"/>
        <w:rPr>
          <w:rFonts w:ascii="Times New Roman" w:hAnsi="Times New Roman" w:cs="Times New Roman" w:eastAsia="Times New Roman" w:hint="default"/>
          <w:sz w:val="18"/>
          <w:szCs w:val="18"/>
        </w:rPr>
      </w:pPr>
      <w:r>
        <w:rPr>
          <w:rFonts w:ascii="Times New Roman"/>
          <w:sz w:val="18"/>
        </w:rPr>
        <w:t>54.00%</w:t>
      </w:r>
    </w:p>
    <w:p>
      <w:pPr>
        <w:spacing w:after="0"/>
        <w:jc w:val="center"/>
        <w:rPr>
          <w:rFonts w:ascii="Times New Roman" w:hAnsi="Times New Roman" w:cs="Times New Roman" w:eastAsia="Times New Roman" w:hint="default"/>
          <w:sz w:val="18"/>
          <w:szCs w:val="18"/>
        </w:rPr>
        <w:sectPr>
          <w:type w:val="continuous"/>
          <w:pgSz w:w="11910" w:h="16840"/>
          <w:pgMar w:top="1060" w:bottom="1160" w:left="0" w:right="0"/>
          <w:cols w:num="2" w:equalWidth="0">
            <w:col w:w="4222" w:space="4737"/>
            <w:col w:w="2951"/>
          </w:cols>
        </w:sectPr>
      </w:pPr>
    </w:p>
    <w:p>
      <w:pPr>
        <w:spacing w:before="106"/>
        <w:ind w:left="4022" w:right="4090" w:firstLine="0"/>
        <w:jc w:val="center"/>
        <w:rPr>
          <w:rFonts w:ascii="宋体" w:hAnsi="宋体" w:cs="宋体" w:eastAsia="宋体" w:hint="default"/>
          <w:sz w:val="18"/>
          <w:szCs w:val="18"/>
        </w:rPr>
      </w:pPr>
      <w:r>
        <w:rPr>
          <w:rFonts w:ascii="宋体" w:hAnsi="宋体" w:cs="宋体" w:eastAsia="宋体" w:hint="default"/>
          <w:sz w:val="18"/>
          <w:szCs w:val="18"/>
        </w:rPr>
        <w:t>缺陷认定标准</w:t>
      </w:r>
    </w:p>
    <w:p>
      <w:pPr>
        <w:spacing w:line="240" w:lineRule="auto" w:before="5"/>
        <w:rPr>
          <w:rFonts w:ascii="宋体" w:hAnsi="宋体" w:cs="宋体" w:eastAsia="宋体" w:hint="default"/>
          <w:sz w:val="9"/>
          <w:szCs w:val="9"/>
        </w:rPr>
      </w:pPr>
    </w:p>
    <w:p>
      <w:pPr>
        <w:tabs>
          <w:tab w:pos="5629" w:val="left" w:leader="none"/>
          <w:tab w:pos="8727" w:val="left" w:leader="none"/>
        </w:tabs>
        <w:spacing w:before="44"/>
        <w:ind w:left="2550" w:right="0" w:firstLine="0"/>
        <w:jc w:val="left"/>
        <w:rPr>
          <w:rFonts w:ascii="宋体" w:hAnsi="宋体" w:cs="宋体" w:eastAsia="宋体" w:hint="default"/>
          <w:sz w:val="18"/>
          <w:szCs w:val="18"/>
        </w:rPr>
      </w:pPr>
      <w:r>
        <w:rPr>
          <w:rFonts w:ascii="宋体" w:hAnsi="宋体" w:cs="宋体" w:eastAsia="宋体" w:hint="default"/>
          <w:sz w:val="18"/>
          <w:szCs w:val="18"/>
        </w:rPr>
        <w:t>类别</w:t>
        <w:tab/>
        <w:t>财务报告</w:t>
        <w:tab/>
        <w:t>非财务报告</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定性标准</w:t>
      </w:r>
    </w:p>
    <w:p>
      <w:pPr>
        <w:spacing w:before="44"/>
        <w:ind w:left="1161" w:right="1126"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具有以下特征的缺陷，</w:t>
      </w:r>
    </w:p>
    <w:p>
      <w:pPr>
        <w:spacing w:line="300" w:lineRule="auto" w:before="63"/>
        <w:ind w:left="1161" w:right="1126" w:firstLine="0"/>
        <w:jc w:val="left"/>
        <w:rPr>
          <w:rFonts w:ascii="宋体" w:hAnsi="宋体" w:cs="宋体" w:eastAsia="宋体" w:hint="default"/>
          <w:sz w:val="18"/>
          <w:szCs w:val="18"/>
        </w:rPr>
      </w:pPr>
      <w:r>
        <w:rPr/>
        <w:pict>
          <v:shape style="position:absolute;margin-left:313.634003pt;margin-top:-15.018254pt;width:221.3pt;height:15.6pt;mso-position-horizontal-relative:page;mso-position-vertical-relative:paragraph;z-index:-14603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认定为重大缺陷：</w:t>
                  </w:r>
                </w:p>
              </w:txbxContent>
            </v:textbox>
            <w10:wrap type="none"/>
          </v:shape>
        </w:pic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）审计委员会和审计部门对公司财务报</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、具有下列特征的缺陷，为重大缺陷：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告的内部控制监督无效；（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w:t>
      </w:r>
      <w:r>
        <w:rPr>
          <w:rFonts w:ascii="宋体" w:hAnsi="宋体" w:cs="宋体" w:eastAsia="宋体" w:hint="default"/>
          <w:spacing w:val="10"/>
          <w:sz w:val="18"/>
          <w:szCs w:val="18"/>
        </w:rPr>
        <w:t> </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）公司决策程序导致重大失误；（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5"/>
          <w:sz w:val="18"/>
          <w:szCs w:val="18"/>
        </w:rPr>
        <w:t>监事和高级管理人员舞弊；（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）外部审计</w:t>
      </w:r>
      <w:r>
        <w:rPr>
          <w:rFonts w:ascii="宋体" w:hAnsi="宋体" w:cs="宋体" w:eastAsia="宋体" w:hint="default"/>
          <w:spacing w:val="-7"/>
          <w:sz w:val="18"/>
          <w:szCs w:val="18"/>
        </w:rPr>
        <w:t> </w:t>
      </w:r>
      <w:r>
        <w:rPr>
          <w:rFonts w:ascii="宋体" w:hAnsi="宋体" w:cs="宋体" w:eastAsia="宋体" w:hint="default"/>
          <w:sz w:val="18"/>
          <w:szCs w:val="18"/>
        </w:rPr>
        <w:t>重要业务缺乏制度控制或制度系统性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师发现当期财务报表存在重大错报，而内</w:t>
      </w:r>
      <w:r>
        <w:rPr>
          <w:rFonts w:ascii="宋体" w:hAnsi="宋体" w:cs="宋体" w:eastAsia="宋体" w:hint="default"/>
          <w:spacing w:val="-5"/>
          <w:sz w:val="18"/>
          <w:szCs w:val="18"/>
        </w:rPr>
        <w:t> </w:t>
      </w:r>
      <w:r>
        <w:rPr>
          <w:rFonts w:ascii="宋体" w:hAnsi="宋体" w:cs="宋体" w:eastAsia="宋体" w:hint="default"/>
          <w:spacing w:val="-9"/>
          <w:sz w:val="18"/>
          <w:szCs w:val="18"/>
        </w:rPr>
        <w:t>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）缺陷发生的可能性高，会严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部控制运行过程中未能发现该错报；（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 </w:t>
      </w:r>
      <w:r>
        <w:rPr>
          <w:rFonts w:ascii="宋体" w:hAnsi="宋体" w:cs="宋体" w:eastAsia="宋体" w:hint="default"/>
          <w:spacing w:val="-4"/>
          <w:sz w:val="18"/>
          <w:szCs w:val="18"/>
        </w:rPr>
        <w:t>重降低工作效率或效果，或严重偏离预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其他可能导致公司严重偏离控制目标的缺</w:t>
      </w:r>
      <w:r>
        <w:rPr>
          <w:rFonts w:ascii="宋体" w:hAnsi="宋体" w:cs="宋体" w:eastAsia="宋体" w:hint="default"/>
          <w:spacing w:val="-5"/>
          <w:sz w:val="18"/>
          <w:szCs w:val="18"/>
        </w:rPr>
        <w:t> </w:t>
      </w:r>
      <w:r>
        <w:rPr>
          <w:rFonts w:ascii="宋体" w:hAnsi="宋体" w:cs="宋体" w:eastAsia="宋体" w:hint="default"/>
          <w:sz w:val="18"/>
          <w:szCs w:val="18"/>
        </w:rPr>
        <w:t>期目标。</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、具有下列特征的缺陷，为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陷。</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、具有以下特征的缺陷，为重要缺陷：重要缺陷：</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）公司决策程序导致一</w:t>
      </w:r>
    </w:p>
    <w:p>
      <w:pPr>
        <w:spacing w:line="300" w:lineRule="auto" w:before="13"/>
        <w:ind w:left="1161" w:right="115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3"/>
          <w:sz w:val="18"/>
          <w:szCs w:val="18"/>
        </w:rPr>
        <w:t>）</w:t>
      </w:r>
      <w:r>
        <w:rPr>
          <w:rFonts w:ascii="宋体" w:hAnsi="宋体" w:cs="宋体" w:eastAsia="宋体" w:hint="default"/>
          <w:sz w:val="18"/>
          <w:szCs w:val="18"/>
        </w:rPr>
        <w:t>未依照</w:t>
      </w:r>
      <w:r>
        <w:rPr>
          <w:rFonts w:ascii="宋体" w:hAnsi="宋体" w:cs="宋体" w:eastAsia="宋体" w:hint="default"/>
          <w:spacing w:val="-2"/>
          <w:sz w:val="18"/>
          <w:szCs w:val="18"/>
        </w:rPr>
        <w:t>公</w:t>
      </w:r>
      <w:r>
        <w:rPr>
          <w:rFonts w:ascii="宋体" w:hAnsi="宋体" w:cs="宋体" w:eastAsia="宋体" w:hint="default"/>
          <w:sz w:val="18"/>
          <w:szCs w:val="18"/>
        </w:rPr>
        <w:t>认会计准则选择和应用会计</w:t>
      </w:r>
      <w:r>
        <w:rPr>
          <w:rFonts w:ascii="宋体" w:hAnsi="宋体" w:cs="宋体" w:eastAsia="宋体" w:hint="default"/>
          <w:spacing w:val="-34"/>
          <w:sz w:val="18"/>
          <w:szCs w:val="18"/>
        </w:rPr>
        <w:t> </w:t>
      </w:r>
      <w:r>
        <w:rPr>
          <w:rFonts w:ascii="宋体" w:hAnsi="宋体" w:cs="宋体" w:eastAsia="宋体" w:hint="default"/>
          <w:sz w:val="18"/>
          <w:szCs w:val="18"/>
        </w:rPr>
        <w:t>般性失误</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3"/>
          <w:sz w:val="18"/>
          <w:szCs w:val="18"/>
        </w:rPr>
        <w:t>）</w:t>
      </w:r>
      <w:r>
        <w:rPr>
          <w:rFonts w:ascii="宋体" w:hAnsi="宋体" w:cs="宋体" w:eastAsia="宋体" w:hint="default"/>
          <w:sz w:val="18"/>
          <w:szCs w:val="18"/>
        </w:rPr>
        <w:t>重要业务制度或系统存</w:t>
      </w:r>
      <w:r>
        <w:rPr>
          <w:rFonts w:ascii="宋体" w:hAnsi="宋体" w:cs="宋体" w:eastAsia="宋体" w:hint="default"/>
          <w:sz w:val="18"/>
          <w:szCs w:val="18"/>
        </w:rPr>
        <w:t> 政策</w:t>
      </w:r>
      <w:r>
        <w:rPr>
          <w:rFonts w:ascii="宋体" w:hAnsi="宋体" w:cs="宋体" w:eastAsia="宋体" w:hint="default"/>
          <w:spacing w:val="-12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2"/>
          <w:sz w:val="18"/>
          <w:szCs w:val="18"/>
        </w:rPr>
        <w:t>）</w:t>
      </w:r>
      <w:r>
        <w:rPr>
          <w:rFonts w:ascii="宋体" w:hAnsi="宋体" w:cs="宋体" w:eastAsia="宋体" w:hint="default"/>
          <w:sz w:val="18"/>
          <w:szCs w:val="18"/>
        </w:rPr>
        <w:t>未</w:t>
      </w:r>
      <w:r>
        <w:rPr>
          <w:rFonts w:ascii="宋体" w:hAnsi="宋体" w:cs="宋体" w:eastAsia="宋体" w:hint="default"/>
          <w:spacing w:val="-2"/>
          <w:sz w:val="18"/>
          <w:szCs w:val="18"/>
        </w:rPr>
        <w:t>建</w:t>
      </w:r>
      <w:r>
        <w:rPr>
          <w:rFonts w:ascii="宋体" w:hAnsi="宋体" w:cs="宋体" w:eastAsia="宋体" w:hint="default"/>
          <w:sz w:val="18"/>
          <w:szCs w:val="18"/>
        </w:rPr>
        <w:t>立反舞弊程序和控制措施</w:t>
      </w:r>
      <w:r>
        <w:rPr>
          <w:rFonts w:ascii="宋体" w:hAnsi="宋体" w:cs="宋体" w:eastAsia="宋体" w:hint="default"/>
          <w:spacing w:val="-34"/>
          <w:sz w:val="18"/>
          <w:szCs w:val="18"/>
        </w:rPr>
        <w:t>；</w:t>
      </w:r>
      <w:r>
        <w:rPr>
          <w:rFonts w:ascii="宋体" w:hAnsi="宋体" w:cs="宋体" w:eastAsia="宋体" w:hint="default"/>
          <w:sz w:val="18"/>
          <w:szCs w:val="18"/>
        </w:rPr>
        <w:t>在缺陷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）缺陷发生的可能性较高，</w:t>
      </w:r>
    </w:p>
    <w:p>
      <w:pPr>
        <w:spacing w:line="300" w:lineRule="auto" w:before="13"/>
        <w:ind w:left="1161" w:right="1124"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29"/>
          <w:sz w:val="18"/>
          <w:szCs w:val="18"/>
        </w:rPr>
        <w:t> </w:t>
      </w:r>
      <w:r>
        <w:rPr>
          <w:rFonts w:ascii="宋体" w:hAnsi="宋体" w:cs="宋体" w:eastAsia="宋体" w:hint="default"/>
          <w:spacing w:val="-4"/>
          <w:sz w:val="18"/>
          <w:szCs w:val="18"/>
        </w:rPr>
        <w:t>会显著降低工作效率或效果，或显著偏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有建立相应的控制程序；（</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）对于期末的</w:t>
      </w:r>
      <w:r>
        <w:rPr>
          <w:rFonts w:ascii="宋体" w:hAnsi="宋体" w:cs="宋体" w:eastAsia="宋体" w:hint="default"/>
          <w:spacing w:val="3"/>
          <w:sz w:val="18"/>
          <w:szCs w:val="18"/>
        </w:rPr>
        <w:t> </w:t>
      </w:r>
      <w:r>
        <w:rPr>
          <w:rFonts w:ascii="宋体" w:hAnsi="宋体" w:cs="宋体" w:eastAsia="宋体" w:hint="default"/>
          <w:spacing w:val="-4"/>
          <w:sz w:val="18"/>
          <w:szCs w:val="18"/>
        </w:rPr>
        <w:t>离预期目标。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、具有下列特征的缺陷，</w:t>
      </w:r>
    </w:p>
    <w:p>
      <w:pPr>
        <w:spacing w:after="0" w:line="300" w:lineRule="auto"/>
        <w:jc w:val="left"/>
        <w:rPr>
          <w:rFonts w:ascii="宋体" w:hAnsi="宋体" w:cs="宋体" w:eastAsia="宋体" w:hint="default"/>
          <w:sz w:val="18"/>
          <w:szCs w:val="18"/>
        </w:rPr>
        <w:sectPr>
          <w:type w:val="continuous"/>
          <w:pgSz w:w="11910" w:h="16840"/>
          <w:pgMar w:top="1060" w:bottom="1160" w:left="0" w:right="0"/>
          <w:cols w:num="2" w:equalWidth="0">
            <w:col w:w="1882" w:space="1313"/>
            <w:col w:w="8715"/>
          </w:cols>
        </w:sectPr>
      </w:pPr>
    </w:p>
    <w:p>
      <w:pPr>
        <w:tabs>
          <w:tab w:pos="7679" w:val="left" w:leader="none"/>
        </w:tabs>
        <w:spacing w:before="13"/>
        <w:ind w:left="4356" w:right="0" w:firstLine="0"/>
        <w:jc w:val="left"/>
        <w:rPr>
          <w:rFonts w:ascii="宋体" w:hAnsi="宋体" w:cs="宋体" w:eastAsia="宋体" w:hint="default"/>
          <w:sz w:val="18"/>
          <w:szCs w:val="18"/>
        </w:rPr>
      </w:pPr>
      <w:r>
        <w:rPr>
          <w:rFonts w:ascii="宋体" w:hAnsi="宋体" w:cs="宋体" w:eastAsia="宋体" w:hint="default"/>
          <w:sz w:val="18"/>
          <w:szCs w:val="18"/>
        </w:rPr>
        <w:t>财务报告过程的控制存在一项或多项缺</w:t>
        <w:tab/>
        <w:t>为一般缺陷</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3"/>
          <w:sz w:val="18"/>
          <w:szCs w:val="18"/>
        </w:rPr>
        <w:t>）</w:t>
      </w:r>
      <w:r>
        <w:rPr>
          <w:rFonts w:ascii="宋体" w:hAnsi="宋体" w:cs="宋体" w:eastAsia="宋体" w:hint="default"/>
          <w:sz w:val="18"/>
          <w:szCs w:val="18"/>
        </w:rPr>
        <w:t>公司决策程序效率不</w:t>
      </w:r>
    </w:p>
    <w:p>
      <w:pPr>
        <w:spacing w:line="300" w:lineRule="auto" w:before="63"/>
        <w:ind w:left="4356" w:right="1124" w:firstLine="0"/>
        <w:jc w:val="left"/>
        <w:rPr>
          <w:rFonts w:ascii="宋体" w:hAnsi="宋体" w:cs="宋体" w:eastAsia="宋体" w:hint="default"/>
          <w:sz w:val="18"/>
          <w:szCs w:val="18"/>
        </w:rPr>
      </w:pPr>
      <w:r>
        <w:rPr>
          <w:rFonts w:ascii="宋体" w:hAnsi="宋体" w:cs="宋体" w:eastAsia="宋体" w:hint="default"/>
          <w:sz w:val="18"/>
          <w:szCs w:val="18"/>
        </w:rPr>
        <w:t>陷，虽未达到重大缺陷标准，但影响财务</w:t>
      </w:r>
      <w:r>
        <w:rPr>
          <w:rFonts w:ascii="宋体" w:hAnsi="宋体" w:cs="宋体" w:eastAsia="宋体" w:hint="default"/>
          <w:spacing w:val="-7"/>
          <w:sz w:val="18"/>
          <w:szCs w:val="18"/>
        </w:rPr>
        <w:t> </w:t>
      </w:r>
      <w:r>
        <w:rPr>
          <w:rFonts w:ascii="宋体" w:hAnsi="宋体" w:cs="宋体" w:eastAsia="宋体" w:hint="default"/>
          <w:spacing w:val="-13"/>
          <w:sz w:val="18"/>
          <w:szCs w:val="18"/>
        </w:rPr>
        <w:t>高；（</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）一般业务制度或系统存在缺陷；</w:t>
      </w:r>
      <w:r>
        <w:rPr>
          <w:rFonts w:ascii="宋体" w:hAnsi="宋体" w:cs="宋体" w:eastAsia="宋体" w:hint="default"/>
          <w:sz w:val="18"/>
          <w:szCs w:val="18"/>
        </w:rPr>
        <w:t> </w:t>
      </w:r>
      <w:r>
        <w:rPr>
          <w:rFonts w:ascii="宋体" w:hAnsi="宋体" w:cs="宋体" w:eastAsia="宋体" w:hint="default"/>
          <w:spacing w:val="-4"/>
          <w:sz w:val="18"/>
          <w:szCs w:val="18"/>
        </w:rPr>
        <w:t>报告达到合理、准确的目标。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、除上述重</w:t>
      </w:r>
      <w:r>
        <w:rPr>
          <w:rFonts w:ascii="宋体" w:hAnsi="宋体" w:cs="宋体" w:eastAsia="宋体" w:hint="default"/>
          <w:spacing w:val="-3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）缺陷发生的可能性较小，会降低</w:t>
      </w:r>
      <w:r>
        <w:rPr>
          <w:rFonts w:ascii="宋体" w:hAnsi="宋体" w:cs="宋体" w:eastAsia="宋体" w:hint="default"/>
          <w:spacing w:val="-81"/>
          <w:sz w:val="18"/>
          <w:szCs w:val="18"/>
        </w:rPr>
        <w:t> </w:t>
      </w:r>
      <w:r>
        <w:rPr>
          <w:rFonts w:ascii="宋体" w:hAnsi="宋体" w:cs="宋体" w:eastAsia="宋体" w:hint="default"/>
          <w:sz w:val="18"/>
          <w:szCs w:val="18"/>
        </w:rPr>
        <w:t>大缺陷、重要缺陷之外的其他控制缺陷，</w:t>
      </w:r>
      <w:r>
        <w:rPr>
          <w:rFonts w:ascii="宋体" w:hAnsi="宋体" w:cs="宋体" w:eastAsia="宋体" w:hint="default"/>
          <w:spacing w:val="-7"/>
          <w:sz w:val="18"/>
          <w:szCs w:val="18"/>
        </w:rPr>
        <w:t> </w:t>
      </w:r>
      <w:r>
        <w:rPr>
          <w:rFonts w:ascii="宋体" w:hAnsi="宋体" w:cs="宋体" w:eastAsia="宋体" w:hint="default"/>
          <w:sz w:val="18"/>
          <w:szCs w:val="18"/>
        </w:rPr>
        <w:t>工作效率或</w:t>
      </w:r>
    </w:p>
    <w:p>
      <w:pPr>
        <w:spacing w:before="31"/>
        <w:ind w:left="2519" w:right="4090" w:firstLine="0"/>
        <w:jc w:val="center"/>
        <w:rPr>
          <w:rFonts w:ascii="宋体" w:hAnsi="宋体" w:cs="宋体" w:eastAsia="宋体" w:hint="default"/>
          <w:sz w:val="18"/>
          <w:szCs w:val="18"/>
        </w:rPr>
      </w:pPr>
      <w:r>
        <w:rPr>
          <w:rFonts w:ascii="宋体" w:hAnsi="宋体" w:cs="宋体" w:eastAsia="宋体" w:hint="default"/>
          <w:sz w:val="18"/>
          <w:szCs w:val="18"/>
        </w:rPr>
        <w:t>则认定为一般缺陷。</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spacing w:line="212" w:lineRule="exact"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定量标准</w:t>
      </w:r>
    </w:p>
    <w:p>
      <w:pPr>
        <w:spacing w:line="316" w:lineRule="auto" w:before="44"/>
        <w:ind w:left="116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财务报告内部控制缺陷定量标准以合并会 计报表营业收入为衡量指标。内部控制缺 陷单独或连同其他缺陷可能导致的财务报 告错报金额大于或等于营业收入的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312" w:lineRule="exact" w:before="161"/>
        <w:ind w:left="43" w:right="1125" w:firstLine="0"/>
        <w:jc w:val="left"/>
        <w:rPr>
          <w:rFonts w:ascii="宋体" w:hAnsi="宋体" w:cs="宋体" w:eastAsia="宋体" w:hint="default"/>
          <w:sz w:val="18"/>
          <w:szCs w:val="18"/>
        </w:rPr>
      </w:pPr>
      <w:r>
        <w:rPr/>
        <w:br w:type="column"/>
      </w:r>
      <w:r>
        <w:rPr>
          <w:rFonts w:ascii="宋体" w:hAnsi="宋体" w:cs="宋体" w:eastAsia="宋体" w:hint="default"/>
          <w:sz w:val="18"/>
          <w:szCs w:val="18"/>
        </w:rPr>
        <w:t>如果某项内部控制缺陷单独或连同其 他缺陷可能导致的损失金额大于或等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，则认定为重大缺陷；</w:t>
      </w:r>
      <w:r>
        <w:rPr>
          <w:rFonts w:ascii="宋体" w:hAnsi="宋体" w:cs="宋体" w:eastAsia="宋体" w:hint="default"/>
          <w:sz w:val="18"/>
          <w:szCs w:val="18"/>
        </w:rPr>
        <w:t> 损失金额小于营业收入的</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，大于或</w:t>
      </w:r>
    </w:p>
    <w:p>
      <w:pPr>
        <w:spacing w:after="0" w:line="312" w:lineRule="exact"/>
        <w:jc w:val="left"/>
        <w:rPr>
          <w:rFonts w:ascii="宋体" w:hAnsi="宋体" w:cs="宋体" w:eastAsia="宋体" w:hint="default"/>
          <w:sz w:val="18"/>
          <w:szCs w:val="18"/>
        </w:rPr>
        <w:sectPr>
          <w:type w:val="continuous"/>
          <w:pgSz w:w="11910" w:h="16840"/>
          <w:pgMar w:top="1060" w:bottom="1160" w:left="0" w:right="0"/>
          <w:cols w:num="3" w:equalWidth="0">
            <w:col w:w="1882" w:space="1313"/>
            <w:col w:w="4402" w:space="40"/>
            <w:col w:w="4273"/>
          </w:cols>
        </w:sectPr>
      </w:pPr>
    </w:p>
    <w:p>
      <w:pPr>
        <w:spacing w:line="86" w:lineRule="exact" w:before="0"/>
        <w:ind w:left="4090" w:right="3926" w:firstLine="0"/>
        <w:jc w:val="center"/>
        <w:rPr>
          <w:rFonts w:ascii="宋体" w:hAnsi="宋体" w:cs="宋体" w:eastAsia="宋体" w:hint="default"/>
          <w:sz w:val="18"/>
          <w:szCs w:val="18"/>
        </w:rPr>
      </w:pPr>
      <w:r>
        <w:rPr>
          <w:rFonts w:ascii="宋体" w:hAnsi="宋体" w:cs="宋体" w:eastAsia="宋体" w:hint="default"/>
          <w:spacing w:val="-3"/>
          <w:sz w:val="18"/>
          <w:szCs w:val="18"/>
        </w:rPr>
        <w:t>则认定为重大缺陷；小于营业收入的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165" w:lineRule="exact" w:before="0"/>
        <w:ind w:left="7679" w:right="0" w:firstLine="0"/>
        <w:jc w:val="left"/>
        <w:rPr>
          <w:rFonts w:ascii="宋体" w:hAnsi="宋体" w:cs="宋体" w:eastAsia="宋体" w:hint="default"/>
          <w:sz w:val="18"/>
          <w:szCs w:val="18"/>
        </w:rPr>
      </w:pPr>
      <w:r>
        <w:rPr>
          <w:rFonts w:ascii="宋体" w:hAnsi="宋体" w:cs="宋体" w:eastAsia="宋体" w:hint="default"/>
          <w:sz w:val="18"/>
          <w:szCs w:val="18"/>
        </w:rPr>
        <w:t>等于营业收入的</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，则认定为重要缺</w:t>
      </w:r>
    </w:p>
    <w:p>
      <w:pPr>
        <w:spacing w:after="0" w:line="165" w:lineRule="exact"/>
        <w:jc w:val="left"/>
        <w:rPr>
          <w:rFonts w:ascii="宋体" w:hAnsi="宋体" w:cs="宋体" w:eastAsia="宋体" w:hint="default"/>
          <w:sz w:val="18"/>
          <w:szCs w:val="18"/>
        </w:rPr>
        <w:sectPr>
          <w:type w:val="continuous"/>
          <w:pgSz w:w="11910" w:h="16840"/>
          <w:pgMar w:top="1060" w:bottom="1160" w:left="0" w:right="0"/>
        </w:sectPr>
      </w:pPr>
    </w:p>
    <w:p>
      <w:pPr>
        <w:spacing w:line="194" w:lineRule="exact" w:before="0"/>
        <w:ind w:left="4356" w:right="-20" w:firstLine="0"/>
        <w:jc w:val="left"/>
        <w:rPr>
          <w:rFonts w:ascii="宋体" w:hAnsi="宋体" w:cs="宋体" w:eastAsia="宋体" w:hint="default"/>
          <w:sz w:val="18"/>
          <w:szCs w:val="18"/>
        </w:rPr>
      </w:pPr>
      <w:r>
        <w:rPr>
          <w:rFonts w:ascii="宋体" w:hAnsi="宋体" w:cs="宋体" w:eastAsia="宋体" w:hint="default"/>
          <w:sz w:val="18"/>
          <w:szCs w:val="18"/>
        </w:rPr>
        <w:t>大于或等于营业收入的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w:t>
      </w:r>
    </w:p>
    <w:p>
      <w:pPr>
        <w:spacing w:line="302" w:lineRule="auto" w:before="63"/>
        <w:ind w:left="4356" w:right="-20" w:firstLine="0"/>
        <w:jc w:val="left"/>
        <w:rPr>
          <w:rFonts w:ascii="宋体" w:hAnsi="宋体" w:cs="宋体" w:eastAsia="宋体" w:hint="default"/>
          <w:sz w:val="18"/>
          <w:szCs w:val="18"/>
        </w:rPr>
      </w:pPr>
      <w:r>
        <w:rPr>
          <w:rFonts w:ascii="宋体" w:hAnsi="宋体" w:cs="宋体" w:eastAsia="宋体" w:hint="default"/>
          <w:sz w:val="18"/>
          <w:szCs w:val="18"/>
        </w:rPr>
        <w:t>要缺陷；小于营业收入的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一般缺陷。</w:t>
      </w:r>
    </w:p>
    <w:p>
      <w:pPr>
        <w:spacing w:line="302" w:lineRule="auto" w:before="100"/>
        <w:ind w:left="72" w:right="1230" w:firstLine="0"/>
        <w:jc w:val="left"/>
        <w:rPr>
          <w:rFonts w:ascii="宋体" w:hAnsi="宋体" w:cs="宋体" w:eastAsia="宋体" w:hint="default"/>
          <w:sz w:val="18"/>
          <w:szCs w:val="18"/>
        </w:rPr>
      </w:pPr>
      <w:r>
        <w:rPr/>
        <w:br w:type="column"/>
      </w:r>
      <w:r>
        <w:rPr>
          <w:rFonts w:ascii="宋体" w:hAnsi="宋体" w:cs="宋体" w:eastAsia="宋体" w:hint="default"/>
          <w:sz w:val="18"/>
          <w:szCs w:val="18"/>
        </w:rPr>
        <w:t>陷；损失金额小于营业收入的</w:t>
      </w:r>
      <w:r>
        <w:rPr>
          <w:rFonts w:ascii="宋体" w:hAnsi="宋体" w:cs="宋体" w:eastAsia="宋体" w:hint="default"/>
          <w:spacing w:val="-17"/>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，则</w:t>
      </w:r>
      <w:r>
        <w:rPr>
          <w:rFonts w:ascii="宋体" w:hAnsi="宋体" w:cs="宋体" w:eastAsia="宋体" w:hint="default"/>
          <w:spacing w:val="-18"/>
          <w:sz w:val="18"/>
          <w:szCs w:val="18"/>
        </w:rPr>
        <w:t> </w:t>
      </w:r>
      <w:r>
        <w:rPr>
          <w:rFonts w:ascii="宋体" w:hAnsi="宋体" w:cs="宋体" w:eastAsia="宋体" w:hint="default"/>
          <w:sz w:val="18"/>
          <w:szCs w:val="18"/>
        </w:rPr>
        <w:t>认定为一般缺陷</w:t>
      </w:r>
    </w:p>
    <w:p>
      <w:pPr>
        <w:spacing w:after="0" w:line="302" w:lineRule="auto"/>
        <w:jc w:val="left"/>
        <w:rPr>
          <w:rFonts w:ascii="宋体" w:hAnsi="宋体" w:cs="宋体" w:eastAsia="宋体" w:hint="default"/>
          <w:sz w:val="18"/>
          <w:szCs w:val="18"/>
        </w:rPr>
        <w:sectPr>
          <w:type w:val="continuous"/>
          <w:pgSz w:w="11910" w:h="16840"/>
          <w:pgMar w:top="1060" w:bottom="1160" w:left="0" w:right="0"/>
          <w:cols w:num="2" w:equalWidth="0">
            <w:col w:w="7567" w:space="40"/>
            <w:col w:w="4303"/>
          </w:cols>
        </w:sectPr>
      </w:pPr>
    </w:p>
    <w:p>
      <w:pPr>
        <w:tabs>
          <w:tab w:pos="10585" w:val="left" w:leader="none"/>
        </w:tabs>
        <w:spacing w:before="118"/>
        <w:ind w:left="1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10585" w:val="left" w:leader="none"/>
        </w:tabs>
        <w:spacing w:before="44"/>
        <w:ind w:left="1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10585" w:val="left" w:leader="none"/>
        </w:tabs>
        <w:spacing w:before="44"/>
        <w:ind w:left="1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9"/>
          <w:szCs w:val="9"/>
        </w:rPr>
      </w:pPr>
    </w:p>
    <w:p>
      <w:pPr>
        <w:tabs>
          <w:tab w:pos="10585" w:val="left" w:leader="none"/>
        </w:tabs>
        <w:spacing w:before="44"/>
        <w:ind w:left="116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非财务报告重要缺陷数量（个）</w:t>
      </w:r>
      <w:r>
        <w:rPr>
          <w:rFonts w:ascii="Times New Roman" w:hAnsi="Times New Roman" w:cs="Times New Roman" w:eastAsia="Times New Roman" w:hint="default"/>
          <w:sz w:val="18"/>
          <w:szCs w:val="18"/>
        </w:rPr>
        <w:tab/>
        <w:t>0</w:t>
      </w:r>
    </w:p>
    <w:p>
      <w:pPr>
        <w:spacing w:line="240" w:lineRule="auto" w:before="5"/>
        <w:rPr>
          <w:rFonts w:ascii="Times New Roman" w:hAnsi="Times New Roman" w:cs="Times New Roman" w:eastAsia="Times New Roman" w:hint="default"/>
          <w:sz w:val="29"/>
          <w:szCs w:val="29"/>
        </w:rPr>
      </w:pPr>
    </w:p>
    <w:p>
      <w:pPr>
        <w:pStyle w:val="Heading2"/>
        <w:spacing w:line="240" w:lineRule="auto" w:before="26"/>
        <w:ind w:left="1134"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090"/>
        <w:jc w:val="center"/>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350ZA0098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刘维、王肖生</w:t>
            </w:r>
          </w:p>
        </w:tc>
      </w:tr>
    </w:tbl>
    <w:p>
      <w:pPr>
        <w:spacing w:before="51"/>
        <w:ind w:left="4090" w:right="408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56"/>
        <w:ind w:left="4089" w:right="4090"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7" w:footer="979" w:top="1060" w:bottom="1160" w:left="0" w:right="0"/>
        </w:sectPr>
      </w:pPr>
    </w:p>
    <w:p>
      <w:pPr>
        <w:spacing w:line="240" w:lineRule="auto" w:before="13"/>
        <w:rPr>
          <w:rFonts w:ascii="宋体" w:hAnsi="宋体" w:cs="宋体" w:eastAsia="宋体" w:hint="default"/>
          <w:b/>
          <w:bCs/>
          <w:sz w:val="34"/>
          <w:szCs w:val="34"/>
        </w:rPr>
      </w:pPr>
    </w:p>
    <w:p>
      <w:pPr>
        <w:pStyle w:val="Heading2"/>
        <w:spacing w:line="331" w:lineRule="auto"/>
        <w:ind w:left="1616" w:right="0" w:hanging="483"/>
        <w:jc w:val="left"/>
        <w:rPr>
          <w:b w:val="0"/>
          <w:bCs w:val="0"/>
        </w:rPr>
      </w:pPr>
      <w:r>
        <w:rPr>
          <w:w w:val="95"/>
        </w:rPr>
        <w:t>红相股份有限公司全体股东：</w:t>
      </w:r>
      <w:r>
        <w:rPr>
          <w:spacing w:val="29"/>
          <w:w w:val="95"/>
        </w:rPr>
        <w:t> </w:t>
      </w:r>
      <w:r>
        <w:rPr/>
        <w:t>一、审计意见</w:t>
      </w:r>
      <w:r>
        <w:rPr>
          <w:b w:val="0"/>
          <w:bCs w:val="0"/>
        </w:rPr>
      </w:r>
    </w:p>
    <w:p>
      <w:pPr>
        <w:pStyle w:val="BodyText"/>
        <w:spacing w:line="240" w:lineRule="auto" w:before="26"/>
        <w:ind w:right="0"/>
        <w:jc w:val="left"/>
      </w:pPr>
      <w:r>
        <w:rPr/>
        <w:br w:type="column"/>
      </w:r>
      <w:r>
        <w:rPr/>
        <w:t>致同审字（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350ZA0098</w:t>
      </w:r>
      <w:r>
        <w:rPr/>
        <w:t>号</w:t>
      </w:r>
    </w:p>
    <w:p>
      <w:pPr>
        <w:spacing w:after="0" w:line="240" w:lineRule="auto"/>
        <w:jc w:val="left"/>
        <w:sectPr>
          <w:type w:val="continuous"/>
          <w:pgSz w:w="11910" w:h="16840"/>
          <w:pgMar w:top="1060" w:bottom="1160" w:left="0" w:right="0"/>
          <w:cols w:num="2" w:equalWidth="0">
            <w:col w:w="4264" w:space="1815"/>
            <w:col w:w="5831"/>
          </w:cols>
        </w:sectPr>
      </w:pPr>
    </w:p>
    <w:p>
      <w:pPr>
        <w:pStyle w:val="BodyText"/>
        <w:spacing w:line="312" w:lineRule="exact" w:before="58"/>
        <w:ind w:right="1129" w:firstLine="480"/>
        <w:jc w:val="both"/>
      </w:pPr>
      <w:r>
        <w:rPr/>
        <w:t>我们审计了红相股份有限公司（以下简称红相股份）财务报表，包括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spacing w:val="2"/>
        </w:rPr>
        <w:t> </w:t>
      </w:r>
      <w:r>
        <w:rPr/>
        <w:t>合并及公司资产负债表，</w:t>
      </w:r>
      <w:r>
        <w:rPr>
          <w:rFonts w:ascii="Times New Roman" w:hAnsi="Times New Roman" w:cs="Times New Roman" w:eastAsia="Times New Roman" w:hint="default"/>
        </w:rPr>
        <w:t>2017</w:t>
      </w:r>
      <w:r>
        <w:rPr/>
        <w:t>年度的合并及公司利润表、合并及公司现金流量表、合并及公</w:t>
      </w:r>
      <w:r>
        <w:rPr>
          <w:spacing w:val="-115"/>
        </w:rPr>
        <w:t> </w:t>
      </w:r>
      <w:r>
        <w:rPr>
          <w:spacing w:val="-115"/>
        </w:rPr>
      </w:r>
      <w:r>
        <w:rPr/>
        <w:t>司股东权益变动表以及相关财务报表附注。</w:t>
      </w:r>
    </w:p>
    <w:p>
      <w:pPr>
        <w:pStyle w:val="BodyText"/>
        <w:spacing w:line="312" w:lineRule="exact" w:before="120"/>
        <w:ind w:right="1134" w:firstLine="480"/>
        <w:jc w:val="both"/>
      </w:pPr>
      <w:r>
        <w:rPr/>
        <w:t>我们认为，后附的财务报表在所有重大方面按照企业会计准则的规定编制，公允反映了 红相股份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w:t>
      </w:r>
      <w:r>
        <w:rPr/>
        <w:t>年度的合并及公司的经营成果和现</w:t>
      </w:r>
      <w:r>
        <w:rPr>
          <w:spacing w:val="-107"/>
        </w:rPr>
        <w:t> </w:t>
      </w:r>
      <w:r>
        <w:rPr>
          <w:spacing w:val="-107"/>
        </w:rPr>
      </w:r>
      <w:r>
        <w:rPr/>
        <w:t>金流量。</w:t>
      </w:r>
    </w:p>
    <w:p>
      <w:pPr>
        <w:spacing w:line="432" w:lineRule="exact" w:before="24"/>
        <w:ind w:left="1630" w:right="0" w:hanging="14"/>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3"/>
          <w:sz w:val="24"/>
          <w:szCs w:val="24"/>
        </w:rPr>
        <w:t>我们按照中国注册会计师审计准则的规定执行了审计工作。审计报告的</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注册会计师对财</w:t>
      </w:r>
    </w:p>
    <w:p>
      <w:pPr>
        <w:pStyle w:val="BodyText"/>
        <w:spacing w:line="267" w:lineRule="exact"/>
        <w:ind w:right="0"/>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12" w:lineRule="exact" w:before="20"/>
        <w:ind w:right="0"/>
        <w:jc w:val="left"/>
      </w:pPr>
      <w:r>
        <w:rPr/>
        <w:t>德守则，我们独立于红相股份，并履行了职业道德方面的其他责任。我们相信，我们获取的 审计证据是充分、适当的，为发表审计意见提供了基础。</w:t>
      </w:r>
    </w:p>
    <w:p>
      <w:pPr>
        <w:pStyle w:val="BodyText"/>
        <w:spacing w:line="331" w:lineRule="auto" w:before="89"/>
        <w:ind w:left="1629" w:right="0" w:hanging="14"/>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220" w:lineRule="exact"/>
        <w:ind w:right="0"/>
        <w:jc w:val="left"/>
      </w:pPr>
      <w:r>
        <w:rPr/>
        <w:t>项的应对以对财务报表整体进行审计并形成审计意见为背景，我们不对这些事项单独发表意</w:t>
      </w:r>
    </w:p>
    <w:p>
      <w:pPr>
        <w:pStyle w:val="BodyText"/>
        <w:spacing w:line="313" w:lineRule="exact"/>
        <w:ind w:right="0"/>
        <w:jc w:val="left"/>
      </w:pPr>
      <w:r>
        <w:rPr/>
        <w:t>见。</w:t>
      </w:r>
    </w:p>
    <w:p>
      <w:pPr>
        <w:pStyle w:val="BodyText"/>
        <w:spacing w:line="432" w:lineRule="exact" w:before="53"/>
        <w:ind w:left="1630" w:right="4616"/>
        <w:jc w:val="left"/>
      </w:pPr>
      <w:r>
        <w:rPr/>
        <w:t>（一）应收账款坏账准备计提 相关信息披露详见财务报表附注三之</w:t>
      </w:r>
      <w:r>
        <w:rPr>
          <w:rFonts w:ascii="Times New Roman" w:hAnsi="Times New Roman" w:cs="Times New Roman" w:eastAsia="Times New Roman" w:hint="default"/>
        </w:rPr>
        <w:t>11</w:t>
      </w:r>
      <w:r>
        <w:rPr/>
        <w:t>、附注五之</w:t>
      </w:r>
      <w:r>
        <w:rPr>
          <w:rFonts w:ascii="Times New Roman" w:hAnsi="Times New Roman" w:cs="Times New Roman" w:eastAsia="Times New Roman" w:hint="default"/>
        </w:rPr>
        <w:t>3</w:t>
      </w:r>
      <w:r>
        <w:rPr/>
        <w:t>。 </w:t>
      </w:r>
      <w:r>
        <w:rPr>
          <w:rFonts w:ascii="Times New Roman" w:hAnsi="Times New Roman" w:cs="Times New Roman" w:eastAsia="Times New Roman" w:hint="default"/>
        </w:rPr>
        <w:t>1</w:t>
      </w:r>
      <w:r>
        <w:rPr/>
        <w:t>、事项描述</w:t>
      </w:r>
    </w:p>
    <w:p>
      <w:pPr>
        <w:pStyle w:val="BodyText"/>
        <w:spacing w:line="278" w:lineRule="exact"/>
        <w:ind w:left="1630"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日止，红相股份应收账款账面余额为人民币</w:t>
      </w:r>
      <w:r>
        <w:rPr>
          <w:rFonts w:ascii="Times New Roman" w:hAnsi="Times New Roman" w:cs="Times New Roman" w:eastAsia="Times New Roman" w:hint="default"/>
        </w:rPr>
        <w:t>754,906,890.62</w:t>
      </w:r>
      <w:r>
        <w:rPr/>
        <w:t>元，计提坏</w:t>
      </w:r>
    </w:p>
    <w:p>
      <w:pPr>
        <w:spacing w:after="0" w:line="278" w:lineRule="exact"/>
        <w:jc w:val="left"/>
        <w:sectPr>
          <w:type w:val="continuous"/>
          <w:pgSz w:w="11910" w:h="16840"/>
          <w:pgMar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013"/>
        <w:jc w:val="both"/>
      </w:pPr>
      <w:r>
        <w:rPr/>
        <w:t>账准备人民币</w:t>
      </w:r>
      <w:r>
        <w:rPr>
          <w:rFonts w:ascii="Times New Roman" w:hAnsi="Times New Roman" w:cs="Times New Roman" w:eastAsia="Times New Roman" w:hint="default"/>
        </w:rPr>
        <w:t>89,211,136.34</w:t>
      </w:r>
      <w:r>
        <w:rPr/>
        <w:t>元，坏账准备计提比例为</w:t>
      </w:r>
      <w:r>
        <w:rPr>
          <w:rFonts w:ascii="Times New Roman" w:hAnsi="Times New Roman" w:cs="Times New Roman" w:eastAsia="Times New Roman" w:hint="default"/>
        </w:rPr>
        <w:t>11.81%</w:t>
      </w:r>
      <w:r>
        <w:rPr/>
        <w:t>，应收账款期末净值占期末总资</w:t>
      </w:r>
      <w:r>
        <w:rPr>
          <w:spacing w:val="-55"/>
        </w:rPr>
        <w:t> </w:t>
      </w:r>
      <w:r>
        <w:rPr/>
        <w:t>产</w:t>
      </w:r>
      <w:r>
        <w:rPr>
          <w:rFonts w:ascii="Times New Roman" w:hAnsi="Times New Roman" w:cs="Times New Roman" w:eastAsia="Times New Roman" w:hint="default"/>
        </w:rPr>
        <w:t>20.85%</w:t>
      </w:r>
      <w:r>
        <w:rPr/>
        <w:t>。红相股份的应收账款主要来自于两大电网公司及其下属企业、发电企业及化工等 </w:t>
      </w:r>
      <w:r>
        <w:rPr>
          <w:spacing w:val="-3"/>
        </w:rPr>
        <w:t>用电企业、铁路总公司及相关铁路建设企业、国内军工科研院所、军工厂、军事院校等单位。</w:t>
      </w:r>
    </w:p>
    <w:p>
      <w:pPr>
        <w:pStyle w:val="BodyText"/>
        <w:spacing w:line="237" w:lineRule="auto" w:before="92"/>
        <w:ind w:left="1134" w:right="1137" w:firstLine="496"/>
        <w:jc w:val="both"/>
      </w:pPr>
      <w:r>
        <w:rPr/>
        <w:t>当存在客观证据表明应收账款存在减值时，管理层根据预计未来现金流量现值低于账面 价值的差额计提单项减值准备。对于不存在减值客观证据的应收账款，管理层根据信用风险 特征将其分为若干组合进行评估。管理层根据历史损失率为基础估计未来现金流量及账龄分 析为基础，结合现时情况确定应计提的坏账准备。</w:t>
      </w:r>
    </w:p>
    <w:p>
      <w:pPr>
        <w:pStyle w:val="BodyText"/>
        <w:spacing w:line="312" w:lineRule="exact" w:before="149"/>
        <w:ind w:left="1134" w:right="1137" w:firstLine="496"/>
        <w:jc w:val="both"/>
      </w:pPr>
      <w:r>
        <w:rPr/>
        <w:t>由于应收账款金额重大，且管理层在确定应收账款减值时作出了重大判断，我们将应收 账款的减值确定为关键审计事项。</w:t>
      </w:r>
    </w:p>
    <w:p>
      <w:pPr>
        <w:pStyle w:val="BodyText"/>
        <w:spacing w:line="312" w:lineRule="auto" w:before="89"/>
        <w:ind w:left="1630" w:right="3776"/>
        <w:jc w:val="left"/>
      </w:pPr>
      <w:r>
        <w:rPr>
          <w:rFonts w:ascii="Times New Roman" w:hAnsi="Times New Roman" w:cs="Times New Roman" w:eastAsia="Times New Roman" w:hint="default"/>
        </w:rPr>
        <w:t>2</w:t>
      </w:r>
      <w:r>
        <w:rPr/>
        <w:t>、审计应对 我们针对应收账款坏账准备的计提主要执行了以下审计程序：</w:t>
      </w:r>
    </w:p>
    <w:p>
      <w:pPr>
        <w:pStyle w:val="BodyText"/>
        <w:spacing w:line="248" w:lineRule="exact"/>
        <w:ind w:right="0"/>
        <w:jc w:val="both"/>
      </w:pPr>
      <w:r>
        <w:rPr/>
        <w:t>（</w:t>
      </w:r>
      <w:r>
        <w:rPr>
          <w:rFonts w:ascii="Times New Roman" w:hAnsi="Times New Roman" w:cs="Times New Roman" w:eastAsia="Times New Roman" w:hint="default"/>
        </w:rPr>
        <w:t>1</w:t>
      </w:r>
      <w:r>
        <w:rPr/>
        <w:t>）对公司信用政策及应收账款管理相关内部控制的设计和运行有效性进行了评估和测试；</w:t>
      </w:r>
    </w:p>
    <w:p>
      <w:pPr>
        <w:pStyle w:val="BodyText"/>
        <w:spacing w:line="312" w:lineRule="exact"/>
        <w:ind w:left="1134" w:right="0"/>
        <w:jc w:val="both"/>
      </w:pPr>
      <w:r>
        <w:rPr/>
        <w:t>（</w:t>
      </w:r>
      <w:r>
        <w:rPr>
          <w:rFonts w:ascii="Times New Roman" w:hAnsi="Times New Roman" w:cs="Times New Roman" w:eastAsia="Times New Roman" w:hint="default"/>
        </w:rPr>
        <w:t>2</w:t>
      </w:r>
      <w:r>
        <w:rPr/>
        <w:t>）复核公司应收账款坏账准备计提政策是否符合准则规定；</w:t>
      </w:r>
    </w:p>
    <w:p>
      <w:pPr>
        <w:pStyle w:val="BodyText"/>
        <w:spacing w:line="312" w:lineRule="exact" w:before="20"/>
        <w:ind w:left="1134" w:right="1133"/>
        <w:jc w:val="both"/>
      </w:pPr>
      <w:r>
        <w:rPr>
          <w:spacing w:val="-3"/>
        </w:rPr>
        <w:t>（</w:t>
      </w:r>
      <w:r>
        <w:rPr>
          <w:rFonts w:ascii="Times New Roman" w:hAnsi="Times New Roman" w:cs="Times New Roman" w:eastAsia="Times New Roman" w:hint="default"/>
          <w:spacing w:val="-3"/>
        </w:rPr>
        <w:t>3</w:t>
      </w:r>
      <w:r>
        <w:rPr>
          <w:spacing w:val="-3"/>
        </w:rPr>
        <w:t>）选取单项金额重大的应收账款，独立测试其可收回性，检查相关的支持性证据，包括期</w:t>
      </w:r>
      <w:r>
        <w:rPr>
          <w:spacing w:val="-81"/>
        </w:rPr>
        <w:t> </w:t>
      </w:r>
      <w:r>
        <w:rPr>
          <w:spacing w:val="-81"/>
        </w:rPr>
      </w:r>
      <w:r>
        <w:rPr/>
        <w:t>后收款、客户的信用历史、经营情况和还款能力；</w:t>
      </w:r>
    </w:p>
    <w:p>
      <w:pPr>
        <w:pStyle w:val="BodyText"/>
        <w:spacing w:line="312" w:lineRule="exact"/>
        <w:ind w:left="1134" w:right="1133"/>
        <w:jc w:val="both"/>
      </w:pPr>
      <w:r>
        <w:rPr>
          <w:spacing w:val="-3"/>
        </w:rPr>
        <w:t>（</w:t>
      </w:r>
      <w:r>
        <w:rPr>
          <w:rFonts w:ascii="Times New Roman" w:hAnsi="Times New Roman" w:cs="Times New Roman" w:eastAsia="Times New Roman" w:hint="default"/>
          <w:spacing w:val="-3"/>
        </w:rPr>
        <w:t>4</w:t>
      </w:r>
      <w:r>
        <w:rPr>
          <w:spacing w:val="-3"/>
        </w:rPr>
        <w:t>）执行应收账款函证程序，检查客户期后回款情况，并根据公司性质与历史回款记录等资</w:t>
      </w:r>
      <w:r>
        <w:rPr>
          <w:spacing w:val="-81"/>
        </w:rPr>
        <w:t> </w:t>
      </w:r>
      <w:r>
        <w:rPr>
          <w:spacing w:val="-81"/>
        </w:rPr>
      </w:r>
      <w:r>
        <w:rPr/>
        <w:t>料，评价应收账款坏账准备计提的充分性；</w:t>
      </w:r>
    </w:p>
    <w:p>
      <w:pPr>
        <w:pStyle w:val="BodyText"/>
        <w:spacing w:line="302" w:lineRule="exact"/>
        <w:ind w:left="1134" w:right="0"/>
        <w:jc w:val="both"/>
      </w:pPr>
      <w:r>
        <w:rPr/>
        <w:t>（</w:t>
      </w:r>
      <w:r>
        <w:rPr>
          <w:rFonts w:ascii="Times New Roman" w:hAnsi="Times New Roman" w:cs="Times New Roman" w:eastAsia="Times New Roman" w:hint="default"/>
        </w:rPr>
        <w:t>5</w:t>
      </w:r>
      <w:r>
        <w:rPr/>
        <w:t>）复核应收账款的账龄分析表，检查坏账准备计提金额是否准确。</w:t>
      </w:r>
    </w:p>
    <w:p>
      <w:pPr>
        <w:pStyle w:val="BodyText"/>
        <w:spacing w:line="432" w:lineRule="exact" w:before="34"/>
        <w:ind w:left="1630" w:right="4496"/>
        <w:jc w:val="left"/>
      </w:pPr>
      <w:r>
        <w:rPr/>
        <w:t>（二）商誉减值 相关信息披露详见财务报表附注三之</w:t>
      </w:r>
      <w:r>
        <w:rPr>
          <w:rFonts w:ascii="Times New Roman" w:hAnsi="Times New Roman" w:cs="Times New Roman" w:eastAsia="Times New Roman" w:hint="default"/>
        </w:rPr>
        <w:t>20</w:t>
      </w:r>
      <w:r>
        <w:rPr/>
        <w:t>、附注五之</w:t>
      </w:r>
      <w:r>
        <w:rPr>
          <w:rFonts w:ascii="Times New Roman" w:hAnsi="Times New Roman" w:cs="Times New Roman" w:eastAsia="Times New Roman" w:hint="default"/>
        </w:rPr>
        <w:t>15</w:t>
      </w:r>
      <w:r>
        <w:rPr/>
        <w:t>。 </w:t>
      </w:r>
      <w:r>
        <w:rPr>
          <w:rFonts w:ascii="Times New Roman" w:hAnsi="Times New Roman" w:cs="Times New Roman" w:eastAsia="Times New Roman" w:hint="default"/>
        </w:rPr>
        <w:t>1</w:t>
      </w:r>
      <w:r>
        <w:rPr/>
        <w:t>、事项描述</w:t>
      </w:r>
    </w:p>
    <w:p>
      <w:pPr>
        <w:pStyle w:val="BodyText"/>
        <w:spacing w:line="267" w:lineRule="exact"/>
        <w:ind w:right="0" w:firstLine="372"/>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日止，红相股份商誉余额为人民币</w:t>
      </w:r>
      <w:r>
        <w:rPr>
          <w:rFonts w:ascii="Times New Roman" w:hAnsi="Times New Roman" w:cs="Times New Roman" w:eastAsia="Times New Roman" w:hint="default"/>
        </w:rPr>
        <w:t>1,069,680,816.47</w:t>
      </w:r>
      <w:r>
        <w:rPr/>
        <w:t>元，占期末总资产</w:t>
      </w:r>
    </w:p>
    <w:p>
      <w:pPr>
        <w:pStyle w:val="BodyText"/>
        <w:spacing w:line="312" w:lineRule="exact" w:before="20"/>
        <w:ind w:right="1131"/>
        <w:jc w:val="both"/>
      </w:pPr>
      <w:r>
        <w:rPr/>
        <w:t>的</w:t>
      </w:r>
      <w:r>
        <w:rPr>
          <w:rFonts w:ascii="Times New Roman" w:hAnsi="Times New Roman" w:cs="Times New Roman" w:eastAsia="Times New Roman" w:hint="default"/>
        </w:rPr>
        <w:t>33.50%</w:t>
      </w:r>
      <w:r>
        <w:rPr>
          <w:rFonts w:ascii="Times New Roman" w:hAnsi="Times New Roman" w:cs="Times New Roman" w:eastAsia="Times New Roman" w:hint="default"/>
          <w:spacing w:val="9"/>
        </w:rPr>
        <w:t> </w:t>
      </w:r>
      <w:r>
        <w:rPr>
          <w:spacing w:val="-3"/>
        </w:rPr>
        <w:t>，主要为红相股份</w:t>
      </w:r>
      <w:r>
        <w:rPr>
          <w:rFonts w:ascii="Times New Roman" w:hAnsi="Times New Roman" w:cs="Times New Roman" w:eastAsia="Times New Roman" w:hint="default"/>
          <w:spacing w:val="-3"/>
        </w:rPr>
        <w:t>2017</w:t>
      </w:r>
      <w:r>
        <w:rPr>
          <w:spacing w:val="-3"/>
        </w:rPr>
        <w:t>年非同一控制下企业合并收购卧龙电气银川变压器有限公司</w:t>
      </w:r>
      <w:r>
        <w:rPr>
          <w:spacing w:val="-118"/>
        </w:rPr>
        <w:t> </w:t>
      </w:r>
      <w:r>
        <w:rPr/>
        <w:t>及合肥星波通信技术有限公司股权所产生的商誉，红相股份根据商誉减值测试结果未计提减 值准备。</w:t>
      </w:r>
    </w:p>
    <w:p>
      <w:pPr>
        <w:pStyle w:val="BodyText"/>
        <w:spacing w:line="312" w:lineRule="exact"/>
        <w:ind w:left="1134" w:right="1137" w:firstLine="496"/>
        <w:jc w:val="both"/>
      </w:pPr>
      <w:r>
        <w:rPr/>
        <w:t>商誉的账面价值对财务报表影响重大，减值测试评估涉及确定折现率等评估参数及对未 来若干年的经营和财务情况的假设，包括未来若干年的销售增长率和毛利率等，上述判断具 有一定的复杂性和主观性，因此我们将该事项作为关键审计事项。</w:t>
      </w:r>
    </w:p>
    <w:p>
      <w:pPr>
        <w:pStyle w:val="BodyText"/>
        <w:spacing w:line="312" w:lineRule="auto" w:before="89"/>
        <w:ind w:left="1630" w:right="5456"/>
        <w:jc w:val="left"/>
      </w:pPr>
      <w:r>
        <w:rPr>
          <w:rFonts w:ascii="Times New Roman" w:hAnsi="Times New Roman" w:cs="Times New Roman" w:eastAsia="Times New Roman" w:hint="default"/>
        </w:rPr>
        <w:t>2</w:t>
      </w:r>
      <w:r>
        <w:rPr/>
        <w:t>、审计应对 我们针对商誉减值主要执行了以下审计程序：</w:t>
      </w:r>
    </w:p>
    <w:p>
      <w:pPr>
        <w:pStyle w:val="BodyText"/>
        <w:spacing w:line="248" w:lineRule="exact"/>
        <w:ind w:left="1613" w:right="0"/>
        <w:jc w:val="left"/>
      </w:pPr>
      <w:r>
        <w:rPr/>
        <w:t>（</w:t>
      </w:r>
      <w:r>
        <w:rPr>
          <w:rFonts w:ascii="Times New Roman" w:hAnsi="Times New Roman" w:cs="Times New Roman" w:eastAsia="Times New Roman" w:hint="default"/>
        </w:rPr>
        <w:t>1</w:t>
      </w:r>
      <w:r>
        <w:rPr/>
        <w:t>）评价与商誉减值测试相关的内部控制的设计及执行有效性；</w:t>
      </w:r>
    </w:p>
    <w:p>
      <w:pPr>
        <w:pStyle w:val="BodyText"/>
        <w:spacing w:line="312" w:lineRule="exact"/>
        <w:ind w:left="1613" w:right="0"/>
        <w:jc w:val="left"/>
      </w:pPr>
      <w:r>
        <w:rPr/>
        <w:t>（</w:t>
      </w:r>
      <w:r>
        <w:rPr>
          <w:rFonts w:ascii="Times New Roman" w:hAnsi="Times New Roman" w:cs="Times New Roman" w:eastAsia="Times New Roman" w:hint="default"/>
        </w:rPr>
        <w:t>2</w:t>
      </w:r>
      <w:r>
        <w:rPr/>
        <w:t>）评价评估机构的独立性与胜任能力；</w:t>
      </w:r>
    </w:p>
    <w:p>
      <w:pPr>
        <w:pStyle w:val="BodyText"/>
        <w:spacing w:line="312" w:lineRule="exact" w:before="20"/>
        <w:ind w:right="1131" w:firstLine="480"/>
        <w:jc w:val="both"/>
      </w:pPr>
      <w:r>
        <w:rPr>
          <w:spacing w:val="-3"/>
        </w:rPr>
        <w:t>（</w:t>
      </w:r>
      <w:r>
        <w:rPr>
          <w:rFonts w:ascii="Times New Roman" w:hAnsi="Times New Roman" w:cs="Times New Roman" w:eastAsia="Times New Roman" w:hint="default"/>
          <w:spacing w:val="-3"/>
        </w:rPr>
        <w:t>3</w:t>
      </w:r>
      <w:r>
        <w:rPr>
          <w:spacing w:val="-3"/>
        </w:rPr>
        <w:t>）获取管理层编制的商誉减值测试表及相关预测资料，获取评估机构的估值报告及资</w:t>
      </w:r>
      <w:r>
        <w:rPr/>
        <w:t> 料与商誉减值测试相关的重大判断和关键假设的合理性；</w:t>
      </w:r>
    </w:p>
    <w:p>
      <w:pPr>
        <w:pStyle w:val="BodyText"/>
        <w:spacing w:line="302" w:lineRule="exact"/>
        <w:ind w:left="1613" w:right="0"/>
        <w:jc w:val="left"/>
      </w:pPr>
      <w:r>
        <w:rPr/>
        <w:t>（</w:t>
      </w:r>
      <w:r>
        <w:rPr>
          <w:rFonts w:ascii="Times New Roman" w:hAnsi="Times New Roman" w:cs="Times New Roman" w:eastAsia="Times New Roman" w:hint="default"/>
        </w:rPr>
        <w:t>4</w:t>
      </w:r>
      <w:r>
        <w:rPr/>
        <w:t>）执行重新计算程序，确认商誉减值测试所涉及到的计算过程准确性。</w:t>
      </w:r>
    </w:p>
    <w:p>
      <w:pPr>
        <w:pStyle w:val="BodyText"/>
        <w:spacing w:line="432" w:lineRule="exact" w:before="34"/>
        <w:ind w:left="1629" w:right="0" w:hanging="14"/>
        <w:jc w:val="left"/>
      </w:pPr>
      <w:r>
        <w:rPr>
          <w:rFonts w:ascii="宋体" w:hAnsi="宋体" w:cs="宋体" w:eastAsia="宋体" w:hint="default"/>
          <w:b/>
          <w:bCs/>
        </w:rPr>
        <w:t>四、其他信息</w:t>
      </w:r>
      <w:r>
        <w:rPr>
          <w:rFonts w:ascii="宋体" w:hAnsi="宋体" w:cs="宋体" w:eastAsia="宋体" w:hint="default"/>
          <w:b/>
          <w:bCs/>
          <w:w w:val="99"/>
        </w:rPr>
        <w:t> </w:t>
      </w:r>
      <w:r>
        <w:rPr/>
        <w:t>红相股份管理层（以下简称管理层）对其他信息负责。其他信息包括红相股份</w:t>
      </w:r>
      <w:r>
        <w:rPr>
          <w:rFonts w:ascii="Times New Roman" w:hAnsi="Times New Roman" w:cs="Times New Roman" w:eastAsia="Times New Roman" w:hint="default"/>
        </w:rPr>
        <w:t>2017</w:t>
      </w:r>
      <w:r>
        <w:rPr/>
        <w:t>年年</w:t>
      </w:r>
    </w:p>
    <w:p>
      <w:pPr>
        <w:pStyle w:val="BodyText"/>
        <w:spacing w:line="259" w:lineRule="exact"/>
        <w:ind w:right="0"/>
        <w:jc w:val="both"/>
      </w:pPr>
      <w:r>
        <w:rPr/>
        <w:t>度报告中涵盖的信息，但不包括财务报表和我们的审计报告。</w:t>
      </w:r>
    </w:p>
    <w:p>
      <w:pPr>
        <w:pStyle w:val="BodyText"/>
        <w:spacing w:line="312" w:lineRule="exact" w:before="148"/>
        <w:ind w:right="1135" w:firstLine="496"/>
        <w:jc w:val="both"/>
      </w:pPr>
      <w:r>
        <w:rPr/>
        <w:t>我们对财务报表发表的审计意见不涵盖其他信息，我们也不对其他信息发表任何形式的 鉴证结论。</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7" w:firstLine="496"/>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12" w:lineRule="exact" w:before="120"/>
        <w:ind w:left="1134" w:right="1137" w:firstLine="496"/>
        <w:jc w:val="both"/>
      </w:pPr>
      <w:r>
        <w:rPr/>
        <w:t>基于我们已执行的工作，如果我们确定其他信息存在重大错报，我们应当报告该事实。 在这方面，我们无任何事项需要报告。</w:t>
      </w:r>
    </w:p>
    <w:p>
      <w:pPr>
        <w:spacing w:line="331" w:lineRule="auto" w:before="89"/>
        <w:ind w:left="1630" w:right="1136" w:hanging="14"/>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红相股份管理层负责按照企业会计准则的规定编制财务报表，使其实现公允反映，并设</w:t>
      </w:r>
    </w:p>
    <w:p>
      <w:pPr>
        <w:pStyle w:val="BodyText"/>
        <w:spacing w:line="221" w:lineRule="exact"/>
        <w:ind w:left="1134" w:right="0"/>
        <w:jc w:val="left"/>
      </w:pPr>
      <w:r>
        <w:rPr/>
        <w:t>计、执行和维护必要的内部控制，以使财务报表不存在由于舞弊或错误导致的重大错报。</w:t>
      </w:r>
    </w:p>
    <w:p>
      <w:pPr>
        <w:pStyle w:val="BodyText"/>
        <w:spacing w:line="312" w:lineRule="exact" w:before="148"/>
        <w:ind w:left="1134" w:right="1137" w:firstLine="496"/>
        <w:jc w:val="both"/>
      </w:pPr>
      <w:r>
        <w:rPr/>
        <w:t>在编制财务报表时，管理层负责评估红相股份的持续经营能力，并运用持续经营假设， 除非管理层计划清算红相股份、终止运营或别无其他现实的选择。</w:t>
      </w:r>
    </w:p>
    <w:p>
      <w:pPr>
        <w:spacing w:line="331" w:lineRule="auto" w:before="89"/>
        <w:ind w:left="1616" w:right="5697" w:firstLine="13"/>
        <w:jc w:val="left"/>
        <w:rPr>
          <w:rFonts w:ascii="宋体" w:hAnsi="宋体" w:cs="宋体" w:eastAsia="宋体" w:hint="default"/>
          <w:sz w:val="24"/>
          <w:szCs w:val="24"/>
        </w:rPr>
      </w:pPr>
      <w:r>
        <w:rPr>
          <w:rFonts w:ascii="宋体" w:hAnsi="宋体" w:cs="宋体" w:eastAsia="宋体" w:hint="default"/>
          <w:sz w:val="24"/>
          <w:szCs w:val="24"/>
        </w:rPr>
        <w:t>治理层负责监督红相股份的财务报告过程。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12" w:lineRule="exact" w:before="57"/>
        <w:ind w:right="1129" w:firstLine="496"/>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w:t>
      </w:r>
      <w:r>
        <w:rPr>
          <w:spacing w:val="-109"/>
        </w:rPr>
        <w:t> </w:t>
      </w:r>
      <w:r>
        <w:rPr>
          <w:spacing w:val="-109"/>
        </w:rPr>
      </w:r>
      <w:r>
        <w:rPr/>
        <w:t>错报是重大的。</w:t>
      </w:r>
    </w:p>
    <w:p>
      <w:pPr>
        <w:pStyle w:val="BodyText"/>
        <w:spacing w:line="312" w:lineRule="exact" w:before="120"/>
        <w:ind w:right="1137" w:firstLine="496"/>
        <w:jc w:val="both"/>
      </w:pPr>
      <w:r>
        <w:rPr/>
        <w:t>在按照审计准则执行审计工作的过程中，我们运用职业判断，并保持职业怀疑。同时， 我们也执行以下工作：</w:t>
      </w:r>
    </w:p>
    <w:p>
      <w:pPr>
        <w:pStyle w:val="BodyText"/>
        <w:spacing w:line="235" w:lineRule="auto" w:before="95"/>
        <w:ind w:left="1134" w:right="1132" w:firstLine="49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BodyText"/>
        <w:spacing w:line="312" w:lineRule="exact" w:before="149"/>
        <w:ind w:left="1134" w:right="1131" w:firstLine="496"/>
        <w:jc w:val="both"/>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w:t>
      </w:r>
      <w:r>
        <w:rPr/>
        <w:t> 效性发表意见。</w:t>
      </w:r>
    </w:p>
    <w:p>
      <w:pPr>
        <w:pStyle w:val="BodyText"/>
        <w:spacing w:line="240" w:lineRule="auto" w:before="89"/>
        <w:ind w:left="1630"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exact" w:before="130"/>
        <w:ind w:left="1134" w:right="1130" w:firstLine="49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能导致对红相股份的持续经营能力产生重大疑虑的事项或情况是否存在重大不确定性得出结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论基于截至审计报告日可获得的信息。然而，未来的事项或情况可能导致红相股份不能持续 经营。</w:t>
      </w:r>
    </w:p>
    <w:p>
      <w:pPr>
        <w:pStyle w:val="BodyText"/>
        <w:spacing w:line="312" w:lineRule="exact" w:before="120"/>
        <w:ind w:left="1134" w:right="1131" w:firstLine="496"/>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w:t>
      </w:r>
      <w:r>
        <w:rPr/>
        <w:t> 映相关交易和事项。</w:t>
      </w:r>
    </w:p>
    <w:p>
      <w:pPr>
        <w:pStyle w:val="BodyText"/>
        <w:spacing w:line="312" w:lineRule="exact" w:before="120"/>
        <w:ind w:left="1134" w:right="1131" w:firstLine="496"/>
        <w:jc w:val="both"/>
      </w:pPr>
      <w:r>
        <w:rPr>
          <w:spacing w:val="-3"/>
        </w:rPr>
        <w:t>（</w:t>
      </w:r>
      <w:r>
        <w:rPr>
          <w:rFonts w:ascii="Times New Roman" w:hAnsi="Times New Roman" w:cs="Times New Roman" w:eastAsia="Times New Roman" w:hint="default"/>
          <w:spacing w:val="-3"/>
        </w:rPr>
        <w:t>6</w:t>
      </w:r>
      <w:r>
        <w:rPr>
          <w:spacing w:val="-3"/>
        </w:rPr>
        <w:t>）就红相股份中实体或业务活动的财务信息获取充分、适当的审计证据，以对财务报</w:t>
      </w:r>
      <w:r>
        <w:rPr/>
        <w:t> 表发表意见。我们负责指导、监督和执行集团审计，并对审计意见承担全部责任。</w:t>
      </w:r>
    </w:p>
    <w:p>
      <w:pPr>
        <w:pStyle w:val="BodyText"/>
        <w:spacing w:line="312" w:lineRule="exact" w:before="120"/>
        <w:ind w:left="1134" w:right="1137" w:firstLine="496"/>
        <w:jc w:val="both"/>
      </w:pPr>
      <w:r>
        <w:rPr/>
        <w:t>我们与治理层就计划的审计范围、时间安排和重大审计发现等事项进行沟通，包括沟通 我们在审计中识别出的值得关注的内部控制缺陷。</w:t>
      </w:r>
    </w:p>
    <w:p>
      <w:pPr>
        <w:pStyle w:val="BodyText"/>
        <w:spacing w:line="240" w:lineRule="auto" w:before="89"/>
        <w:ind w:left="1630" w:right="0"/>
        <w:jc w:val="left"/>
      </w:pPr>
      <w:r>
        <w:rPr/>
        <w:t>我们还就已遵守与独立性相关的职业道德要求向治理层提供声明，并与治理层沟通可能</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31" w:lineRule="auto" w:before="26"/>
        <w:ind w:left="1630" w:right="0" w:hanging="496"/>
        <w:jc w:val="left"/>
      </w:pPr>
      <w:r>
        <w:rPr/>
        <w:t>被合理认为影响我们独立性的所有关系和其他事项，以及相关的防范措施（如适用）。 从与治理层沟通过的事项中，我们确定哪些事项对本期财务报表审计最为重要，因而构</w:t>
      </w:r>
    </w:p>
    <w:p>
      <w:pPr>
        <w:pStyle w:val="BodyText"/>
        <w:spacing w:line="220" w:lineRule="exact"/>
        <w:ind w:left="1134" w:right="0"/>
        <w:jc w:val="left"/>
      </w:pPr>
      <w:r>
        <w:rPr/>
        <w:t>成关键审计事项。我们在审计报告中描述这些事项，除非法律法规禁止公开披露这些事项，</w:t>
      </w:r>
    </w:p>
    <w:p>
      <w:pPr>
        <w:pStyle w:val="BodyText"/>
        <w:spacing w:line="240" w:lineRule="auto"/>
        <w:ind w:left="1134" w:right="0"/>
        <w:jc w:val="left"/>
      </w:pPr>
      <w:r>
        <w:rPr/>
        <w:t>或在极少数情形下，如果合理预期在审计报告中沟通某事项造成的负面后果超过在公众利益 方面产生的益处，我们确定不应在审计报告中沟通该事项。</w:t>
      </w:r>
    </w:p>
    <w:p>
      <w:pPr>
        <w:spacing w:line="240" w:lineRule="auto" w:before="3"/>
        <w:rPr>
          <w:rFonts w:ascii="宋体" w:hAnsi="宋体" w:cs="宋体" w:eastAsia="宋体" w:hint="default"/>
          <w:sz w:val="6"/>
          <w:szCs w:val="6"/>
        </w:rPr>
      </w:pPr>
    </w:p>
    <w:tbl>
      <w:tblPr>
        <w:tblW w:w="0" w:type="auto"/>
        <w:jc w:val="left"/>
        <w:tblInd w:w="1135" w:type="dxa"/>
        <w:tblLayout w:type="fixed"/>
        <w:tblCellMar>
          <w:top w:w="0" w:type="dxa"/>
          <w:left w:w="0" w:type="dxa"/>
          <w:bottom w:w="0" w:type="dxa"/>
          <w:right w:w="0" w:type="dxa"/>
        </w:tblCellMar>
        <w:tblLook w:val="01E0"/>
      </w:tblPr>
      <w:tblGrid>
        <w:gridCol w:w="2931"/>
        <w:gridCol w:w="4346"/>
      </w:tblGrid>
      <w:tr>
        <w:trPr>
          <w:trHeight w:val="1534"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致同会计师事务所</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（特殊普通合伙）</w:t>
            </w:r>
          </w:p>
        </w:tc>
        <w:tc>
          <w:tcPr>
            <w:tcW w:w="4346" w:type="dxa"/>
            <w:tcBorders>
              <w:top w:val="nil" w:sz="6" w:space="0" w:color="auto"/>
              <w:left w:val="nil" w:sz="6" w:space="0" w:color="auto"/>
              <w:bottom w:val="nil" w:sz="6" w:space="0" w:color="auto"/>
              <w:right w:val="nil" w:sz="6" w:space="0" w:color="auto"/>
            </w:tcBorders>
          </w:tcPr>
          <w:p>
            <w:pPr>
              <w:pStyle w:val="TableParagraph"/>
              <w:spacing w:line="239" w:lineRule="exact"/>
              <w:ind w:left="1050" w:right="0"/>
              <w:jc w:val="left"/>
              <w:rPr>
                <w:rFonts w:ascii="宋体" w:hAnsi="宋体" w:cs="宋体" w:eastAsia="宋体" w:hint="default"/>
                <w:sz w:val="24"/>
                <w:szCs w:val="24"/>
              </w:rPr>
            </w:pPr>
            <w:r>
              <w:rPr>
                <w:rFonts w:ascii="宋体" w:hAnsi="宋体" w:cs="宋体" w:eastAsia="宋体" w:hint="default"/>
                <w:sz w:val="24"/>
                <w:szCs w:val="24"/>
              </w:rPr>
              <w:t>中国注册会计师</w:t>
            </w:r>
            <w:r>
              <w:rPr>
                <w:rFonts w:ascii="宋体" w:hAnsi="宋体" w:cs="宋体" w:eastAsia="宋体" w:hint="default"/>
                <w:spacing w:val="72"/>
                <w:sz w:val="24"/>
                <w:szCs w:val="24"/>
              </w:rPr>
              <w:t> </w:t>
            </w:r>
            <w:r>
              <w:rPr>
                <w:rFonts w:ascii="宋体" w:hAnsi="宋体" w:cs="宋体" w:eastAsia="宋体" w:hint="default"/>
                <w:sz w:val="24"/>
                <w:szCs w:val="24"/>
              </w:rPr>
              <w:t>刘维</w:t>
            </w:r>
          </w:p>
          <w:p>
            <w:pPr>
              <w:pStyle w:val="TableParagraph"/>
              <w:spacing w:line="477" w:lineRule="auto"/>
              <w:ind w:left="810" w:right="940" w:firstLine="912"/>
              <w:jc w:val="left"/>
              <w:rPr>
                <w:rFonts w:ascii="宋体" w:hAnsi="宋体" w:cs="宋体" w:eastAsia="宋体" w:hint="default"/>
                <w:sz w:val="24"/>
                <w:szCs w:val="24"/>
              </w:rPr>
            </w:pPr>
            <w:r>
              <w:rPr>
                <w:rFonts w:ascii="宋体" w:hAnsi="宋体" w:cs="宋体" w:eastAsia="宋体" w:hint="default"/>
                <w:sz w:val="24"/>
                <w:szCs w:val="24"/>
              </w:rPr>
              <w:t>（项目合伙人） 中国注册会计师</w:t>
            </w:r>
            <w:r>
              <w:rPr>
                <w:rFonts w:ascii="宋体" w:hAnsi="宋体" w:cs="宋体" w:eastAsia="宋体" w:hint="default"/>
                <w:spacing w:val="72"/>
                <w:sz w:val="24"/>
                <w:szCs w:val="24"/>
              </w:rPr>
              <w:t> </w:t>
            </w:r>
            <w:r>
              <w:rPr>
                <w:rFonts w:ascii="宋体" w:hAnsi="宋体" w:cs="宋体" w:eastAsia="宋体" w:hint="default"/>
                <w:sz w:val="24"/>
                <w:szCs w:val="24"/>
              </w:rPr>
              <w:t>王肖生</w:t>
            </w:r>
          </w:p>
        </w:tc>
      </w:tr>
      <w:tr>
        <w:trPr>
          <w:trHeight w:val="611"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8"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05" w:right="0"/>
              <w:jc w:val="left"/>
              <w:rPr>
                <w:rFonts w:ascii="宋体" w:hAnsi="宋体" w:cs="宋体" w:eastAsia="宋体" w:hint="default"/>
                <w:sz w:val="24"/>
                <w:szCs w:val="24"/>
              </w:rPr>
            </w:pPr>
            <w:r>
              <w:rPr>
                <w:rFonts w:ascii="宋体" w:hAnsi="宋体" w:cs="宋体" w:eastAsia="宋体" w:hint="default"/>
                <w:sz w:val="24"/>
                <w:szCs w:val="24"/>
              </w:rPr>
              <w:t>二Ｏ一八年三月二十八日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spacing w:line="240" w:lineRule="auto" w:before="26"/>
        <w:ind w:left="1134"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合并资产负债表" w:id="155"/>
      <w:bookmarkEnd w:id="1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编制单位：红相股份有限公司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3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3475" w:space="60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539,543,984.07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439,661,227.56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264,300,699.00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11,635,332.25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665,695,754.28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263,613,715.56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14,985,001.99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10,953,724.02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668,002.90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19,936,229.67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10,527,825.68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170,113,937.06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60,545,001.23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57,592.80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1,675,301,201.77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797,003,994.21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4,969,524.26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13,985,085.11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15,028,928.51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226,807,394.29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58,306,052.63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539,150.94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65,956,874.63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5,855,667.57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1,069,680,816.47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4,099,176.90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1,052,101.93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1,433,689.30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20,283,956.34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6,720,701.56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2,872,583.49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1,517,773,860.60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97,112,367.59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3,193,075,062.37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894,116,361.80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46,887,021.79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274,775,492.32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61,723,000.70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44,084,868.00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15,090,977.52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25,541,035.89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16,423,675.14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56,991,447.47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29,948,620.93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936,376.14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30,281.21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15,358,853.37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4,701,978.77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473,918,554.73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67,302,496.48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770,833.29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1,139,264,483.00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201,096,030.71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479,166.74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11,348,937.18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18,440,235.25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2,524,650.43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33,391,731.70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3,003,817.17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1,172,656,214.70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204,099,847.88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352,586,786.00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283,744,000.00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1,082,117,957.07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4,450,557.81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-792,633.91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-809,421.89</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40,186,038.54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36,889,847.76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398,551,154.43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296,665,870.36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1,872,649,302.13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620,940,854.04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147,769,545.54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69,075,659.88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2,020,418,847.67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690,016,513.92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3,193,075,062.37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894,116,361.80</w:t>
            </w:r>
          </w:p>
        </w:tc>
      </w:tr>
    </w:tbl>
    <w:p>
      <w:pPr>
        <w:spacing w:line="240" w:lineRule="auto" w:before="3"/>
        <w:rPr>
          <w:rFonts w:ascii="Times New Roman" w:hAnsi="Times New Roman" w:cs="Times New Roman" w:eastAsia="Times New Roman" w:hint="default"/>
          <w:sz w:val="23"/>
          <w:szCs w:val="23"/>
        </w:rPr>
      </w:pPr>
    </w:p>
    <w:p>
      <w:pPr>
        <w:tabs>
          <w:tab w:pos="333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法定代表人：杨成</w:t>
        <w:tab/>
        <w:t>主管会计工作负责人：廖雪林</w:t>
        <w:tab/>
        <w:t>会计机构负责人：黄雅琼</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母公司资产负债表" w:id="156"/>
      <w:bookmarkEnd w:id="1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293,808,799.13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365,681,919.09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7,531,199.91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5,785,882.25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136,284,308.06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214,644,731.76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11,373,635.47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11,208,930.74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668,002.90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11,193,042.14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5,206,272.62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7,357,019.94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7,763,998.76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23,919,242.05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18,027,572.20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492,135,249.60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628,319,307.42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73,628,064.26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13,985,085.11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15,028,928.51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46,482,816.30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38,765,230.66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539,150.94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995,304.33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500,913.06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5,006,884.34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4,486,113.43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2,872,583.49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1,846,060,104.61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136,860,984.35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2,338,195,354.21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765,180,291.77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123,419,639.29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105,499,379.90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6,693,655.68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4,424,297.54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7,813,461.40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4,978,779.45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10,232,413.69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21,725,463.31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2,876.20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463,830,193.28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65,575,193.51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479,166.62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612,469,126.41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205,080,989.87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479,166.74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33,982.07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3,636,541.34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479,166.74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616,105,667.75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205,560,156.61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352,586,786.00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283,744,000.00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1,077,883,895.33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4,450,557.81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40,186,038.54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36,889,847.76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251,432,966.59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234,535,729.59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1,722,089,686.46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559,620,135.16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2,338,195,354.21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765,180,291.77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1460320"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spacing w:before="35"/>
        <w:ind w:left="1133" w:right="0" w:firstLine="0"/>
        <w:jc w:val="left"/>
        <w:rPr>
          <w:rFonts w:ascii="宋体" w:hAnsi="宋体" w:cs="宋体" w:eastAsia="宋体" w:hint="default"/>
          <w:sz w:val="21"/>
          <w:szCs w:val="21"/>
        </w:rPr>
      </w:pPr>
      <w:bookmarkStart w:name="3、合并利润表" w:id="157"/>
      <w:bookmarkEnd w:id="1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743,861,467.27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410,557,480.83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743,861,467.27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410,557,480.83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601,540,493.99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321,360,943.29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422,652,317.63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195,527,303.98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7,345,183.75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5,261,579.68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67,176,944.96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54,776,807.46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99,060,129.14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61,119,519.14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-949,536.54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-1,075,210.74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6,255,455.05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5,750,943.77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704,602.30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9,601.22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124,264.88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15,204,115.60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157,534,690.10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90,025,404.72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206,414.24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10,848,573.44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688,391.82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86,565.99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460296"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157,052,712.52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100,787,412.17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19,238,915.08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16,070,389.83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137,813,797.44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84,717,022.34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137,813,797.44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84,717,022.34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117,949,954.85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73,815,900.71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19,863,842.59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10,901,121.63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-37,720.83</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-37,720.83</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-37,720.83</w:t>
            </w:r>
            <w:r>
              <w:rPr>
                <w:rFonts w:ascii="Times New Roman"/>
                <w:sz w:val="18"/>
              </w:rPr>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-37,720.83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137,830,585.42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84,679,301.51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8" w:right="0"/>
              <w:jc w:val="left"/>
              <w:rPr>
                <w:rFonts w:ascii="Times New Roman" w:hAnsi="Times New Roman" w:cs="Times New Roman" w:eastAsia="Times New Roman" w:hint="default"/>
                <w:sz w:val="18"/>
                <w:szCs w:val="18"/>
              </w:rPr>
            </w:pPr>
            <w:r>
              <w:rPr>
                <w:rFonts w:ascii="Times New Roman"/>
                <w:sz w:val="18"/>
              </w:rPr>
              <w:t>117,966,742.83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73,778,179.88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19,863,842.59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10,901,121.63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bl>
    <w:p>
      <w:pPr>
        <w:tabs>
          <w:tab w:pos="4464" w:val="left" w:leader="none"/>
          <w:tab w:pos="8695" w:val="left" w:leader="none"/>
        </w:tabs>
        <w:spacing w:line="592" w:lineRule="auto" w:before="51"/>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法定代表人：杨成</w:t>
        <w:tab/>
        <w:t>主管会计工作负责人：廖雪林</w:t>
        <w:tab/>
        <w:t>会计机构负责人：黄雅琼 </w:t>
      </w:r>
      <w:bookmarkStart w:name="4、母公司利润表" w:id="158"/>
      <w:bookmarkEnd w:id="15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233,059,408.92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280,941,931.31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145,088,686.94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148,875,112.88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3,474,577.43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32,221,872.96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30,909,610.34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35,427,066.70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31,732,688.51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-5,113,549.79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-1,359,760.07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-1,995,396.13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2,658,666.15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9,977,949.21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9,088,923.34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122,484.28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3,644,872.09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37,603,508.98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73,862,443.69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4,050,993.91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17,954.75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37,604,533.89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77,895,482.85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4,642,626.11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10,585,922.69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67,309,560.16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32,961,907.78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67,309,560.16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67,309,560.16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合并现金流量表" w:id="159"/>
      <w:bookmarkEnd w:id="1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802,471,806.26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480,425,395.85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9,277,909.10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5,908,246.52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58,934,368.48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39,649,372.48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870,684,083.84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525,983,014.85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319,297,051.87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186,472,963.06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86,084,649.91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68,360,452.53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58,684,390.45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56,379,725.43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113,296,174.92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84,230,112.56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577,362,267.15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395,443,253.58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293,321,816.69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130,539,761.27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1,450,993.97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6,876.57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20,397,870.54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27,213,002.96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24,956,085.81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15,721,913.36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42,934,916.32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27,956,085.81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-39,227,916.32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-7,558,215.27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32,315,278.19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64,832,069.30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32,315,278.19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67,832,069.30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65,875,000.08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18,875,000.08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22,885,941.92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20,999,685.66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4,179,782.49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3,634,863.02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114,490,055.08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203,250,997.08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40,174,685.74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-170,935,718.89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27,657,383.56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-63,959.91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-144,609.27</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83,094,221.57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150,494,320.29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438,224,045.13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287,729,724.84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521,318,266.70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6、母公司现金流量表" w:id="160"/>
      <w:bookmarkEnd w:id="16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352,597,877.84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338,898,102.72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26,804,618.65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26,390,622.34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379,402,496.49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365,288,725.06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140,764,693.38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133,531,035.10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28,533,225.77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28,698,541.86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33,588,165.29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37,006,944.79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61,091,118.22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49,655,124.89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263,977,202.66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248,891,646.64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115,425,293.83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116,397,078.42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3,991,179.69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4,629,042.39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3,991,179.69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23,571,042.39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21,878,560.19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23,810,304.20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71,539,632.78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93,418,192.97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26,810,304.20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-89,427,013.28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-3,239,261.81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32,315,278.19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64,832,069.30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32,315,278.19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64,832,069.30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2,875,000.08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2,875,000.08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12,743,625.21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17,065,258.04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114,490,055.08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130,108,680.37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20,240,258.12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-97,793,402.18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44,591,811.18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-103,667.85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-71,795,119.96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157,645,959.94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364,423,915.59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206,777,955.65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292,628,795.63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364,423,915.59</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7、合并所有者权益变动表" w:id="161"/>
      <w:bookmarkEnd w:id="16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283,74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4,450,5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57.81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-809,42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847.76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296,665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,870.36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69,075,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659.88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690,016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,513.92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283,74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4,450,5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57.81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-809,42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847.76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296,665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,870.36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69,075,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659.88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690,016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,513.92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90.78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101,885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,284.07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78,693,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885.66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117,949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,954.85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19,863,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842.59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137,830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,585.42</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67,399.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2,034,9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07.38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705"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68,842</w:t>
            </w:r>
          </w:p>
          <w:p>
            <w:pPr>
              <w:pStyle w:val="TableParagraph"/>
              <w:spacing w:line="240" w:lineRule="auto" w:before="104"/>
              <w:ind w:left="68" w:right="0"/>
              <w:jc w:val="left"/>
              <w:rPr>
                <w:rFonts w:ascii="Times New Roman" w:hAnsi="Times New Roman" w:cs="Times New Roman" w:eastAsia="Times New Roman" w:hint="default"/>
                <w:sz w:val="18"/>
                <w:szCs w:val="18"/>
              </w:rPr>
            </w:pPr>
            <w:r>
              <w:rPr>
                <w:rFonts w:ascii="Times New Roman"/>
                <w:sz w:val="18"/>
              </w:rPr>
              <w:t>,786.0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1,073,4</w:t>
            </w:r>
          </w:p>
          <w:p>
            <w:pPr>
              <w:pStyle w:val="TableParagraph"/>
              <w:spacing w:line="240" w:lineRule="auto" w:before="104"/>
              <w:ind w:left="91" w:right="0"/>
              <w:jc w:val="left"/>
              <w:rPr>
                <w:rFonts w:ascii="Times New Roman" w:hAnsi="Times New Roman" w:cs="Times New Roman" w:eastAsia="Times New Roman" w:hint="default"/>
                <w:sz w:val="18"/>
                <w:szCs w:val="18"/>
              </w:rPr>
            </w:pPr>
            <w:r>
              <w:rPr>
                <w:rFonts w:ascii="Times New Roman"/>
                <w:sz w:val="18"/>
              </w:rPr>
              <w:t>33,337.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1,142,2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76,123.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2,034,9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6,268,9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69.12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90.78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670.78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-9,586,6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-22,355,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137.09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90.78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-12,768,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480.00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-9,586,6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-22,355,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137.09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66,381,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792.78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66,381,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792.78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352,58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6,786.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1,082,1</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17,957.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-792,63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038.54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398,551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,154.43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147,769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1592"/>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9"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9" w:space="0" w:color="D2D2D2"/>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9" w:space="0" w:color="D2D2D2"/>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199,524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,557.81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-771,70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246,428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,225.67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380.04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630,521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,354.20</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199,524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,557.81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-771,70</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891.74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246,428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,225.67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380.04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630,521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,354.20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50,237,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644.69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2,564,2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79.84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59,495,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159.72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73,815,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900.71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10,901,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121.63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84,679,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301.51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-23,578,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256.02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841.79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-25,184,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141.79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56.02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-16,847,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841.79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-25,184,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141.79</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283,74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4,450,5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57.81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-809,42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847.76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296,665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,870.36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69,075,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659.88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690,016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,513.92</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8、母公司所有者权益变动表" w:id="162"/>
      <w:bookmarkEnd w:id="16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283,744,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36,889,84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234,535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,729.59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559,620,1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283,744,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36,889,84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234,535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,729.59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559,620,1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16,897,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1,162,469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,551.30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907.78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1,142,276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,123.52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68,842,7</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1,073,433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,337.52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1,142,276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,123.52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-16,064,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670.78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-12,768,4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3,296,190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-3,296,1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90.78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-12,768,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-12,768,4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352,586,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786.00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1,077,883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,895.33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40,186,03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251,432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,966.59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1,722,089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,686.46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88,670,0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199,524,5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30,158,89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190,804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,425.45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509,157,8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88,670,0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199,524,5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30,158,89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190,804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,425.45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509,157,8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6,730,956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43,731,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50,462,26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0.16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560.16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67,309,56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0.16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6,730,956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-23,578,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256.02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-16,847,3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6,730,956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-6,730,9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56.02</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-16,847,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-16,847,3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-195,074,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283,744,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36,889,84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234,535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,729.59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559,620,1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35.16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256" w:lineRule="auto" w:before="0"/>
        <w:ind w:left="1134" w:right="1132" w:firstLine="420"/>
        <w:jc w:val="both"/>
        <w:rPr>
          <w:rFonts w:ascii="宋体" w:hAnsi="宋体" w:cs="宋体" w:eastAsia="宋体" w:hint="default"/>
          <w:sz w:val="21"/>
          <w:szCs w:val="21"/>
        </w:rPr>
      </w:pPr>
      <w:r>
        <w:rPr>
          <w:rFonts w:ascii="宋体" w:hAnsi="宋体" w:cs="宋体" w:eastAsia="宋体" w:hint="default"/>
          <w:spacing w:val="-2"/>
          <w:sz w:val="21"/>
          <w:szCs w:val="21"/>
        </w:rPr>
        <w:t>厦门红相电力设备股份有限公司（以下简称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红相电力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）前身为于</w:t>
      </w:r>
      <w:r>
        <w:rPr>
          <w:rFonts w:ascii="Times New Roman" w:hAnsi="Times New Roman" w:cs="Times New Roman" w:eastAsia="Times New Roman" w:hint="default"/>
          <w:spacing w:val="-2"/>
          <w:sz w:val="21"/>
          <w:szCs w:val="21"/>
        </w:rPr>
        <w:t>2005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月设立的厦门红</w:t>
      </w:r>
      <w:r>
        <w:rPr>
          <w:rFonts w:ascii="宋体" w:hAnsi="宋体" w:cs="宋体" w:eastAsia="宋体" w:hint="default"/>
          <w:sz w:val="21"/>
          <w:szCs w:val="21"/>
        </w:rPr>
        <w:t> 相电力设备进出口有限公司（以下简称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厦门红相进出口公司</w:t>
      </w:r>
      <w:r>
        <w:rPr>
          <w:rFonts w:ascii="Times New Roman" w:hAnsi="Times New Roman" w:cs="Times New Roman" w:eastAsia="Times New Roman" w:hint="default"/>
          <w:sz w:val="21"/>
          <w:szCs w:val="21"/>
        </w:rPr>
        <w:t>”</w:t>
      </w:r>
      <w:r>
        <w:rPr>
          <w:rFonts w:ascii="宋体" w:hAnsi="宋体" w:cs="宋体" w:eastAsia="宋体" w:hint="default"/>
          <w:sz w:val="21"/>
          <w:szCs w:val="21"/>
        </w:rPr>
        <w:t>），初始注册资本为人民币</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w:t>
      </w:r>
    </w:p>
    <w:p>
      <w:pPr>
        <w:spacing w:line="256" w:lineRule="auto" w:before="125"/>
        <w:ind w:left="1133" w:right="1130"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月，根据厦门红相进出口公司股东会决议的规定，以该公司原全体股东作为发起人，采取发</w:t>
      </w:r>
      <w:r>
        <w:rPr>
          <w:rFonts w:ascii="宋体" w:hAnsi="宋体" w:cs="宋体" w:eastAsia="宋体" w:hint="default"/>
          <w:sz w:val="21"/>
          <w:szCs w:val="21"/>
        </w:rPr>
        <w:t> </w:t>
      </w:r>
      <w:r>
        <w:rPr>
          <w:rFonts w:ascii="宋体" w:hAnsi="宋体" w:cs="宋体" w:eastAsia="宋体" w:hint="default"/>
          <w:spacing w:val="-1"/>
          <w:sz w:val="21"/>
          <w:szCs w:val="21"/>
        </w:rPr>
        <w:t>起设立方式，将厦门红相进出口公司依法整体变更为股份有限公司。变更基准日为</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日，变更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后的注册资本为人民币</w:t>
      </w:r>
      <w:r>
        <w:rPr>
          <w:rFonts w:ascii="Times New Roman" w:hAnsi="Times New Roman" w:cs="Times New Roman" w:eastAsia="Times New Roman" w:hint="default"/>
          <w:spacing w:val="-2"/>
          <w:sz w:val="21"/>
          <w:szCs w:val="21"/>
        </w:rPr>
        <w:t>6,000</w:t>
      </w:r>
      <w:r>
        <w:rPr>
          <w:rFonts w:ascii="宋体" w:hAnsi="宋体" w:cs="宋体" w:eastAsia="宋体" w:hint="default"/>
          <w:spacing w:val="-2"/>
          <w:sz w:val="21"/>
          <w:szCs w:val="21"/>
        </w:rPr>
        <w:t>万元，全体股东同意以截至</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日止厦门红相进出口公司的账面净资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产折股，股份总数</w:t>
      </w:r>
      <w:r>
        <w:rPr>
          <w:rFonts w:ascii="Times New Roman" w:hAnsi="Times New Roman" w:cs="Times New Roman" w:eastAsia="Times New Roman" w:hint="default"/>
          <w:sz w:val="21"/>
          <w:szCs w:val="21"/>
        </w:rPr>
        <w:t>6,000</w:t>
      </w:r>
      <w:r>
        <w:rPr>
          <w:rFonts w:ascii="宋体" w:hAnsi="宋体" w:cs="宋体" w:eastAsia="宋体" w:hint="default"/>
          <w:sz w:val="21"/>
          <w:szCs w:val="21"/>
        </w:rPr>
        <w:t>万股，每股面值人民币</w:t>
      </w:r>
      <w:r>
        <w:rPr>
          <w:rFonts w:ascii="Times New Roman" w:hAnsi="Times New Roman" w:cs="Times New Roman" w:eastAsia="Times New Roman" w:hint="default"/>
          <w:sz w:val="21"/>
          <w:szCs w:val="21"/>
        </w:rPr>
        <w:t>1</w:t>
      </w:r>
      <w:r>
        <w:rPr>
          <w:rFonts w:ascii="宋体" w:hAnsi="宋体" w:cs="宋体" w:eastAsia="宋体" w:hint="default"/>
          <w:sz w:val="21"/>
          <w:szCs w:val="21"/>
        </w:rPr>
        <w:t>元，剩余净资产列入资本公积。发起人按照各自持有厦门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红相进出口公司的股权比例，持有本公司相应数额的股份。本公司于</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28</w:t>
      </w:r>
      <w:r>
        <w:rPr>
          <w:rFonts w:ascii="宋体" w:hAnsi="宋体" w:cs="宋体" w:eastAsia="宋体" w:hint="default"/>
          <w:spacing w:val="-1"/>
          <w:sz w:val="21"/>
          <w:szCs w:val="21"/>
        </w:rPr>
        <w:t>日取得厦门市工商行政</w:t>
      </w:r>
      <w:r>
        <w:rPr>
          <w:rFonts w:ascii="宋体" w:hAnsi="宋体" w:cs="宋体" w:eastAsia="宋体" w:hint="default"/>
          <w:spacing w:val="-79"/>
          <w:sz w:val="21"/>
          <w:szCs w:val="21"/>
        </w:rPr>
        <w:t> </w:t>
      </w:r>
      <w:r>
        <w:rPr>
          <w:rFonts w:ascii="宋体" w:hAnsi="宋体" w:cs="宋体" w:eastAsia="宋体" w:hint="default"/>
          <w:sz w:val="21"/>
          <w:szCs w:val="21"/>
        </w:rPr>
        <w:t>管理局核发的《企业法人营业执照》。</w:t>
      </w:r>
    </w:p>
    <w:p>
      <w:pPr>
        <w:spacing w:line="256" w:lineRule="auto" w:before="142"/>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月，根据本公司</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年第二次临时股东会决议、本公司与新增股东签订的增资扩股协议及修</w:t>
      </w:r>
      <w:r>
        <w:rPr>
          <w:rFonts w:ascii="宋体" w:hAnsi="宋体" w:cs="宋体" w:eastAsia="宋体" w:hint="default"/>
          <w:sz w:val="21"/>
          <w:szCs w:val="21"/>
        </w:rPr>
        <w:t> 改后的章程规定，本公司申请新增股东及新增注册资本人民币</w:t>
      </w:r>
      <w:r>
        <w:rPr>
          <w:rFonts w:ascii="Times New Roman" w:hAnsi="Times New Roman" w:cs="Times New Roman" w:eastAsia="Times New Roman" w:hint="default"/>
          <w:sz w:val="21"/>
          <w:szCs w:val="21"/>
        </w:rPr>
        <w:t>510</w:t>
      </w:r>
      <w:r>
        <w:rPr>
          <w:rFonts w:ascii="宋体" w:hAnsi="宋体" w:cs="宋体" w:eastAsia="宋体" w:hint="default"/>
          <w:sz w:val="21"/>
          <w:szCs w:val="21"/>
        </w:rPr>
        <w:t>万元，由长江成长资本投资有限公司和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深圳市中科宏易创业投资有限公司以货币方式出资，变更后的注册资本为人民币</w:t>
      </w:r>
      <w:r>
        <w:rPr>
          <w:rFonts w:ascii="Times New Roman" w:hAnsi="Times New Roman" w:cs="Times New Roman" w:eastAsia="Times New Roman" w:hint="default"/>
          <w:sz w:val="21"/>
          <w:szCs w:val="21"/>
        </w:rPr>
        <w:t>6,510</w:t>
      </w:r>
      <w:r>
        <w:rPr>
          <w:rFonts w:ascii="宋体" w:hAnsi="宋体" w:cs="宋体" w:eastAsia="宋体" w:hint="default"/>
          <w:sz w:val="21"/>
          <w:szCs w:val="21"/>
        </w:rPr>
        <w:t>万元。</w:t>
      </w:r>
    </w:p>
    <w:p>
      <w:pPr>
        <w:spacing w:line="256" w:lineRule="auto" w:before="125"/>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月，根据本公司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年第一次临时股东会决议、本公司与新增股东签订的增资扩股协议及修 改后的章程规定，申请新增股东及新增注册资本人民币</w:t>
      </w:r>
      <w:r>
        <w:rPr>
          <w:rFonts w:ascii="Times New Roman" w:hAnsi="Times New Roman" w:cs="Times New Roman" w:eastAsia="Times New Roman" w:hint="default"/>
          <w:sz w:val="21"/>
          <w:szCs w:val="21"/>
        </w:rPr>
        <w:t>140</w:t>
      </w:r>
      <w:r>
        <w:rPr>
          <w:rFonts w:ascii="宋体" w:hAnsi="宋体" w:cs="宋体" w:eastAsia="宋体" w:hint="default"/>
          <w:sz w:val="21"/>
          <w:szCs w:val="21"/>
        </w:rPr>
        <w:t>万元，由吴志阳、陈奕锋等</w:t>
      </w:r>
      <w:r>
        <w:rPr>
          <w:rFonts w:ascii="Times New Roman" w:hAnsi="Times New Roman" w:cs="Times New Roman" w:eastAsia="Times New Roman" w:hint="default"/>
          <w:sz w:val="21"/>
          <w:szCs w:val="21"/>
        </w:rPr>
        <w:t>59</w:t>
      </w:r>
      <w:r>
        <w:rPr>
          <w:rFonts w:ascii="宋体" w:hAnsi="宋体" w:cs="宋体" w:eastAsia="宋体" w:hint="default"/>
          <w:sz w:val="21"/>
          <w:szCs w:val="21"/>
        </w:rPr>
        <w:t>名自然人股东以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货币方式出资，变更后的注册资本为人民币</w:t>
      </w:r>
      <w:r>
        <w:rPr>
          <w:rFonts w:ascii="Times New Roman" w:hAnsi="Times New Roman" w:cs="Times New Roman" w:eastAsia="Times New Roman" w:hint="default"/>
          <w:sz w:val="21"/>
          <w:szCs w:val="21"/>
        </w:rPr>
        <w:t>6,650</w:t>
      </w:r>
      <w:r>
        <w:rPr>
          <w:rFonts w:ascii="宋体" w:hAnsi="宋体" w:cs="宋体" w:eastAsia="宋体" w:hint="default"/>
          <w:sz w:val="21"/>
          <w:szCs w:val="21"/>
        </w:rPr>
        <w:t>万元。</w:t>
      </w:r>
    </w:p>
    <w:p>
      <w:pPr>
        <w:spacing w:line="261" w:lineRule="auto" w:before="125"/>
        <w:ind w:left="1134" w:right="0"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2015</w:t>
      </w:r>
      <w:r>
        <w:rPr>
          <w:rFonts w:ascii="宋体" w:hAnsi="宋体" w:cs="宋体" w:eastAsia="宋体" w:hint="default"/>
          <w:sz w:val="21"/>
          <w:szCs w:val="21"/>
        </w:rPr>
        <w:t>】</w:t>
      </w:r>
      <w:r>
        <w:rPr>
          <w:rFonts w:ascii="Times New Roman" w:hAnsi="Times New Roman" w:cs="Times New Roman" w:eastAsia="Times New Roman" w:hint="default"/>
          <w:sz w:val="21"/>
          <w:szCs w:val="21"/>
        </w:rPr>
        <w:t>179</w:t>
      </w:r>
      <w:r>
        <w:rPr>
          <w:rFonts w:ascii="宋体" w:hAnsi="宋体" w:cs="宋体" w:eastAsia="宋体" w:hint="default"/>
          <w:sz w:val="21"/>
          <w:szCs w:val="21"/>
        </w:rPr>
        <w:t>号文核准，红相电力首次公开发行不超过股票</w:t>
      </w:r>
      <w:r>
        <w:rPr>
          <w:rFonts w:ascii="Times New Roman" w:hAnsi="Times New Roman" w:cs="Times New Roman" w:eastAsia="Times New Roman" w:hint="default"/>
          <w:sz w:val="21"/>
          <w:szCs w:val="21"/>
        </w:rPr>
        <w:t>2,217 </w:t>
      </w:r>
      <w:r>
        <w:rPr>
          <w:rFonts w:ascii="宋体" w:hAnsi="宋体" w:cs="宋体" w:eastAsia="宋体" w:hint="default"/>
          <w:sz w:val="21"/>
          <w:szCs w:val="21"/>
        </w:rPr>
        <w:t>万股人民币普通股。经深圳证券交易所《关于厦门红相电力设备股份有限公司人民币普通股股票在创业板 </w:t>
      </w:r>
      <w:r>
        <w:rPr>
          <w:rFonts w:ascii="宋体" w:hAnsi="宋体" w:cs="宋体" w:eastAsia="宋体" w:hint="default"/>
          <w:spacing w:val="-3"/>
          <w:sz w:val="21"/>
          <w:szCs w:val="21"/>
        </w:rPr>
        <w:t>上市的通知》（深证上【</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81</w:t>
      </w:r>
      <w:r>
        <w:rPr>
          <w:rFonts w:ascii="宋体" w:hAnsi="宋体" w:cs="宋体" w:eastAsia="宋体" w:hint="default"/>
          <w:spacing w:val="-3"/>
          <w:sz w:val="21"/>
          <w:szCs w:val="21"/>
        </w:rPr>
        <w:t>号）同意，公司发行的人民币普通股股票在深圳证券交易所创业板上市，</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股票简称</w:t>
      </w:r>
      <w:r>
        <w:rPr>
          <w:rFonts w:ascii="Times New Roman" w:hAnsi="Times New Roman" w:cs="Times New Roman" w:eastAsia="Times New Roman" w:hint="default"/>
          <w:sz w:val="21"/>
          <w:szCs w:val="21"/>
        </w:rPr>
        <w:t>“</w:t>
      </w:r>
      <w:r>
        <w:rPr>
          <w:rFonts w:ascii="宋体" w:hAnsi="宋体" w:cs="宋体" w:eastAsia="宋体" w:hint="default"/>
          <w:sz w:val="21"/>
          <w:szCs w:val="21"/>
        </w:rPr>
        <w:t>红相电力</w:t>
      </w:r>
      <w:r>
        <w:rPr>
          <w:rFonts w:ascii="Times New Roman" w:hAnsi="Times New Roman" w:cs="Times New Roman" w:eastAsia="Times New Roman" w:hint="default"/>
          <w:sz w:val="21"/>
          <w:szCs w:val="21"/>
        </w:rPr>
        <w:t>”</w:t>
      </w:r>
      <w:r>
        <w:rPr>
          <w:rFonts w:ascii="宋体" w:hAnsi="宋体" w:cs="宋体" w:eastAsia="宋体" w:hint="default"/>
          <w:sz w:val="21"/>
          <w:szCs w:val="21"/>
        </w:rPr>
        <w:t>，股票代码</w:t>
      </w:r>
      <w:r>
        <w:rPr>
          <w:rFonts w:ascii="Times New Roman" w:hAnsi="Times New Roman" w:cs="Times New Roman" w:eastAsia="Times New Roman" w:hint="default"/>
          <w:sz w:val="21"/>
          <w:szCs w:val="21"/>
        </w:rPr>
        <w:t>“300427”</w:t>
      </w:r>
      <w:r>
        <w:rPr>
          <w:rFonts w:ascii="宋体" w:hAnsi="宋体" w:cs="宋体" w:eastAsia="宋体" w:hint="default"/>
          <w:sz w:val="21"/>
          <w:szCs w:val="21"/>
        </w:rPr>
        <w:t>；其中本次发行的</w:t>
      </w:r>
      <w:r>
        <w:rPr>
          <w:rFonts w:ascii="Times New Roman" w:hAnsi="Times New Roman" w:cs="Times New Roman" w:eastAsia="Times New Roman" w:hint="default"/>
          <w:sz w:val="21"/>
          <w:szCs w:val="21"/>
        </w:rPr>
        <w:t>2,217</w:t>
      </w:r>
      <w:r>
        <w:rPr>
          <w:rFonts w:ascii="宋体" w:hAnsi="宋体" w:cs="宋体" w:eastAsia="宋体" w:hint="default"/>
          <w:sz w:val="21"/>
          <w:szCs w:val="21"/>
        </w:rPr>
        <w:t>万股股票于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日起上市交易。</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首次公开发行后公司总股本为</w:t>
      </w:r>
      <w:r>
        <w:rPr>
          <w:rFonts w:ascii="Times New Roman" w:hAnsi="Times New Roman" w:cs="Times New Roman" w:eastAsia="Times New Roman" w:hint="default"/>
          <w:sz w:val="21"/>
          <w:szCs w:val="21"/>
        </w:rPr>
        <w:t>8,867</w:t>
      </w:r>
      <w:r>
        <w:rPr>
          <w:rFonts w:ascii="宋体" w:hAnsi="宋体" w:cs="宋体" w:eastAsia="宋体" w:hint="default"/>
          <w:sz w:val="21"/>
          <w:szCs w:val="21"/>
        </w:rPr>
        <w:t>万股。</w:t>
      </w:r>
    </w:p>
    <w:p>
      <w:pPr>
        <w:spacing w:line="256" w:lineRule="auto" w:before="120"/>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日，红相电力召开</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年年度股东大会，审议通过了公司</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年度利润分配及资本公积金</w:t>
      </w:r>
      <w:r>
        <w:rPr>
          <w:rFonts w:ascii="宋体" w:hAnsi="宋体" w:cs="宋体" w:eastAsia="宋体" w:hint="default"/>
          <w:sz w:val="21"/>
          <w:szCs w:val="21"/>
        </w:rPr>
        <w:t> 转增股本方案，本次转增后公司股本总额变更为</w:t>
      </w:r>
      <w:r>
        <w:rPr>
          <w:rFonts w:ascii="Times New Roman" w:hAnsi="Times New Roman" w:cs="Times New Roman" w:eastAsia="Times New Roman" w:hint="default"/>
          <w:sz w:val="21"/>
          <w:szCs w:val="21"/>
        </w:rPr>
        <w:t>283,744,000</w:t>
      </w:r>
      <w:r>
        <w:rPr>
          <w:rFonts w:ascii="宋体" w:hAnsi="宋体" w:cs="宋体" w:eastAsia="宋体" w:hint="default"/>
          <w:sz w:val="21"/>
          <w:szCs w:val="21"/>
        </w:rPr>
        <w:t>股。</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日，致同会计师出具致同验</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5"/>
          <w:sz w:val="21"/>
          <w:szCs w:val="21"/>
        </w:rPr>
        <w:t>字（</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）第</w:t>
      </w:r>
      <w:r>
        <w:rPr>
          <w:rFonts w:ascii="Times New Roman" w:hAnsi="Times New Roman" w:cs="Times New Roman" w:eastAsia="Times New Roman" w:hint="default"/>
          <w:spacing w:val="-5"/>
          <w:sz w:val="21"/>
          <w:szCs w:val="21"/>
        </w:rPr>
        <w:t>350ZA0045</w:t>
      </w:r>
      <w:r>
        <w:rPr>
          <w:rFonts w:ascii="宋体" w:hAnsi="宋体" w:cs="宋体" w:eastAsia="宋体" w:hint="default"/>
          <w:spacing w:val="-5"/>
          <w:sz w:val="21"/>
          <w:szCs w:val="21"/>
        </w:rPr>
        <w:t>号《验资报告》，确认截至</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14</w:t>
      </w:r>
      <w:r>
        <w:rPr>
          <w:rFonts w:ascii="宋体" w:hAnsi="宋体" w:cs="宋体" w:eastAsia="宋体" w:hint="default"/>
          <w:spacing w:val="-5"/>
          <w:sz w:val="21"/>
          <w:szCs w:val="21"/>
        </w:rPr>
        <w:t>日止，变更后的注册资本人民币</w:t>
      </w:r>
      <w:r>
        <w:rPr>
          <w:rFonts w:ascii="Times New Roman" w:hAnsi="Times New Roman" w:cs="Times New Roman" w:eastAsia="Times New Roman" w:hint="default"/>
          <w:spacing w:val="-5"/>
          <w:sz w:val="21"/>
          <w:szCs w:val="21"/>
        </w:rPr>
        <w:t>283,744,000</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元，累计实收资本（股本）人民币</w:t>
      </w:r>
      <w:r>
        <w:rPr>
          <w:rFonts w:ascii="Times New Roman" w:hAnsi="Times New Roman" w:cs="Times New Roman" w:eastAsia="Times New Roman" w:hint="default"/>
          <w:sz w:val="21"/>
          <w:szCs w:val="21"/>
        </w:rPr>
        <w:t>283,744,000</w:t>
      </w:r>
      <w:r>
        <w:rPr>
          <w:rFonts w:ascii="宋体" w:hAnsi="宋体" w:cs="宋体" w:eastAsia="宋体" w:hint="default"/>
          <w:sz w:val="21"/>
          <w:szCs w:val="21"/>
        </w:rPr>
        <w:t>元。</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日，公司取得了厦门市市场监督管理局换</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发的营业执照。</w:t>
      </w:r>
    </w:p>
    <w:p>
      <w:pPr>
        <w:spacing w:line="264" w:lineRule="auto" w:before="142"/>
        <w:ind w:left="1133" w:right="1131" w:firstLine="420"/>
        <w:jc w:val="both"/>
        <w:rPr>
          <w:rFonts w:ascii="宋体" w:hAnsi="宋体" w:cs="宋体" w:eastAsia="宋体" w:hint="default"/>
          <w:sz w:val="21"/>
          <w:szCs w:val="21"/>
        </w:rPr>
      </w:pPr>
      <w:r>
        <w:rPr>
          <w:rFonts w:ascii="宋体" w:hAnsi="宋体" w:cs="宋体" w:eastAsia="宋体" w:hint="default"/>
          <w:sz w:val="21"/>
          <w:szCs w:val="21"/>
        </w:rPr>
        <w:t>经证监会证监许可</w:t>
      </w:r>
      <w:r>
        <w:rPr>
          <w:rFonts w:ascii="Times New Roman" w:hAnsi="Times New Roman" w:cs="Times New Roman" w:eastAsia="Times New Roman" w:hint="default"/>
          <w:sz w:val="21"/>
          <w:szCs w:val="21"/>
        </w:rPr>
        <w:t>[2017]1351</w:t>
      </w:r>
      <w:r>
        <w:rPr>
          <w:rFonts w:ascii="宋体" w:hAnsi="宋体" w:cs="宋体" w:eastAsia="宋体" w:hint="default"/>
          <w:sz w:val="21"/>
          <w:szCs w:val="21"/>
        </w:rPr>
        <w:t>号《关于核准厦门红相电力设备股份有限公司向卧龙电气集团股份有限 </w:t>
      </w:r>
      <w:r>
        <w:rPr>
          <w:rFonts w:ascii="宋体" w:hAnsi="宋体" w:cs="宋体" w:eastAsia="宋体" w:hint="default"/>
          <w:spacing w:val="-1"/>
          <w:sz w:val="21"/>
          <w:szCs w:val="21"/>
        </w:rPr>
        <w:t>公司等发行股份购买资产并募集配套资金的批复》核准，公司向卧龙电气集团股份有限公司、张青等交易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方发行</w:t>
      </w:r>
      <w:r>
        <w:rPr>
          <w:rFonts w:ascii="Times New Roman" w:hAnsi="Times New Roman" w:cs="Times New Roman" w:eastAsia="Times New Roman" w:hint="default"/>
          <w:sz w:val="21"/>
          <w:szCs w:val="21"/>
        </w:rPr>
        <w:t>68,842,786</w:t>
      </w:r>
      <w:r>
        <w:rPr>
          <w:rFonts w:ascii="宋体" w:hAnsi="宋体" w:cs="宋体" w:eastAsia="宋体" w:hint="default"/>
          <w:sz w:val="21"/>
          <w:szCs w:val="21"/>
        </w:rPr>
        <w:t>股股份并支付现金购买其持有的卧龙电气银川变压器有限公司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股权、合肥星波通信</w:t>
      </w:r>
    </w:p>
    <w:p>
      <w:pPr>
        <w:spacing w:after="0" w:line="264" w:lineRule="auto"/>
        <w:jc w:val="both"/>
        <w:rPr>
          <w:rFonts w:ascii="宋体" w:hAnsi="宋体" w:cs="宋体" w:eastAsia="宋体"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259" w:lineRule="auto" w:before="35"/>
        <w:ind w:left="1133" w:right="0" w:firstLine="0"/>
        <w:jc w:val="left"/>
        <w:rPr>
          <w:rFonts w:ascii="宋体" w:hAnsi="宋体" w:cs="宋体" w:eastAsia="宋体" w:hint="default"/>
          <w:sz w:val="21"/>
          <w:szCs w:val="21"/>
        </w:rPr>
      </w:pPr>
      <w:r>
        <w:rPr>
          <w:rFonts w:ascii="宋体" w:hAnsi="宋体" w:cs="宋体" w:eastAsia="宋体" w:hint="default"/>
          <w:spacing w:val="11"/>
          <w:sz w:val="21"/>
          <w:szCs w:val="21"/>
        </w:rPr>
        <w:t>技术有限公司</w:t>
      </w:r>
      <w:r>
        <w:rPr>
          <w:rFonts w:ascii="Times New Roman" w:hAnsi="Times New Roman" w:cs="Times New Roman" w:eastAsia="Times New Roman" w:hint="default"/>
          <w:spacing w:val="11"/>
          <w:sz w:val="21"/>
          <w:szCs w:val="21"/>
        </w:rPr>
        <w:t>67.54%</w:t>
      </w:r>
      <w:r>
        <w:rPr>
          <w:rFonts w:ascii="宋体" w:hAnsi="宋体" w:cs="宋体" w:eastAsia="宋体" w:hint="default"/>
          <w:spacing w:val="11"/>
          <w:sz w:val="21"/>
          <w:szCs w:val="21"/>
        </w:rPr>
        <w:t>股权。上述股份于</w:t>
      </w:r>
      <w:r>
        <w:rPr>
          <w:rFonts w:ascii="Times New Roman" w:hAnsi="Times New Roman" w:cs="Times New Roman" w:eastAsia="Times New Roman" w:hint="default"/>
          <w:spacing w:val="11"/>
          <w:sz w:val="21"/>
          <w:szCs w:val="21"/>
        </w:rPr>
        <w:t>2017</w:t>
      </w:r>
      <w:r>
        <w:rPr>
          <w:rFonts w:ascii="宋体" w:hAnsi="宋体" w:cs="宋体" w:eastAsia="宋体" w:hint="default"/>
          <w:spacing w:val="11"/>
          <w:sz w:val="21"/>
          <w:szCs w:val="21"/>
        </w:rPr>
        <w:t>年</w:t>
      </w:r>
      <w:r>
        <w:rPr>
          <w:rFonts w:ascii="Times New Roman" w:hAnsi="Times New Roman" w:cs="Times New Roman" w:eastAsia="Times New Roman" w:hint="default"/>
          <w:spacing w:val="11"/>
          <w:sz w:val="21"/>
          <w:szCs w:val="21"/>
        </w:rPr>
        <w:t>10</w:t>
      </w:r>
      <w:r>
        <w:rPr>
          <w:rFonts w:ascii="宋体" w:hAnsi="宋体" w:cs="宋体" w:eastAsia="宋体" w:hint="default"/>
          <w:spacing w:val="11"/>
          <w:sz w:val="21"/>
          <w:szCs w:val="21"/>
        </w:rPr>
        <w:t>月</w:t>
      </w:r>
      <w:r>
        <w:rPr>
          <w:rFonts w:ascii="Times New Roman" w:hAnsi="Times New Roman" w:cs="Times New Roman" w:eastAsia="Times New Roman" w:hint="default"/>
          <w:spacing w:val="11"/>
          <w:sz w:val="21"/>
          <w:szCs w:val="21"/>
        </w:rPr>
        <w:t>13</w:t>
      </w:r>
      <w:r>
        <w:rPr>
          <w:rFonts w:ascii="宋体" w:hAnsi="宋体" w:cs="宋体" w:eastAsia="宋体" w:hint="default"/>
          <w:spacing w:val="11"/>
          <w:sz w:val="21"/>
          <w:szCs w:val="21"/>
        </w:rPr>
        <w:t>日在深圳证券交易所上市，公司总股本增加至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352,586,786</w:t>
      </w:r>
      <w:r>
        <w:rPr>
          <w:rFonts w:ascii="宋体" w:hAnsi="宋体" w:cs="宋体" w:eastAsia="宋体" w:hint="default"/>
          <w:sz w:val="21"/>
          <w:szCs w:val="21"/>
        </w:rPr>
        <w:t>股。</w:t>
      </w:r>
    </w:p>
    <w:p>
      <w:pPr>
        <w:spacing w:before="42"/>
        <w:ind w:left="1553" w:right="0" w:firstLine="0"/>
        <w:jc w:val="left"/>
        <w:rPr>
          <w:rFonts w:ascii="宋体" w:hAnsi="宋体" w:cs="宋体" w:eastAsia="宋体" w:hint="default"/>
          <w:sz w:val="21"/>
          <w:szCs w:val="21"/>
        </w:rPr>
      </w:pPr>
      <w:r>
        <w:rPr>
          <w:rFonts w:ascii="宋体" w:hAnsi="宋体" w:cs="宋体" w:eastAsia="宋体" w:hint="default"/>
          <w:sz w:val="21"/>
          <w:szCs w:val="21"/>
        </w:rPr>
        <w:t>截至本报告期末，公司的股本结构如下：</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842"/>
        <w:gridCol w:w="2840"/>
        <w:gridCol w:w="2842"/>
      </w:tblGrid>
      <w:tr>
        <w:trPr>
          <w:trHeight w:val="426"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股份类别</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持股数量（股）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限售流通股</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253,759,303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71.97</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无限售流通股</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98,827,483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28.03</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352,586,786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5"/>
        <w:rPr>
          <w:rFonts w:ascii="宋体" w:hAnsi="宋体" w:cs="宋体" w:eastAsia="宋体" w:hint="default"/>
          <w:sz w:val="5"/>
          <w:szCs w:val="5"/>
        </w:rPr>
      </w:pPr>
    </w:p>
    <w:p>
      <w:pPr>
        <w:spacing w:line="256" w:lineRule="auto" w:before="35"/>
        <w:ind w:left="1133" w:right="0" w:firstLine="420"/>
        <w:jc w:val="left"/>
        <w:rPr>
          <w:rFonts w:ascii="宋体" w:hAnsi="宋体" w:cs="宋体" w:eastAsia="宋体" w:hint="default"/>
          <w:sz w:val="21"/>
          <w:szCs w:val="21"/>
        </w:rPr>
      </w:pPr>
      <w:r>
        <w:rPr>
          <w:rFonts w:ascii="宋体" w:hAnsi="宋体" w:cs="宋体" w:eastAsia="宋体" w:hint="default"/>
          <w:sz w:val="21"/>
          <w:szCs w:val="21"/>
        </w:rPr>
        <w:t>本公司《营业执照》统一社会信用代码：</w:t>
      </w:r>
      <w:r>
        <w:rPr>
          <w:rFonts w:ascii="Times New Roman" w:hAnsi="Times New Roman" w:cs="Times New Roman" w:eastAsia="Times New Roman" w:hint="default"/>
          <w:sz w:val="21"/>
          <w:szCs w:val="21"/>
        </w:rPr>
        <w:t>91350200776007963Y</w:t>
      </w:r>
      <w:r>
        <w:rPr>
          <w:rFonts w:ascii="宋体" w:hAnsi="宋体" w:cs="宋体" w:eastAsia="宋体" w:hint="default"/>
          <w:sz w:val="21"/>
          <w:szCs w:val="21"/>
        </w:rPr>
        <w:t>；住所：厦门市思明区南投路</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1002 </w:t>
      </w:r>
      <w:r>
        <w:rPr>
          <w:rFonts w:ascii="宋体" w:hAnsi="宋体" w:cs="宋体" w:eastAsia="宋体" w:hint="default"/>
          <w:sz w:val="21"/>
          <w:szCs w:val="21"/>
        </w:rPr>
        <w:t>单元之一；法定代表人：杨成。</w:t>
      </w:r>
    </w:p>
    <w:p>
      <w:pPr>
        <w:spacing w:line="432" w:lineRule="exact" w:before="42"/>
        <w:ind w:left="1554" w:right="1116" w:firstLine="0"/>
        <w:jc w:val="left"/>
        <w:rPr>
          <w:rFonts w:ascii="宋体" w:hAnsi="宋体" w:cs="宋体" w:eastAsia="宋体" w:hint="default"/>
          <w:sz w:val="21"/>
          <w:szCs w:val="21"/>
        </w:rPr>
      </w:pPr>
      <w:r>
        <w:rPr>
          <w:rFonts w:ascii="宋体" w:hAnsi="宋体" w:cs="宋体" w:eastAsia="宋体" w:hint="default"/>
          <w:sz w:val="21"/>
          <w:szCs w:val="21"/>
        </w:rPr>
        <w:t>本公司实际控制人为杨保田、杨成。 本公司及其子公司（以下简称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本集团</w:t>
      </w:r>
      <w:r>
        <w:rPr>
          <w:rFonts w:ascii="Times New Roman" w:hAnsi="Times New Roman" w:cs="Times New Roman" w:eastAsia="Times New Roman" w:hint="default"/>
          <w:sz w:val="21"/>
          <w:szCs w:val="21"/>
        </w:rPr>
        <w:t>”</w:t>
      </w:r>
      <w:r>
        <w:rPr>
          <w:rFonts w:ascii="宋体" w:hAnsi="宋体" w:cs="宋体" w:eastAsia="宋体" w:hint="default"/>
          <w:sz w:val="21"/>
          <w:szCs w:val="21"/>
        </w:rPr>
        <w:t>）属电气机械和器材制造业，主要研发生产和销售电力设备、</w:t>
      </w:r>
    </w:p>
    <w:p>
      <w:pPr>
        <w:spacing w:line="255" w:lineRule="exact" w:before="0"/>
        <w:ind w:left="1134" w:right="0" w:firstLine="0"/>
        <w:jc w:val="both"/>
        <w:rPr>
          <w:rFonts w:ascii="宋体" w:hAnsi="宋体" w:cs="宋体" w:eastAsia="宋体" w:hint="default"/>
          <w:sz w:val="21"/>
          <w:szCs w:val="21"/>
        </w:rPr>
      </w:pPr>
      <w:r>
        <w:rPr>
          <w:rFonts w:ascii="宋体" w:hAnsi="宋体" w:cs="宋体" w:eastAsia="宋体" w:hint="default"/>
          <w:sz w:val="21"/>
          <w:szCs w:val="21"/>
        </w:rPr>
        <w:t>铁路与轨道交通牵引供电装备、军工电子等相关产品，包括电力设备状态检测、监测产品，电测产品，智</w:t>
      </w:r>
    </w:p>
    <w:p>
      <w:pPr>
        <w:spacing w:before="37"/>
        <w:ind w:left="1134" w:right="0" w:firstLine="0"/>
        <w:jc w:val="both"/>
        <w:rPr>
          <w:rFonts w:ascii="宋体" w:hAnsi="宋体" w:cs="宋体" w:eastAsia="宋体" w:hint="default"/>
          <w:sz w:val="21"/>
          <w:szCs w:val="21"/>
        </w:rPr>
      </w:pPr>
      <w:r>
        <w:rPr>
          <w:rFonts w:ascii="宋体" w:hAnsi="宋体" w:cs="宋体" w:eastAsia="宋体" w:hint="default"/>
          <w:sz w:val="21"/>
          <w:szCs w:val="21"/>
        </w:rPr>
        <w:t>能配网产品，电力设备，牵引变压器，新能源工程总包，射频／微波通信产品及相关的技术服务。</w:t>
      </w:r>
    </w:p>
    <w:p>
      <w:pPr>
        <w:spacing w:line="273" w:lineRule="auto" w:before="157"/>
        <w:ind w:left="1133" w:right="1018" w:firstLine="420"/>
        <w:jc w:val="left"/>
        <w:rPr>
          <w:rFonts w:ascii="宋体" w:hAnsi="宋体" w:cs="宋体" w:eastAsia="宋体" w:hint="default"/>
          <w:sz w:val="21"/>
          <w:szCs w:val="21"/>
        </w:rPr>
      </w:pPr>
      <w:r>
        <w:rPr>
          <w:rFonts w:ascii="宋体" w:hAnsi="宋体" w:cs="宋体" w:eastAsia="宋体" w:hint="default"/>
          <w:spacing w:val="-3"/>
          <w:sz w:val="21"/>
          <w:szCs w:val="21"/>
        </w:rPr>
        <w:t>本公司建立了股东大会、董事会、监事会的法人治理结构，目前设有轨道事业部、发电事业部、工厂、</w:t>
      </w:r>
      <w:r>
        <w:rPr>
          <w:rFonts w:ascii="宋体" w:hAnsi="宋体" w:cs="宋体" w:eastAsia="宋体" w:hint="default"/>
          <w:sz w:val="21"/>
          <w:szCs w:val="21"/>
        </w:rPr>
        <w:t> 技术部、研发部、营销中心、证券投资中心、财务中心、行政人事中心、物流中心、内部审计部等部门， 并拥有七家子公司及三家孙公司。</w:t>
      </w:r>
    </w:p>
    <w:p>
      <w:pPr>
        <w:spacing w:before="127"/>
        <w:ind w:left="1553" w:right="0" w:firstLine="0"/>
        <w:jc w:val="left"/>
        <w:rPr>
          <w:rFonts w:ascii="宋体" w:hAnsi="宋体" w:cs="宋体" w:eastAsia="宋体" w:hint="default"/>
          <w:sz w:val="21"/>
          <w:szCs w:val="21"/>
        </w:rPr>
      </w:pPr>
      <w:r>
        <w:rPr>
          <w:rFonts w:ascii="宋体" w:hAnsi="宋体" w:cs="宋体" w:eastAsia="宋体" w:hint="default"/>
          <w:sz w:val="21"/>
          <w:szCs w:val="21"/>
        </w:rPr>
        <w:t>本财务报告经本公司第四届董事会第六次会议于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日批准。</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1"/>
          <w:szCs w:val="21"/>
        </w:rPr>
      </w:pPr>
    </w:p>
    <w:p>
      <w:pPr>
        <w:spacing w:line="256" w:lineRule="auto" w:before="0"/>
        <w:ind w:left="1133" w:right="1128" w:firstLine="420"/>
        <w:jc w:val="both"/>
        <w:rPr>
          <w:rFonts w:ascii="宋体" w:hAnsi="宋体" w:cs="宋体" w:eastAsia="宋体" w:hint="default"/>
          <w:sz w:val="21"/>
          <w:szCs w:val="21"/>
        </w:rPr>
      </w:pPr>
      <w:r>
        <w:rPr>
          <w:rFonts w:ascii="宋体" w:hAnsi="宋体" w:cs="宋体" w:eastAsia="宋体" w:hint="default"/>
          <w:spacing w:val="-7"/>
          <w:sz w:val="21"/>
          <w:szCs w:val="21"/>
        </w:rPr>
        <w:t>截至</w:t>
      </w:r>
      <w:r>
        <w:rPr>
          <w:rFonts w:ascii="Times New Roman" w:hAnsi="Times New Roman" w:cs="Times New Roman" w:eastAsia="Times New Roman" w:hint="default"/>
          <w:spacing w:val="-7"/>
          <w:sz w:val="21"/>
          <w:szCs w:val="21"/>
        </w:rPr>
        <w:t>2017</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12</w:t>
      </w:r>
      <w:r>
        <w:rPr>
          <w:rFonts w:ascii="宋体" w:hAnsi="宋体" w:cs="宋体" w:eastAsia="宋体" w:hint="default"/>
          <w:spacing w:val="-7"/>
          <w:sz w:val="21"/>
          <w:szCs w:val="21"/>
        </w:rPr>
        <w:t>月</w:t>
      </w:r>
      <w:r>
        <w:rPr>
          <w:rFonts w:ascii="Times New Roman" w:hAnsi="Times New Roman" w:cs="Times New Roman" w:eastAsia="Times New Roman" w:hint="default"/>
          <w:spacing w:val="-7"/>
          <w:sz w:val="21"/>
          <w:szCs w:val="21"/>
        </w:rPr>
        <w:t>31</w:t>
      </w:r>
      <w:r>
        <w:rPr>
          <w:rFonts w:ascii="宋体" w:hAnsi="宋体" w:cs="宋体" w:eastAsia="宋体" w:hint="default"/>
          <w:spacing w:val="-7"/>
          <w:sz w:val="21"/>
          <w:szCs w:val="21"/>
        </w:rPr>
        <w:t>日止，本公司拥有红相电力（上海）有限公司（以下简称</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上海红相</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RED</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PHASE</w:t>
      </w:r>
      <w:r>
        <w:rPr>
          <w:rFonts w:ascii="Times New Roman" w:hAnsi="Times New Roman" w:cs="Times New Roman" w:eastAsia="Times New Roman" w:hint="default"/>
          <w:sz w:val="21"/>
          <w:szCs w:val="21"/>
        </w:rPr>
        <w:t> INSTRUMENTS AUSTRALIA PTY</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澳洲红相</w:t>
      </w:r>
      <w:r>
        <w:rPr>
          <w:rFonts w:ascii="Times New Roman" w:hAnsi="Times New Roman" w:cs="Times New Roman" w:eastAsia="Times New Roman" w:hint="default"/>
          <w:sz w:val="21"/>
          <w:szCs w:val="21"/>
        </w:rPr>
        <w:t>”</w:t>
      </w:r>
      <w:r>
        <w:rPr>
          <w:rFonts w:ascii="宋体" w:hAnsi="宋体" w:cs="宋体" w:eastAsia="宋体" w:hint="default"/>
          <w:sz w:val="21"/>
          <w:szCs w:val="21"/>
        </w:rPr>
        <w:t>）、厦门红相软件有限公司（以下简称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红 </w:t>
      </w:r>
      <w:r>
        <w:rPr>
          <w:rFonts w:ascii="宋体" w:hAnsi="宋体" w:cs="宋体" w:eastAsia="宋体" w:hint="default"/>
          <w:spacing w:val="-2"/>
          <w:sz w:val="21"/>
          <w:szCs w:val="21"/>
        </w:rPr>
        <w:t>相软件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）、厦门红相信息科技有限公司（以下简称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红相信息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）、浙江涵普电力科技有限公司（以下简称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浙江涵普</w:t>
      </w:r>
      <w:r>
        <w:rPr>
          <w:rFonts w:ascii="Times New Roman" w:hAnsi="Times New Roman" w:cs="Times New Roman" w:eastAsia="Times New Roman" w:hint="default"/>
          <w:sz w:val="21"/>
          <w:szCs w:val="21"/>
        </w:rPr>
        <w:t>”</w:t>
      </w:r>
      <w:r>
        <w:rPr>
          <w:rFonts w:ascii="宋体" w:hAnsi="宋体" w:cs="宋体" w:eastAsia="宋体" w:hint="default"/>
          <w:sz w:val="21"/>
          <w:szCs w:val="21"/>
        </w:rPr>
        <w:t>）、卧龙电气银川变压器有限公司（以下简称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银川卧龙</w:t>
      </w:r>
      <w:r>
        <w:rPr>
          <w:rFonts w:ascii="Times New Roman" w:hAnsi="Times New Roman" w:cs="Times New Roman" w:eastAsia="Times New Roman" w:hint="default"/>
          <w:sz w:val="21"/>
          <w:szCs w:val="21"/>
        </w:rPr>
        <w:t>"</w:t>
      </w:r>
      <w:r>
        <w:rPr>
          <w:rFonts w:ascii="宋体" w:hAnsi="宋体" w:cs="宋体" w:eastAsia="宋体" w:hint="default"/>
          <w:sz w:val="21"/>
          <w:szCs w:val="21"/>
        </w:rPr>
        <w:t>）和合肥星波通信技术有限公司（以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星波通信</w:t>
      </w:r>
      <w:r>
        <w:rPr>
          <w:rFonts w:ascii="Times New Roman" w:hAnsi="Times New Roman" w:cs="Times New Roman" w:eastAsia="Times New Roman" w:hint="default"/>
          <w:sz w:val="21"/>
          <w:szCs w:val="21"/>
        </w:rPr>
        <w:t>"</w:t>
      </w:r>
      <w:r>
        <w:rPr>
          <w:rFonts w:ascii="宋体" w:hAnsi="宋体" w:cs="宋体" w:eastAsia="宋体" w:hint="default"/>
          <w:sz w:val="21"/>
          <w:szCs w:val="21"/>
        </w:rPr>
        <w:t>）七家子公司；并且拥有浙江涵普三维电力科技有限公司（以下简称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涵普三维</w:t>
      </w:r>
      <w:r>
        <w:rPr>
          <w:rFonts w:ascii="Times New Roman" w:hAnsi="Times New Roman" w:cs="Times New Roman" w:eastAsia="Times New Roman" w:hint="default"/>
          <w:sz w:val="21"/>
          <w:szCs w:val="21"/>
        </w:rPr>
        <w:t>”</w:t>
      </w:r>
      <w:r>
        <w:rPr>
          <w:rFonts w:ascii="宋体" w:hAnsi="宋体" w:cs="宋体" w:eastAsia="宋体" w:hint="default"/>
          <w:sz w:val="21"/>
          <w:szCs w:val="21"/>
        </w:rPr>
        <w:t>）、合</w:t>
      </w:r>
      <w:r>
        <w:rPr>
          <w:rFonts w:ascii="宋体" w:hAnsi="宋体" w:cs="宋体" w:eastAsia="宋体" w:hint="default"/>
          <w:spacing w:val="-68"/>
          <w:sz w:val="21"/>
          <w:szCs w:val="21"/>
        </w:rPr>
        <w:t> </w:t>
      </w:r>
      <w:r>
        <w:rPr>
          <w:rFonts w:ascii="宋体" w:hAnsi="宋体" w:cs="宋体" w:eastAsia="宋体" w:hint="default"/>
          <w:sz w:val="21"/>
          <w:szCs w:val="21"/>
        </w:rPr>
        <w:t>肥星波电子有限公司（以下简称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星波电子</w:t>
      </w:r>
      <w:r>
        <w:rPr>
          <w:rFonts w:ascii="Times New Roman" w:hAnsi="Times New Roman" w:cs="Times New Roman" w:eastAsia="Times New Roman" w:hint="default"/>
          <w:sz w:val="21"/>
          <w:szCs w:val="21"/>
        </w:rPr>
        <w:t>”</w:t>
      </w:r>
      <w:r>
        <w:rPr>
          <w:rFonts w:ascii="宋体" w:hAnsi="宋体" w:cs="宋体" w:eastAsia="宋体" w:hint="default"/>
          <w:sz w:val="21"/>
          <w:szCs w:val="21"/>
        </w:rPr>
        <w:t>）和中宁县银变新能源有限公司（以下简称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中宁银变</w:t>
      </w:r>
      <w:r>
        <w:rPr>
          <w:rFonts w:ascii="Times New Roman" w:hAnsi="Times New Roman" w:cs="Times New Roman" w:eastAsia="Times New Roman" w:hint="default"/>
          <w:sz w:val="21"/>
          <w:szCs w:val="21"/>
        </w:rPr>
        <w:t>”</w:t>
      </w:r>
      <w:r>
        <w:rPr>
          <w:rFonts w:ascii="宋体" w:hAnsi="宋体" w:cs="宋体" w:eastAsia="宋体" w:hint="default"/>
          <w:sz w:val="21"/>
          <w:szCs w:val="21"/>
        </w:rPr>
        <w:t>）三家</w:t>
      </w:r>
      <w:r>
        <w:rPr>
          <w:rFonts w:ascii="宋体" w:hAnsi="宋体" w:cs="宋体" w:eastAsia="宋体" w:hint="default"/>
          <w:spacing w:val="-84"/>
          <w:sz w:val="21"/>
          <w:szCs w:val="21"/>
        </w:rPr>
        <w:t> </w:t>
      </w:r>
      <w:r>
        <w:rPr>
          <w:rFonts w:ascii="宋体" w:hAnsi="宋体" w:cs="宋体" w:eastAsia="宋体" w:hint="default"/>
          <w:sz w:val="21"/>
          <w:szCs w:val="21"/>
        </w:rPr>
        <w:t>孙公司。本公司及其子公司以下简称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本集团</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125"/>
        <w:ind w:left="1554" w:right="0" w:firstLine="0"/>
        <w:jc w:val="left"/>
        <w:rPr>
          <w:rFonts w:ascii="宋体" w:hAnsi="宋体" w:cs="宋体" w:eastAsia="宋体" w:hint="default"/>
          <w:sz w:val="21"/>
          <w:szCs w:val="21"/>
        </w:rPr>
      </w:pPr>
      <w:r>
        <w:rPr>
          <w:rFonts w:ascii="宋体" w:hAnsi="宋体" w:cs="宋体" w:eastAsia="宋体" w:hint="default"/>
          <w:sz w:val="21"/>
          <w:szCs w:val="21"/>
        </w:rPr>
        <w:t>报告期内，公司实施了发行股份及现金支付购买银川卧龙</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股权以及星波通信</w:t>
      </w:r>
      <w:r>
        <w:rPr>
          <w:rFonts w:ascii="Times New Roman" w:hAnsi="Times New Roman" w:cs="Times New Roman" w:eastAsia="Times New Roman" w:hint="default"/>
          <w:sz w:val="21"/>
          <w:szCs w:val="21"/>
        </w:rPr>
        <w:t>67.54%</w:t>
      </w:r>
      <w:r>
        <w:rPr>
          <w:rFonts w:ascii="宋体" w:hAnsi="宋体" w:cs="宋体" w:eastAsia="宋体" w:hint="default"/>
          <w:sz w:val="21"/>
          <w:szCs w:val="21"/>
        </w:rPr>
        <w:t>股权的事项。</w:t>
      </w:r>
    </w:p>
    <w:p>
      <w:pPr>
        <w:spacing w:before="21"/>
        <w:ind w:left="113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月公司完成了重大资产重组标的星波通信</w:t>
      </w:r>
      <w:r>
        <w:rPr>
          <w:rFonts w:ascii="Times New Roman" w:hAnsi="Times New Roman" w:cs="Times New Roman" w:eastAsia="Times New Roman" w:hint="default"/>
          <w:sz w:val="21"/>
          <w:szCs w:val="21"/>
        </w:rPr>
        <w:t>67.54%</w:t>
      </w:r>
      <w:r>
        <w:rPr>
          <w:rFonts w:ascii="宋体" w:hAnsi="宋体" w:cs="宋体" w:eastAsia="宋体" w:hint="default"/>
          <w:sz w:val="21"/>
          <w:szCs w:val="21"/>
        </w:rPr>
        <w:t>股权和银川卧龙</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股权的工商过户，自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p>
      <w:pPr>
        <w:spacing w:line="256" w:lineRule="auto" w:before="21"/>
        <w:ind w:left="1134" w:right="1133"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月起星波通信和银川卧龙纳入合并报表，详见</w:t>
      </w:r>
      <w:r>
        <w:rPr>
          <w:rFonts w:ascii="Times New Roman" w:hAnsi="Times New Roman" w:cs="Times New Roman" w:eastAsia="Times New Roman" w:hint="default"/>
          <w:sz w:val="21"/>
          <w:szCs w:val="21"/>
        </w:rPr>
        <w:t>“</w:t>
      </w:r>
      <w:r>
        <w:rPr>
          <w:rFonts w:ascii="宋体" w:hAnsi="宋体" w:cs="宋体" w:eastAsia="宋体" w:hint="default"/>
          <w:sz w:val="21"/>
          <w:szCs w:val="21"/>
        </w:rPr>
        <w:t>本附注八、合并范围的变更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及</w:t>
      </w:r>
      <w:r>
        <w:rPr>
          <w:rFonts w:ascii="Times New Roman" w:hAnsi="Times New Roman" w:cs="Times New Roman" w:eastAsia="Times New Roman" w:hint="default"/>
          <w:sz w:val="21"/>
          <w:szCs w:val="21"/>
        </w:rPr>
        <w:t>“</w:t>
      </w:r>
      <w:r>
        <w:rPr>
          <w:rFonts w:ascii="宋体" w:hAnsi="宋体" w:cs="宋体" w:eastAsia="宋体" w:hint="default"/>
          <w:sz w:val="21"/>
          <w:szCs w:val="21"/>
        </w:rPr>
        <w:t>本附注九、在其他主体中</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1"/>
          <w:szCs w:val="21"/>
        </w:rPr>
      </w:pPr>
    </w:p>
    <w:p>
      <w:pPr>
        <w:pStyle w:val="Heading2"/>
        <w:spacing w:line="240" w:lineRule="auto"/>
        <w:ind w:left="1134"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编制基础" w:id="165"/>
      <w:bookmarkEnd w:id="1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w:t>
      </w:r>
      <w:r>
        <w:rPr>
          <w:spacing w:val="-107"/>
        </w:rPr>
        <w:t> </w:t>
      </w:r>
      <w:r>
        <w:rPr>
          <w:spacing w:val="-2"/>
        </w:rPr>
        <w:t>会计准则</w:t>
      </w:r>
      <w:r>
        <w:rPr>
          <w:rFonts w:ascii="Times New Roman" w:hAnsi="Times New Roman" w:cs="Times New Roman" w:eastAsia="Times New Roman" w:hint="default"/>
          <w:spacing w:val="-2"/>
        </w:rPr>
        <w:t>”</w:t>
      </w:r>
      <w:r>
        <w:rPr>
          <w:spacing w:val="-2"/>
        </w:rPr>
        <w:t>）编制。此外，本集团还按照中国证监会《公开发行证券的公司信息披露编报规则</w:t>
      </w:r>
      <w:r>
        <w:rPr>
          <w:spacing w:val="-108"/>
        </w:rPr>
        <w:t> </w:t>
      </w:r>
      <w:r>
        <w:rPr>
          <w:spacing w:val="-108"/>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本财务报表以持续经营为基础列报。</w:t>
      </w:r>
    </w:p>
    <w:p>
      <w:pPr>
        <w:spacing w:line="240" w:lineRule="auto" w:before="9"/>
        <w:rPr>
          <w:rFonts w:ascii="宋体" w:hAnsi="宋体" w:cs="宋体" w:eastAsia="宋体" w:hint="default"/>
          <w:sz w:val="18"/>
          <w:szCs w:val="18"/>
        </w:rPr>
      </w:pPr>
    </w:p>
    <w:p>
      <w:pPr>
        <w:pStyle w:val="BodyText"/>
        <w:spacing w:line="312" w:lineRule="exact"/>
        <w:ind w:right="0"/>
        <w:jc w:val="left"/>
      </w:pPr>
      <w:r>
        <w:rPr/>
        <w:t>本公司会计核算以权责发生制为基础。除某些金融工具外，本财务报表均以历史成本为计量 基础。资产如果发生减值，则按照相关规定计提相应的减值准备。</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持续经营" w:id="166"/>
      <w:bookmarkEnd w:id="1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jc w:val="left"/>
      </w:pPr>
      <w:r>
        <w:rPr/>
        <w:t>公司对自报告期末起</w:t>
      </w:r>
      <w:r>
        <w:rPr>
          <w:rFonts w:ascii="Times New Roman" w:hAnsi="Times New Roman" w:cs="Times New Roman" w:eastAsia="Times New Roman" w:hint="default"/>
        </w:rPr>
        <w:t>12</w:t>
      </w:r>
      <w:r>
        <w:rPr/>
        <w:t>个月的持续经营能力进行了评估，未发现影响本公司持续经营能力的</w:t>
      </w:r>
      <w:r>
        <w:rPr>
          <w:spacing w:val="-114"/>
        </w:rPr>
        <w:t> </w:t>
      </w:r>
      <w:r>
        <w:rPr>
          <w:spacing w:val="-114"/>
        </w:rPr>
      </w:r>
      <w:r>
        <w:rPr/>
        <w:t>事项，本公司以持续经营为基础编制报表是合理的。</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13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3"/>
        <w:rPr>
          <w:rFonts w:ascii="宋体" w:hAnsi="宋体" w:cs="宋体" w:eastAsia="宋体" w:hint="default"/>
          <w:sz w:val="12"/>
          <w:szCs w:val="12"/>
        </w:rPr>
      </w:pPr>
    </w:p>
    <w:p>
      <w:pPr>
        <w:spacing w:line="273" w:lineRule="auto" w:before="0"/>
        <w:ind w:left="1134" w:right="0" w:firstLine="300"/>
        <w:jc w:val="left"/>
        <w:rPr>
          <w:rFonts w:ascii="宋体" w:hAnsi="宋体" w:cs="宋体" w:eastAsia="宋体" w:hint="default"/>
          <w:sz w:val="21"/>
          <w:szCs w:val="21"/>
        </w:rPr>
      </w:pPr>
      <w:r>
        <w:rPr>
          <w:rFonts w:ascii="宋体" w:hAnsi="宋体" w:cs="宋体" w:eastAsia="宋体" w:hint="default"/>
          <w:sz w:val="21"/>
          <w:szCs w:val="21"/>
        </w:rPr>
        <w:t>公司根据自身生产经营特点，制定了具体的会计政策和会计估计。以下披露的内容已涵盖了公司重要 的会计政策和会计估计。</w:t>
      </w:r>
    </w:p>
    <w:p>
      <w:pPr>
        <w:spacing w:line="240" w:lineRule="auto" w:before="0"/>
        <w:rPr>
          <w:rFonts w:ascii="宋体" w:hAnsi="宋体" w:cs="宋体" w:eastAsia="宋体" w:hint="default"/>
          <w:sz w:val="20"/>
          <w:szCs w:val="20"/>
        </w:rPr>
      </w:pPr>
    </w:p>
    <w:p>
      <w:pPr>
        <w:spacing w:line="610" w:lineRule="atLeast" w:before="160"/>
        <w:ind w:left="1554" w:right="0" w:hanging="420"/>
        <w:jc w:val="left"/>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日的合并及公司财务</w:t>
      </w:r>
    </w:p>
    <w:p>
      <w:pPr>
        <w:spacing w:before="21"/>
        <w:ind w:left="1133" w:right="0" w:firstLine="0"/>
        <w:jc w:val="left"/>
        <w:rPr>
          <w:rFonts w:ascii="宋体" w:hAnsi="宋体" w:cs="宋体" w:eastAsia="宋体" w:hint="default"/>
          <w:sz w:val="21"/>
          <w:szCs w:val="21"/>
        </w:rPr>
      </w:pPr>
      <w:r>
        <w:rPr>
          <w:rFonts w:ascii="宋体" w:hAnsi="宋体" w:cs="宋体" w:eastAsia="宋体" w:hint="default"/>
          <w:sz w:val="21"/>
          <w:szCs w:val="21"/>
        </w:rPr>
        <w:t>状况以及</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年度的合并及公司经营成果和合并及公司现金流量等有关信息。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506" w:lineRule="auto" w:before="178"/>
        <w:ind w:left="1434" w:right="4992" w:hanging="300"/>
        <w:jc w:val="left"/>
        <w:rPr>
          <w:rFonts w:ascii="宋体" w:hAnsi="宋体" w:cs="宋体" w:eastAsia="宋体" w:hint="default"/>
          <w:sz w:val="21"/>
          <w:szCs w:val="21"/>
        </w:rPr>
      </w:pPr>
      <w:bookmarkStart w:name="2、会计期间" w:id="169"/>
      <w:bookmarkEnd w:id="1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会计期间采用公历年度，即每年自</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spacing w:line="472" w:lineRule="auto" w:before="0"/>
        <w:ind w:left="1133" w:right="7633" w:firstLine="0"/>
        <w:jc w:val="left"/>
        <w:rPr>
          <w:rFonts w:ascii="宋体" w:hAnsi="宋体" w:cs="宋体" w:eastAsia="宋体" w:hint="default"/>
          <w:sz w:val="21"/>
          <w:szCs w:val="21"/>
        </w:rPr>
      </w:pPr>
      <w:bookmarkStart w:name="3、营业周期" w:id="170"/>
      <w:bookmarkEnd w:id="1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4"/>
          <w:szCs w:val="24"/>
        </w:rPr>
        <w:t>本集团的营业周期为</w:t>
      </w:r>
      <w:r>
        <w:rPr>
          <w:rFonts w:ascii="Times New Roman" w:hAnsi="Times New Roman" w:cs="Times New Roman" w:eastAsia="Times New Roman" w:hint="default"/>
          <w:sz w:val="24"/>
          <w:szCs w:val="24"/>
        </w:rPr>
        <w:t>12</w:t>
      </w:r>
      <w:r>
        <w:rPr>
          <w:rFonts w:ascii="宋体" w:hAnsi="宋体" w:cs="宋体" w:eastAsia="宋体" w:hint="default"/>
          <w:sz w:val="24"/>
          <w:szCs w:val="24"/>
        </w:rPr>
        <w:t>个月。 </w:t>
      </w:r>
      <w:bookmarkStart w:name="4、记账本位币" w:id="171"/>
      <w:bookmarkEnd w:id="171"/>
      <w:r>
        <w:rPr>
          <w:rFonts w:ascii="宋体" w:hAnsi="宋体" w:cs="宋体" w:eastAsia="宋体" w:hint="default"/>
          <w:sz w:val="24"/>
          <w:szCs w:val="24"/>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73" w:lineRule="auto" w:before="96"/>
        <w:ind w:left="1133" w:right="0" w:firstLine="420"/>
        <w:jc w:val="left"/>
        <w:rPr>
          <w:rFonts w:ascii="宋体" w:hAnsi="宋体" w:cs="宋体" w:eastAsia="宋体" w:hint="default"/>
          <w:sz w:val="21"/>
          <w:szCs w:val="21"/>
        </w:rPr>
      </w:pPr>
      <w:r>
        <w:rPr>
          <w:rFonts w:ascii="宋体" w:hAnsi="宋体" w:cs="宋体" w:eastAsia="宋体" w:hint="default"/>
          <w:spacing w:val="-1"/>
          <w:sz w:val="21"/>
          <w:szCs w:val="21"/>
        </w:rPr>
        <w:t>本公司及境内子公司以人民币为记账本位币。本公司之境外子公司澳洲红相根据其经营所处的主要经</w:t>
      </w:r>
      <w:r>
        <w:rPr>
          <w:rFonts w:ascii="宋体" w:hAnsi="宋体" w:cs="宋体" w:eastAsia="宋体" w:hint="default"/>
          <w:sz w:val="21"/>
          <w:szCs w:val="21"/>
        </w:rPr>
        <w:t> 济环境中的货币确定澳元作为记账本位币。本集团编制本财务报表时所采用的货币为人民币。</w:t>
      </w:r>
    </w:p>
    <w:p>
      <w:pPr>
        <w:spacing w:after="0" w:line="273"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both"/>
        <w:rPr>
          <w:rFonts w:ascii="宋体" w:hAnsi="宋体" w:cs="宋体" w:eastAsia="宋体" w:hint="default"/>
          <w:sz w:val="21"/>
          <w:szCs w:val="21"/>
        </w:rPr>
      </w:pPr>
      <w:bookmarkStart w:name="5、同一控制下和非同一控制下企业合并的会计处理方法"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pStyle w:val="BodyText"/>
        <w:spacing w:line="237" w:lineRule="auto" w:before="138"/>
        <w:ind w:right="1135"/>
        <w:jc w:val="both"/>
      </w:pPr>
      <w:r>
        <w:rPr/>
        <w:t>对于同一控制下的企业合并，合并方在合并中取得的被合并方的资产、负债，除因会计政策 不同而进行的调整以外，按合并日被合并方在最终控制方合并财务报表中的账面价值计量。</w:t>
      </w:r>
      <w:r>
        <w:rPr>
          <w:spacing w:val="-116"/>
        </w:rPr>
        <w:t> </w:t>
      </w:r>
      <w:r>
        <w:rPr>
          <w:spacing w:val="-116"/>
        </w:rPr>
      </w:r>
      <w:r>
        <w:rPr/>
        <w:t>合并对价的账面价值与合并中取得的净资产账面价值的差额调整资本公积（股本溢价），资 本公积（股本溢价）不足冲减的，调整留存收益。</w:t>
      </w:r>
    </w:p>
    <w:p>
      <w:pPr>
        <w:spacing w:line="240" w:lineRule="auto" w:before="4"/>
        <w:rPr>
          <w:rFonts w:ascii="宋体" w:hAnsi="宋体" w:cs="宋体" w:eastAsia="宋体" w:hint="default"/>
          <w:sz w:val="21"/>
          <w:szCs w:val="21"/>
        </w:rPr>
      </w:pPr>
    </w:p>
    <w:p>
      <w:pPr>
        <w:pStyle w:val="BodyText"/>
        <w:spacing w:line="240" w:lineRule="auto"/>
        <w:ind w:right="0"/>
        <w:jc w:val="both"/>
      </w:pPr>
      <w:r>
        <w:rPr/>
        <w:t>通过多次交易分步实现同一控制下的企业合并</w:t>
      </w:r>
    </w:p>
    <w:p>
      <w:pPr>
        <w:pStyle w:val="BodyText"/>
        <w:spacing w:line="312" w:lineRule="exact" w:before="183"/>
        <w:ind w:left="1134" w:right="0"/>
        <w:jc w:val="left"/>
      </w:pPr>
      <w:r>
        <w:rPr/>
        <w:t>在个别财务报表中，以合并日持股比例计算的合并日应享有被合并方净资产在最终控制方合 并财务报表中的账面价值的份额作为该项投资的初始投资成本；初始投资成本与合并前持有 </w:t>
      </w:r>
      <w:r>
        <w:rPr>
          <w:spacing w:val="-3"/>
        </w:rPr>
        <w:t>投资的账面价值加上合并日新支付对价的账面价值之和的差额，调整资本公积（资本溢价），</w:t>
      </w:r>
      <w:r>
        <w:rPr>
          <w:spacing w:val="-81"/>
        </w:rPr>
        <w:t> </w:t>
      </w:r>
      <w:r>
        <w:rPr>
          <w:spacing w:val="-81"/>
        </w:rPr>
      </w:r>
      <w:r>
        <w:rPr/>
        <w:t>资本公积不足冲减的，调整留存收益。</w:t>
      </w:r>
    </w:p>
    <w:p>
      <w:pPr>
        <w:pStyle w:val="BodyText"/>
        <w:spacing w:line="312" w:lineRule="exact" w:before="156"/>
        <w:ind w:left="1134" w:right="1136"/>
        <w:jc w:val="both"/>
      </w:pPr>
      <w:r>
        <w:rPr/>
        <w:t>在合并财务报表中，合并方在合并中取得的被合并方的资产、负债，除因会计政策不同而进</w:t>
      </w:r>
      <w:r>
        <w:rPr>
          <w:spacing w:val="-116"/>
        </w:rPr>
        <w:t> </w:t>
      </w:r>
      <w:r>
        <w:rPr>
          <w:spacing w:val="-116"/>
        </w:rPr>
      </w:r>
      <w:r>
        <w:rPr/>
        <w:t>行的调整以外，按合并日在最终控制方合并财务报表中的账面价值计量；合并前持有投资的 账面价值加上合并日新支付对价的账面价值之和，与合并中取得的净资产账面价值的差额， 调整资本公积（资本溢价），资本公积不足冲减的，调整留存收益。合并方在取得被合并方 控制权之前持有的长期股权投资，在取得原股权之日与合并方与被合并方同处于同一方最终 控制之日孰晚日起至合并日之间已确认有关损益、其他综合收益和其他所有者权益变动，应 分别冲减比较报表期间的期初留存收益或当期损益。</w:t>
      </w:r>
    </w:p>
    <w:p>
      <w:pPr>
        <w:spacing w:line="240" w:lineRule="auto" w:before="7"/>
        <w:rPr>
          <w:rFonts w:ascii="宋体" w:hAnsi="宋体" w:cs="宋体" w:eastAsia="宋体" w:hint="default"/>
          <w:sz w:val="33"/>
          <w:szCs w:val="33"/>
        </w:rPr>
      </w:pPr>
    </w:p>
    <w:p>
      <w:pPr>
        <w:pStyle w:val="BodyText"/>
        <w:spacing w:line="240" w:lineRule="auto"/>
        <w:ind w:right="0"/>
        <w:jc w:val="both"/>
      </w:pPr>
      <w:r>
        <w:rPr/>
        <w:t>（</w:t>
      </w:r>
      <w:r>
        <w:rPr>
          <w:rFonts w:ascii="Times New Roman" w:hAnsi="Times New Roman" w:cs="Times New Roman" w:eastAsia="Times New Roman" w:hint="default"/>
        </w:rPr>
        <w:t>2</w:t>
      </w:r>
      <w:r>
        <w:rPr/>
        <w:t>）非同一控制下的企业合并</w:t>
      </w:r>
    </w:p>
    <w:p>
      <w:pPr>
        <w:pStyle w:val="BodyText"/>
        <w:spacing w:line="312" w:lineRule="exact" w:before="165"/>
        <w:ind w:right="995"/>
        <w:jc w:val="left"/>
      </w:pPr>
      <w:r>
        <w:rPr>
          <w:spacing w:val="-2"/>
        </w:rPr>
        <w:t>对于非同一控制下的企业合并，合并成本为购买日为取得对被购买方的控制权而付出的资产、</w:t>
      </w:r>
      <w:r>
        <w:rPr/>
        <w:t> 发生或承担的负债以及发行的权益性证券的公允价值。在购买日，取得的被购买方的资产、 负债及或有负债按公允价值确认。</w:t>
      </w:r>
    </w:p>
    <w:p>
      <w:pPr>
        <w:pStyle w:val="BodyText"/>
        <w:spacing w:line="312" w:lineRule="exact" w:before="156"/>
        <w:ind w:right="1132"/>
        <w:jc w:val="both"/>
      </w:pPr>
      <w:r>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BodyText"/>
        <w:spacing w:line="312" w:lineRule="exact" w:before="156"/>
        <w:ind w:left="1134" w:right="1132"/>
        <w:jc w:val="both"/>
      </w:pPr>
      <w:r>
        <w:rPr/>
        <w:t>所涉及的或有对价按其在购买日的公允价值计入合并成本，购买日后</w:t>
      </w:r>
      <w:r>
        <w:rPr>
          <w:rFonts w:ascii="Times New Roman" w:hAnsi="Times New Roman" w:cs="Times New Roman" w:eastAsia="Times New Roman" w:hint="default"/>
        </w:rPr>
        <w:t>12</w:t>
      </w:r>
      <w:r>
        <w:rPr/>
        <w:t>个月内出现对购买日</w:t>
      </w:r>
      <w:r>
        <w:rPr>
          <w:spacing w:val="-113"/>
        </w:rPr>
        <w:t> </w:t>
      </w:r>
      <w:r>
        <w:rPr/>
        <w:t>已存在情况的新的或进一步证据而需要调整或有对价的，相应调整合并商誉。</w:t>
      </w:r>
    </w:p>
    <w:p>
      <w:pPr>
        <w:pStyle w:val="BodyText"/>
        <w:spacing w:line="240" w:lineRule="auto" w:before="125"/>
        <w:ind w:left="1134" w:right="0"/>
        <w:jc w:val="both"/>
      </w:pPr>
      <w:r>
        <w:rPr/>
        <w:t>通过多次交易分步实现非同一控制下的企业合并</w:t>
      </w:r>
    </w:p>
    <w:p>
      <w:pPr>
        <w:pStyle w:val="BodyText"/>
        <w:spacing w:line="237" w:lineRule="auto" w:before="156"/>
        <w:ind w:right="1138"/>
        <w:jc w:val="both"/>
      </w:pPr>
      <w:r>
        <w:rPr/>
        <w:t>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收益和利润分配以外的其他所有者权益变动而确认的所有者权益，在处置该项投资时转入处 置期间的当期损益。购买日之前持有的股权投资采用公允价值计量的，原计入其他综合收益</w:t>
      </w:r>
      <w:r>
        <w:rPr>
          <w:spacing w:val="-116"/>
        </w:rPr>
        <w:t> </w:t>
      </w:r>
      <w:r>
        <w:rPr>
          <w:spacing w:val="-116"/>
        </w:rPr>
      </w:r>
      <w:r>
        <w:rPr/>
        <w:t>的累计公允价值变动在改按成本法核算时转入当期损益。</w:t>
      </w:r>
    </w:p>
    <w:p>
      <w:pPr>
        <w:pStyle w:val="BodyText"/>
        <w:spacing w:line="240" w:lineRule="auto" w:before="154"/>
        <w:ind w:right="0"/>
        <w:jc w:val="both"/>
      </w:pPr>
      <w:r>
        <w:rPr/>
        <w:t>在合并财务报表中，合并成本为购买日支付的对价与购买日之前已经持有的被购买方的股权</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BodyText"/>
        <w:spacing w:line="240" w:lineRule="auto" w:before="125"/>
        <w:ind w:left="1135" w:right="0"/>
        <w:jc w:val="both"/>
      </w:pPr>
      <w:r>
        <w:rPr/>
        <w:t>（</w:t>
      </w:r>
      <w:r>
        <w:rPr>
          <w:rFonts w:ascii="Times New Roman" w:hAnsi="Times New Roman" w:cs="Times New Roman" w:eastAsia="Times New Roman" w:hint="default"/>
        </w:rPr>
        <w:t>3</w:t>
      </w:r>
      <w:r>
        <w:rPr/>
        <w:t>）企业合并中有关交易费用的处理</w:t>
      </w:r>
    </w:p>
    <w:p>
      <w:pPr>
        <w:pStyle w:val="BodyText"/>
        <w:spacing w:line="312" w:lineRule="exact" w:before="166"/>
        <w:ind w:left="1134" w:right="1139"/>
        <w:jc w:val="both"/>
      </w:pPr>
      <w:r>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spacing w:line="240" w:lineRule="auto" w:before="7"/>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6、合并财务报表的编制方法" w:id="173"/>
      <w:bookmarkEnd w:id="17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w:t>
      </w:r>
      <w:r>
        <w:rPr>
          <w:rFonts w:ascii="Times New Roman" w:hAnsi="Times New Roman" w:cs="Times New Roman" w:eastAsia="Times New Roman" w:hint="default"/>
        </w:rPr>
        <w:t>1</w:t>
      </w:r>
      <w:r>
        <w:rPr/>
        <w:t>）合并范围</w:t>
      </w:r>
    </w:p>
    <w:p>
      <w:pPr>
        <w:pStyle w:val="BodyText"/>
        <w:spacing w:line="312" w:lineRule="exact" w:before="130"/>
        <w:ind w:left="1134" w:right="994"/>
        <w:jc w:val="left"/>
      </w:pPr>
      <w:r>
        <w:rPr>
          <w:spacing w:val="-2"/>
        </w:rPr>
        <w:t>合并财务报表的合并范围以控制为基础予以确定。控制是指本公司拥有对被投资单位的权力，</w:t>
      </w:r>
      <w:r>
        <w:rPr/>
        <w:t> 通过参与被投资单位的相关活动而享有可变回报，并且有能力运用对被投资单位的权力影响 其回报金额。子公司，是指被本公司控制的主体（含企业、被投资单位中可分割的部分、结</w:t>
      </w:r>
      <w:r>
        <w:rPr>
          <w:spacing w:val="-112"/>
        </w:rPr>
        <w:t> </w:t>
      </w:r>
      <w:r>
        <w:rPr>
          <w:spacing w:val="-112"/>
        </w:rPr>
      </w:r>
      <w:r>
        <w:rPr/>
        <w:t>构化主体等）。</w:t>
      </w:r>
    </w:p>
    <w:p>
      <w:pPr>
        <w:pStyle w:val="BodyText"/>
        <w:spacing w:line="240" w:lineRule="auto" w:before="89"/>
        <w:ind w:left="1134" w:right="0"/>
        <w:jc w:val="both"/>
      </w:pPr>
      <w:r>
        <w:rPr/>
        <w:t>（</w:t>
      </w:r>
      <w:r>
        <w:rPr>
          <w:rFonts w:ascii="Times New Roman" w:hAnsi="Times New Roman" w:cs="Times New Roman" w:eastAsia="Times New Roman" w:hint="default"/>
        </w:rPr>
        <w:t>2</w:t>
      </w:r>
      <w:r>
        <w:rPr/>
        <w:t>）合并财务报表的编制方法</w:t>
      </w:r>
    </w:p>
    <w:p>
      <w:pPr>
        <w:pStyle w:val="BodyText"/>
        <w:spacing w:line="312" w:lineRule="exact" w:before="130"/>
        <w:ind w:left="1134" w:right="1139"/>
        <w:jc w:val="both"/>
      </w:pPr>
      <w:r>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BodyText"/>
        <w:spacing w:line="312" w:lineRule="exact" w:before="120"/>
        <w:ind w:left="1134" w:right="1139"/>
        <w:jc w:val="both"/>
      </w:pPr>
      <w:r>
        <w:rPr/>
        <w:t>在报告期内因同一控制下企业合并增加的子公司以及业务，视同该子公司以及业务自同受最 终控制方控制之日起纳入本公司的合并范围，将其自同受最终控制方控制之日起的经营成果 纳入合并利润表中。</w:t>
      </w:r>
    </w:p>
    <w:p>
      <w:pPr>
        <w:pStyle w:val="BodyText"/>
        <w:spacing w:line="312" w:lineRule="exact" w:before="120"/>
        <w:ind w:left="1134" w:right="1139"/>
        <w:jc w:val="both"/>
      </w:pPr>
      <w:r>
        <w:rPr/>
        <w:t>因非同一控制下企业合并增加的子公司以及业务，将该子公司以及业务自购买日至报告期末 的收入、费用、利润纳入合并利润表。</w:t>
      </w:r>
    </w:p>
    <w:p>
      <w:pPr>
        <w:pStyle w:val="BodyText"/>
        <w:spacing w:line="312" w:lineRule="exact" w:before="120"/>
        <w:ind w:left="1134" w:right="1136"/>
        <w:jc w:val="both"/>
      </w:pPr>
      <w:r>
        <w:rPr/>
        <w:t>子公司的股东权益中不属于本公司所拥有的部分，作为少数股东权益在合并资产负债表中股 东权益项下单独列示；子公司当期净损益中属于少数股东权益的份额，在合并利润表中净利 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w:t>
      </w:r>
      <w:r>
        <w:rPr>
          <w:spacing w:val="-86"/>
        </w:rPr>
        <w:t> </w:t>
      </w:r>
      <w:r>
        <w:rPr>
          <w:spacing w:val="-86"/>
        </w:rPr>
      </w:r>
      <w:r>
        <w:rPr/>
        <w:t>公司期初所有者权益中所享有的份额，其余额仍冲减少数股东权益。</w:t>
      </w:r>
    </w:p>
    <w:p>
      <w:pPr>
        <w:pStyle w:val="BodyText"/>
        <w:spacing w:line="240" w:lineRule="auto" w:before="89"/>
        <w:ind w:left="1134" w:right="0"/>
        <w:jc w:val="both"/>
      </w:pPr>
      <w:r>
        <w:rPr/>
        <w:t>（</w:t>
      </w:r>
      <w:r>
        <w:rPr>
          <w:rFonts w:ascii="Times New Roman" w:hAnsi="Times New Roman" w:cs="Times New Roman" w:eastAsia="Times New Roman" w:hint="default"/>
        </w:rPr>
        <w:t>3</w:t>
      </w:r>
      <w:r>
        <w:rPr/>
        <w:t>）购买子公司少数股东股权</w:t>
      </w:r>
    </w:p>
    <w:p>
      <w:pPr>
        <w:pStyle w:val="BodyText"/>
        <w:spacing w:line="312" w:lineRule="exact" w:before="130"/>
        <w:ind w:left="1134" w:right="1129"/>
        <w:jc w:val="both"/>
      </w:pPr>
      <w:r>
        <w:rPr/>
        <w:t>因购买少数股权新取得的长期股权投资成本与按照新增持股比例计算应享有子公司自购买日 或合并日开始持续计算的净资产份额之间的差额，以及在不丧失控制权的情况下因部分处置</w:t>
      </w:r>
      <w:r>
        <w:rPr>
          <w:spacing w:val="-109"/>
        </w:rPr>
        <w:t> </w:t>
      </w:r>
      <w:r>
        <w:rPr>
          <w:spacing w:val="-109"/>
        </w:rPr>
      </w:r>
      <w:r>
        <w:rPr/>
        <w:t>对子公司的股权投资而取得的处置价款与处置长期股权投资相对应享有子公司自购买日或合</w:t>
      </w:r>
      <w:r>
        <w:rPr/>
        <w:t> 并日开始持续计算的净资产份额之间的差额，均调整合并资产负债表中的资本公积（股本溢 价</w:t>
      </w:r>
      <w:r>
        <w:rPr>
          <w:rFonts w:ascii="Times New Roman" w:hAnsi="Times New Roman" w:cs="Times New Roman" w:eastAsia="Times New Roman" w:hint="default"/>
        </w:rPr>
        <w:t>/</w:t>
      </w:r>
      <w:r>
        <w:rPr/>
        <w:t>资本溢价），资本公积不足冲减的，调整留存收益。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1134" w:right="0" w:firstLine="0"/>
        <w:jc w:val="both"/>
        <w:rPr>
          <w:rFonts w:ascii="宋体" w:hAnsi="宋体" w:cs="宋体" w:eastAsia="宋体" w:hint="default"/>
          <w:sz w:val="21"/>
          <w:szCs w:val="21"/>
        </w:rPr>
      </w:pPr>
      <w:bookmarkStart w:name="7、现金及现金等价物的确定标准"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现金是指库存现金以及可以随时用于支付的存款。现金等价物，是指本集团持有的期限短、</w:t>
      </w:r>
    </w:p>
    <w:p>
      <w:pPr>
        <w:spacing w:after="0" w:line="240"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BodyText"/>
        <w:spacing w:line="240" w:lineRule="auto" w:before="26"/>
        <w:ind w:right="0"/>
        <w:jc w:val="both"/>
      </w:pPr>
      <w:r>
        <w:rPr/>
        <w:t>流动性强、易于转换为已知金额现金、价值变动风险很小的投资。</w:t>
      </w: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8、外币业务和外币报表折算"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312" w:lineRule="auto"/>
        <w:ind w:left="1134" w:right="3072"/>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312" w:lineRule="exact" w:before="76"/>
        <w:ind w:right="1138"/>
        <w:jc w:val="both"/>
      </w:pPr>
      <w:r>
        <w:rPr/>
        <w:t>资产负债表日，对外币货币性项目，采用资产负债表日即期汇率折算。因资产负债表日即期</w:t>
      </w:r>
      <w:r>
        <w:rPr>
          <w:spacing w:val="-117"/>
        </w:rPr>
        <w:t> </w:t>
      </w:r>
      <w:r>
        <w:rPr>
          <w:spacing w:val="-117"/>
        </w:rPr>
      </w:r>
      <w:r>
        <w:rPr/>
        <w:t>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与原记账本位币金额的差额，计入当期损益。</w:t>
      </w:r>
    </w:p>
    <w:p>
      <w:pPr>
        <w:pStyle w:val="BodyText"/>
        <w:spacing w:line="240" w:lineRule="auto" w:before="89"/>
        <w:ind w:left="1134" w:right="0"/>
        <w:jc w:val="both"/>
      </w:pPr>
      <w:r>
        <w:rPr/>
        <w:t>（</w:t>
      </w:r>
      <w:r>
        <w:rPr>
          <w:rFonts w:ascii="Times New Roman" w:hAnsi="Times New Roman" w:cs="Times New Roman" w:eastAsia="Times New Roman" w:hint="default"/>
        </w:rPr>
        <w:t>2</w:t>
      </w:r>
      <w:r>
        <w:rPr/>
        <w:t>）外币财务报表的折算</w:t>
      </w:r>
    </w:p>
    <w:p>
      <w:pPr>
        <w:pStyle w:val="BodyText"/>
        <w:spacing w:line="312" w:lineRule="exact" w:before="130"/>
        <w:ind w:right="1133"/>
        <w:jc w:val="both"/>
      </w:pPr>
      <w:r>
        <w:rPr/>
        <w:t>资产负债表日，对境外子公司外币财务报表进行折算时，资产负债表中的资产和负债项目， 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w:t>
      </w:r>
      <w:r>
        <w:rPr>
          <w:spacing w:val="-80"/>
        </w:rPr>
        <w:t> </w:t>
      </w:r>
      <w:r>
        <w:rPr>
          <w:spacing w:val="-80"/>
        </w:rPr>
      </w:r>
      <w:r>
        <w:rPr/>
        <w:t>的即期汇率折算。</w:t>
      </w:r>
    </w:p>
    <w:p>
      <w:pPr>
        <w:pStyle w:val="BodyText"/>
        <w:spacing w:line="240" w:lineRule="auto" w:before="89"/>
        <w:ind w:right="0"/>
        <w:jc w:val="both"/>
      </w:pPr>
      <w:r>
        <w:rPr/>
        <w:t>利润表中的收入和费用项目，采用会计期间的平均汇率折算。</w:t>
      </w:r>
    </w:p>
    <w:p>
      <w:pPr>
        <w:pStyle w:val="BodyText"/>
        <w:spacing w:line="312" w:lineRule="exact" w:before="148"/>
        <w:ind w:right="0"/>
        <w:jc w:val="left"/>
      </w:pPr>
      <w:r>
        <w:rPr/>
        <w:t>现金流量表所有项目均按照会计期间的平均汇率汇率折算。汇率变动对现金的影响额作为调 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项目反映。</w:t>
      </w:r>
    </w:p>
    <w:p>
      <w:pPr>
        <w:pStyle w:val="BodyText"/>
        <w:spacing w:line="240" w:lineRule="auto" w:before="89"/>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pStyle w:val="BodyText"/>
        <w:spacing w:line="312" w:lineRule="exact" w:before="131"/>
        <w:ind w:right="0"/>
        <w:jc w:val="left"/>
      </w:pPr>
      <w:r>
        <w:rPr/>
        <w:t>处置境外经营并丧失控制权时，将资产负债表中股东权益项目下列示的、与该境外经营相关 的外币报表折算差额，全部或按处置该境外经营的比例转入处置当期损益。</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9、金融工具" w:id="176"/>
      <w:bookmarkEnd w:id="17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金融工具是指形成一个企业的金融资产，并形成其他单位的金融负债或权益工具的合同。</w:t>
      </w:r>
    </w:p>
    <w:p>
      <w:pPr>
        <w:pStyle w:val="BodyText"/>
        <w:spacing w:line="321" w:lineRule="auto" w:before="118"/>
        <w:ind w:right="355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36"/>
        <w:ind w:left="1134" w:right="0"/>
        <w:jc w:val="both"/>
      </w:pPr>
      <w:r>
        <w:rPr/>
        <w:t>①</w:t>
      </w:r>
      <w:r>
        <w:rPr>
          <w:spacing w:val="-24"/>
        </w:rPr>
        <w:t> </w:t>
      </w:r>
      <w:r>
        <w:rPr/>
        <w:t>收取该金融资产现金流量的合同权利终止；</w:t>
      </w:r>
    </w:p>
    <w:p>
      <w:pPr>
        <w:pStyle w:val="BodyText"/>
        <w:spacing w:line="240" w:lineRule="auto" w:before="118"/>
        <w:ind w:right="0"/>
        <w:jc w:val="both"/>
      </w:pPr>
      <w:r>
        <w:rPr/>
        <w:t>②</w:t>
      </w:r>
      <w:r>
        <w:rPr>
          <w:spacing w:val="-24"/>
        </w:rPr>
        <w:t> </w:t>
      </w:r>
      <w:r>
        <w:rPr/>
        <w:t>该金融资产已转移，且符合下述金融资产转移的终止确认条件。</w:t>
      </w:r>
    </w:p>
    <w:p>
      <w:pPr>
        <w:pStyle w:val="BodyText"/>
        <w:spacing w:line="312" w:lineRule="exact" w:before="148"/>
        <w:ind w:right="1139"/>
        <w:jc w:val="both"/>
      </w:pPr>
      <w:r>
        <w:rPr/>
        <w:t>金融负债的现时义务全部或部分已经解除的，终止确认该金融负债或其一部分。本集团（债 务人）与债权人之间签订协议，以承担新金融负债方式替换现存金融负债，且新金融负债与 现存金融负债的合同条款实质上不同的，终止确认现存金融负债，并同时确认新金融负债。</w:t>
      </w:r>
    </w:p>
    <w:p>
      <w:pPr>
        <w:pStyle w:val="BodyText"/>
        <w:spacing w:line="240" w:lineRule="auto" w:before="89"/>
        <w:ind w:right="0"/>
        <w:jc w:val="both"/>
      </w:pPr>
      <w:r>
        <w:rPr/>
        <w:t>以常规方式买卖金融资产，按交易日进行会计确认和终止确认。</w:t>
      </w:r>
    </w:p>
    <w:p>
      <w:pPr>
        <w:pStyle w:val="BodyText"/>
        <w:spacing w:line="240" w:lineRule="auto" w:before="118"/>
        <w:ind w:right="0"/>
        <w:jc w:val="both"/>
      </w:pPr>
      <w:r>
        <w:rPr/>
        <w:t>（</w:t>
      </w:r>
      <w:r>
        <w:rPr>
          <w:rFonts w:ascii="Times New Roman" w:hAnsi="Times New Roman" w:cs="Times New Roman" w:eastAsia="Times New Roman" w:hint="default"/>
        </w:rPr>
        <w:t>2</w:t>
      </w:r>
      <w:r>
        <w:rPr/>
        <w:t>）金融资产分类和计量</w:t>
      </w:r>
    </w:p>
    <w:p>
      <w:pPr>
        <w:pStyle w:val="BodyText"/>
        <w:spacing w:line="312" w:lineRule="exact" w:before="130"/>
        <w:ind w:right="1139"/>
        <w:jc w:val="both"/>
      </w:pPr>
      <w:r>
        <w:rPr/>
        <w:t>本集团的金融资产于初始确认时分为以下四类：以公允价值计量且其变动计入当期损益的金 融资产、持有至到期投资、贷款和应收款项、可供出售金融资产。金融资产在初始确认时以 公允价值计量。对于以公允价值计量且其变动计入当期损益的金融资产，相关交易费用直接</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31" w:lineRule="auto" w:before="26"/>
        <w:ind w:right="1136"/>
        <w:jc w:val="both"/>
      </w:pPr>
      <w:r>
        <w:rPr/>
        <w:t>计入当期损益，其他类别的金融资产相关交易费用计入其初始确认金额。 以公允价值计量且其变动计入当期损益的金融资产</w:t>
      </w:r>
    </w:p>
    <w:p>
      <w:pPr>
        <w:pStyle w:val="BodyText"/>
        <w:spacing w:line="237" w:lineRule="auto" w:before="29"/>
        <w:ind w:right="1136"/>
        <w:jc w:val="both"/>
      </w:pPr>
      <w:r>
        <w:rPr/>
        <w:t>以公允价值计量且其变动计入当期损益的金融资产，包括交易性金融资产和初始确认时指定</w:t>
      </w:r>
      <w:r>
        <w:rPr>
          <w:spacing w:val="-117"/>
        </w:rPr>
        <w:t> </w:t>
      </w:r>
      <w:r>
        <w:rPr>
          <w:spacing w:val="-117"/>
        </w:rPr>
      </w:r>
      <w:r>
        <w:rPr/>
        <w:t>为以公允价值计量且其变动计入当期损益的金融资产。对于此类金融资产，采用公允价值进 行后续计量，公允价值变动形成的利得或损失以及与该等金融资产相关的股利和利息收入计 入当期损益。</w:t>
      </w:r>
    </w:p>
    <w:p>
      <w:pPr>
        <w:pStyle w:val="BodyText"/>
        <w:spacing w:line="240" w:lineRule="auto" w:before="118"/>
        <w:ind w:right="0"/>
        <w:jc w:val="both"/>
      </w:pPr>
      <w:r>
        <w:rPr/>
        <w:t>应收款项</w:t>
      </w:r>
    </w:p>
    <w:p>
      <w:pPr>
        <w:pStyle w:val="BodyText"/>
        <w:spacing w:line="312" w:lineRule="exact" w:before="148"/>
        <w:ind w:right="1130"/>
        <w:jc w:val="both"/>
      </w:pPr>
      <w:r>
        <w:rPr/>
        <w:t>应收款项，是指在活跃市场中没有报价、回收金额固定或可确定的非衍生金融资产，包括应 </w:t>
      </w:r>
      <w:r>
        <w:rPr>
          <w:spacing w:val="-3"/>
        </w:rPr>
        <w:t>收账款和其他应收款等（见本节</w:t>
      </w:r>
      <w:r>
        <w:rPr>
          <w:rFonts w:ascii="Times New Roman" w:hAnsi="Times New Roman" w:cs="Times New Roman" w:eastAsia="Times New Roman" w:hint="default"/>
          <w:spacing w:val="-3"/>
        </w:rPr>
        <w:t>"</w:t>
      </w:r>
      <w:r>
        <w:rPr>
          <w:spacing w:val="-3"/>
        </w:rPr>
        <w:t>五、重要会计政策及估计</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"11</w:t>
      </w:r>
      <w:r>
        <w:rPr>
          <w:spacing w:val="-3"/>
        </w:rPr>
        <w:t>、应收款项</w:t>
      </w:r>
      <w:r>
        <w:rPr>
          <w:rFonts w:ascii="Times New Roman" w:hAnsi="Times New Roman" w:cs="Times New Roman" w:eastAsia="Times New Roman" w:hint="default"/>
          <w:spacing w:val="-3"/>
        </w:rPr>
        <w:t>"</w:t>
      </w:r>
      <w:r>
        <w:rPr>
          <w:spacing w:val="-3"/>
        </w:rPr>
        <w:t>）。应收款项采</w:t>
      </w:r>
      <w:r>
        <w:rPr>
          <w:spacing w:val="-105"/>
        </w:rPr>
        <w:t> </w:t>
      </w:r>
      <w:r>
        <w:rPr>
          <w:spacing w:val="-105"/>
        </w:rPr>
      </w:r>
      <w:r>
        <w:rPr/>
        <w:t>用实际利率法，按摊余成本进行后续计量，在终止确认、发生减值或摊销时产生的利得或损 失，计入当期损益。</w:t>
      </w:r>
    </w:p>
    <w:p>
      <w:pPr>
        <w:pStyle w:val="BodyText"/>
        <w:spacing w:line="240" w:lineRule="auto" w:before="89"/>
        <w:ind w:left="1134" w:right="0"/>
        <w:jc w:val="both"/>
      </w:pPr>
      <w:r>
        <w:rPr/>
        <w:t>可供出售金融资产</w:t>
      </w:r>
    </w:p>
    <w:p>
      <w:pPr>
        <w:pStyle w:val="BodyText"/>
        <w:spacing w:line="312" w:lineRule="exact" w:before="148"/>
        <w:ind w:right="1139"/>
        <w:jc w:val="both"/>
      </w:pPr>
      <w:r>
        <w:rPr/>
        <w:t>可供出售金融资产，是指初始确认时即指定为可供出售的非衍生金融资产，以及除上述金融 资产类别以外的金融资产。可供出售金融资产采用公允价值进行后续计量，其折溢价采用实 际利率法摊销并确认为利息收入。除减值损失及外币货币性金融资产的汇兑差额确认为当期 损益外，可供出售金融资产的公允价值变动确认为其他综合收益，在该金融资产终止确认时 转出，计入当期损益。与可供出售金融资产相关的股利或利息收入，计入当期损益。</w:t>
      </w:r>
    </w:p>
    <w:p>
      <w:pPr>
        <w:pStyle w:val="BodyText"/>
        <w:spacing w:line="312" w:lineRule="exact" w:before="120"/>
        <w:ind w:right="1139"/>
        <w:jc w:val="both"/>
      </w:pPr>
      <w:r>
        <w:rPr/>
        <w:t>对于在活跃市场中没有报价且其公允价值不能可靠计量的权益工具投资，以及与该权益工具 挂钩并须通过交付该权益工具结算的衍生金融资产，按成本计量。</w:t>
      </w:r>
    </w:p>
    <w:p>
      <w:pPr>
        <w:pStyle w:val="BodyText"/>
        <w:spacing w:line="312" w:lineRule="exact" w:before="120"/>
        <w:ind w:right="1139"/>
        <w:jc w:val="both"/>
      </w:pPr>
      <w:r>
        <w:rPr/>
        <w:t>因持有意图或能力发生改变，或公允价值不再能够可靠计量，或持有至到期投资重分类为可 供出售金融资产后持有期限已超过两个完整的会计年度，使金融资产不再适合按照公允价值 计量时，本集团将可供出售金融资产改按成本或摊余成本计量。成本或摊余成本为重分类日 该金融资产的公允价值或账面价值。</w:t>
      </w:r>
    </w:p>
    <w:p>
      <w:pPr>
        <w:pStyle w:val="BodyText"/>
        <w:spacing w:line="312" w:lineRule="exact" w:before="120"/>
        <w:ind w:right="1135"/>
        <w:jc w:val="both"/>
      </w:pPr>
      <w:r>
        <w:rPr/>
        <w:t>该金融资产有固定到期日的，与该金融资产相关、原直接计入其他综合收益的利得或损失， 在该金融资产的剩余期限内，采用实际利率法摊销，计入当期损益；该金融资产的摊余成本 与到期日金额之间的差额，在该金融资产的剩余期限内，采用实际利率法摊销，计入当期损</w:t>
      </w:r>
      <w:r>
        <w:rPr>
          <w:spacing w:val="-116"/>
        </w:rPr>
        <w:t> </w:t>
      </w:r>
      <w:r>
        <w:rPr>
          <w:spacing w:val="-116"/>
        </w:rPr>
      </w:r>
      <w:r>
        <w:rPr/>
        <w:t>益。该金融资产没有固定到期日的，与该金融资产相关、原直接计入其他综合收益的利得或 损失仍保留在股东权益中，在该金融资产被处置时转出，计入当期损益。</w:t>
      </w:r>
    </w:p>
    <w:p>
      <w:pPr>
        <w:pStyle w:val="BodyText"/>
        <w:spacing w:line="240" w:lineRule="auto" w:before="89"/>
        <w:ind w:right="0"/>
        <w:jc w:val="both"/>
      </w:pPr>
      <w:r>
        <w:rPr/>
        <w:t>（</w:t>
      </w:r>
      <w:r>
        <w:rPr>
          <w:rFonts w:ascii="Times New Roman" w:hAnsi="Times New Roman" w:cs="Times New Roman" w:eastAsia="Times New Roman" w:hint="default"/>
        </w:rPr>
        <w:t>3</w:t>
      </w:r>
      <w:r>
        <w:rPr/>
        <w:t>）金融负债分类和计量</w:t>
      </w:r>
    </w:p>
    <w:p>
      <w:pPr>
        <w:pStyle w:val="BodyText"/>
        <w:spacing w:line="312" w:lineRule="exact" w:before="130"/>
        <w:ind w:right="995"/>
        <w:jc w:val="left"/>
      </w:pPr>
      <w:r>
        <w:rPr>
          <w:spacing w:val="-2"/>
        </w:rPr>
        <w:t>本集团的金融负债于初始确认时分类为：以公允价值计量且其变动计入当期损益的金融负债、</w:t>
      </w:r>
      <w:r>
        <w:rPr/>
        <w:t> 其他金融负债。对于未划分为以公允价值计量且其变动计入当期损益的金融负债的，相关交 易费用计入其初始确认金额。</w:t>
      </w:r>
    </w:p>
    <w:p>
      <w:pPr>
        <w:pStyle w:val="BodyText"/>
        <w:spacing w:line="240" w:lineRule="auto" w:before="89"/>
        <w:ind w:right="0"/>
        <w:jc w:val="both"/>
      </w:pPr>
      <w:r>
        <w:rPr/>
        <w:t>以公允价值计量且其变动计入当期损益的金融负债</w:t>
      </w:r>
    </w:p>
    <w:p>
      <w:pPr>
        <w:pStyle w:val="BodyText"/>
        <w:spacing w:line="237" w:lineRule="auto" w:before="120"/>
        <w:ind w:right="1132"/>
        <w:jc w:val="both"/>
      </w:pPr>
      <w:r>
        <w:rPr/>
        <w:t>以公允价值计量且其变动计入当期损益的金融负债，包括交易性金融负债和初始确认时指定</w:t>
      </w:r>
      <w:r>
        <w:rPr>
          <w:spacing w:val="-112"/>
        </w:rPr>
        <w:t> </w:t>
      </w:r>
      <w:r>
        <w:rPr>
          <w:spacing w:val="-112"/>
        </w:rPr>
      </w:r>
      <w:r>
        <w:rPr/>
        <w:t>为以公允价值计量且其变动计入当期损益的金融负债。对于此类金融负债，按照公允价值进 行后续计量，公允价值变动形成的利得或损失以及与该等金融负债相关的股利和利息支出计 入当期损益。</w:t>
      </w:r>
    </w:p>
    <w:p>
      <w:pPr>
        <w:pStyle w:val="BodyText"/>
        <w:spacing w:line="240" w:lineRule="auto" w:before="118"/>
        <w:ind w:right="0"/>
        <w:jc w:val="both"/>
      </w:pPr>
      <w:r>
        <w:rPr/>
        <w:t>其他金融负债</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与在活跃市场中没有报价、公允价值不能可靠计量的权益工具挂钩并须通过交付该权益工具 结算的衍生金融负债，按照成本进行后续计量。其他金融负债采用实际利率法，按摊余成本 进行后续计量，终止确认或摊销产生的利得或损失计入当期损益。</w:t>
      </w:r>
    </w:p>
    <w:p>
      <w:pPr>
        <w:pStyle w:val="BodyText"/>
        <w:spacing w:line="331" w:lineRule="auto" w:before="89"/>
        <w:ind w:right="6193"/>
        <w:jc w:val="left"/>
      </w:pPr>
      <w:r>
        <w:rPr/>
        <w:t>金融负债与权益工具的区分 金融负债，是指符合下列条件之一的负债：</w:t>
      </w:r>
    </w:p>
    <w:p>
      <w:pPr>
        <w:pStyle w:val="BodyText"/>
        <w:spacing w:line="240" w:lineRule="auto" w:before="26"/>
        <w:ind w:right="0"/>
        <w:jc w:val="both"/>
      </w:pPr>
      <w:r>
        <w:rPr/>
        <w:t>①向其他方交付现金或其他金融资产的合同义务。</w:t>
      </w:r>
    </w:p>
    <w:p>
      <w:pPr>
        <w:pStyle w:val="BodyText"/>
        <w:spacing w:line="240" w:lineRule="auto" w:before="118"/>
        <w:ind w:right="0"/>
        <w:jc w:val="both"/>
      </w:pPr>
      <w:r>
        <w:rPr/>
        <w:t>②在潜在不利条件下，与其他方交换金融资产或金融负债的合同义务。</w:t>
      </w:r>
    </w:p>
    <w:p>
      <w:pPr>
        <w:pStyle w:val="BodyText"/>
        <w:spacing w:line="312" w:lineRule="exact" w:before="148"/>
        <w:ind w:right="1139"/>
        <w:jc w:val="both"/>
      </w:pPr>
      <w:r>
        <w:rPr/>
        <w:t>③将来须用或可用企业自身权益工具进行结算的非衍生工具合同，且企业根据该合同将交付 可变数量的自身权益工具。</w:t>
      </w:r>
    </w:p>
    <w:p>
      <w:pPr>
        <w:pStyle w:val="BodyText"/>
        <w:spacing w:line="312" w:lineRule="exact" w:before="120"/>
        <w:ind w:right="1139"/>
        <w:jc w:val="both"/>
      </w:pPr>
      <w:r>
        <w:rPr/>
        <w:t>④将来须用或可用企业自身权益工具进行结算的衍生工具合同，但以固定数量的自身权益工 具交换固定金额的现金或其他金融资产的衍生工具合同除外。</w:t>
      </w:r>
    </w:p>
    <w:p>
      <w:pPr>
        <w:pStyle w:val="BodyText"/>
        <w:spacing w:line="240" w:lineRule="auto" w:before="89"/>
        <w:ind w:right="0"/>
        <w:jc w:val="both"/>
      </w:pPr>
      <w:r>
        <w:rPr/>
        <w:t>权益工具，是指能证明拥有某个企业在扣除所有负债后的资产中剩余权益的合同。</w:t>
      </w:r>
    </w:p>
    <w:p>
      <w:pPr>
        <w:pStyle w:val="BodyText"/>
        <w:spacing w:line="312" w:lineRule="exact" w:before="148"/>
        <w:ind w:right="1139"/>
        <w:jc w:val="both"/>
      </w:pPr>
      <w:r>
        <w:rPr/>
        <w:t>如果本集团不能无条件地避免以交付现金或其他金融资产来履行一项合同义务，则该合同义 务符合金融负债的定义。</w:t>
      </w:r>
    </w:p>
    <w:p>
      <w:pPr>
        <w:pStyle w:val="BodyText"/>
        <w:spacing w:line="312" w:lineRule="exact" w:before="120"/>
        <w:ind w:right="1139"/>
        <w:jc w:val="both"/>
      </w:pPr>
      <w:r>
        <w:rPr/>
        <w:t>如果一项金融工具须用或可用本集团自身权益工具进行结算，需要考虑用于结算该工具的本 集团自身权益工具，是作为现金或其他金融资产的替代品，还是为了使该工具持有方享有在 发行方扣除所有负债后的资产中的剩余权益。如果是前者，该工具是本集团的金融负债；如 果是后者，该工具是本集团的权益工具。</w:t>
      </w:r>
    </w:p>
    <w:p>
      <w:pPr>
        <w:pStyle w:val="BodyText"/>
        <w:spacing w:line="240" w:lineRule="auto" w:before="89"/>
        <w:ind w:left="1134" w:right="0"/>
        <w:jc w:val="both"/>
      </w:pPr>
      <w:r>
        <w:rPr/>
        <w:t>（</w:t>
      </w:r>
      <w:r>
        <w:rPr>
          <w:rFonts w:ascii="Times New Roman" w:hAnsi="Times New Roman" w:cs="Times New Roman" w:eastAsia="Times New Roman" w:hint="default"/>
        </w:rPr>
        <w:t>4</w:t>
      </w:r>
      <w:r>
        <w:rPr/>
        <w:t>）金融工具的公允价值</w:t>
      </w:r>
    </w:p>
    <w:p>
      <w:pPr>
        <w:pStyle w:val="BodyText"/>
        <w:spacing w:line="312" w:lineRule="exact" w:before="130"/>
        <w:ind w:left="1134" w:right="1129"/>
        <w:jc w:val="both"/>
      </w:pPr>
      <w:r>
        <w:rPr>
          <w:spacing w:val="-1"/>
        </w:rPr>
        <w:t>金融资产和金融负债的公允价值确定方法见（见本节</w:t>
      </w:r>
      <w:r>
        <w:rPr>
          <w:rFonts w:ascii="Times New Roman" w:hAnsi="Times New Roman" w:cs="Times New Roman" w:eastAsia="Times New Roman" w:hint="default"/>
          <w:spacing w:val="-1"/>
        </w:rPr>
        <w:t>"</w:t>
      </w:r>
      <w:r>
        <w:rPr>
          <w:spacing w:val="-1"/>
        </w:rPr>
        <w:t>五、重要会计政策及估计</w:t>
      </w:r>
      <w:r>
        <w:rPr>
          <w:rFonts w:ascii="Times New Roman" w:hAnsi="Times New Roman" w:cs="Times New Roman" w:eastAsia="Times New Roman" w:hint="default"/>
          <w:spacing w:val="-1"/>
        </w:rPr>
        <w:t>"</w:t>
      </w:r>
      <w:r>
        <w:rPr>
          <w:spacing w:val="-1"/>
        </w:rPr>
        <w:t>之</w:t>
      </w:r>
      <w:r>
        <w:rPr>
          <w:rFonts w:ascii="Times New Roman" w:hAnsi="Times New Roman" w:cs="Times New Roman" w:eastAsia="Times New Roman" w:hint="default"/>
          <w:spacing w:val="-1"/>
        </w:rPr>
        <w:t>"10</w:t>
      </w:r>
      <w:r>
        <w:rPr>
          <w:spacing w:val="-1"/>
        </w:rPr>
        <w:t>、公允</w:t>
      </w:r>
      <w:r>
        <w:rPr>
          <w:spacing w:val="-95"/>
        </w:rPr>
        <w:t> </w:t>
      </w:r>
      <w:r>
        <w:rPr>
          <w:spacing w:val="-95"/>
        </w:rPr>
      </w:r>
      <w:r>
        <w:rPr/>
        <w:t>价值</w:t>
      </w:r>
      <w:r>
        <w:rPr>
          <w:rFonts w:ascii="Times New Roman" w:hAnsi="Times New Roman" w:cs="Times New Roman" w:eastAsia="Times New Roman" w:hint="default"/>
        </w:rPr>
        <w:t>"</w:t>
      </w:r>
      <w:r>
        <w:rPr/>
        <w:t>）。</w:t>
      </w:r>
    </w:p>
    <w:p>
      <w:pPr>
        <w:pStyle w:val="BodyText"/>
        <w:spacing w:line="240" w:lineRule="auto" w:before="89"/>
        <w:ind w:left="1134" w:right="0"/>
        <w:jc w:val="both"/>
      </w:pPr>
      <w:r>
        <w:rPr/>
        <w:t>（</w:t>
      </w:r>
      <w:r>
        <w:rPr>
          <w:rFonts w:ascii="Times New Roman" w:hAnsi="Times New Roman" w:cs="Times New Roman" w:eastAsia="Times New Roman" w:hint="default"/>
        </w:rPr>
        <w:t>5</w:t>
      </w:r>
      <w:r>
        <w:rPr/>
        <w:t>）金融资产减值</w:t>
      </w:r>
    </w:p>
    <w:p>
      <w:pPr>
        <w:pStyle w:val="BodyText"/>
        <w:spacing w:line="312" w:lineRule="exact" w:before="130"/>
        <w:ind w:right="1137"/>
        <w:jc w:val="both"/>
      </w:pPr>
      <w:r>
        <w:rPr/>
        <w:t>除了以公允价值计量且其变动计入当期损益的金融资产外，本集团于资产负债表日对其他金 融资产的账面价值进行检查，有客观证据表明该金融资产发生减值的，计提减值准备。表明 金融资产发生减值的客观证据，是指金融资产初始确认后实际发生的、对该金融资产的预计 未来现金流量有影响，且企业能够对该影响进行可靠计量的事项。</w:t>
      </w:r>
    </w:p>
    <w:p>
      <w:pPr>
        <w:pStyle w:val="BodyText"/>
        <w:spacing w:line="240" w:lineRule="auto" w:before="89"/>
        <w:ind w:right="0"/>
        <w:jc w:val="both"/>
      </w:pPr>
      <w:r>
        <w:rPr/>
        <w:t>金融资产发生减值的客观证据，包括下列可观察到的情形：</w:t>
      </w:r>
    </w:p>
    <w:p>
      <w:pPr>
        <w:pStyle w:val="BodyText"/>
        <w:spacing w:line="240" w:lineRule="auto" w:before="118"/>
        <w:ind w:right="0"/>
        <w:jc w:val="both"/>
      </w:pPr>
      <w:r>
        <w:rPr/>
        <w:t>①发行方或债务人发生严重财务困难；</w:t>
      </w:r>
    </w:p>
    <w:p>
      <w:pPr>
        <w:pStyle w:val="BodyText"/>
        <w:spacing w:line="240" w:lineRule="auto" w:before="118"/>
        <w:ind w:left="1134" w:right="0"/>
        <w:jc w:val="both"/>
      </w:pPr>
      <w:r>
        <w:rPr/>
        <w:t>②债务人违反了合同条款，如偿付利息或本金发生违约或逾期等；</w:t>
      </w:r>
    </w:p>
    <w:p>
      <w:pPr>
        <w:pStyle w:val="BodyText"/>
        <w:spacing w:line="240" w:lineRule="auto" w:before="118"/>
        <w:ind w:right="0"/>
        <w:jc w:val="both"/>
      </w:pPr>
      <w:r>
        <w:rPr/>
        <w:t>③本集团出于经济或法律等方面因素的考虑，对发生财务困难的债务人作出让步；</w:t>
      </w:r>
    </w:p>
    <w:p>
      <w:pPr>
        <w:pStyle w:val="BodyText"/>
        <w:spacing w:line="240" w:lineRule="auto" w:before="118"/>
        <w:ind w:right="0"/>
        <w:jc w:val="both"/>
      </w:pPr>
      <w:r>
        <w:rPr/>
        <w:t>④债务人很可能倒闭或者进行其他财务重组；</w:t>
      </w:r>
    </w:p>
    <w:p>
      <w:pPr>
        <w:pStyle w:val="BodyText"/>
        <w:spacing w:line="240" w:lineRule="auto" w:before="118"/>
        <w:ind w:left="1134" w:right="0"/>
        <w:jc w:val="both"/>
      </w:pPr>
      <w:r>
        <w:rPr/>
        <w:t>⑤因发行方发生重大财务困难，导致金融资产无法在活跃市场继续交易；</w:t>
      </w:r>
    </w:p>
    <w:p>
      <w:pPr>
        <w:pStyle w:val="BodyText"/>
        <w:spacing w:line="312" w:lineRule="exact" w:before="149"/>
        <w:ind w:right="1139"/>
        <w:jc w:val="both"/>
      </w:pPr>
      <w:r>
        <w:rPr/>
        <w:t>⑥无法辨认一组金融资产中的某项资产的现金流量是否已经减少，但根据公开的数据对其进 行总体评价后发现，该组金融资产自初始确认以来的预计未来现金流量确已减少且可计量， 包括：</w:t>
      </w:r>
    </w:p>
    <w:p>
      <w:pPr>
        <w:pStyle w:val="BodyText"/>
        <w:spacing w:line="240" w:lineRule="auto" w:before="89"/>
        <w:ind w:left="155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该组金融资产的债务人支付能力逐步恶化；</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left="155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t>债务人所在国家或地区经济出现了可能导致该组金融资产无法支付的状况；</w:t>
      </w:r>
    </w:p>
    <w:p>
      <w:pPr>
        <w:spacing w:line="240" w:lineRule="auto" w:before="4"/>
        <w:rPr>
          <w:rFonts w:ascii="宋体" w:hAnsi="宋体" w:cs="宋体" w:eastAsia="宋体" w:hint="default"/>
          <w:sz w:val="17"/>
          <w:szCs w:val="17"/>
        </w:rPr>
      </w:pPr>
    </w:p>
    <w:p>
      <w:pPr>
        <w:pStyle w:val="BodyText"/>
        <w:spacing w:line="312" w:lineRule="exact"/>
        <w:ind w:right="1139"/>
        <w:jc w:val="both"/>
      </w:pPr>
      <w:r>
        <w:rPr/>
        <w:t>⑦债务人经营所处的技术、市场、经济或法律环境等发生重大不利变化，使权益工具投资人 可能无法收回投资成本；</w:t>
      </w:r>
    </w:p>
    <w:p>
      <w:pPr>
        <w:spacing w:line="240" w:lineRule="auto" w:before="7"/>
        <w:rPr>
          <w:rFonts w:ascii="宋体" w:hAnsi="宋体" w:cs="宋体" w:eastAsia="宋体" w:hint="default"/>
          <w:sz w:val="16"/>
          <w:szCs w:val="16"/>
        </w:rPr>
      </w:pPr>
    </w:p>
    <w:p>
      <w:pPr>
        <w:pStyle w:val="BodyText"/>
        <w:spacing w:line="312" w:lineRule="exact"/>
        <w:ind w:right="1127"/>
        <w:jc w:val="both"/>
      </w:pPr>
      <w:r>
        <w:rPr/>
        <w:t>⑧权益工具投资的公允价值发生严重或非暂时性下跌，如权益工具投资于资产负债表日的公 </w:t>
      </w:r>
      <w:r>
        <w:rPr>
          <w:spacing w:val="2"/>
        </w:rPr>
        <w:t>允价值低于其初始投资成本超过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）或低于其初始投资成本持续时间超过</w:t>
      </w:r>
      <w:r>
        <w:rPr>
          <w:rFonts w:ascii="Times New Roman" w:hAnsi="Times New Roman" w:cs="Times New Roman" w:eastAsia="Times New Roman" w:hint="default"/>
          <w:spacing w:val="2"/>
        </w:rPr>
        <w:t>12</w:t>
      </w:r>
      <w:r>
        <w:rPr>
          <w:spacing w:val="2"/>
        </w:rPr>
        <w:t>个月</w:t>
      </w:r>
      <w:r>
        <w:rPr/>
      </w:r>
    </w:p>
    <w:p>
      <w:pPr>
        <w:pStyle w:val="BodyText"/>
        <w:spacing w:line="302" w:lineRule="exact"/>
        <w:ind w:right="0"/>
        <w:jc w:val="both"/>
      </w:pPr>
      <w:r>
        <w:rPr/>
        <w:t>（含</w:t>
      </w:r>
      <w:r>
        <w:rPr>
          <w:rFonts w:ascii="Times New Roman" w:hAnsi="Times New Roman" w:cs="Times New Roman" w:eastAsia="Times New Roman" w:hint="default"/>
        </w:rPr>
        <w:t>12</w:t>
      </w:r>
      <w:r>
        <w:rPr/>
        <w:t>个月）。</w:t>
      </w:r>
    </w:p>
    <w:p>
      <w:pPr>
        <w:spacing w:line="240" w:lineRule="auto" w:before="4"/>
        <w:rPr>
          <w:rFonts w:ascii="宋体" w:hAnsi="宋体" w:cs="宋体" w:eastAsia="宋体" w:hint="default"/>
          <w:sz w:val="17"/>
          <w:szCs w:val="17"/>
        </w:rPr>
      </w:pPr>
    </w:p>
    <w:p>
      <w:pPr>
        <w:pStyle w:val="BodyText"/>
        <w:spacing w:line="312" w:lineRule="exact"/>
        <w:ind w:right="1134"/>
        <w:jc w:val="both"/>
      </w:pPr>
      <w:r>
        <w:rPr/>
        <w:t>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个月）是指，权益工具投资公允价值月度均</w:t>
      </w:r>
      <w:r>
        <w:rPr>
          <w:spacing w:val="-113"/>
        </w:rPr>
        <w:t> </w:t>
      </w:r>
      <w:r>
        <w:rPr/>
        <w:t>值连续</w:t>
      </w:r>
      <w:r>
        <w:rPr>
          <w:rFonts w:ascii="Times New Roman" w:hAnsi="Times New Roman" w:cs="Times New Roman" w:eastAsia="Times New Roman" w:hint="default"/>
        </w:rPr>
        <w:t>12</w:t>
      </w:r>
      <w:r>
        <w:rPr/>
        <w:t>个月均低于其初始投资成本。</w:t>
      </w:r>
    </w:p>
    <w:p>
      <w:pPr>
        <w:pStyle w:val="BodyText"/>
        <w:spacing w:line="403" w:lineRule="auto" w:before="185"/>
        <w:ind w:left="1134" w:right="6192"/>
        <w:jc w:val="left"/>
      </w:pPr>
      <w:r>
        <w:rPr/>
        <w:t>⑨其他表明金融资产发生减值的客观证据。 以摊余成本计量的金融资产</w:t>
      </w:r>
    </w:p>
    <w:p>
      <w:pPr>
        <w:pStyle w:val="BodyText"/>
        <w:spacing w:line="312" w:lineRule="exact" w:before="81"/>
        <w:ind w:right="1138"/>
        <w:jc w:val="both"/>
      </w:pPr>
      <w:r>
        <w:rPr/>
        <w:t>如果有客观证据表明该金融资产发生减值，则将该金融资产的账面价值减记至预计未来现金 流量（不包括尚未发生的未来信用损失）现值，减记金额计入当期损益。预计未来现金流量 现值，按照该金融资产原实际利率折现确定，并考虑相关担保物的价值。</w:t>
      </w:r>
    </w:p>
    <w:p>
      <w:pPr>
        <w:pStyle w:val="BodyText"/>
        <w:spacing w:line="237" w:lineRule="auto" w:before="188"/>
        <w:ind w:right="1138"/>
        <w:jc w:val="both"/>
      </w:pPr>
      <w:r>
        <w:rPr/>
        <w:t>对单项金额重大的金融资产单独进行减值测试，如有客观证据表明其已发生减值，确认减值</w:t>
      </w:r>
      <w:r>
        <w:rPr>
          <w:spacing w:val="-116"/>
        </w:rPr>
        <w:t> </w:t>
      </w:r>
      <w:r>
        <w:rPr>
          <w:spacing w:val="-116"/>
        </w:rPr>
      </w:r>
      <w:r>
        <w:rPr/>
        <w:t>损失，计入当期损益。对单项金额不重大的金融资产，单独进行减值测试或包括在具有类似 信用风险特征的金融资产组合中进行减值测试。单独测试未发生减值的金融资产（包括单项 金额重大和不重大的金融资产），包括在具有类似信用风险特征的金融资产组合中再进行减 值测试。已单项确认减值损失的金融资产，不包括在具有类似信用风险特征的金融资产组合 中进行减值测试。</w:t>
      </w:r>
    </w:p>
    <w:p>
      <w:pPr>
        <w:spacing w:line="240" w:lineRule="auto" w:before="9"/>
        <w:rPr>
          <w:rFonts w:ascii="宋体" w:hAnsi="宋体" w:cs="宋体" w:eastAsia="宋体" w:hint="default"/>
          <w:sz w:val="18"/>
          <w:szCs w:val="18"/>
        </w:rPr>
      </w:pPr>
    </w:p>
    <w:p>
      <w:pPr>
        <w:pStyle w:val="BodyText"/>
        <w:spacing w:line="312" w:lineRule="exact"/>
        <w:ind w:right="1137"/>
        <w:jc w:val="both"/>
      </w:pPr>
      <w:r>
        <w:rPr/>
        <w:t>本集团对以摊余成本计量的金融资产确认减值损失后，如有客观证据表明该金融资产价值已 恢复，且客观上与确认该损失后发生的事项有关，原确认的减值损失予以转回，计入当期损</w:t>
      </w:r>
      <w:r>
        <w:rPr>
          <w:spacing w:val="-117"/>
        </w:rPr>
        <w:t> </w:t>
      </w:r>
      <w:r>
        <w:rPr>
          <w:spacing w:val="-117"/>
        </w:rPr>
      </w:r>
      <w:r>
        <w:rPr/>
        <w:t>益。但是，该转回后的账面价值不超过假定不计提减值准备情况下该金融资产在转回日的摊 余成本。</w:t>
      </w:r>
    </w:p>
    <w:p>
      <w:pPr>
        <w:pStyle w:val="BodyText"/>
        <w:spacing w:line="240" w:lineRule="auto" w:before="185"/>
        <w:ind w:right="0"/>
        <w:jc w:val="both"/>
      </w:pPr>
      <w:r>
        <w:rPr/>
        <w:t>可供出售金融资产</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如果有客观证据表明该金融资产发生减值，原直接计入其他综合收益的因公允价值下降形成 的累计损失，予以转出，计入当期损益。该转出的累计损失，为可供出售金融资产的初始取 得成本扣除已收回本金和已摊销金额、当前公允价值和原已计入损益的减值损失后的余额。</w:t>
      </w:r>
    </w:p>
    <w:p>
      <w:pPr>
        <w:pStyle w:val="BodyText"/>
        <w:spacing w:line="312" w:lineRule="exact" w:before="216"/>
        <w:ind w:right="1136"/>
        <w:jc w:val="both"/>
      </w:pPr>
      <w:r>
        <w:rPr/>
        <w:t>对于已确认减值损失的可供出售债务工具，在随后的会计期间公允价值已上升且客观上与确 认原减值损失确认后发生的事项有关的，原确认的减值损失予以转回，计入当期损益。可供</w:t>
      </w:r>
      <w:r>
        <w:rPr>
          <w:spacing w:val="-117"/>
        </w:rPr>
        <w:t> </w:t>
      </w:r>
      <w:r>
        <w:rPr>
          <w:spacing w:val="-117"/>
        </w:rPr>
      </w:r>
      <w:r>
        <w:rPr/>
        <w:t>出售权益工具投资发生的减值损失，不通过损益转回。</w:t>
      </w:r>
    </w:p>
    <w:p>
      <w:pPr>
        <w:pStyle w:val="BodyText"/>
        <w:spacing w:line="240" w:lineRule="auto" w:before="185"/>
        <w:ind w:right="0"/>
        <w:jc w:val="both"/>
      </w:pPr>
      <w:r>
        <w:rPr/>
        <w:t>以成本计量的金融资产</w:t>
      </w:r>
    </w:p>
    <w:p>
      <w:pPr>
        <w:spacing w:line="240" w:lineRule="auto" w:before="10"/>
        <w:rPr>
          <w:rFonts w:ascii="宋体" w:hAnsi="宋体" w:cs="宋体" w:eastAsia="宋体" w:hint="default"/>
          <w:sz w:val="18"/>
          <w:szCs w:val="18"/>
        </w:rPr>
      </w:pPr>
    </w:p>
    <w:p>
      <w:pPr>
        <w:pStyle w:val="BodyText"/>
        <w:spacing w:line="312" w:lineRule="exact"/>
        <w:ind w:right="995"/>
        <w:jc w:val="left"/>
      </w:pPr>
      <w:r>
        <w:rPr/>
        <w:t>在活跃市场中没有报价且其公允价值不能可靠计量的权益工具投资，或与该权益工具挂钩并 须通过交付该权益工具结算的衍生金融资产发生减值时，将该金融资产的账面价值，与按照 </w:t>
      </w:r>
      <w:r>
        <w:rPr>
          <w:spacing w:val="-2"/>
        </w:rPr>
        <w:t>类似金融资产当时市场收益率对未来现金流量折现确定的现值之间的差额，确认为减值损失，</w:t>
      </w:r>
      <w:r>
        <w:rPr/>
        <w:t> 计入当期损益。发生的减值损失一经确认，不得转回。</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81" w:lineRule="auto" w:before="26"/>
        <w:ind w:right="0"/>
        <w:jc w:val="left"/>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240" w:lineRule="auto" w:before="72"/>
        <w:ind w:right="995"/>
        <w:jc w:val="left"/>
      </w:pPr>
      <w:r>
        <w:rPr>
          <w:spacing w:val="-2"/>
        </w:rPr>
        <w:t>本集团已将金融资产所有权上几乎所有的风险和报酬转移给转入方的，终止确认该金融资产；</w:t>
      </w:r>
      <w:r>
        <w:rPr/>
        <w:t> 保留了金融资产所有权上几乎所有的风险和报酬的，不终止确认该金融资产。</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本集团既没有转移也没有保留金融资产所有权上几乎所有的风险和报酬的，分别下列情况处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BodyText"/>
        <w:spacing w:line="240" w:lineRule="auto" w:before="185"/>
        <w:ind w:right="0"/>
        <w:jc w:val="both"/>
      </w:pPr>
      <w:r>
        <w:rPr/>
        <w:t>（</w:t>
      </w:r>
      <w:r>
        <w:rPr>
          <w:rFonts w:ascii="Times New Roman" w:hAnsi="Times New Roman" w:cs="Times New Roman" w:eastAsia="Times New Roman" w:hint="default"/>
        </w:rPr>
        <w:t>7</w:t>
      </w:r>
      <w:r>
        <w:rPr/>
        <w:t>）金融资产和金融负债的抵销</w:t>
      </w:r>
    </w:p>
    <w:p>
      <w:pPr>
        <w:spacing w:line="240" w:lineRule="auto" w:before="4"/>
        <w:rPr>
          <w:rFonts w:ascii="宋体" w:hAnsi="宋体" w:cs="宋体" w:eastAsia="宋体" w:hint="default"/>
          <w:sz w:val="17"/>
          <w:szCs w:val="17"/>
        </w:rPr>
      </w:pPr>
    </w:p>
    <w:p>
      <w:pPr>
        <w:pStyle w:val="BodyText"/>
        <w:spacing w:line="312" w:lineRule="exact"/>
        <w:ind w:left="1134" w:right="1133"/>
        <w:jc w:val="both"/>
      </w:pPr>
      <w:r>
        <w:rPr/>
        <w:t>当本集团具有抵销已确认金融资产和金融负债的法定权利，且目前可执行该种法定权利，同</w:t>
      </w:r>
      <w:r>
        <w:rPr>
          <w:spacing w:val="-112"/>
        </w:rPr>
        <w:t> </w:t>
      </w:r>
      <w:r>
        <w:rPr>
          <w:spacing w:val="-112"/>
        </w:rPr>
      </w:r>
      <w:r>
        <w:rPr/>
        <w:t>时本集团计划以净额结算或同时变现该金融资产和清偿该金融负债时，金融资产和金融负债 以相互抵销后的金额在资产负债表内列示。除此以外，金融资产和金融负债在资产负债表内 分别列示，不予相互抵销。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4" w:right="0" w:firstLine="0"/>
        <w:jc w:val="both"/>
        <w:rPr>
          <w:rFonts w:ascii="宋体" w:hAnsi="宋体" w:cs="宋体" w:eastAsia="宋体" w:hint="default"/>
          <w:sz w:val="21"/>
          <w:szCs w:val="21"/>
        </w:rPr>
      </w:pPr>
      <w:bookmarkStart w:name="10、 公允价值计量" w:id="177"/>
      <w:bookmarkEnd w:id="177"/>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公允价值计量</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1139"/>
        <w:jc w:val="both"/>
      </w:pPr>
      <w:r>
        <w:rPr/>
        <w:t>公允价值是指市场参与者在计量日发生的有序交易中，出售一项资产所能收到或者转移一项 负债所需支付的价格。</w:t>
      </w:r>
    </w:p>
    <w:p>
      <w:pPr>
        <w:pStyle w:val="BodyText"/>
        <w:spacing w:line="312" w:lineRule="exact" w:before="148"/>
        <w:ind w:left="1134" w:right="1136"/>
        <w:jc w:val="both"/>
      </w:pPr>
      <w:r>
        <w:rPr/>
        <w:t>本集团以公允价值计量相关资产或负债，假定出售资产或者转移负债的有序交易在相关资产 或负债的主要市场进行；不存在主要市场的，本集团假定该交易在相关资产或负债的最有利 市场进行。主要市场（或最有利市场）是本集团在计量日能够进入的交易市场。本集团采用</w:t>
      </w:r>
      <w:r>
        <w:rPr>
          <w:spacing w:val="-116"/>
        </w:rPr>
        <w:t> </w:t>
      </w:r>
      <w:r>
        <w:rPr>
          <w:spacing w:val="-116"/>
        </w:rPr>
      </w:r>
      <w:r>
        <w:rPr/>
        <w:t>市场参与者在对该资产或负债定价时为实现其经济利益最大化所使用的假设。</w:t>
      </w:r>
    </w:p>
    <w:p>
      <w:pPr>
        <w:pStyle w:val="BodyText"/>
        <w:spacing w:line="312" w:lineRule="exact" w:before="120"/>
        <w:ind w:left="1134" w:right="0"/>
        <w:jc w:val="left"/>
      </w:pPr>
      <w:r>
        <w:rPr/>
        <w:t>存在活跃市场的金融资产或金融负债，本集团采用活跃市场中的报价确定其公允价值。金融 工具不存在活跃市场的，本集团采用估值技术确定其公允价值。</w:t>
      </w:r>
    </w:p>
    <w:p>
      <w:pPr>
        <w:pStyle w:val="BodyText"/>
        <w:spacing w:line="312" w:lineRule="exact" w:before="120"/>
        <w:ind w:left="1134" w:right="994"/>
        <w:jc w:val="left"/>
      </w:pPr>
      <w:r>
        <w:rPr>
          <w:spacing w:val="-2"/>
        </w:rPr>
        <w:t>以公允价值计量非金融资产的，考虑市场参与者将该资产用于最佳用途产生经济利益的能力，</w:t>
      </w:r>
      <w:r>
        <w:rPr/>
        <w:t> 或者将该资产出售给能够用于最佳用途的其他市场参与者产生经济利益的能力。</w:t>
      </w:r>
    </w:p>
    <w:p>
      <w:pPr>
        <w:pStyle w:val="BodyText"/>
        <w:spacing w:line="312" w:lineRule="exact" w:before="120"/>
        <w:ind w:left="1134" w:right="1137"/>
        <w:jc w:val="both"/>
      </w:pPr>
      <w:r>
        <w:rPr/>
        <w:t>本集团采用在当前情况下适用并且有足够可利用数据和其他信息支持的估值技术，优先使用 相关可观察输入值，只有在可观察输入值无法取得或取得不切实可行的情况下，才使用不可</w:t>
      </w:r>
      <w:r>
        <w:rPr>
          <w:spacing w:val="-117"/>
        </w:rPr>
        <w:t> </w:t>
      </w:r>
      <w:r>
        <w:rPr>
          <w:spacing w:val="-117"/>
        </w:rPr>
      </w:r>
      <w:r>
        <w:rPr/>
        <w:t>观察输入值。</w:t>
      </w:r>
    </w:p>
    <w:p>
      <w:pPr>
        <w:pStyle w:val="BodyText"/>
        <w:spacing w:line="237" w:lineRule="auto" w:before="92"/>
        <w:ind w:left="1134" w:right="1139"/>
        <w:jc w:val="both"/>
      </w:pPr>
      <w:r>
        <w:rPr/>
        <w:t>在财务报表中以公允价值计量或披露的资产和负债，根据对公允价值计量整体而言具有重要 意义的最低层次输入值，确定所属的公允价值层次：第一层次输入值，是在计量日能够取得 的相同资产或负债在活跃市场上未经调整的报价；第二层次输入值，是除第一层次输入值外 相关资产或负债直接或间接可观察的输入值；第三层次输入值，是相关资产或负债的不可观 察输入值。</w:t>
      </w:r>
    </w:p>
    <w:p>
      <w:pPr>
        <w:pStyle w:val="BodyText"/>
        <w:spacing w:line="312" w:lineRule="exact" w:before="149"/>
        <w:ind w:left="1134" w:right="1139"/>
        <w:jc w:val="both"/>
      </w:pPr>
      <w:r>
        <w:rPr/>
        <w:t>每个资产负债表日，本集团对在财务报表中确认的持续以公允价值计量的资产和负债进行重 新评估，以确定是否在公允价值计量层次之间发生转换。</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11、应收款项" w:id="178"/>
      <w:bookmarkEnd w:id="17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单项金额重大并单独计提坏账准备的应收款项" w:id="179"/>
      <w:bookmarkEnd w:id="1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289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应收款项按照所归属经营管理分部类型（电力板块、铁路与 轨道交通板块、军工板块）不同适用不同的政策和估计：电 力板块：单项金额重大的判断依据或金额标准：期末余额达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 的应收款项。铁路与轨道交通板块：单项金额重大的判断依 据或金额标准：期末余额达到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的应收款项为单项金额重大的应收款项。军工板块：单项金 额重大的判断依据或金额标准：期末余额达到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p>
          <w:p>
            <w:pPr>
              <w:pStyle w:val="TableParagraph"/>
              <w:spacing w:line="240" w:lineRule="auto" w:before="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单项金额重大并单项计提坏账准备的计提方法：对于单项金 额重大的应收款项单独进行减值测试，有客观证据表明发生 了减值，根据其未来现金流量现值低于其账面价值的差额计 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单项金额重大经单独测试未发生减值的应收款 项，再按组合计提坏账准备。</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按信用风险特征组合计提坏账准备的应收款项" w:id="180"/>
      <w:bookmarkEnd w:id="1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firstLine="36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：应收销货款及除组合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之外的 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铁路与轨道交通板块</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铁路与轨道交通板块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军工板块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：合并范围内关联方应收款项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：其他应收款之应收备用金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：其他应收款之应收保证金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单项金额不重大但单独计提坏账准备的应收款项"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12、存货" w:id="182"/>
      <w:bookmarkEnd w:id="182"/>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09" w:lineRule="exact"/>
        <w:ind w:left="1134" w:right="0"/>
        <w:jc w:val="left"/>
      </w:pPr>
      <w:r>
        <w:rPr/>
        <w:t>（</w:t>
      </w:r>
      <w:r>
        <w:rPr>
          <w:rFonts w:ascii="Times New Roman" w:hAnsi="Times New Roman" w:cs="Times New Roman" w:eastAsia="Times New Roman" w:hint="default"/>
        </w:rPr>
        <w:t>1</w:t>
      </w:r>
      <w:r>
        <w:rPr/>
        <w:t>）存货的分类</w:t>
      </w:r>
    </w:p>
    <w:p>
      <w:pPr>
        <w:spacing w:after="0" w:line="309"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spacing w:val="-3"/>
        </w:rPr>
        <w:t>本集团存货分为在途物资、原材料、在产品、低值易耗品、库存商品、半成品、发出商品等。</w:t>
      </w:r>
    </w:p>
    <w:p>
      <w:pPr>
        <w:pStyle w:val="BodyText"/>
        <w:spacing w:line="240" w:lineRule="auto" w:before="118"/>
        <w:ind w:right="0"/>
        <w:jc w:val="both"/>
      </w:pPr>
      <w:r>
        <w:rPr/>
        <w:t>（</w:t>
      </w:r>
      <w:r>
        <w:rPr>
          <w:rFonts w:ascii="Times New Roman" w:hAnsi="Times New Roman" w:cs="Times New Roman" w:eastAsia="Times New Roman" w:hint="default"/>
        </w:rPr>
        <w:t>2</w:t>
      </w:r>
      <w:r>
        <w:rPr/>
        <w:t>）发出存货的计价方法</w:t>
      </w:r>
    </w:p>
    <w:p>
      <w:pPr>
        <w:pStyle w:val="BodyText"/>
        <w:spacing w:line="240" w:lineRule="auto" w:before="99"/>
        <w:ind w:right="1138"/>
        <w:jc w:val="both"/>
      </w:pPr>
      <w:r>
        <w:rPr/>
        <w:t>本集团存货取得时按实际成本计价。原材料、在产品、库存商品、发出商品等发出时采用加</w:t>
      </w:r>
      <w:r>
        <w:rPr>
          <w:spacing w:val="-117"/>
        </w:rPr>
        <w:t> </w:t>
      </w:r>
      <w:r>
        <w:rPr>
          <w:spacing w:val="-117"/>
        </w:rPr>
      </w:r>
      <w:r>
        <w:rPr/>
        <w:t>权平均法或个别计价法计价。</w:t>
      </w:r>
    </w:p>
    <w:p>
      <w:pPr>
        <w:pStyle w:val="BodyText"/>
        <w:spacing w:line="240" w:lineRule="auto" w:before="118"/>
        <w:ind w:right="0"/>
        <w:jc w:val="both"/>
      </w:pPr>
      <w:r>
        <w:rPr/>
        <w:t>（</w:t>
      </w:r>
      <w:r>
        <w:rPr>
          <w:rFonts w:ascii="Times New Roman" w:hAnsi="Times New Roman" w:cs="Times New Roman" w:eastAsia="Times New Roman" w:hint="default"/>
        </w:rPr>
        <w:t>3</w:t>
      </w:r>
      <w:r>
        <w:rPr/>
        <w:t>）存货可变现净值的确定依据及存货跌价准备的计提方法</w:t>
      </w:r>
    </w:p>
    <w:p>
      <w:pPr>
        <w:pStyle w:val="BodyText"/>
        <w:spacing w:line="312" w:lineRule="exact" w:before="130"/>
        <w:ind w:right="1139"/>
        <w:jc w:val="both"/>
      </w:pPr>
      <w:r>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BodyText"/>
        <w:spacing w:line="312" w:lineRule="exact" w:before="120"/>
        <w:ind w:left="1134" w:right="994"/>
        <w:jc w:val="left"/>
      </w:pPr>
      <w:r>
        <w:rPr/>
        <w:t>资产负债表日，存货成本高于其可变现净值的，计提存货跌价准备。本集团通常按照单个或 </w:t>
      </w:r>
      <w:r>
        <w:rPr>
          <w:spacing w:val="-2"/>
        </w:rPr>
        <w:t>类别存货项目计提存货跌价准备，资产负债表日，以前减记存货价值的影响因素已经消失的，</w:t>
      </w:r>
      <w:r>
        <w:rPr/>
        <w:t> 存货跌价准备在原已计提的金额内转回。</w:t>
      </w:r>
    </w:p>
    <w:p>
      <w:pPr>
        <w:pStyle w:val="BodyText"/>
        <w:spacing w:line="312" w:lineRule="auto" w:before="89"/>
        <w:ind w:left="1134" w:right="667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312" w:lineRule="auto" w:before="46"/>
        <w:ind w:right="4753"/>
        <w:jc w:val="left"/>
      </w:pPr>
      <w:r>
        <w:rPr/>
        <w:t>（</w:t>
      </w:r>
      <w:r>
        <w:rPr>
          <w:rFonts w:ascii="Times New Roman" w:hAnsi="Times New Roman" w:cs="Times New Roman" w:eastAsia="Times New Roman" w:hint="default"/>
        </w:rPr>
        <w:t>5</w:t>
      </w:r>
      <w:r>
        <w:rPr/>
        <w:t>）低值易耗品和包装物的摊销方法 本集团低值易耗品领用时采用一次转销法或五五摊销法。</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spacing w:before="0"/>
        <w:ind w:left="1133" w:right="0" w:firstLine="0"/>
        <w:jc w:val="both"/>
        <w:rPr>
          <w:rFonts w:ascii="宋体" w:hAnsi="宋体" w:cs="宋体" w:eastAsia="宋体" w:hint="default"/>
          <w:sz w:val="21"/>
          <w:szCs w:val="21"/>
        </w:rPr>
      </w:pPr>
      <w:bookmarkStart w:name="13、长期股权投资" w:id="183"/>
      <w:bookmarkEnd w:id="183"/>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134" w:right="0"/>
        <w:jc w:val="both"/>
      </w:pPr>
      <w:r>
        <w:rPr/>
        <w:t>长期股权投资包括对子公司的权益性投资。</w:t>
      </w:r>
    </w:p>
    <w:p>
      <w:pPr>
        <w:pStyle w:val="BodyText"/>
        <w:spacing w:line="240" w:lineRule="auto" w:before="118"/>
        <w:ind w:left="1134" w:right="0"/>
        <w:jc w:val="both"/>
      </w:pPr>
      <w:r>
        <w:rPr/>
        <w:t>（</w:t>
      </w:r>
      <w:r>
        <w:rPr>
          <w:rFonts w:ascii="Times New Roman" w:hAnsi="Times New Roman" w:cs="Times New Roman" w:eastAsia="Times New Roman" w:hint="default"/>
        </w:rPr>
        <w:t>1</w:t>
      </w:r>
      <w:r>
        <w:rPr/>
        <w:t>）初始投资成本确定</w:t>
      </w:r>
    </w:p>
    <w:p>
      <w:pPr>
        <w:pStyle w:val="BodyText"/>
        <w:spacing w:line="312" w:lineRule="exact" w:before="130"/>
        <w:ind w:right="1139"/>
        <w:jc w:val="both"/>
      </w:pPr>
      <w:r>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BodyText"/>
        <w:spacing w:line="312" w:lineRule="exact" w:before="120"/>
        <w:ind w:right="1139"/>
        <w:jc w:val="both"/>
      </w:pPr>
      <w:r>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BodyText"/>
        <w:spacing w:line="312" w:lineRule="auto" w:before="89"/>
        <w:ind w:left="1134" w:right="6912"/>
        <w:jc w:val="left"/>
      </w:pPr>
      <w:r>
        <w:rPr/>
        <w:t>（</w:t>
      </w:r>
      <w:r>
        <w:rPr>
          <w:rFonts w:ascii="Times New Roman" w:hAnsi="Times New Roman" w:cs="Times New Roman" w:eastAsia="Times New Roman" w:hint="default"/>
        </w:rPr>
        <w:t>2</w:t>
      </w:r>
      <w:r>
        <w:rPr/>
        <w:t>）后续计量及损益确认方法 对子公司的投资，采用成本法核算。</w:t>
      </w:r>
    </w:p>
    <w:p>
      <w:pPr>
        <w:pStyle w:val="BodyText"/>
        <w:spacing w:line="312" w:lineRule="exact" w:before="76"/>
        <w:ind w:left="1134" w:right="1139"/>
        <w:jc w:val="both"/>
      </w:pPr>
      <w:r>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BodyText"/>
        <w:spacing w:line="240" w:lineRule="auto" w:before="89"/>
        <w:ind w:left="1134" w:right="0"/>
        <w:jc w:val="both"/>
      </w:pPr>
      <w:r>
        <w:rPr/>
        <w:t>（</w:t>
      </w:r>
      <w:r>
        <w:rPr>
          <w:rFonts w:ascii="Times New Roman" w:hAnsi="Times New Roman" w:cs="Times New Roman" w:eastAsia="Times New Roman" w:hint="default"/>
        </w:rPr>
        <w:t>3</w:t>
      </w:r>
      <w:r>
        <w:rPr/>
        <w:t>）减值测试方法及减值准备计提方法</w:t>
      </w:r>
    </w:p>
    <w:p>
      <w:pPr>
        <w:pStyle w:val="BodyText"/>
        <w:spacing w:line="312" w:lineRule="exact" w:before="131"/>
        <w:ind w:right="1130"/>
        <w:jc w:val="both"/>
      </w:pPr>
      <w:r>
        <w:rPr>
          <w:spacing w:val="-2"/>
        </w:rPr>
        <w:t>对子公司、联营企业及合营企业的投资，计提资产减值的方法见本节之</w:t>
      </w:r>
      <w:r>
        <w:rPr>
          <w:rFonts w:ascii="Times New Roman" w:hAnsi="Times New Roman" w:cs="Times New Roman" w:eastAsia="Times New Roman" w:hint="default"/>
          <w:spacing w:val="-2"/>
        </w:rPr>
        <w:t>“</w:t>
      </w:r>
      <w:r>
        <w:rPr>
          <w:spacing w:val="-2"/>
        </w:rPr>
        <w:t>五、重要会计政策及</w:t>
      </w:r>
      <w:r>
        <w:rPr>
          <w:spacing w:val="-107"/>
        </w:rPr>
        <w:t> </w:t>
      </w:r>
      <w:r>
        <w:rPr>
          <w:spacing w:val="-107"/>
        </w:rPr>
      </w:r>
      <w:r>
        <w:rPr/>
        <w:t>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4" w:right="0" w:firstLine="0"/>
        <w:jc w:val="left"/>
        <w:rPr>
          <w:rFonts w:ascii="宋体" w:hAnsi="宋体" w:cs="宋体" w:eastAsia="宋体" w:hint="default"/>
          <w:sz w:val="21"/>
          <w:szCs w:val="21"/>
        </w:rPr>
      </w:pPr>
      <w:bookmarkStart w:name="14、投资性房地产" w:id="184"/>
      <w:bookmarkEnd w:id="184"/>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312" w:lineRule="exact" w:before="86"/>
        <w:ind w:left="1134" w:right="0"/>
        <w:jc w:val="left"/>
      </w:pPr>
      <w:r>
        <w:rPr/>
        <w:t>投资性房地产是指为赚取租金或资本增值，或两者兼有而持有的房地产。本集团投资性房地 产是已出租的建筑物。</w:t>
      </w:r>
    </w:p>
    <w:p>
      <w:pPr>
        <w:spacing w:line="240" w:lineRule="auto" w:before="7"/>
        <w:rPr>
          <w:rFonts w:ascii="宋体" w:hAnsi="宋体" w:cs="宋体" w:eastAsia="宋体" w:hint="default"/>
          <w:sz w:val="16"/>
          <w:szCs w:val="16"/>
        </w:rPr>
      </w:pPr>
    </w:p>
    <w:p>
      <w:pPr>
        <w:pStyle w:val="BodyText"/>
        <w:spacing w:line="312" w:lineRule="exact"/>
        <w:ind w:left="1134" w:right="0"/>
        <w:jc w:val="left"/>
      </w:pPr>
      <w:r>
        <w:rPr/>
        <w:t>本集团投资性房地产按照取得时的成本进行初始计量，并按照固定资产或无形资产的有关规 定，按期计提折旧或摊销。</w:t>
      </w:r>
    </w:p>
    <w:p>
      <w:pPr>
        <w:spacing w:line="240" w:lineRule="auto" w:before="2"/>
        <w:rPr>
          <w:rFonts w:ascii="宋体" w:hAnsi="宋体" w:cs="宋体" w:eastAsia="宋体" w:hint="default"/>
          <w:sz w:val="17"/>
          <w:szCs w:val="17"/>
        </w:rPr>
      </w:pPr>
    </w:p>
    <w:tbl>
      <w:tblPr>
        <w:tblW w:w="0" w:type="auto"/>
        <w:jc w:val="left"/>
        <w:tblInd w:w="1134" w:type="dxa"/>
        <w:tblLayout w:type="fixed"/>
        <w:tblCellMar>
          <w:top w:w="0" w:type="dxa"/>
          <w:left w:w="0" w:type="dxa"/>
          <w:bottom w:w="0" w:type="dxa"/>
          <w:right w:w="0" w:type="dxa"/>
        </w:tblCellMar>
        <w:tblLook w:val="01E0"/>
      </w:tblPr>
      <w:tblGrid>
        <w:gridCol w:w="1927"/>
        <w:gridCol w:w="2818"/>
        <w:gridCol w:w="1504"/>
        <w:gridCol w:w="2274"/>
      </w:tblGrid>
      <w:tr>
        <w:trPr>
          <w:trHeight w:val="347" w:hRule="exact"/>
        </w:trPr>
        <w:tc>
          <w:tcPr>
            <w:tcW w:w="1927"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818"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302" w:right="0"/>
              <w:jc w:val="center"/>
              <w:rPr>
                <w:rFonts w:ascii="宋体" w:hAnsi="宋体" w:cs="宋体" w:eastAsia="宋体" w:hint="default"/>
                <w:sz w:val="24"/>
                <w:szCs w:val="24"/>
              </w:rPr>
            </w:pPr>
            <w:r>
              <w:rPr>
                <w:rFonts w:ascii="宋体" w:hAnsi="宋体" w:cs="宋体" w:eastAsia="宋体" w:hint="default"/>
                <w:b/>
                <w:bCs/>
                <w:sz w:val="24"/>
                <w:szCs w:val="24"/>
              </w:rPr>
              <w:t>折旧年限（年）</w:t>
            </w:r>
            <w:r>
              <w:rPr>
                <w:rFonts w:ascii="宋体" w:hAnsi="宋体" w:cs="宋体" w:eastAsia="宋体" w:hint="default"/>
                <w:sz w:val="24"/>
                <w:szCs w:val="24"/>
              </w:rPr>
            </w:r>
          </w:p>
        </w:tc>
        <w:tc>
          <w:tcPr>
            <w:tcW w:w="1504"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50" w:right="0"/>
              <w:jc w:val="center"/>
              <w:rPr>
                <w:rFonts w:ascii="宋体" w:hAnsi="宋体" w:cs="宋体" w:eastAsia="宋体" w:hint="default"/>
                <w:sz w:val="24"/>
                <w:szCs w:val="24"/>
              </w:rPr>
            </w:pPr>
            <w:r>
              <w:rPr>
                <w:rFonts w:ascii="宋体" w:hAnsi="宋体" w:cs="宋体" w:eastAsia="宋体" w:hint="default"/>
                <w:b/>
                <w:bCs/>
                <w:sz w:val="24"/>
                <w:szCs w:val="24"/>
              </w:rPr>
              <w:t>残值率</w:t>
            </w:r>
            <w:r>
              <w:rPr>
                <w:rFonts w:ascii="宋体" w:hAnsi="宋体" w:cs="宋体" w:eastAsia="宋体" w:hint="default"/>
                <w:sz w:val="24"/>
                <w:szCs w:val="24"/>
              </w:rPr>
            </w:r>
          </w:p>
        </w:tc>
        <w:tc>
          <w:tcPr>
            <w:tcW w:w="2274"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139" w:right="0"/>
              <w:jc w:val="center"/>
              <w:rPr>
                <w:rFonts w:ascii="宋体" w:hAnsi="宋体" w:cs="宋体" w:eastAsia="宋体" w:hint="default"/>
                <w:sz w:val="24"/>
                <w:szCs w:val="24"/>
              </w:rPr>
            </w:pPr>
            <w:r>
              <w:rPr>
                <w:rFonts w:ascii="宋体" w:hAnsi="宋体" w:cs="宋体" w:eastAsia="宋体" w:hint="default"/>
                <w:b/>
                <w:bCs/>
                <w:sz w:val="24"/>
                <w:szCs w:val="24"/>
              </w:rPr>
              <w:t>年折旧率（</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348" w:hRule="exact"/>
        </w:trPr>
        <w:tc>
          <w:tcPr>
            <w:tcW w:w="1927"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818"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304"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w:t>
            </w:r>
            <w:r>
              <w:rPr>
                <w:rFonts w:ascii="宋体" w:hAnsi="宋体" w:cs="宋体" w:eastAsia="宋体" w:hint="default"/>
                <w:sz w:val="24"/>
                <w:szCs w:val="24"/>
              </w:rPr>
              <w:t>、</w:t>
            </w:r>
            <w:r>
              <w:rPr>
                <w:rFonts w:ascii="Times New Roman" w:hAnsi="Times New Roman" w:cs="Times New Roman" w:eastAsia="Times New Roman" w:hint="default"/>
                <w:sz w:val="24"/>
                <w:szCs w:val="24"/>
              </w:rPr>
              <w:t>30</w:t>
            </w:r>
          </w:p>
        </w:tc>
        <w:tc>
          <w:tcPr>
            <w:tcW w:w="1504"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left="47" w:right="0"/>
              <w:jc w:val="center"/>
              <w:rPr>
                <w:rFonts w:ascii="Times New Roman" w:hAnsi="Times New Roman" w:cs="Times New Roman" w:eastAsia="Times New Roman" w:hint="default"/>
                <w:sz w:val="24"/>
                <w:szCs w:val="24"/>
              </w:rPr>
            </w:pPr>
            <w:r>
              <w:rPr>
                <w:rFonts w:ascii="Times New Roman"/>
                <w:sz w:val="24"/>
              </w:rPr>
              <w:t>5%</w:t>
            </w:r>
          </w:p>
        </w:tc>
        <w:tc>
          <w:tcPr>
            <w:tcW w:w="2274" w:type="dxa"/>
            <w:tcBorders>
              <w:top w:val="single" w:sz="6" w:space="0" w:color="000000"/>
              <w:left w:val="nil" w:sz="6" w:space="0" w:color="auto"/>
              <w:bottom w:val="single" w:sz="6" w:space="0" w:color="000000"/>
              <w:right w:val="nil" w:sz="6" w:space="0" w:color="auto"/>
            </w:tcBorders>
          </w:tcPr>
          <w:p>
            <w:pPr>
              <w:pStyle w:val="TableParagraph"/>
              <w:spacing w:line="304" w:lineRule="exact"/>
              <w:ind w:left="142"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3.17</w:t>
            </w:r>
            <w:r>
              <w:rPr>
                <w:rFonts w:ascii="宋体" w:hAnsi="宋体" w:cs="宋体" w:eastAsia="宋体" w:hint="default"/>
                <w:sz w:val="24"/>
                <w:szCs w:val="24"/>
              </w:rPr>
              <w:t>、</w:t>
            </w:r>
            <w:r>
              <w:rPr>
                <w:rFonts w:ascii="Times New Roman" w:hAnsi="Times New Roman" w:cs="Times New Roman" w:eastAsia="Times New Roman" w:hint="default"/>
                <w:sz w:val="24"/>
                <w:szCs w:val="24"/>
              </w:rPr>
              <w:t>4.75</w:t>
            </w:r>
          </w:p>
        </w:tc>
      </w:tr>
    </w:tbl>
    <w:p>
      <w:pPr>
        <w:pStyle w:val="BodyText"/>
        <w:spacing w:line="312" w:lineRule="exact" w:before="111"/>
        <w:ind w:right="1132"/>
        <w:jc w:val="both"/>
      </w:pPr>
      <w:r>
        <w:rPr>
          <w:spacing w:val="-2"/>
        </w:rPr>
        <w:t>采用成本模式进行后续计量的投资性房地产，计提资产减值方法见本节之</w:t>
      </w:r>
      <w:r>
        <w:rPr>
          <w:rFonts w:ascii="Times New Roman" w:hAnsi="Times New Roman" w:cs="Times New Roman" w:eastAsia="Times New Roman" w:hint="default"/>
          <w:spacing w:val="-2"/>
        </w:rPr>
        <w:t>“</w:t>
      </w:r>
      <w:r>
        <w:rPr>
          <w:spacing w:val="-2"/>
        </w:rPr>
        <w:t>五、重要会计政策</w:t>
      </w:r>
      <w:r>
        <w:rPr>
          <w:spacing w:val="-107"/>
        </w:rPr>
        <w:t> </w:t>
      </w:r>
      <w:r>
        <w:rPr>
          <w:spacing w:val="-107"/>
        </w:rPr>
      </w:r>
      <w:r>
        <w:rPr/>
        <w:t>及会计估计</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pStyle w:val="BodyText"/>
        <w:spacing w:line="312" w:lineRule="exact" w:before="216"/>
        <w:ind w:left="1134" w:right="1139"/>
        <w:jc w:val="both"/>
      </w:pPr>
      <w:r>
        <w:rPr/>
        <w:t>投资性房地产出售、转让、报废或毁损的处置收入扣除其账面价值和相关税费后的差额计入 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4" w:right="0" w:firstLine="0"/>
        <w:jc w:val="both"/>
        <w:rPr>
          <w:rFonts w:ascii="宋体" w:hAnsi="宋体" w:cs="宋体" w:eastAsia="宋体" w:hint="default"/>
          <w:sz w:val="21"/>
          <w:szCs w:val="21"/>
        </w:rPr>
      </w:pPr>
      <w:bookmarkStart w:name="15、固定资产" w:id="185"/>
      <w:bookmarkEnd w:id="185"/>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确认条件"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134" w:right="1131" w:firstLine="0"/>
        <w:jc w:val="both"/>
        <w:rPr>
          <w:rFonts w:ascii="宋体" w:hAnsi="宋体" w:cs="宋体" w:eastAsia="宋体" w:hint="default"/>
          <w:sz w:val="18"/>
          <w:szCs w:val="18"/>
        </w:rPr>
      </w:pPr>
      <w:r>
        <w:rPr>
          <w:rFonts w:ascii="宋体" w:hAnsi="宋体" w:cs="宋体" w:eastAsia="宋体" w:hint="default"/>
          <w:spacing w:val="-2"/>
          <w:sz w:val="18"/>
          <w:szCs w:val="18"/>
        </w:rPr>
        <w:t>本集团固定资产是指为生产商品、提供劳务、出租或经营管理而持有的，使用寿命超过一个会计年度的有形资产。与该固定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资产有关的经济利益很可能流入企业，并且该固定资产的成本能够可靠地计量时，固定资产才能予以确认。本集团固定资产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按照取得时的实际成本进行初始计量。</w:t>
      </w:r>
    </w:p>
    <w:p>
      <w:pPr>
        <w:spacing w:line="240" w:lineRule="auto" w:before="3"/>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2）折旧方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3.17</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7.92-31.67</w:t>
            </w:r>
          </w:p>
        </w:tc>
      </w:tr>
    </w:tbl>
    <w:p>
      <w:pPr>
        <w:pStyle w:val="BodyText"/>
        <w:spacing w:line="274" w:lineRule="exact"/>
        <w:ind w:left="1134" w:right="0"/>
        <w:jc w:val="left"/>
      </w:pPr>
      <w:r>
        <w:rPr/>
        <w:t>本集团采用年限平均法计提折旧。固定资产自达到预定可使用状态时开始计提折旧，终止确</w:t>
      </w:r>
    </w:p>
    <w:p>
      <w:pPr>
        <w:pStyle w:val="BodyText"/>
        <w:spacing w:line="312" w:lineRule="exact" w:before="29"/>
        <w:ind w:left="1134" w:right="1152"/>
        <w:jc w:val="left"/>
      </w:pPr>
      <w:r>
        <w:rPr/>
        <w:t>认时或划分为持有待售非流动资产时停止计提折旧。在不考虑减值准备的情况下，按固定资 产类别、预计使用寿命和预计残值。</w:t>
      </w:r>
    </w:p>
    <w:p>
      <w:pPr>
        <w:spacing w:line="240" w:lineRule="auto" w:before="7"/>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3）融资租入固定资产的认定依据、计价和折旧方法"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融资租赁为实质上转移了与资产所有权有关的全部风险和报酬的租赁，其所有权最终可能转移，也可能不转移。以融资租赁</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line="319" w:lineRule="auto" w:before="44"/>
        <w:ind w:left="1133" w:right="1131" w:firstLine="0"/>
        <w:jc w:val="both"/>
        <w:rPr>
          <w:rFonts w:ascii="宋体" w:hAnsi="宋体" w:cs="宋体" w:eastAsia="宋体" w:hint="default"/>
          <w:sz w:val="18"/>
          <w:szCs w:val="18"/>
        </w:rPr>
      </w:pP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16、在建工程" w:id="189"/>
      <w:bookmarkEnd w:id="18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71" w:lineRule="auto" w:before="83"/>
        <w:ind w:left="1134" w:right="0" w:firstLine="420"/>
        <w:jc w:val="left"/>
        <w:rPr>
          <w:rFonts w:ascii="宋体" w:hAnsi="宋体" w:cs="宋体" w:eastAsia="宋体" w:hint="default"/>
          <w:sz w:val="21"/>
          <w:szCs w:val="21"/>
        </w:rPr>
      </w:pPr>
      <w:r>
        <w:rPr>
          <w:rFonts w:ascii="宋体" w:hAnsi="宋体" w:cs="宋体" w:eastAsia="宋体" w:hint="default"/>
          <w:spacing w:val="-1"/>
          <w:sz w:val="21"/>
          <w:szCs w:val="21"/>
        </w:rPr>
        <w:t>本集团在建工程成本按实际工程支出确定，包括在建期间发生的各项必要工程支出、工程达到预定可</w:t>
      </w:r>
      <w:r>
        <w:rPr>
          <w:rFonts w:ascii="宋体" w:hAnsi="宋体" w:cs="宋体" w:eastAsia="宋体" w:hint="default"/>
          <w:sz w:val="21"/>
          <w:szCs w:val="21"/>
        </w:rPr>
        <w:t> 使用状态前的应予资本化的借款费用以及其他相关费用等。</w:t>
      </w:r>
    </w:p>
    <w:p>
      <w:pPr>
        <w:spacing w:line="376" w:lineRule="auto" w:before="130"/>
        <w:ind w:left="1554" w:right="1862" w:firstLine="0"/>
        <w:jc w:val="left"/>
        <w:rPr>
          <w:rFonts w:ascii="宋体" w:hAnsi="宋体" w:cs="宋体" w:eastAsia="宋体" w:hint="default"/>
          <w:sz w:val="21"/>
          <w:szCs w:val="21"/>
        </w:rPr>
      </w:pPr>
      <w:r>
        <w:rPr>
          <w:rFonts w:ascii="宋体" w:hAnsi="宋体" w:cs="宋体" w:eastAsia="宋体" w:hint="default"/>
          <w:sz w:val="21"/>
          <w:szCs w:val="21"/>
        </w:rPr>
        <w:t>在建工程在达到预定可使用状态时转入固定资产。 在建工程计提资产减值方法见本节之</w:t>
      </w:r>
      <w:r>
        <w:rPr>
          <w:rFonts w:ascii="Times New Roman" w:hAnsi="Times New Roman" w:cs="Times New Roman" w:eastAsia="Times New Roman" w:hint="default"/>
          <w:sz w:val="21"/>
          <w:szCs w:val="21"/>
        </w:rPr>
        <w:t>“</w:t>
      </w:r>
      <w:r>
        <w:rPr>
          <w:rFonts w:ascii="宋体" w:hAnsi="宋体" w:cs="宋体" w:eastAsia="宋体" w:hint="default"/>
          <w:sz w:val="21"/>
          <w:szCs w:val="21"/>
        </w:rPr>
        <w:t>五、重要会计政策及会计估计之</w:t>
      </w:r>
      <w:r>
        <w:rPr>
          <w:rFonts w:ascii="Times New Roman" w:hAnsi="Times New Roman" w:cs="Times New Roman" w:eastAsia="Times New Roman" w:hint="default"/>
          <w:sz w:val="21"/>
          <w:szCs w:val="21"/>
        </w:rPr>
        <w:t>“20</w:t>
      </w:r>
      <w:r>
        <w:rPr>
          <w:rFonts w:ascii="宋体" w:hAnsi="宋体" w:cs="宋体" w:eastAsia="宋体" w:hint="default"/>
          <w:sz w:val="21"/>
          <w:szCs w:val="21"/>
        </w:rPr>
        <w:t>、长期资产减值</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spacing w:before="0"/>
        <w:ind w:left="1133" w:right="0" w:firstLine="0"/>
        <w:jc w:val="left"/>
        <w:rPr>
          <w:rFonts w:ascii="宋体" w:hAnsi="宋体" w:cs="宋体" w:eastAsia="宋体" w:hint="default"/>
          <w:sz w:val="21"/>
          <w:szCs w:val="21"/>
        </w:rPr>
      </w:pPr>
      <w:bookmarkStart w:name="17、借款费用" w:id="190"/>
      <w:bookmarkEnd w:id="190"/>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17"/>
          <w:szCs w:val="17"/>
        </w:rPr>
      </w:pPr>
    </w:p>
    <w:p>
      <w:pPr>
        <w:pStyle w:val="BodyText"/>
        <w:spacing w:line="312" w:lineRule="exact"/>
        <w:ind w:left="1134" w:right="0"/>
        <w:jc w:val="left"/>
      </w:pPr>
      <w:r>
        <w:rPr/>
        <w:t>本集团发生的借款费用，可直接归属于符合资本化条件的资产的购建或者生产的，予以资本 </w:t>
      </w:r>
      <w:r>
        <w:rPr>
          <w:spacing w:val="-3"/>
        </w:rPr>
        <w:t>化，计入相关资产成本；其他借款费用，在发生时根据其发生额确认为费用，计入当期损益。</w:t>
      </w:r>
      <w:r>
        <w:rPr>
          <w:spacing w:val="-81"/>
        </w:rPr>
        <w:t> </w:t>
      </w:r>
      <w:r>
        <w:rPr>
          <w:spacing w:val="-81"/>
        </w:rPr>
      </w:r>
      <w:r>
        <w:rPr/>
        <w:t>借款费用同时满足下列条件的，开始资本化：</w:t>
      </w:r>
    </w:p>
    <w:p>
      <w:pPr>
        <w:pStyle w:val="BodyText"/>
        <w:spacing w:line="312" w:lineRule="exact" w:before="216"/>
        <w:ind w:left="1134" w:right="1056"/>
        <w:jc w:val="left"/>
      </w:pPr>
      <w:r>
        <w:rPr/>
        <w:t>①</w:t>
      </w:r>
      <w:r>
        <w:rPr>
          <w:spacing w:val="-24"/>
        </w:rPr>
        <w:t> </w:t>
      </w:r>
      <w:r>
        <w:rPr/>
        <w:t>资产支出已经发生，资产支出包括为购建或者生产符合资本化条件的资产而以支付现金、</w:t>
      </w:r>
      <w:r>
        <w:rPr/>
        <w:t> 转移非现金资产或者承担带息债务形式发生的支出；</w:t>
      </w:r>
    </w:p>
    <w:p>
      <w:pPr>
        <w:pStyle w:val="BodyText"/>
        <w:spacing w:line="240" w:lineRule="auto" w:before="185"/>
        <w:ind w:right="0"/>
        <w:jc w:val="left"/>
      </w:pPr>
      <w:r>
        <w:rPr/>
        <w:t>②</w:t>
      </w:r>
      <w:r>
        <w:rPr>
          <w:spacing w:val="-24"/>
        </w:rPr>
        <w:t> </w:t>
      </w:r>
      <w:r>
        <w:rPr/>
        <w:t>借款费用已经发生；</w:t>
      </w:r>
    </w:p>
    <w:p>
      <w:pPr>
        <w:pStyle w:val="BodyText"/>
        <w:spacing w:line="240" w:lineRule="auto" w:before="214"/>
        <w:ind w:right="0"/>
        <w:jc w:val="left"/>
      </w:pPr>
      <w:r>
        <w:rPr/>
        <w:t>③</w:t>
      </w:r>
      <w:r>
        <w:rPr>
          <w:spacing w:val="-24"/>
        </w:rPr>
        <w:t> </w:t>
      </w:r>
      <w:r>
        <w:rPr/>
        <w:t>为使资产达到预定可使用或者可销售状态所必要的购建或者生产活动已经开始。</w:t>
      </w:r>
    </w:p>
    <w:p>
      <w:pPr>
        <w:pStyle w:val="BodyText"/>
        <w:spacing w:line="240" w:lineRule="auto" w:before="214"/>
        <w:ind w:right="0"/>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17"/>
          <w:szCs w:val="17"/>
        </w:rPr>
      </w:pPr>
    </w:p>
    <w:p>
      <w:pPr>
        <w:pStyle w:val="BodyText"/>
        <w:spacing w:line="312" w:lineRule="exact"/>
        <w:ind w:right="995"/>
        <w:jc w:val="left"/>
      </w:pPr>
      <w:r>
        <w:rPr/>
        <w:t>本集团购建或者生产符合资本化条件的资产达到预定可使用或者可销售状态时，借款费用停 </w:t>
      </w:r>
      <w:r>
        <w:rPr>
          <w:spacing w:val="-2"/>
        </w:rPr>
        <w:t>止资本化。在符合资本化条件的资产达到预定可使用或者可销售状态之后所发生的借款费用，</w:t>
      </w:r>
      <w:r>
        <w:rPr/>
        <w:t> 在发生时根据其发生额确认为费用，计入当期损益。</w:t>
      </w:r>
    </w:p>
    <w:p>
      <w:pPr>
        <w:spacing w:line="240" w:lineRule="auto" w:before="7"/>
        <w:rPr>
          <w:rFonts w:ascii="宋体" w:hAnsi="宋体" w:cs="宋体" w:eastAsia="宋体" w:hint="default"/>
          <w:sz w:val="16"/>
          <w:szCs w:val="16"/>
        </w:rPr>
      </w:pPr>
    </w:p>
    <w:p>
      <w:pPr>
        <w:pStyle w:val="BodyText"/>
        <w:spacing w:line="312" w:lineRule="exact"/>
        <w:ind w:right="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w:t>
      </w:r>
      <w:r>
        <w:rPr>
          <w:spacing w:val="-97"/>
        </w:rPr>
        <w:t> </w:t>
      </w:r>
      <w:r>
        <w:rPr/>
        <w:t>的，暂停借款费用的资本化；正常中断期间的借款费用继续资本化。</w:t>
      </w:r>
    </w:p>
    <w:p>
      <w:pPr>
        <w:pStyle w:val="BodyText"/>
        <w:spacing w:line="240" w:lineRule="auto" w:before="185"/>
        <w:ind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17"/>
          <w:szCs w:val="17"/>
        </w:rPr>
      </w:pPr>
    </w:p>
    <w:p>
      <w:pPr>
        <w:pStyle w:val="BodyText"/>
        <w:spacing w:line="312" w:lineRule="exact"/>
        <w:ind w:right="1139"/>
        <w:jc w:val="both"/>
      </w:pPr>
      <w:r>
        <w:rPr/>
        <w:t>专门借款当期实际发生的利息费用，减去尚未动用的借款资金存入银行取得的利息收入或进 行暂时性投资取得的投资收益后的金额予以资本化；一般借款根据累计资产支出超过专门借 款部分的资产支出加权平均数乘以所占用一般借款的资本化率，确定资本化金额。资本化率 根据一般借款的加权平均利率计算确定。</w:t>
      </w:r>
    </w:p>
    <w:p>
      <w:pPr>
        <w:spacing w:after="0" w:line="312" w:lineRule="exact"/>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both"/>
        <w:rPr>
          <w:rFonts w:ascii="宋体" w:hAnsi="宋体" w:cs="宋体" w:eastAsia="宋体" w:hint="default"/>
          <w:sz w:val="21"/>
          <w:szCs w:val="21"/>
        </w:rPr>
      </w:pPr>
      <w:bookmarkStart w:name="18、无形资产" w:id="191"/>
      <w:bookmarkEnd w:id="191"/>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计价方法、使用寿命、减值测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2" w:lineRule="exact"/>
        <w:ind w:left="1134" w:right="0"/>
        <w:jc w:val="both"/>
      </w:pPr>
      <w:r>
        <w:rPr/>
        <w:t>本集团无形资产包括土地使用权、办公软件、专利和非专利技术等。</w:t>
      </w:r>
    </w:p>
    <w:p>
      <w:pPr>
        <w:spacing w:line="240" w:lineRule="auto" w:before="9"/>
        <w:rPr>
          <w:rFonts w:ascii="宋体" w:hAnsi="宋体" w:cs="宋体" w:eastAsia="宋体" w:hint="default"/>
          <w:sz w:val="18"/>
          <w:szCs w:val="18"/>
        </w:rPr>
      </w:pPr>
    </w:p>
    <w:p>
      <w:pPr>
        <w:pStyle w:val="BodyText"/>
        <w:spacing w:line="312" w:lineRule="exact"/>
        <w:ind w:right="1132"/>
        <w:jc w:val="both"/>
      </w:pPr>
      <w:r>
        <w:rPr/>
        <w:t>无形资产按照成本进行初始计量，并于取得无形资产时分析判断其使用寿命。使用寿命为有</w:t>
      </w:r>
      <w:r>
        <w:rPr>
          <w:spacing w:val="-114"/>
        </w:rPr>
        <w:t> </w:t>
      </w:r>
      <w:r>
        <w:rPr>
          <w:spacing w:val="-114"/>
        </w:rPr>
      </w:r>
      <w:r>
        <w:rPr/>
        <w:t>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BodyText"/>
        <w:spacing w:line="240" w:lineRule="auto" w:before="185"/>
        <w:ind w:right="0"/>
        <w:jc w:val="both"/>
      </w:pPr>
      <w:r>
        <w:rPr/>
        <w:t>使用寿命有限的无形资产摊销方法如下：</w:t>
      </w:r>
    </w:p>
    <w:p>
      <w:pPr>
        <w:spacing w:line="240" w:lineRule="auto" w:before="4"/>
        <w:rPr>
          <w:rFonts w:ascii="宋体" w:hAnsi="宋体" w:cs="宋体" w:eastAsia="宋体" w:hint="default"/>
          <w:sz w:val="19"/>
          <w:szCs w:val="19"/>
        </w:rPr>
      </w:pPr>
    </w:p>
    <w:tbl>
      <w:tblPr>
        <w:tblW w:w="0" w:type="auto"/>
        <w:jc w:val="left"/>
        <w:tblInd w:w="1134" w:type="dxa"/>
        <w:tblLayout w:type="fixed"/>
        <w:tblCellMar>
          <w:top w:w="0" w:type="dxa"/>
          <w:left w:w="0" w:type="dxa"/>
          <w:bottom w:w="0" w:type="dxa"/>
          <w:right w:w="0" w:type="dxa"/>
        </w:tblCellMar>
        <w:tblLook w:val="01E0"/>
      </w:tblPr>
      <w:tblGrid>
        <w:gridCol w:w="3221"/>
        <w:gridCol w:w="3983"/>
        <w:gridCol w:w="1814"/>
      </w:tblGrid>
      <w:tr>
        <w:trPr>
          <w:trHeight w:val="349" w:hRule="exact"/>
        </w:trPr>
        <w:tc>
          <w:tcPr>
            <w:tcW w:w="3221"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3983"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766" w:right="0"/>
              <w:jc w:val="center"/>
              <w:rPr>
                <w:rFonts w:ascii="宋体" w:hAnsi="宋体" w:cs="宋体" w:eastAsia="宋体" w:hint="default"/>
                <w:sz w:val="24"/>
                <w:szCs w:val="24"/>
              </w:rPr>
            </w:pPr>
            <w:r>
              <w:rPr>
                <w:rFonts w:ascii="宋体" w:hAnsi="宋体" w:cs="宋体" w:eastAsia="宋体" w:hint="default"/>
                <w:b/>
                <w:bCs/>
                <w:sz w:val="24"/>
                <w:szCs w:val="24"/>
              </w:rPr>
              <w:t>预计使用寿命（年）</w:t>
            </w:r>
            <w:r>
              <w:rPr>
                <w:rFonts w:ascii="宋体" w:hAnsi="宋体" w:cs="宋体" w:eastAsia="宋体" w:hint="default"/>
                <w:sz w:val="24"/>
                <w:szCs w:val="24"/>
              </w:rPr>
            </w:r>
          </w:p>
        </w:tc>
        <w:tc>
          <w:tcPr>
            <w:tcW w:w="1814"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38"/>
              <w:jc w:val="center"/>
              <w:rPr>
                <w:rFonts w:ascii="宋体" w:hAnsi="宋体" w:cs="宋体" w:eastAsia="宋体" w:hint="default"/>
                <w:sz w:val="24"/>
                <w:szCs w:val="24"/>
              </w:rPr>
            </w:pPr>
            <w:r>
              <w:rPr>
                <w:rFonts w:ascii="宋体" w:hAnsi="宋体" w:cs="宋体" w:eastAsia="宋体" w:hint="default"/>
                <w:b/>
                <w:bCs/>
                <w:sz w:val="24"/>
                <w:szCs w:val="24"/>
              </w:rPr>
              <w:t>净残值</w:t>
            </w:r>
            <w:r>
              <w:rPr>
                <w:rFonts w:ascii="宋体" w:hAnsi="宋体" w:cs="宋体" w:eastAsia="宋体" w:hint="default"/>
                <w:sz w:val="24"/>
                <w:szCs w:val="24"/>
              </w:rPr>
            </w:r>
          </w:p>
        </w:tc>
      </w:tr>
      <w:tr>
        <w:trPr>
          <w:trHeight w:val="347"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67" w:right="0"/>
              <w:jc w:val="center"/>
              <w:rPr>
                <w:rFonts w:ascii="Times New Roman" w:hAnsi="Times New Roman" w:cs="Times New Roman" w:eastAsia="Times New Roman" w:hint="default"/>
                <w:sz w:val="24"/>
                <w:szCs w:val="24"/>
              </w:rPr>
            </w:pPr>
            <w:r>
              <w:rPr>
                <w:rFonts w:ascii="Times New Roman"/>
                <w:sz w:val="24"/>
              </w:rPr>
              <w:t>30-50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347"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办公软件</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67" w:right="0"/>
              <w:jc w:val="center"/>
              <w:rPr>
                <w:rFonts w:ascii="Times New Roman" w:hAnsi="Times New Roman" w:cs="Times New Roman" w:eastAsia="Times New Roman" w:hint="default"/>
                <w:sz w:val="24"/>
                <w:szCs w:val="24"/>
              </w:rPr>
            </w:pPr>
            <w:r>
              <w:rPr>
                <w:rFonts w:ascii="Times New Roman"/>
                <w:sz w:val="24"/>
              </w:rPr>
              <w:t>1-10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348" w:hRule="exact"/>
        </w:trPr>
        <w:tc>
          <w:tcPr>
            <w:tcW w:w="322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sz w:val="24"/>
                <w:szCs w:val="24"/>
              </w:rPr>
              <w:t>专利和非专利技术</w:t>
            </w:r>
          </w:p>
        </w:tc>
        <w:tc>
          <w:tcPr>
            <w:tcW w:w="39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67" w:right="0"/>
              <w:jc w:val="center"/>
              <w:rPr>
                <w:rFonts w:ascii="Times New Roman" w:hAnsi="Times New Roman" w:cs="Times New Roman" w:eastAsia="Times New Roman" w:hint="default"/>
                <w:sz w:val="24"/>
                <w:szCs w:val="24"/>
              </w:rPr>
            </w:pPr>
            <w:r>
              <w:rPr>
                <w:rFonts w:ascii="Times New Roman"/>
                <w:sz w:val="24"/>
              </w:rPr>
              <w:t>5-10</w:t>
            </w:r>
          </w:p>
        </w:tc>
        <w:tc>
          <w:tcPr>
            <w:tcW w:w="181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39"/>
              <w:jc w:val="center"/>
              <w:rPr>
                <w:rFonts w:ascii="宋体" w:hAnsi="宋体" w:cs="宋体" w:eastAsia="宋体" w:hint="default"/>
                <w:sz w:val="24"/>
                <w:szCs w:val="24"/>
              </w:rPr>
            </w:pPr>
            <w:r>
              <w:rPr>
                <w:rFonts w:ascii="宋体" w:hAnsi="宋体" w:cs="宋体" w:eastAsia="宋体" w:hint="default"/>
                <w:sz w:val="24"/>
                <w:szCs w:val="24"/>
              </w:rPr>
              <w:t>－</w:t>
            </w:r>
          </w:p>
        </w:tc>
      </w:tr>
    </w:tbl>
    <w:p>
      <w:pPr>
        <w:pStyle w:val="BodyText"/>
        <w:spacing w:line="312" w:lineRule="exact" w:before="111"/>
        <w:ind w:right="0"/>
        <w:jc w:val="left"/>
      </w:pPr>
      <w:r>
        <w:rPr/>
        <w:t>本集团于每年年度终了，对使用寿命有限的无形资产的使用寿命及摊销方法进行复核，与以 前估计不同的，调整原先估计数，并按会计估计变更处理。</w:t>
      </w:r>
    </w:p>
    <w:p>
      <w:pPr>
        <w:spacing w:line="240" w:lineRule="auto" w:before="7"/>
        <w:rPr>
          <w:rFonts w:ascii="宋体" w:hAnsi="宋体" w:cs="宋体" w:eastAsia="宋体" w:hint="default"/>
          <w:sz w:val="16"/>
          <w:szCs w:val="16"/>
        </w:rPr>
      </w:pPr>
    </w:p>
    <w:p>
      <w:pPr>
        <w:pStyle w:val="BodyText"/>
        <w:spacing w:line="312" w:lineRule="exact"/>
        <w:ind w:right="1088"/>
        <w:jc w:val="both"/>
      </w:pPr>
      <w:r>
        <w:rPr/>
        <w:t>资产负债表日预计某项无形资产已经不能给企业带来未来经济利益的，将该项无形资产的账 面价值全部转入当期损益。</w:t>
      </w:r>
    </w:p>
    <w:p>
      <w:pPr>
        <w:pStyle w:val="BodyText"/>
        <w:spacing w:line="240" w:lineRule="auto" w:before="185"/>
        <w:ind w:right="0"/>
        <w:jc w:val="both"/>
      </w:pPr>
      <w:r>
        <w:rPr/>
        <w:t>无形资产计提资产减值方法见本节之</w:t>
      </w:r>
      <w:r>
        <w:rPr>
          <w:rFonts w:ascii="Times New Roman" w:hAnsi="Times New Roman" w:cs="Times New Roman" w:eastAsia="Times New Roman" w:hint="default"/>
        </w:rPr>
        <w:t>“</w:t>
      </w:r>
      <w:r>
        <w:rPr/>
        <w:t>五、重要会计政策及会计估计之</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5"/>
        <w:ind w:left="1134" w:right="0" w:firstLine="0"/>
        <w:jc w:val="both"/>
        <w:rPr>
          <w:rFonts w:ascii="宋体" w:hAnsi="宋体" w:cs="宋体" w:eastAsia="宋体" w:hint="default"/>
          <w:sz w:val="21"/>
          <w:szCs w:val="21"/>
        </w:rPr>
      </w:pPr>
      <w:bookmarkStart w:name="（2）内部研究开发支出会计政策"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403" w:lineRule="auto"/>
        <w:ind w:left="1134" w:right="0"/>
        <w:jc w:val="left"/>
      </w:pPr>
      <w:r>
        <w:rPr/>
        <w:t>本集团将内部研究开发项目的支出，区分为研究阶段支出和开发阶段支出。 研究阶段的支出，于发生时计入当期损益。</w:t>
      </w:r>
    </w:p>
    <w:p>
      <w:pPr>
        <w:pStyle w:val="BodyText"/>
        <w:spacing w:line="312" w:lineRule="exact" w:before="81"/>
        <w:ind w:right="1013"/>
        <w:jc w:val="both"/>
      </w:pPr>
      <w:r>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w:t>
      </w:r>
      <w:r>
        <w:rPr>
          <w:spacing w:val="-117"/>
        </w:rPr>
        <w:t> </w:t>
      </w:r>
      <w:r>
        <w:rPr>
          <w:spacing w:val="-117"/>
        </w:rPr>
      </w:r>
      <w:r>
        <w:rPr/>
        <w:t>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spacing w:line="240" w:lineRule="auto" w:before="7"/>
        <w:rPr>
          <w:rFonts w:ascii="宋体" w:hAnsi="宋体" w:cs="宋体" w:eastAsia="宋体" w:hint="default"/>
          <w:sz w:val="16"/>
          <w:szCs w:val="16"/>
        </w:rPr>
      </w:pPr>
    </w:p>
    <w:p>
      <w:pPr>
        <w:pStyle w:val="BodyText"/>
        <w:spacing w:line="312" w:lineRule="exact"/>
        <w:ind w:right="995"/>
        <w:jc w:val="left"/>
      </w:pPr>
      <w:r>
        <w:rPr>
          <w:spacing w:val="-2"/>
        </w:rPr>
        <w:t>本集团研究开发项目在满足上述条件，通过技术可行性及经济可行性研究，形成项目立项后，</w:t>
      </w:r>
      <w:r>
        <w:rPr/>
        <w:t> 进入开发阶段。</w:t>
      </w:r>
    </w:p>
    <w:p>
      <w:pPr>
        <w:pStyle w:val="BodyText"/>
        <w:spacing w:line="240" w:lineRule="auto" w:before="185"/>
        <w:ind w:right="0"/>
        <w:jc w:val="both"/>
      </w:pPr>
      <w:r>
        <w:rPr/>
        <w:t>已资本化的开发阶段的支出在资产负债表上列示为开发支出，自该项目达到预定可使用状态</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403" w:lineRule="auto" w:before="26"/>
        <w:ind w:right="7633"/>
        <w:jc w:val="left"/>
      </w:pPr>
      <w:r>
        <w:rPr/>
        <w:t>之日转为无形资产。 具体研发项目的资本化条件：</w:t>
      </w:r>
    </w:p>
    <w:p>
      <w:pPr>
        <w:pStyle w:val="BodyText"/>
        <w:spacing w:line="240" w:lineRule="auto" w:before="50"/>
        <w:ind w:right="0"/>
        <w:jc w:val="both"/>
      </w:pPr>
      <w:r>
        <w:rPr/>
        <w:t>本集团内部研究开发项目的支出分为研究阶段支出和开发阶段支出。</w:t>
      </w:r>
    </w:p>
    <w:p>
      <w:pPr>
        <w:spacing w:line="240" w:lineRule="auto" w:before="10"/>
        <w:rPr>
          <w:rFonts w:ascii="宋体" w:hAnsi="宋体" w:cs="宋体" w:eastAsia="宋体" w:hint="default"/>
          <w:sz w:val="18"/>
          <w:szCs w:val="18"/>
        </w:rPr>
      </w:pPr>
    </w:p>
    <w:p>
      <w:pPr>
        <w:pStyle w:val="BodyText"/>
        <w:spacing w:line="312" w:lineRule="exact"/>
        <w:ind w:right="1118"/>
        <w:jc w:val="left"/>
      </w:pPr>
      <w:r>
        <w:rPr/>
        <w:t>研究阶段：为获取并理解新的科学或技术知识等而进行的独创性的有计划调查、研究活动的 阶段。</w:t>
      </w:r>
    </w:p>
    <w:p>
      <w:pPr>
        <w:pStyle w:val="BodyText"/>
        <w:spacing w:line="312" w:lineRule="exact" w:before="216"/>
        <w:ind w:right="0"/>
        <w:jc w:val="left"/>
      </w:pPr>
      <w:r>
        <w:rPr/>
        <w:t>开发阶段：在进行商业性生产或使用前，将研究成果或其他知识应用于某项计划或设计，以 生产出新的或具有实质性改进的产品等活动的阶段。</w:t>
      </w:r>
    </w:p>
    <w:p>
      <w:pPr>
        <w:pStyle w:val="BodyText"/>
        <w:spacing w:line="403" w:lineRule="auto" w:before="185"/>
        <w:ind w:right="2833"/>
        <w:jc w:val="left"/>
      </w:pPr>
      <w:r>
        <w:rPr/>
        <w:t>开发阶段支出符合资本化的具体标准 内部研究开发项目开发阶段的支出，同时满足下列条件时确认为无形资产：</w:t>
      </w:r>
    </w:p>
    <w:p>
      <w:pPr>
        <w:pStyle w:val="BodyText"/>
        <w:spacing w:line="240" w:lineRule="auto" w:before="50"/>
        <w:ind w:right="0"/>
        <w:jc w:val="both"/>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95"/>
        <w:ind w:right="0"/>
        <w:jc w:val="both"/>
      </w:pPr>
      <w:r>
        <w:rPr/>
        <w:t>（</w:t>
      </w:r>
      <w:r>
        <w:rPr>
          <w:rFonts w:ascii="Times New Roman" w:hAnsi="Times New Roman" w:cs="Times New Roman" w:eastAsia="Times New Roman" w:hint="default"/>
        </w:rPr>
        <w:t>2</w:t>
      </w:r>
      <w:r>
        <w:rPr/>
        <w:t>）具有完成该无形资产并使用或出售的意图；</w:t>
      </w:r>
    </w:p>
    <w:p>
      <w:pPr>
        <w:spacing w:line="240" w:lineRule="auto" w:before="4"/>
        <w:rPr>
          <w:rFonts w:ascii="宋体" w:hAnsi="宋体" w:cs="宋体" w:eastAsia="宋体" w:hint="default"/>
          <w:sz w:val="17"/>
          <w:szCs w:val="17"/>
        </w:rPr>
      </w:pPr>
    </w:p>
    <w:p>
      <w:pPr>
        <w:pStyle w:val="BodyText"/>
        <w:spacing w:line="312" w:lineRule="exact"/>
        <w:ind w:left="1134" w:right="1114"/>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w:t>
      </w:r>
      <w:r>
        <w:rPr/>
        <w:t> 形资产自身存在市场，无形资产将在内部使用的，能够证明其有用性；</w:t>
      </w:r>
    </w:p>
    <w:p>
      <w:pPr>
        <w:pStyle w:val="BodyText"/>
        <w:spacing w:line="312" w:lineRule="exact" w:before="216"/>
        <w:ind w:left="1134" w:right="0"/>
        <w:jc w:val="left"/>
      </w:pPr>
      <w:r>
        <w:rPr>
          <w:spacing w:val="-3"/>
        </w:rPr>
        <w:t>（</w:t>
      </w:r>
      <w:r>
        <w:rPr>
          <w:rFonts w:ascii="Times New Roman" w:hAnsi="Times New Roman" w:cs="Times New Roman" w:eastAsia="Times New Roman" w:hint="default"/>
          <w:spacing w:val="-3"/>
        </w:rPr>
        <w:t>4</w:t>
      </w:r>
      <w:r>
        <w:rPr>
          <w:spacing w:val="-3"/>
        </w:rPr>
        <w:t>）有足够的技术、财务资源和其他资源支持，以完成该无形资产的开发，并有能力使用或</w:t>
      </w:r>
      <w:r>
        <w:rPr>
          <w:spacing w:val="-81"/>
        </w:rPr>
        <w:t> </w:t>
      </w:r>
      <w:r>
        <w:rPr>
          <w:spacing w:val="-81"/>
        </w:rPr>
      </w:r>
      <w:r>
        <w:rPr/>
        <w:t>出售该无形资产；</w:t>
      </w:r>
    </w:p>
    <w:p>
      <w:pPr>
        <w:pStyle w:val="BodyText"/>
        <w:spacing w:line="240" w:lineRule="auto" w:before="185"/>
        <w:ind w:left="1134" w:right="0"/>
        <w:jc w:val="both"/>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4"/>
        <w:rPr>
          <w:rFonts w:ascii="宋体" w:hAnsi="宋体" w:cs="宋体" w:eastAsia="宋体" w:hint="default"/>
          <w:sz w:val="17"/>
          <w:szCs w:val="17"/>
        </w:rPr>
      </w:pPr>
    </w:p>
    <w:p>
      <w:pPr>
        <w:pStyle w:val="BodyText"/>
        <w:spacing w:line="312" w:lineRule="exact"/>
        <w:ind w:right="0"/>
        <w:jc w:val="left"/>
      </w:pPr>
      <w:r>
        <w:rPr/>
        <w:t>开发阶段的支出，若不满足上列条件的，于发生时计入当期损益。研究阶段的支出，在发生 时计入当期损益。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19、 商誉" w:id="194"/>
      <w:bookmarkEnd w:id="194"/>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0"/>
        <w:jc w:val="left"/>
      </w:pPr>
      <w:r>
        <w:rPr/>
        <w:t>商誉为非同一控制下企业合并成本超过应享有的被投资单位或被购买方可辨认净资产于取得 日或购买日的公允价值份额的差额。</w:t>
      </w:r>
    </w:p>
    <w:p>
      <w:pPr>
        <w:spacing w:line="240" w:lineRule="auto" w:before="7"/>
        <w:rPr>
          <w:rFonts w:ascii="宋体" w:hAnsi="宋体" w:cs="宋体" w:eastAsia="宋体" w:hint="default"/>
          <w:sz w:val="16"/>
          <w:szCs w:val="16"/>
        </w:rPr>
      </w:pPr>
    </w:p>
    <w:p>
      <w:pPr>
        <w:pStyle w:val="BodyText"/>
        <w:spacing w:line="312" w:lineRule="exact"/>
        <w:ind w:right="0"/>
        <w:jc w:val="left"/>
      </w:pPr>
      <w:r>
        <w:rPr/>
        <w:t>与子公司有关的商誉在合并财务报表上单独列示，与联营企业和合营企业有关的商誉，包含 在长期股权投资的账面价值中。本公司的商誉系与子公司有关的商誉。</w:t>
      </w:r>
    </w:p>
    <w:p>
      <w:pPr>
        <w:pStyle w:val="BodyText"/>
        <w:spacing w:line="312" w:lineRule="exact" w:before="216"/>
        <w:ind w:right="1139"/>
        <w:jc w:val="both"/>
      </w:pPr>
      <w:r>
        <w:rPr/>
        <w:t>在财务报表中单独列示的商誉至少在每年年终进行减值测试。减值测试时，商誉的账面价值 依据相关的资产组或者资产组组合能够从企业合并的协同效应中受益的情况分摊至受益的资 产组或资产组组合。</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20、长期资产减值" w:id="195"/>
      <w:bookmarkEnd w:id="195"/>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0"/>
        <w:jc w:val="left"/>
      </w:pPr>
      <w:r>
        <w:rPr/>
        <w:t>对子公司的长期股权投资、采用成本模式进行后续计量的投资性房地产、固定资产、在建工 程、无形资产、商誉等的资产减值，按以下方法确定：</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6"/>
        <w:jc w:val="both"/>
      </w:pPr>
      <w:r>
        <w:rPr/>
        <w:t>于资产负债表日判断资产是否存在可能发生减值的迹象，存在减值迹象的，本集团将估计其</w:t>
      </w:r>
      <w:r>
        <w:rPr>
          <w:spacing w:val="-116"/>
        </w:rPr>
        <w:t> </w:t>
      </w:r>
      <w:r>
        <w:rPr>
          <w:spacing w:val="-116"/>
        </w:rPr>
      </w:r>
      <w:r>
        <w:rPr/>
        <w:t>可收回金额，进行减值测试。对因企业合并所形成的商誉、使用寿命不确定的无形资产和尚 未达到可使用状态的无形资产无论是否存在减值迹象，每年都进行减值测试。</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可收回金额根据资产的公允价值减去处置费用后的净额与资产预计未来现金流量的现值两者 之间较高者确定。本集团以单项资产为基础估计其可收回金额；难以对单项资产的可收回金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当资产或资产组的可收回金额低于其账面价值时，本集团将其账面价值减记至可收回金额， 减记的金额计入当期损益，同时计提相应的资产减值准备。</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不大于本集团确定的报告分部。</w:t>
      </w:r>
    </w:p>
    <w:p>
      <w:pPr>
        <w:pStyle w:val="BodyText"/>
        <w:spacing w:line="312" w:lineRule="exact" w:before="216"/>
        <w:ind w:right="1136"/>
        <w:jc w:val="both"/>
      </w:pPr>
      <w:r>
        <w:rPr/>
        <w:t>减值测试时，如与商誉相关的资产组或者资产组组合存在减值迹象的，首先对不包含商誉的 资产组或者资产组组合进行减值测试，计算可收回金额，确认相应的减值损失。然后对包含</w:t>
      </w:r>
      <w:r>
        <w:rPr>
          <w:spacing w:val="-116"/>
        </w:rPr>
        <w:t> </w:t>
      </w:r>
      <w:r>
        <w:rPr>
          <w:spacing w:val="-116"/>
        </w:rPr>
      </w:r>
      <w:r>
        <w:rPr/>
        <w:t>商誉的资产组或者资产组组合进行减值测试，比较其账面价值与可收回金额，如可收回金额 低于账面价值的，确认商誉的减值损失。</w:t>
      </w:r>
    </w:p>
    <w:p>
      <w:pPr>
        <w:pStyle w:val="BodyText"/>
        <w:spacing w:line="240" w:lineRule="auto" w:before="185"/>
        <w:ind w:right="0"/>
        <w:jc w:val="both"/>
      </w:pPr>
      <w:r>
        <w:rPr/>
        <w:t>资产减值损失一经确认，在以后会计期间不再转回。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spacing w:before="0"/>
        <w:ind w:left="1133" w:right="0" w:firstLine="0"/>
        <w:jc w:val="both"/>
        <w:rPr>
          <w:rFonts w:ascii="宋体" w:hAnsi="宋体" w:cs="宋体" w:eastAsia="宋体" w:hint="default"/>
          <w:sz w:val="21"/>
          <w:szCs w:val="21"/>
        </w:rPr>
      </w:pPr>
      <w:bookmarkStart w:name="21、长期待摊费用" w:id="196"/>
      <w:bookmarkEnd w:id="196"/>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39"/>
        <w:jc w:val="both"/>
      </w:pPr>
      <w:r>
        <w:rPr/>
        <w:t>本集团发生的长期待摊费用按实际成本计价，并按预计受益期限平均摊销。对不能使以后会 计期间受益的长期待摊费用项目，其摊余价值全部计入当期损益。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22、职工薪酬" w:id="197"/>
      <w:bookmarkEnd w:id="197"/>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994"/>
        <w:jc w:val="left"/>
      </w:pPr>
      <w:r>
        <w:rPr/>
        <w:t>本集团在职工提供服务的会计期间，将实际发生的职工工资、奖金、按规定的基准和比例为 </w:t>
      </w:r>
      <w:r>
        <w:rPr>
          <w:spacing w:val="-2"/>
        </w:rPr>
        <w:t>职工缴纳的医疗保险费、工伤保险费和生育保险费等社会保险费和住房公积金，确认为负债，</w:t>
      </w:r>
      <w:r>
        <w:rPr/>
        <w:t> 并计入当期损益或相关资产成本。如果该负债预期在职工提供相关服务的年度报告期结束后 十二个月内不能完全支付，且财务影响重大的，则该负债将以折现后的金额计量。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5"/>
        <w:ind w:left="1133" w:right="0" w:firstLine="0"/>
        <w:jc w:val="both"/>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离职后福利计划包括设定提存计划和设定受益计划。其中，设定提存计划，是指向独立的基</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金缴存固定费用后，企业不再承担进一步支付义务的离职后福利计划；设定受益计划，是指 除设定提存计划以外的离职后福利计划。</w:t>
      </w:r>
    </w:p>
    <w:p>
      <w:pPr>
        <w:pStyle w:val="BodyText"/>
        <w:spacing w:line="403" w:lineRule="auto" w:before="185"/>
        <w:ind w:right="5713"/>
        <w:jc w:val="left"/>
      </w:pPr>
      <w:r>
        <w:rPr/>
        <w:t>设定提存计划 设定提存计划包括基本养老保险、失业保险等。</w:t>
      </w:r>
    </w:p>
    <w:p>
      <w:pPr>
        <w:pStyle w:val="BodyText"/>
        <w:spacing w:line="312" w:lineRule="exact" w:before="81"/>
        <w:ind w:left="1134" w:right="1139"/>
        <w:jc w:val="both"/>
      </w:pPr>
      <w:r>
        <w:rPr/>
        <w:t>在职工提供服务的会计期间，根据设定提存计划计算的应缴存金额确认为负债，并计入当期 损益或相关资产成本。</w:t>
      </w:r>
    </w:p>
    <w:p>
      <w:pPr>
        <w:spacing w:line="240" w:lineRule="auto" w:before="7"/>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9"/>
        <w:jc w:val="both"/>
      </w:pPr>
      <w:r>
        <w:rPr/>
        <w:t>本集团向职工提供辞退福利的，在下列两者孰早日确认辞退福利产生的职工薪酬负债，并计 入当期损益：本集团不能单方面撤回因解除劳动关系计划或裁减建议所提供的辞退福利时； 本集团确认与涉及支付辞退福利的重组相关的成本或费用时。</w:t>
      </w:r>
    </w:p>
    <w:p>
      <w:pPr>
        <w:pStyle w:val="BodyText"/>
        <w:spacing w:line="312" w:lineRule="exact" w:before="216"/>
        <w:ind w:right="1129"/>
        <w:jc w:val="both"/>
      </w:pPr>
      <w:r>
        <w:rPr/>
        <w:t>实行职工内部退休计划的，在正式退休日之前的经济补偿，属于辞退福利，自职工停止提供 服务日至正常退休日期间，拟支付的内退职工工资和缴纳的社会保险费等一次性计入当期损</w:t>
      </w:r>
      <w:r>
        <w:rPr>
          <w:spacing w:val="-108"/>
        </w:rPr>
        <w:t> </w:t>
      </w:r>
      <w:r>
        <w:rPr>
          <w:spacing w:val="-108"/>
        </w:rPr>
      </w:r>
      <w:r>
        <w:rPr/>
        <w:t>益。正式退休日期之后的经济补偿（如正常养老退休金），按照离职后福利处理。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4）其他长期职工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27"/>
        <w:jc w:val="both"/>
      </w:pPr>
      <w:r>
        <w:rPr/>
        <w:t>本集团向职工提供的其他长期职工福利，符合设定提存计划条件的，按照上述关于设定提存 计划的有关规定进行处理。符合设定受益计划的，按照上述关于设定受益计划的有关规定进 行处理，但相关职工薪酬成本中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w:t>
      </w:r>
      <w:r>
        <w:rPr>
          <w:spacing w:val="-78"/>
        </w:rPr>
        <w:t> </w:t>
      </w:r>
      <w:r>
        <w:rPr/>
        <w:t>计入当期损益或相关资产成本。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23、预计负债" w:id="202"/>
      <w:bookmarkEnd w:id="20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如果与或有事项相关的义务同时符合以下条件，本集团将其确认为预计负债：</w:t>
      </w:r>
    </w:p>
    <w:p>
      <w:pPr>
        <w:pStyle w:val="BodyText"/>
        <w:spacing w:line="240" w:lineRule="auto" w:before="214"/>
        <w:ind w:right="0"/>
        <w:jc w:val="both"/>
      </w:pPr>
      <w:r>
        <w:rPr/>
        <w:t>（</w:t>
      </w:r>
      <w:r>
        <w:rPr>
          <w:rFonts w:ascii="Times New Roman" w:hAnsi="Times New Roman" w:cs="Times New Roman" w:eastAsia="Times New Roman" w:hint="default"/>
        </w:rPr>
        <w:t>1</w:t>
      </w:r>
      <w:r>
        <w:rPr/>
        <w:t>）该义务是本集团承担的现时义务；</w:t>
      </w:r>
    </w:p>
    <w:p>
      <w:pPr>
        <w:pStyle w:val="BodyText"/>
        <w:spacing w:line="240" w:lineRule="auto" w:before="195"/>
        <w:ind w:left="1134" w:right="0"/>
        <w:jc w:val="both"/>
      </w:pPr>
      <w:r>
        <w:rPr/>
        <w:t>（</w:t>
      </w:r>
      <w:r>
        <w:rPr>
          <w:rFonts w:ascii="Times New Roman" w:hAnsi="Times New Roman" w:cs="Times New Roman" w:eastAsia="Times New Roman" w:hint="default"/>
        </w:rPr>
        <w:t>2</w:t>
      </w:r>
      <w:r>
        <w:rPr/>
        <w:t>）该义务的履行很可能导致经济利益流出本集团；</w:t>
      </w:r>
    </w:p>
    <w:p>
      <w:pPr>
        <w:pStyle w:val="BodyText"/>
        <w:spacing w:line="240" w:lineRule="auto" w:before="195"/>
        <w:ind w:right="0"/>
        <w:jc w:val="both"/>
      </w:pPr>
      <w:r>
        <w:rPr/>
        <w:t>（</w:t>
      </w:r>
      <w:r>
        <w:rPr>
          <w:rFonts w:ascii="Times New Roman" w:hAnsi="Times New Roman" w:cs="Times New Roman" w:eastAsia="Times New Roman" w:hint="default"/>
        </w:rPr>
        <w:t>3</w:t>
      </w:r>
      <w:r>
        <w:rPr/>
        <w:t>）该义务的金额能够可靠地计量。</w:t>
      </w:r>
    </w:p>
    <w:p>
      <w:pPr>
        <w:pStyle w:val="BodyText"/>
        <w:spacing w:line="237" w:lineRule="auto" w:before="198"/>
        <w:ind w:right="1139"/>
        <w:jc w:val="both"/>
      </w:pPr>
      <w:r>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来现金流出进行折现后确定最佳估计数。本集团于资产负债表日对预计负债的账面价值进行 复核，并对账面价值进行调整以反映当前最佳估计数。</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如果清偿已确认预计负债所需支出全部或部分预期由第三方或其他方补偿，则补偿金额只能 在基本确定能收到时，作为资产单独确认。确认的补偿金额不超过所确认负债的账面价值。</w:t>
      </w:r>
    </w:p>
    <w:p>
      <w:pPr>
        <w:spacing w:after="0" w:line="312" w:lineRule="exact"/>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6"/>
        <w:ind w:left="1133" w:right="0" w:firstLine="0"/>
        <w:jc w:val="both"/>
        <w:rPr>
          <w:rFonts w:ascii="宋体" w:hAnsi="宋体" w:cs="宋体" w:eastAsia="宋体" w:hint="default"/>
          <w:sz w:val="21"/>
          <w:szCs w:val="21"/>
        </w:rPr>
      </w:pPr>
      <w:bookmarkStart w:name="24、股份支付" w:id="203"/>
      <w:bookmarkEnd w:id="20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81" w:lineRule="auto"/>
        <w:ind w:left="1134" w:right="3312"/>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240" w:lineRule="auto" w:before="72"/>
        <w:ind w:right="0"/>
        <w:jc w:val="both"/>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17"/>
          <w:szCs w:val="17"/>
        </w:rPr>
      </w:pPr>
    </w:p>
    <w:p>
      <w:pPr>
        <w:pStyle w:val="BodyText"/>
        <w:spacing w:line="312" w:lineRule="exact"/>
        <w:ind w:left="1134" w:right="994"/>
        <w:jc w:val="left"/>
      </w:pPr>
      <w:r>
        <w:rPr>
          <w:spacing w:val="-2"/>
        </w:rPr>
        <w:t>本集团对于授予的存在活跃市场的期权等权益工具，按照活跃市场中的报价确定其公允价值。</w:t>
      </w:r>
      <w:r>
        <w:rPr/>
        <w:t> 对于授予的不存在活跃市场的期权等权益工具，采用期权定价模型等确定其公允价值。选用 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w:t>
      </w:r>
      <w:r>
        <w:rPr>
          <w:spacing w:val="-117"/>
        </w:rPr>
        <w:t> </w:t>
      </w:r>
      <w:r>
        <w:rPr/>
        <w:t>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85"/>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4"/>
        <w:rPr>
          <w:rFonts w:ascii="宋体" w:hAnsi="宋体" w:cs="宋体" w:eastAsia="宋体" w:hint="default"/>
          <w:sz w:val="17"/>
          <w:szCs w:val="17"/>
        </w:rPr>
      </w:pPr>
    </w:p>
    <w:p>
      <w:pPr>
        <w:pStyle w:val="BodyText"/>
        <w:spacing w:line="312" w:lineRule="exact"/>
        <w:ind w:left="1134" w:right="1139"/>
        <w:jc w:val="both"/>
      </w:pPr>
      <w:r>
        <w:rPr/>
        <w:t>等待期内每个资产负债表日，本集团根据最新取得的可行权职工人数变动等后续信息作出最 佳估计，修正预计可行权的权益工具数量。在可行权日，最终预计可行权权益工具的数量应 当与实际可行权数量一致。</w:t>
      </w:r>
    </w:p>
    <w:p>
      <w:pPr>
        <w:pStyle w:val="BodyText"/>
        <w:spacing w:line="240" w:lineRule="auto" w:before="185"/>
        <w:ind w:left="1134" w:right="0"/>
        <w:jc w:val="both"/>
      </w:pPr>
      <w:r>
        <w:rPr/>
        <w:t>（</w:t>
      </w:r>
      <w:r>
        <w:rPr>
          <w:rFonts w:ascii="Times New Roman" w:hAnsi="Times New Roman" w:cs="Times New Roman" w:eastAsia="Times New Roman" w:hint="default"/>
        </w:rPr>
        <w:t>4</w:t>
      </w:r>
      <w:r>
        <w:rPr/>
        <w:t>）实施、修改、终止股份支付计划的相关会计处理</w:t>
      </w:r>
    </w:p>
    <w:p>
      <w:pPr>
        <w:pStyle w:val="BodyText"/>
        <w:spacing w:line="237" w:lineRule="auto" w:before="198"/>
        <w:ind w:right="1139"/>
        <w:jc w:val="both"/>
      </w:pPr>
      <w:r>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spacing w:line="240" w:lineRule="auto" w:before="9"/>
        <w:rPr>
          <w:rFonts w:ascii="宋体" w:hAnsi="宋体" w:cs="宋体" w:eastAsia="宋体" w:hint="default"/>
          <w:sz w:val="18"/>
          <w:szCs w:val="18"/>
        </w:rPr>
      </w:pPr>
    </w:p>
    <w:p>
      <w:pPr>
        <w:pStyle w:val="BodyText"/>
        <w:spacing w:line="312" w:lineRule="exact"/>
        <w:ind w:right="1135"/>
        <w:jc w:val="both"/>
      </w:pPr>
      <w:r>
        <w:rPr/>
        <w:t>本集团对股份支付计划进行修改时，若修改增加了所授予权益工具的公允价值，按照权益工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w:t>
      </w:r>
      <w:r>
        <w:rPr>
          <w:spacing w:val="-115"/>
        </w:rPr>
        <w:t> </w:t>
      </w:r>
      <w:r>
        <w:rPr>
          <w:spacing w:val="-115"/>
        </w:rPr>
      </w:r>
      <w:r>
        <w:rPr/>
        <w:t>会计处理，视同该变更从未发生，除非本集团取消了部分或全部已授予的权益工具。</w:t>
      </w:r>
    </w:p>
    <w:p>
      <w:pPr>
        <w:pStyle w:val="BodyText"/>
        <w:spacing w:line="312" w:lineRule="exact" w:before="216"/>
        <w:ind w:right="1139"/>
        <w:jc w:val="both"/>
      </w:pPr>
      <w:r>
        <w:rPr/>
        <w:t>在等待期内，如果取消了授予的权益工具（因未满足可行权条件的非市场条件而被取消的除 外），本集团对取消所授予的权益性工具作为加速行权处理，将剩余等待期内应确认的金额 立即计入当期损益，同时确认资本公积。职工或其他方能够选择满足非可行权条件但在等待 期内未满足的，本集团将其作为授予权益工具的取消处理。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5"/>
        <w:ind w:left="1133" w:right="0" w:firstLine="0"/>
        <w:jc w:val="both"/>
        <w:rPr>
          <w:rFonts w:ascii="宋体" w:hAnsi="宋体" w:cs="宋体" w:eastAsia="宋体" w:hint="default"/>
          <w:sz w:val="21"/>
          <w:szCs w:val="21"/>
        </w:rPr>
      </w:pPr>
      <w:bookmarkStart w:name="25、收入" w:id="204"/>
      <w:bookmarkEnd w:id="204"/>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否</w:t>
      </w:r>
    </w:p>
    <w:p>
      <w:pPr>
        <w:pStyle w:val="BodyText"/>
        <w:spacing w:line="240" w:lineRule="auto" w:before="65"/>
        <w:ind w:left="1134" w:right="0"/>
        <w:jc w:val="both"/>
      </w:pPr>
      <w:r>
        <w:rPr/>
        <w:t>（</w:t>
      </w:r>
      <w:r>
        <w:rPr>
          <w:rFonts w:ascii="Times New Roman" w:hAnsi="Times New Roman" w:cs="Times New Roman" w:eastAsia="Times New Roman" w:hint="default"/>
        </w:rPr>
        <w:t>1</w:t>
      </w:r>
      <w:r>
        <w:rPr/>
        <w:t>）一般原则</w:t>
      </w:r>
    </w:p>
    <w:p>
      <w:pPr>
        <w:pStyle w:val="BodyText"/>
        <w:spacing w:line="240" w:lineRule="auto" w:before="195"/>
        <w:ind w:left="1134" w:right="0"/>
        <w:jc w:val="both"/>
      </w:pPr>
      <w:r>
        <w:rPr/>
        <w:t>①销售商品</w:t>
      </w:r>
    </w:p>
    <w:p>
      <w:pPr>
        <w:spacing w:line="240" w:lineRule="auto" w:before="10"/>
        <w:rPr>
          <w:rFonts w:ascii="宋体" w:hAnsi="宋体" w:cs="宋体" w:eastAsia="宋体" w:hint="default"/>
          <w:sz w:val="18"/>
          <w:szCs w:val="18"/>
        </w:rPr>
      </w:pPr>
    </w:p>
    <w:p>
      <w:pPr>
        <w:pStyle w:val="BodyText"/>
        <w:spacing w:line="312" w:lineRule="exact"/>
        <w:ind w:right="1137"/>
        <w:jc w:val="both"/>
      </w:pPr>
      <w:r>
        <w:rPr/>
        <w:t>在已将商品所有权上的主要风险和报酬转移给购货方，既没有保留通常与所有权相联系的继 续管理权，也没有对已售商品实施有效控制，收入的金额能够可靠地计量，相关的经济利益 很可能流入企业，相关的已发生或将发生的成本能够可靠地计量时，确认商品销售收入的实 现。</w:t>
      </w:r>
    </w:p>
    <w:p>
      <w:pPr>
        <w:pStyle w:val="BodyText"/>
        <w:spacing w:line="240" w:lineRule="auto" w:before="185"/>
        <w:ind w:left="1134" w:right="0"/>
        <w:jc w:val="both"/>
      </w:pPr>
      <w:r>
        <w:rPr/>
        <w:t>②提供劳务</w:t>
      </w:r>
    </w:p>
    <w:p>
      <w:pPr>
        <w:spacing w:line="240" w:lineRule="auto" w:before="9"/>
        <w:rPr>
          <w:rFonts w:ascii="宋体" w:hAnsi="宋体" w:cs="宋体" w:eastAsia="宋体" w:hint="default"/>
          <w:sz w:val="18"/>
          <w:szCs w:val="18"/>
        </w:rPr>
      </w:pPr>
    </w:p>
    <w:p>
      <w:pPr>
        <w:pStyle w:val="BodyText"/>
        <w:spacing w:line="312" w:lineRule="exact"/>
        <w:ind w:right="1118"/>
        <w:jc w:val="left"/>
      </w:pPr>
      <w:r>
        <w:rPr/>
        <w:t>对在提供劳务交易的结果能够可靠估计的情况下，本集团于资产负债表日按完工百分比法确 认收入。</w:t>
      </w:r>
    </w:p>
    <w:p>
      <w:pPr>
        <w:pStyle w:val="BodyText"/>
        <w:spacing w:line="240" w:lineRule="auto" w:before="185"/>
        <w:ind w:right="0"/>
        <w:jc w:val="both"/>
      </w:pPr>
      <w:r>
        <w:rPr/>
        <w:t>劳务交易的完工进度按已经发生的劳务成本占估计总成本的比例确定。</w:t>
      </w:r>
    </w:p>
    <w:p>
      <w:pPr>
        <w:spacing w:line="240" w:lineRule="auto" w:before="9"/>
        <w:rPr>
          <w:rFonts w:ascii="宋体" w:hAnsi="宋体" w:cs="宋体" w:eastAsia="宋体" w:hint="default"/>
          <w:sz w:val="18"/>
          <w:szCs w:val="18"/>
        </w:rPr>
      </w:pPr>
    </w:p>
    <w:p>
      <w:pPr>
        <w:pStyle w:val="BodyText"/>
        <w:spacing w:line="312" w:lineRule="exact"/>
        <w:ind w:right="1132"/>
        <w:jc w:val="both"/>
      </w:pPr>
      <w:r>
        <w:rPr>
          <w:spacing w:val="-2"/>
        </w:rPr>
        <w:t>提供劳务交易的结果能够可靠估计是指同时满足：</w:t>
      </w:r>
      <w:r>
        <w:rPr>
          <w:rFonts w:ascii="Times New Roman" w:hAnsi="Times New Roman" w:cs="Times New Roman" w:eastAsia="Times New Roman" w:hint="default"/>
          <w:spacing w:val="-2"/>
        </w:rPr>
        <w:t>A</w:t>
      </w:r>
      <w:r>
        <w:rPr>
          <w:spacing w:val="-2"/>
        </w:rPr>
        <w:t>、收入的金额能够可靠地计量；</w:t>
      </w:r>
      <w:r>
        <w:rPr>
          <w:rFonts w:ascii="Times New Roman" w:hAnsi="Times New Roman" w:cs="Times New Roman" w:eastAsia="Times New Roman" w:hint="default"/>
          <w:spacing w:val="-2"/>
        </w:rPr>
        <w:t>B</w:t>
      </w:r>
      <w:r>
        <w:rPr>
          <w:spacing w:val="-2"/>
        </w:rPr>
        <w:t>、相关</w:t>
      </w:r>
      <w:r>
        <w:rPr>
          <w:spacing w:val="-98"/>
        </w:rPr>
        <w:t> </w:t>
      </w:r>
      <w:r>
        <w:rPr>
          <w:spacing w:val="-98"/>
        </w:rPr>
      </w:r>
      <w:r>
        <w:rPr>
          <w:spacing w:val="-2"/>
        </w:rPr>
        <w:t>的经济利益很可能流入企业；</w:t>
      </w:r>
      <w:r>
        <w:rPr>
          <w:rFonts w:ascii="Times New Roman" w:hAnsi="Times New Roman" w:cs="Times New Roman" w:eastAsia="Times New Roman" w:hint="default"/>
          <w:spacing w:val="-2"/>
        </w:rPr>
        <w:t>C</w:t>
      </w:r>
      <w:r>
        <w:rPr>
          <w:spacing w:val="-2"/>
        </w:rPr>
        <w:t>、交易的完工程度能够可靠地确定；</w:t>
      </w:r>
      <w:r>
        <w:rPr>
          <w:rFonts w:ascii="Times New Roman" w:hAnsi="Times New Roman" w:cs="Times New Roman" w:eastAsia="Times New Roman" w:hint="default"/>
          <w:spacing w:val="-2"/>
        </w:rPr>
        <w:t>D</w:t>
      </w:r>
      <w:r>
        <w:rPr>
          <w:spacing w:val="-2"/>
        </w:rPr>
        <w:t>、交易中已发生和将发</w:t>
      </w:r>
      <w:r>
        <w:rPr>
          <w:spacing w:val="-97"/>
        </w:rPr>
        <w:t> </w:t>
      </w:r>
      <w:r>
        <w:rPr>
          <w:spacing w:val="-97"/>
        </w:rPr>
      </w:r>
      <w:r>
        <w:rPr/>
        <w:t>生的成本能够可靠地计量。</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如果提供劳务交易的结果不能够可靠估计，则按已经发生并预计能够得到补偿的劳务成本金 额确认提供的劳务收入，并将已发生的劳务成本作为当期费用。已经发生的劳务成本如预计 不能得到补偿的，则不确认收入。</w:t>
      </w:r>
    </w:p>
    <w:p>
      <w:pPr>
        <w:pStyle w:val="BodyText"/>
        <w:spacing w:line="240" w:lineRule="auto" w:before="185"/>
        <w:ind w:right="0"/>
        <w:jc w:val="both"/>
      </w:pPr>
      <w:r>
        <w:rPr/>
        <w:t>③让渡资产使用权</w:t>
      </w:r>
    </w:p>
    <w:p>
      <w:pPr>
        <w:spacing w:line="240" w:lineRule="auto" w:before="9"/>
        <w:rPr>
          <w:rFonts w:ascii="宋体" w:hAnsi="宋体" w:cs="宋体" w:eastAsia="宋体" w:hint="default"/>
          <w:sz w:val="18"/>
          <w:szCs w:val="18"/>
        </w:rPr>
      </w:pPr>
    </w:p>
    <w:p>
      <w:pPr>
        <w:pStyle w:val="BodyText"/>
        <w:spacing w:line="312" w:lineRule="exact"/>
        <w:ind w:right="1118"/>
        <w:jc w:val="left"/>
      </w:pPr>
      <w:r>
        <w:rPr/>
        <w:t>与资产使用权让渡相关的经济利益能够流入及收入的金额能够可靠地计量时，本集团确认收 入。</w:t>
      </w:r>
    </w:p>
    <w:p>
      <w:pPr>
        <w:pStyle w:val="BodyText"/>
        <w:spacing w:line="393" w:lineRule="auto" w:before="185"/>
        <w:ind w:right="7153"/>
        <w:jc w:val="left"/>
        <w:rPr>
          <w:rFonts w:ascii="宋体" w:hAnsi="宋体" w:cs="宋体" w:eastAsia="宋体" w:hint="default"/>
        </w:rPr>
      </w:pPr>
      <w:r>
        <w:rPr/>
        <w:t>（</w:t>
      </w:r>
      <w:r>
        <w:rPr>
          <w:rFonts w:ascii="Times New Roman" w:hAnsi="Times New Roman" w:cs="Times New Roman" w:eastAsia="Times New Roman" w:hint="default"/>
        </w:rPr>
        <w:t>2</w:t>
      </w:r>
      <w:r>
        <w:rPr/>
        <w:t>）收入确认的具体方法 本集团收入确认的具体方法如下： </w:t>
      </w:r>
      <w:r>
        <w:rPr>
          <w:rFonts w:ascii="宋体" w:hAnsi="宋体" w:cs="宋体" w:eastAsia="宋体" w:hint="default"/>
          <w:b/>
          <w:bCs/>
        </w:rPr>
        <w:t>电力板块</w:t>
      </w:r>
      <w:r>
        <w:rPr>
          <w:rFonts w:ascii="宋体" w:hAnsi="宋体" w:cs="宋体" w:eastAsia="宋体" w:hint="default"/>
        </w:rPr>
      </w:r>
    </w:p>
    <w:p>
      <w:pPr>
        <w:pStyle w:val="BodyText"/>
        <w:spacing w:line="240" w:lineRule="auto" w:before="60"/>
        <w:ind w:right="0"/>
        <w:jc w:val="both"/>
      </w:pPr>
      <w:r>
        <w:rPr/>
        <w:t>本集团销售模式包括直销和经销，直销和经销模式下收入确认的情况如下</w:t>
      </w:r>
    </w:p>
    <w:p>
      <w:pPr>
        <w:pStyle w:val="BodyText"/>
        <w:spacing w:line="240" w:lineRule="auto" w:before="214"/>
        <w:ind w:right="0"/>
        <w:jc w:val="both"/>
      </w:pPr>
      <w:r>
        <w:rPr/>
        <w:t>①本集团直销模式下收入的确认政策</w:t>
      </w:r>
    </w:p>
    <w:p>
      <w:pPr>
        <w:pStyle w:val="BodyText"/>
        <w:spacing w:line="240" w:lineRule="auto" w:before="214"/>
        <w:ind w:right="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t>销售商品收入确认的具体原则</w:t>
      </w:r>
    </w:p>
    <w:p>
      <w:pPr>
        <w:spacing w:line="240" w:lineRule="auto" w:before="4"/>
        <w:rPr>
          <w:rFonts w:ascii="宋体" w:hAnsi="宋体" w:cs="宋体" w:eastAsia="宋体" w:hint="default"/>
          <w:sz w:val="17"/>
          <w:szCs w:val="17"/>
        </w:rPr>
      </w:pPr>
    </w:p>
    <w:p>
      <w:pPr>
        <w:pStyle w:val="BodyText"/>
        <w:spacing w:line="312" w:lineRule="exact"/>
        <w:ind w:right="0"/>
        <w:jc w:val="left"/>
      </w:pPr>
      <w:r>
        <w:rPr/>
        <w:t>对于需要承担安装调试义务的产品，本集团通过第三方物流公司将产品发出后，于产品安装 调试完毕，经客户验收、后确认营业收入。</w:t>
      </w:r>
    </w:p>
    <w:p>
      <w:pPr>
        <w:spacing w:line="240" w:lineRule="auto" w:before="0"/>
        <w:rPr>
          <w:rFonts w:ascii="宋体" w:hAnsi="宋体" w:cs="宋体" w:eastAsia="宋体" w:hint="default"/>
          <w:sz w:val="24"/>
          <w:szCs w:val="24"/>
        </w:rPr>
      </w:pPr>
    </w:p>
    <w:p>
      <w:pPr>
        <w:pStyle w:val="BodyText"/>
        <w:spacing w:line="312" w:lineRule="exact" w:before="166"/>
        <w:ind w:left="1134" w:right="994"/>
        <w:jc w:val="left"/>
      </w:pPr>
      <w:r>
        <w:rPr>
          <w:spacing w:val="-2"/>
        </w:rPr>
        <w:t>对于不需要承担安装调试义务的产品，本集团的合同义务仅限于向客户提供符合要求的产品。</w:t>
      </w:r>
      <w:r>
        <w:rPr/>
        <w:t> 本集团通过第三方物流公司将产品交付客户后，与产品所有权相关的主要风险和报酬也同时 转移。对此类产品的销售，本集团于产品交付并取得客户签收确认后确认营业收入。</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5"/>
        </w:rPr>
        <w:t> </w:t>
      </w:r>
      <w:r>
        <w:rPr/>
        <w:t>提供劳务收入确认具体原则</w:t>
      </w:r>
    </w:p>
    <w:p>
      <w:pPr>
        <w:spacing w:line="240" w:lineRule="auto" w:before="4"/>
        <w:rPr>
          <w:rFonts w:ascii="宋体" w:hAnsi="宋体" w:cs="宋体" w:eastAsia="宋体" w:hint="default"/>
          <w:sz w:val="17"/>
          <w:szCs w:val="17"/>
        </w:rPr>
      </w:pPr>
    </w:p>
    <w:p>
      <w:pPr>
        <w:pStyle w:val="BodyText"/>
        <w:spacing w:line="312" w:lineRule="exact"/>
        <w:ind w:right="1118"/>
        <w:jc w:val="left"/>
      </w:pPr>
      <w:r>
        <w:rPr/>
        <w:t>提供劳务收入包括向客户提供的技术开发、产品维护、委托测试服务以及技术培训服务收入</w:t>
      </w:r>
      <w:r>
        <w:rPr>
          <w:spacing w:val="-112"/>
        </w:rPr>
        <w:t> </w:t>
      </w:r>
      <w:r>
        <w:rPr>
          <w:spacing w:val="-112"/>
        </w:rPr>
      </w:r>
      <w:r>
        <w:rPr/>
        <w:t>等。</w:t>
      </w:r>
    </w:p>
    <w:p>
      <w:pPr>
        <w:spacing w:line="240" w:lineRule="auto" w:before="7"/>
        <w:rPr>
          <w:rFonts w:ascii="宋体" w:hAnsi="宋体" w:cs="宋体" w:eastAsia="宋体" w:hint="default"/>
          <w:sz w:val="16"/>
          <w:szCs w:val="16"/>
        </w:rPr>
      </w:pPr>
    </w:p>
    <w:p>
      <w:pPr>
        <w:pStyle w:val="BodyText"/>
        <w:spacing w:line="312" w:lineRule="exact"/>
        <w:ind w:right="0"/>
        <w:jc w:val="left"/>
      </w:pPr>
      <w:r>
        <w:rPr/>
        <w:t>对于技术开发和委托测试服务，合同明确约定服务成果需经客户验收确认的，在本集团提交 相应服务成果，通过客户验收并取得客户盖章确认的《验收单》后确认收入。</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对于产品维护及技术培训服务，合同明确约定服务期限的，在合同约定的服务期限内，在本 集团提供了相应服务，取得明确的收款证据，相关成本能够可靠地计量时，确认收入。如果 收入跨期，按完工百分比法确认收入，完工进度按已经提供的劳务占应提供劳务总量的比例 确定。</w:t>
      </w:r>
    </w:p>
    <w:p>
      <w:pPr>
        <w:pStyle w:val="BodyText"/>
        <w:spacing w:line="240" w:lineRule="auto" w:before="185"/>
        <w:ind w:right="0"/>
        <w:jc w:val="both"/>
      </w:pPr>
      <w:r>
        <w:rPr/>
        <w:t>②经销模式收入确认政策</w:t>
      </w:r>
    </w:p>
    <w:p>
      <w:pPr>
        <w:spacing w:line="240" w:lineRule="auto" w:before="9"/>
        <w:rPr>
          <w:rFonts w:ascii="宋体" w:hAnsi="宋体" w:cs="宋体" w:eastAsia="宋体" w:hint="default"/>
          <w:sz w:val="18"/>
          <w:szCs w:val="18"/>
        </w:rPr>
      </w:pPr>
    </w:p>
    <w:p>
      <w:pPr>
        <w:pStyle w:val="BodyText"/>
        <w:spacing w:line="312" w:lineRule="exact"/>
        <w:ind w:right="0"/>
        <w:jc w:val="left"/>
      </w:pPr>
      <w:r>
        <w:rPr/>
        <w:t>根据本集团与经销商签订的销售合同中约定，本集团产品在交付经销商或经其验收合格后，</w:t>
      </w:r>
      <w:r>
        <w:rPr>
          <w:spacing w:val="-112"/>
        </w:rPr>
        <w:t> </w:t>
      </w:r>
      <w:r>
        <w:rPr>
          <w:spacing w:val="-112"/>
        </w:rPr>
      </w:r>
      <w:r>
        <w:rPr/>
        <w:t>产品的所有权相关的风险和报酬已经转移。</w:t>
      </w:r>
    </w:p>
    <w:p>
      <w:pPr>
        <w:spacing w:line="240" w:lineRule="auto" w:before="0"/>
        <w:rPr>
          <w:rFonts w:ascii="宋体" w:hAnsi="宋体" w:cs="宋体" w:eastAsia="宋体" w:hint="default"/>
          <w:sz w:val="24"/>
          <w:szCs w:val="24"/>
        </w:rPr>
      </w:pPr>
    </w:p>
    <w:p>
      <w:pPr>
        <w:pStyle w:val="BodyText"/>
        <w:spacing w:line="312" w:lineRule="exact" w:before="166"/>
        <w:ind w:left="1134" w:right="0"/>
        <w:jc w:val="left"/>
      </w:pPr>
      <w:r>
        <w:rPr/>
        <w:t>经销模式下，本集团根据合同约定条款，在通过第三方物流公司将商品交付经销商并取得经 销商确认签收或需经验收合格情况下取得经销商验收后，确认收入。</w:t>
      </w:r>
    </w:p>
    <w:p>
      <w:pPr>
        <w:spacing w:line="403" w:lineRule="auto" w:before="185"/>
        <w:ind w:left="1133" w:right="0" w:firstLine="0"/>
        <w:jc w:val="left"/>
        <w:rPr>
          <w:rFonts w:ascii="宋体" w:hAnsi="宋体" w:cs="宋体" w:eastAsia="宋体" w:hint="default"/>
          <w:sz w:val="24"/>
          <w:szCs w:val="24"/>
        </w:rPr>
      </w:pPr>
      <w:r>
        <w:rPr>
          <w:rFonts w:ascii="宋体" w:hAnsi="宋体" w:cs="宋体" w:eastAsia="宋体" w:hint="default"/>
          <w:b/>
          <w:bCs/>
          <w:sz w:val="24"/>
          <w:szCs w:val="24"/>
        </w:rPr>
        <w:t>铁路与轨道交通板块</w:t>
      </w:r>
      <w:r>
        <w:rPr>
          <w:rFonts w:ascii="宋体" w:hAnsi="宋体" w:cs="宋体" w:eastAsia="宋体" w:hint="default"/>
          <w:b/>
          <w:bCs/>
          <w:w w:val="99"/>
          <w:sz w:val="24"/>
          <w:szCs w:val="24"/>
        </w:rPr>
        <w:t> </w:t>
      </w:r>
      <w:r>
        <w:rPr>
          <w:rFonts w:ascii="宋体" w:hAnsi="宋体" w:cs="宋体" w:eastAsia="宋体" w:hint="default"/>
          <w:sz w:val="24"/>
          <w:szCs w:val="24"/>
        </w:rPr>
        <w:t>铁路与轨道交通牵引供电装备产品销售取得收入为交付产品并取得客户签收回执后确认。</w:t>
      </w:r>
    </w:p>
    <w:p>
      <w:pPr>
        <w:pStyle w:val="BodyText"/>
        <w:spacing w:line="312" w:lineRule="exact" w:before="82"/>
        <w:ind w:right="995"/>
        <w:jc w:val="left"/>
      </w:pPr>
      <w:r>
        <w:rPr/>
        <w:t>新能源业务和其他劳务服务取得收入为在同一年度内开始并完成的劳务，在完成劳务时确认 </w:t>
      </w:r>
      <w:r>
        <w:rPr>
          <w:spacing w:val="-2"/>
        </w:rPr>
        <w:t>收入，劳务的开始和完成分属不同的会计年度时，在提供劳务的结果能够可靠估计的情况下，</w:t>
      </w:r>
      <w:r>
        <w:rPr/>
        <w:t> 于资产负债表日按完工百分比法确认相关的劳务收入，完工百分比按照已经提供的劳务占应</w:t>
      </w:r>
      <w:r>
        <w:rPr>
          <w:spacing w:val="-114"/>
        </w:rPr>
        <w:t> </w:t>
      </w:r>
      <w:r>
        <w:rPr>
          <w:spacing w:val="-114"/>
        </w:rPr>
      </w:r>
      <w:r>
        <w:rPr/>
        <w:t>提供的劳务总量的比例或已经发生的成本占估计总成本的比例确认。</w:t>
      </w:r>
    </w:p>
    <w:p>
      <w:pPr>
        <w:pStyle w:val="BodyText"/>
        <w:spacing w:line="403" w:lineRule="auto" w:before="185"/>
        <w:ind w:right="3793"/>
        <w:jc w:val="left"/>
      </w:pPr>
      <w:r>
        <w:rPr>
          <w:rFonts w:ascii="宋体" w:hAnsi="宋体" w:cs="宋体" w:eastAsia="宋体" w:hint="default"/>
          <w:b/>
          <w:bCs/>
        </w:rPr>
        <w:t>军工板块</w:t>
      </w:r>
      <w:r>
        <w:rPr>
          <w:rFonts w:ascii="宋体" w:hAnsi="宋体" w:cs="宋体" w:eastAsia="宋体" w:hint="default"/>
          <w:b/>
          <w:bCs/>
          <w:spacing w:val="1"/>
          <w:w w:val="99"/>
        </w:rPr>
        <w:t> </w:t>
      </w:r>
      <w:r>
        <w:rPr/>
        <w:t>向客户发货或提供的相应服务成果，并取得客户确认后确认收入。</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spacing w:before="0"/>
        <w:ind w:left="1133" w:right="0" w:firstLine="0"/>
        <w:jc w:val="both"/>
        <w:rPr>
          <w:rFonts w:ascii="宋体" w:hAnsi="宋体" w:cs="宋体" w:eastAsia="宋体" w:hint="default"/>
          <w:sz w:val="21"/>
          <w:szCs w:val="21"/>
        </w:rPr>
      </w:pPr>
      <w:bookmarkStart w:name="26、政府补助" w:id="205"/>
      <w:bookmarkEnd w:id="20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与资产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0"/>
        <w:jc w:val="left"/>
      </w:pPr>
      <w:r>
        <w:rPr/>
        <w:t>与资产相关的政府补助，是指本集团取得的、用于购建或以其他方式形成长期资产的政府补 助；除此之外，作为与收益相关的政府补助。</w:t>
      </w:r>
    </w:p>
    <w:p>
      <w:pPr>
        <w:spacing w:line="240" w:lineRule="auto" w:before="7"/>
        <w:rPr>
          <w:rFonts w:ascii="宋体" w:hAnsi="宋体" w:cs="宋体" w:eastAsia="宋体" w:hint="default"/>
          <w:sz w:val="16"/>
          <w:szCs w:val="16"/>
        </w:rPr>
      </w:pPr>
    </w:p>
    <w:p>
      <w:pPr>
        <w:pStyle w:val="BodyText"/>
        <w:spacing w:line="312" w:lineRule="exact"/>
        <w:ind w:left="1134" w:right="1139"/>
        <w:jc w:val="both"/>
      </w:pPr>
      <w:r>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BodyText"/>
        <w:spacing w:line="240" w:lineRule="auto" w:before="185"/>
        <w:ind w:left="1134" w:right="0"/>
        <w:jc w:val="both"/>
      </w:pPr>
      <w:r>
        <w:rPr/>
        <w:t>与资产相关的政府补助确认为递延收益在相关资产使用期限内按照合理、系统的方法分期计</w:t>
      </w:r>
    </w:p>
    <w:p>
      <w:pPr>
        <w:spacing w:after="0" w:line="240"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入损益。与收益相关的政府补助，用于补偿已发生的相关成本费用或损失的，计入当期损益 或冲减相关成本；用于补偿以后期间的相关成本费用或损失的，则计入递延收益，于相关成 本费用或损失确认期间计入当期损益或冲减相关成本。按照名义金额计量的政府补助，直接 计入当期损益。本集团对相同或类似的政府补助业务，采用一致的方法处理。</w:t>
      </w:r>
    </w:p>
    <w:p>
      <w:pPr>
        <w:spacing w:line="240" w:lineRule="auto" w:before="7"/>
        <w:rPr>
          <w:rFonts w:ascii="宋体" w:hAnsi="宋体" w:cs="宋体" w:eastAsia="宋体" w:hint="default"/>
          <w:sz w:val="16"/>
          <w:szCs w:val="16"/>
        </w:rPr>
      </w:pPr>
    </w:p>
    <w:p>
      <w:pPr>
        <w:pStyle w:val="BodyText"/>
        <w:spacing w:line="312" w:lineRule="exact"/>
        <w:ind w:right="1139"/>
        <w:jc w:val="both"/>
      </w:pPr>
      <w:r>
        <w:rPr/>
        <w:t>与日常活动相关的政府补助，按照经济业务实质，计入其他收益或冲减相关成本费用。与日 常活动无关的政府补助，计入营业外收支。</w:t>
      </w:r>
    </w:p>
    <w:p>
      <w:pPr>
        <w:pStyle w:val="BodyText"/>
        <w:spacing w:line="312" w:lineRule="exact" w:before="216"/>
        <w:ind w:right="1139"/>
        <w:jc w:val="both"/>
      </w:pPr>
      <w:r>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spacing w:before="0"/>
        <w:ind w:left="1133" w:right="0" w:firstLine="0"/>
        <w:jc w:val="both"/>
        <w:rPr>
          <w:rFonts w:ascii="宋体" w:hAnsi="宋体" w:cs="宋体" w:eastAsia="宋体" w:hint="default"/>
          <w:sz w:val="21"/>
          <w:szCs w:val="21"/>
        </w:rPr>
      </w:pPr>
      <w:bookmarkStart w:name="（2）与收益相关的政府补助判断依据及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139"/>
        <w:jc w:val="both"/>
      </w:pPr>
      <w:r>
        <w:rPr/>
        <w:t>用于补偿企业以后期间的相关成本费用或损失的，确认为递延收益，并在确认相关成本费用 或损失的期间，计入当期损益或冲减相关成本；</w:t>
      </w:r>
    </w:p>
    <w:p>
      <w:pPr>
        <w:pStyle w:val="BodyText"/>
        <w:spacing w:line="321" w:lineRule="auto" w:before="152"/>
        <w:ind w:right="1153"/>
        <w:jc w:val="left"/>
      </w:pPr>
      <w:r>
        <w:rPr/>
        <w:t>用于补偿企业已发生的相关成本费用或损失的，直接计入当期损益或冲减相关成本。 已确认的政府补助需要退回的，应当在需要退回的当期分情况按照以下规定进行会计处理： </w:t>
      </w:r>
      <w:r>
        <w:rPr>
          <w:rFonts w:ascii="Times New Roman" w:hAnsi="Times New Roman" w:cs="Times New Roman" w:eastAsia="Times New Roman" w:hint="default"/>
        </w:rPr>
        <w:t>a.</w:t>
      </w:r>
      <w:r>
        <w:rPr/>
        <w:t>初始确认时冲减相关资产账面价值的，调整资产账面价值； </w:t>
      </w:r>
      <w:r>
        <w:rPr>
          <w:rFonts w:ascii="Times New Roman" w:hAnsi="Times New Roman" w:cs="Times New Roman" w:eastAsia="Times New Roman" w:hint="default"/>
        </w:rPr>
        <w:t>b.</w:t>
      </w:r>
      <w:r>
        <w:rPr/>
        <w:t>存在相关递延收益的，冲减相关递延收益账面余额，超出部分计入当期损益； </w:t>
      </w:r>
      <w:r>
        <w:rPr>
          <w:rFonts w:ascii="Times New Roman" w:hAnsi="Times New Roman" w:cs="Times New Roman" w:eastAsia="Times New Roman" w:hint="default"/>
        </w:rPr>
        <w:t>c.</w:t>
      </w:r>
      <w:r>
        <w:rPr/>
        <w:t>属于其他情况的，直接计入当期损益。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1133" w:right="0" w:firstLine="0"/>
        <w:jc w:val="both"/>
        <w:rPr>
          <w:rFonts w:ascii="宋体" w:hAnsi="宋体" w:cs="宋体" w:eastAsia="宋体" w:hint="default"/>
          <w:sz w:val="21"/>
          <w:szCs w:val="21"/>
        </w:rPr>
      </w:pPr>
      <w:bookmarkStart w:name="27、递延所得税资产/递延所得税负债" w:id="208"/>
      <w:bookmarkEnd w:id="208"/>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jc w:val="both"/>
      </w:pPr>
      <w:r>
        <w:rPr/>
        <w:t>所得税包括当期所得税和递延所得税。除由于企业合并产生的调整商誉，或与直接计入所有 者权益的交易或者事项相关的递延所得税计入所有者权益外，均作为所得税费用计入当期损 益。</w:t>
      </w:r>
    </w:p>
    <w:p>
      <w:pPr>
        <w:spacing w:line="240" w:lineRule="auto" w:before="7"/>
        <w:rPr>
          <w:rFonts w:ascii="宋体" w:hAnsi="宋体" w:cs="宋体" w:eastAsia="宋体" w:hint="default"/>
          <w:sz w:val="16"/>
          <w:szCs w:val="16"/>
        </w:rPr>
      </w:pPr>
    </w:p>
    <w:p>
      <w:pPr>
        <w:pStyle w:val="BodyText"/>
        <w:spacing w:line="312" w:lineRule="exact"/>
        <w:ind w:left="1134" w:right="1130"/>
        <w:jc w:val="both"/>
      </w:pPr>
      <w:r>
        <w:rPr/>
        <w:t>本集团根据资产、负债于资产负债表日的账面价值与计税基础之间的暂时性差异，采用资产</w:t>
      </w:r>
      <w:r>
        <w:rPr>
          <w:spacing w:val="-111"/>
        </w:rPr>
        <w:t> </w:t>
      </w:r>
      <w:r>
        <w:rPr>
          <w:spacing w:val="-111"/>
        </w:rPr>
      </w:r>
      <w:r>
        <w:rPr/>
        <w:t>负债表债务法确认递延所得税。</w:t>
      </w:r>
    </w:p>
    <w:p>
      <w:pPr>
        <w:pStyle w:val="BodyText"/>
        <w:spacing w:line="312" w:lineRule="exact" w:before="216"/>
        <w:ind w:left="1134" w:right="1139"/>
        <w:jc w:val="both"/>
      </w:pPr>
      <w:r>
        <w:rPr/>
        <w:t>各项应纳税暂时性差异均确认相关的递延所得税负债，除非该应纳税暂时性差异是在以下交 易中产生的：</w:t>
      </w:r>
    </w:p>
    <w:p>
      <w:pPr>
        <w:pStyle w:val="BodyText"/>
        <w:spacing w:line="312" w:lineRule="exact" w:before="216"/>
        <w:ind w:left="1134" w:right="1133"/>
        <w:jc w:val="both"/>
      </w:pPr>
      <w:r>
        <w:rPr>
          <w:spacing w:val="-3"/>
        </w:rPr>
        <w:t>（</w:t>
      </w:r>
      <w:r>
        <w:rPr>
          <w:rFonts w:ascii="Times New Roman" w:hAnsi="Times New Roman" w:cs="Times New Roman" w:eastAsia="Times New Roman" w:hint="default"/>
          <w:spacing w:val="-3"/>
        </w:rPr>
        <w:t>1</w:t>
      </w:r>
      <w:r>
        <w:rPr>
          <w:spacing w:val="-3"/>
        </w:rPr>
        <w:t>）商誉的初始确认，或者具有以下特征的交易中产生的资产或负债的初始确认：该交易不</w:t>
      </w:r>
      <w:r>
        <w:rPr>
          <w:spacing w:val="-81"/>
        </w:rPr>
        <w:t> </w:t>
      </w:r>
      <w:r>
        <w:rPr>
          <w:spacing w:val="-81"/>
        </w:rPr>
      </w:r>
      <w:r>
        <w:rPr/>
        <w:t>是企业合并，并且交易发生时既不影响会计利润也不影响应纳税所得额；</w:t>
      </w:r>
    </w:p>
    <w:p>
      <w:pPr>
        <w:pStyle w:val="BodyText"/>
        <w:spacing w:line="312" w:lineRule="exact" w:before="216"/>
        <w:ind w:left="1134" w:right="1133"/>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）对于与子公司、合营企业及联营企业投资相关的应纳税暂时性差异，该暂时性差异转回</w:t>
      </w:r>
      <w:r>
        <w:rPr>
          <w:spacing w:val="-81"/>
        </w:rPr>
        <w:t> </w:t>
      </w:r>
      <w:r>
        <w:rPr>
          <w:spacing w:val="-81"/>
        </w:rPr>
      </w:r>
      <w:r>
        <w:rPr/>
        <w:t>的时间能够控制并且该暂时性差异在可预见的未来很可能不会转回。</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7"/>
        <w:jc w:val="both"/>
      </w:pPr>
      <w:r>
        <w:rPr/>
        <w:t>对于可抵扣暂时性差异、能够结转以后年度的可抵扣亏损和税款抵减，本集团以很可能取得 用来抵扣可抵扣暂时性差异、可抵扣亏损和税款抵减的未来应纳税所得额为限，确认由此产 生的递延所得税资产，除非该可抵扣暂时性差异是在以下交易中产生的：</w:t>
      </w:r>
    </w:p>
    <w:p>
      <w:pPr>
        <w:pStyle w:val="BodyText"/>
        <w:spacing w:line="240" w:lineRule="auto" w:before="185"/>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17"/>
          <w:szCs w:val="17"/>
        </w:rPr>
      </w:pPr>
    </w:p>
    <w:p>
      <w:pPr>
        <w:pStyle w:val="BodyText"/>
        <w:spacing w:line="312" w:lineRule="exact"/>
        <w:ind w:left="1134" w:right="1133"/>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）对于与子公司、合营企业及联营企业投资相关的可抵扣暂时性差异，同时满足下列条件</w:t>
      </w:r>
      <w:r>
        <w:rPr>
          <w:spacing w:val="-81"/>
        </w:rPr>
        <w:t> </w:t>
      </w:r>
      <w:r>
        <w:rPr>
          <w:spacing w:val="-81"/>
        </w:rPr>
      </w:r>
      <w:r>
        <w:rPr/>
        <w:t>的，确认相应的递延所得税资产：暂时性差异在可预见的未来很可能转回，且未来很可能获 得用来抵扣可抵扣暂时性差异的应纳税所得额。</w:t>
      </w:r>
    </w:p>
    <w:p>
      <w:pPr>
        <w:spacing w:line="240" w:lineRule="auto" w:before="7"/>
        <w:rPr>
          <w:rFonts w:ascii="宋体" w:hAnsi="宋体" w:cs="宋体" w:eastAsia="宋体" w:hint="default"/>
          <w:sz w:val="16"/>
          <w:szCs w:val="16"/>
        </w:rPr>
      </w:pPr>
    </w:p>
    <w:p>
      <w:pPr>
        <w:pStyle w:val="BodyText"/>
        <w:spacing w:line="312" w:lineRule="exact"/>
        <w:ind w:left="1134" w:right="1137"/>
        <w:jc w:val="both"/>
      </w:pPr>
      <w:r>
        <w:rPr/>
        <w:t>于资产负债表日，本集团对递延所得税资产和递延所得税负债，按照预期收回该资产或清偿 该负债期间的适用税率计量，并反映资产负债表日预期收回资产或清偿负债方式的所得税影 响。</w:t>
      </w:r>
    </w:p>
    <w:p>
      <w:pPr>
        <w:pStyle w:val="BodyText"/>
        <w:spacing w:line="312" w:lineRule="exact" w:before="216"/>
        <w:ind w:left="1134" w:right="994"/>
        <w:jc w:val="left"/>
      </w:pPr>
      <w:r>
        <w:rPr/>
        <w:t>于资产负债表日，本集团对递延所得税资产的账面价值进行复核。如果未来期间很可能无法 </w:t>
      </w:r>
      <w:r>
        <w:rPr>
          <w:spacing w:val="-2"/>
        </w:rPr>
        <w:t>获得足够的应纳税所得额用以抵扣递延所得税资产的利益，减记递延所得税资产的账面价值。</w:t>
      </w:r>
      <w:r>
        <w:rPr/>
        <w:t> 在很可能获得足够的应纳税所得额时，减记的金额予以转回。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28、租赁" w:id="209"/>
      <w:bookmarkEnd w:id="209"/>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经营租赁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39"/>
        <w:jc w:val="both"/>
      </w:pPr>
      <w:r>
        <w:rPr/>
        <w:t>本集团将实质上转移了与资产所有权有关的全部风险和报酬的租赁确认为融资租赁，除融资 租赁之外的其他租赁确认为经营租赁。</w:t>
      </w:r>
    </w:p>
    <w:p>
      <w:pPr>
        <w:pStyle w:val="BodyText"/>
        <w:spacing w:line="312" w:lineRule="exact" w:before="216"/>
        <w:ind w:left="1518" w:right="1125" w:hanging="384"/>
        <w:jc w:val="left"/>
      </w:pPr>
      <w:r>
        <w:rPr/>
        <w:t>（</w:t>
      </w:r>
      <w:r>
        <w:rPr>
          <w:rFonts w:ascii="Times New Roman" w:hAnsi="Times New Roman" w:cs="Times New Roman" w:eastAsia="Times New Roman" w:hint="default"/>
        </w:rPr>
        <w:t>1</w:t>
      </w:r>
      <w:r>
        <w:rPr/>
        <w:t>）本集团作为出租人 </w:t>
      </w:r>
      <w:r>
        <w:rPr>
          <w:spacing w:val="-3"/>
        </w:rPr>
        <w:t>经营租赁中的租金，本集团在租赁期内各个期间按照直线法确认当期损益。发生的初始直</w:t>
      </w:r>
    </w:p>
    <w:p>
      <w:pPr>
        <w:pStyle w:val="BodyText"/>
        <w:spacing w:line="282" w:lineRule="exact"/>
        <w:ind w:left="1134" w:right="0"/>
        <w:jc w:val="both"/>
      </w:pPr>
      <w:r>
        <w:rPr/>
        <w:t>接费用，计入当期损益。</w:t>
      </w:r>
    </w:p>
    <w:p>
      <w:pPr>
        <w:pStyle w:val="BodyText"/>
        <w:spacing w:line="312" w:lineRule="exact" w:before="29"/>
        <w:ind w:left="1518" w:right="1248" w:hanging="384"/>
        <w:jc w:val="left"/>
      </w:pPr>
      <w:r>
        <w:rPr/>
        <w:t>（</w:t>
      </w:r>
      <w:r>
        <w:rPr>
          <w:rFonts w:ascii="Times New Roman" w:hAnsi="Times New Roman" w:cs="Times New Roman" w:eastAsia="Times New Roman" w:hint="default"/>
        </w:rPr>
        <w:t>2</w:t>
      </w:r>
      <w:r>
        <w:rPr/>
        <w:t>）本集团作为承租人 经营租赁中的租金，本集团在租赁期内各个期间按照直线法计入相关资产成本或当期损</w:t>
      </w:r>
    </w:p>
    <w:p>
      <w:pPr>
        <w:pStyle w:val="BodyText"/>
        <w:spacing w:line="283" w:lineRule="exact"/>
        <w:ind w:left="1134" w:right="0"/>
        <w:jc w:val="both"/>
      </w:pPr>
      <w:r>
        <w:rPr/>
        <w:t>益；发生的初始直接费用，计入当期损益。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4" w:right="0" w:firstLine="0"/>
        <w:jc w:val="both"/>
        <w:rPr>
          <w:rFonts w:ascii="宋体" w:hAnsi="宋体" w:cs="宋体" w:eastAsia="宋体" w:hint="default"/>
          <w:sz w:val="21"/>
          <w:szCs w:val="21"/>
        </w:rPr>
      </w:pPr>
      <w:bookmarkStart w:name="（2）融资租赁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w:t>
      </w:r>
      <w:r>
        <w:rPr>
          <w:rFonts w:ascii="Times New Roman" w:hAnsi="Times New Roman" w:cs="Times New Roman" w:eastAsia="Times New Roman" w:hint="default"/>
        </w:rPr>
        <w:t>1</w:t>
      </w:r>
      <w:r>
        <w:rPr/>
        <w:t>）本集团作为出租人</w:t>
      </w:r>
    </w:p>
    <w:p>
      <w:pPr>
        <w:pStyle w:val="BodyText"/>
        <w:spacing w:line="237" w:lineRule="auto" w:before="198"/>
        <w:ind w:right="1129"/>
        <w:jc w:val="both"/>
      </w:pPr>
      <w:r>
        <w:rPr/>
        <w:t>融资租赁中，在租赁期开始日本集团按最低租赁收款额与初始直接费用之和作为应收融资租 赁款的入账价值，同时记录未担保余值；将最低租赁收款额、初始直接费用及未担保余值之 和与其现值之和的差额确认为未实现融资收益。未实现融资收益在租赁期内各个期间采用实</w:t>
      </w:r>
      <w:r>
        <w:rPr>
          <w:spacing w:val="-110"/>
        </w:rPr>
        <w:t> </w:t>
      </w:r>
      <w:r>
        <w:rPr>
          <w:spacing w:val="-110"/>
        </w:rPr>
      </w:r>
      <w:r>
        <w:rPr/>
        <w:t>际利率法计算确认当期的融资收入。</w:t>
      </w:r>
    </w:p>
    <w:p>
      <w:pPr>
        <w:pStyle w:val="BodyText"/>
        <w:spacing w:line="381" w:lineRule="auto" w:before="214"/>
        <w:ind w:left="1134" w:right="1139"/>
        <w:jc w:val="both"/>
      </w:pPr>
      <w:r>
        <w:rPr/>
        <w:t>（</w:t>
      </w:r>
      <w:r>
        <w:rPr>
          <w:rFonts w:ascii="Times New Roman" w:hAnsi="Times New Roman" w:cs="Times New Roman" w:eastAsia="Times New Roman" w:hint="default"/>
        </w:rPr>
        <w:t>2</w:t>
      </w:r>
      <w:r>
        <w:rPr/>
        <w:t>）本集团作为承租人 融资租赁中，在租赁期开始日本集团将租赁资产公允价值与最低租赁付款额现值两者中较低</w:t>
      </w:r>
    </w:p>
    <w:p>
      <w:pPr>
        <w:spacing w:after="0" w:line="381"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9"/>
        <w:jc w:val="both"/>
      </w:pPr>
      <w:r>
        <w:rPr/>
        <w:t>者作为租入资产的入账价值，将最低租赁付款额作为长期应付款的入账价值，其差额作为未 确认融资费用。初始直接费用计入租入资产价值。未确认融资费用在租赁期内各个期间采用 实际利率法计算确认当期的融资费用。本集团采用与自有固定资产相一致的折旧政策计提租 赁资产折旧。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spacing w:before="0"/>
        <w:ind w:left="1133" w:right="0" w:firstLine="0"/>
        <w:jc w:val="left"/>
        <w:rPr>
          <w:rFonts w:ascii="宋体" w:hAnsi="宋体" w:cs="宋体" w:eastAsia="宋体" w:hint="default"/>
          <w:sz w:val="21"/>
          <w:szCs w:val="21"/>
        </w:rPr>
      </w:pPr>
      <w:bookmarkStart w:name="29、其他重要的会计政策和会计估计" w:id="212"/>
      <w:bookmarkEnd w:id="212"/>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jc w:val="left"/>
      </w:pPr>
      <w:r>
        <w:rPr/>
        <w:t>本集团根据历史经验和其它因素，包括对未来事项的合理预期，对所采用的重要会计估计和</w:t>
      </w:r>
      <w:r>
        <w:rPr>
          <w:spacing w:val="-110"/>
        </w:rPr>
        <w:t> </w:t>
      </w:r>
      <w:r>
        <w:rPr>
          <w:spacing w:val="-110"/>
        </w:rPr>
      </w:r>
      <w:r>
        <w:rPr/>
        <w:t>关键假设进行持续的评价。</w:t>
      </w:r>
    </w:p>
    <w:p>
      <w:pPr>
        <w:spacing w:line="240" w:lineRule="auto" w:before="7"/>
        <w:rPr>
          <w:rFonts w:ascii="宋体" w:hAnsi="宋体" w:cs="宋体" w:eastAsia="宋体" w:hint="default"/>
          <w:sz w:val="16"/>
          <w:szCs w:val="16"/>
        </w:rPr>
      </w:pPr>
    </w:p>
    <w:p>
      <w:pPr>
        <w:pStyle w:val="BodyText"/>
        <w:spacing w:line="312" w:lineRule="exact"/>
        <w:ind w:right="0"/>
        <w:jc w:val="left"/>
      </w:pPr>
      <w:r>
        <w:rPr/>
        <w:t>很可能导致下一会计年度资产和负债的账面价值出现重大调整风险的重要会计估计和关键假 设列示如下：</w:t>
      </w:r>
    </w:p>
    <w:p>
      <w:pPr>
        <w:pStyle w:val="BodyText"/>
        <w:spacing w:line="240" w:lineRule="auto" w:before="185"/>
        <w:ind w:right="0"/>
        <w:jc w:val="left"/>
      </w:pPr>
      <w:r>
        <w:rPr/>
        <w:t>商誉减值</w:t>
      </w:r>
    </w:p>
    <w:p>
      <w:pPr>
        <w:spacing w:line="240" w:lineRule="auto" w:before="9"/>
        <w:rPr>
          <w:rFonts w:ascii="宋体" w:hAnsi="宋体" w:cs="宋体" w:eastAsia="宋体" w:hint="default"/>
          <w:sz w:val="18"/>
          <w:szCs w:val="18"/>
        </w:rPr>
      </w:pPr>
    </w:p>
    <w:p>
      <w:pPr>
        <w:pStyle w:val="BodyText"/>
        <w:spacing w:line="312" w:lineRule="exact"/>
        <w:ind w:right="995"/>
        <w:jc w:val="left"/>
      </w:pPr>
      <w:r>
        <w:rPr>
          <w:spacing w:val="-2"/>
        </w:rPr>
        <w:t>本集团至少每年评估商誉是否发生减值。这要求对分配了商誉的资产组的使用价值进行估计。</w:t>
      </w:r>
      <w:r>
        <w:rPr/>
        <w:t> 估计使用价值时，本集团需要估计未来来自资产组的现金流量，同时选择恰当的折现率计算 未来现金流量的现值。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5"/>
        <w:ind w:left="1133" w:right="0" w:firstLine="0"/>
        <w:jc w:val="left"/>
        <w:rPr>
          <w:rFonts w:ascii="宋体" w:hAnsi="宋体" w:cs="宋体" w:eastAsia="宋体" w:hint="default"/>
          <w:sz w:val="21"/>
          <w:szCs w:val="21"/>
        </w:rPr>
      </w:pPr>
      <w:bookmarkStart w:name="30、重要会计政策和会计估计变更" w:id="213"/>
      <w:bookmarkEnd w:id="21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重要会计政策变更"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pict>
          <v:shape style="position:absolute;margin-left:56.459999pt;margin-top:-165.848282pt;width:479.25pt;height:246.0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 </w:t>
                        </w:r>
                        <w:r>
                          <w:rPr>
                            <w:rFonts w:ascii="宋体" w:hAnsi="宋体" w:cs="宋体" w:eastAsia="宋体" w:hint="default"/>
                            <w:spacing w:val="-9"/>
                            <w:sz w:val="18"/>
                            <w:szCs w:val="18"/>
                          </w:rPr>
                          <w:t>助》（</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），政府补助的会计处理方法</w:t>
                        </w:r>
                        <w:r>
                          <w:rPr>
                            <w:rFonts w:ascii="宋体" w:hAnsi="宋体" w:cs="宋体" w:eastAsia="宋体" w:hint="default"/>
                            <w:sz w:val="18"/>
                            <w:szCs w:val="18"/>
                          </w:rPr>
                          <w:t> 从总额法改为允许采用净额法，将与资 产相关的政府补助相关递延收益的摊销 方式从在相关资产使用寿命内平均分配 改为按照合理、系统的方法分配，并修 改了政府补助的列报项目。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取得的政府补助适用修订后的准则。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第三届董事会第三十一次会议审议通过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受影响的报表项目为：本期影响金额：</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其他收益，影响金额为增加了</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15,204,115.60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营业外收入，影响金</w:t>
                        </w:r>
                      </w:p>
                      <w:p>
                        <w:pPr>
                          <w:pStyle w:val="TableParagraph"/>
                          <w:spacing w:line="302" w:lineRule="auto" w:before="63"/>
                          <w:ind w:left="22" w:right="55"/>
                          <w:jc w:val="left"/>
                          <w:rPr>
                            <w:rFonts w:ascii="宋体" w:hAnsi="宋体" w:cs="宋体" w:eastAsia="宋体" w:hint="default"/>
                            <w:sz w:val="18"/>
                            <w:szCs w:val="18"/>
                          </w:rPr>
                        </w:pPr>
                        <w:r>
                          <w:rPr>
                            <w:rFonts w:ascii="宋体" w:hAnsi="宋体" w:cs="宋体" w:eastAsia="宋体" w:hint="default"/>
                            <w:sz w:val="18"/>
                            <w:szCs w:val="18"/>
                          </w:rPr>
                          <w:t>额为减少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15,204,115.60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元。对当期及前 期的净损益无影响。</w:t>
                        </w:r>
                      </w:p>
                    </w:tc>
                  </w:tr>
                  <w:tr>
                    <w:trPr>
                      <w:trHeight w:val="161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[2017]30</w:t>
                        </w:r>
                        <w:r>
                          <w:rPr>
                            <w:rFonts w:ascii="Times New Roman" w:hAnsi="Times New Roman" w:cs="Times New Roman" w:eastAsia="Times New Roman" w:hint="default"/>
                            <w:spacing w:val="13"/>
                            <w:sz w:val="18"/>
                            <w:szCs w:val="18"/>
                          </w:rPr>
                          <w:t> </w:t>
                        </w:r>
                        <w:r>
                          <w:rPr>
                            <w:rFonts w:ascii="宋体" w:hAnsi="宋体" w:cs="宋体" w:eastAsia="宋体" w:hint="default"/>
                            <w:spacing w:val="-23"/>
                            <w:sz w:val="18"/>
                            <w:szCs w:val="18"/>
                          </w:rPr>
                          <w:t>号），在利润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w w:val="100"/>
                            <w:sz w:val="18"/>
                            <w:szCs w:val="18"/>
                          </w:rPr>
                          <w:t>表中新增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行项目，反映企</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业出售划分为持有待售的非流动资产</w:t>
                        </w:r>
                      </w:p>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（金融工具、长期股权投资和投资性房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第四届董事会第六次会议审议通过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受影响的报表项目为：本期影响金额：</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资产处置损益，影响金额为增加了 </w:t>
                        </w:r>
                        <w:r>
                          <w:rPr>
                            <w:rFonts w:ascii="Times New Roman" w:hAnsi="Times New Roman" w:cs="Times New Roman" w:eastAsia="Times New Roman" w:hint="default"/>
                            <w:sz w:val="18"/>
                            <w:szCs w:val="18"/>
                          </w:rPr>
                          <w:t>9,601.22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营业外收入，影响金额为</w:t>
                        </w:r>
                      </w:p>
                      <w:p>
                        <w:pPr>
                          <w:pStyle w:val="TableParagraph"/>
                          <w:spacing w:line="300"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9,601.22 </w:t>
                        </w:r>
                        <w:r>
                          <w:rPr>
                            <w:rFonts w:ascii="宋体" w:hAnsi="宋体" w:cs="宋体" w:eastAsia="宋体" w:hint="default"/>
                            <w:sz w:val="18"/>
                            <w:szCs w:val="18"/>
                          </w:rPr>
                          <w:t>元。 </w:t>
                        </w:r>
                        <w:r>
                          <w:rPr>
                            <w:rFonts w:ascii="宋体" w:hAnsi="宋体" w:cs="宋体" w:eastAsia="宋体" w:hint="default"/>
                            <w:spacing w:val="-4"/>
                            <w:sz w:val="18"/>
                            <w:szCs w:val="18"/>
                          </w:rPr>
                          <w:t>上年同期影响金额：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资产处置损益，影</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38" w:firstLine="0"/>
        <w:jc w:val="right"/>
        <w:rPr>
          <w:rFonts w:ascii="宋体" w:hAnsi="宋体" w:cs="宋体" w:eastAsia="宋体" w:hint="default"/>
          <w:sz w:val="18"/>
          <w:szCs w:val="18"/>
        </w:rPr>
      </w:pPr>
      <w:r>
        <w:rPr/>
        <w:pict>
          <v:shape style="position:absolute;margin-left:56.459999pt;margin-top:-16.608294pt;width:479.25pt;height:112.2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223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地产除外）或处置组时确认的处置利得 或损失，处置未划分为持有待售的固定 资产、在建工程、生产性生物资产及无 形资产而产生的处置利得或损失，以及 债务重组中因处置非流动资产产生的利 得或损失和非货币性资产交换产生的利 得或损失。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响金额为增加了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124,264.88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元；营业外</w:t>
                        </w:r>
                      </w:p>
                      <w:p>
                        <w:pPr>
                          <w:pStyle w:val="TableParagraph"/>
                          <w:spacing w:line="302" w:lineRule="auto" w:before="63"/>
                          <w:ind w:left="22" w:right="110"/>
                          <w:jc w:val="left"/>
                          <w:rPr>
                            <w:rFonts w:ascii="宋体" w:hAnsi="宋体" w:cs="宋体" w:eastAsia="宋体" w:hint="default"/>
                            <w:sz w:val="18"/>
                            <w:szCs w:val="18"/>
                          </w:rPr>
                        </w:pPr>
                        <w:r>
                          <w:rPr>
                            <w:rFonts w:ascii="宋体" w:hAnsi="宋体" w:cs="宋体" w:eastAsia="宋体" w:hint="default"/>
                            <w:sz w:val="18"/>
                            <w:szCs w:val="18"/>
                          </w:rPr>
                          <w:t>收入，影响金额为减少了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124,264.88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 影响对当期及前期的净损益无影响。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5"/>
        <w:ind w:left="1134" w:right="0" w:firstLine="0"/>
        <w:jc w:val="left"/>
        <w:rPr>
          <w:rFonts w:ascii="宋体" w:hAnsi="宋体" w:cs="宋体" w:eastAsia="宋体" w:hint="default"/>
          <w:sz w:val="21"/>
          <w:szCs w:val="21"/>
        </w:rPr>
      </w:pPr>
      <w:bookmarkStart w:name="（2）重要会计估计变更"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1、其他" w:id="216"/>
      <w:bookmarkEnd w:id="216"/>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六、税项" w:id="217"/>
      <w:bookmarkEnd w:id="21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主要税种及税率" w:id="218"/>
      <w:bookmarkEnd w:id="2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2"/>
              <w:ind w:left="16" w:right="95"/>
              <w:jc w:val="left"/>
              <w:rPr>
                <w:rFonts w:ascii="宋体" w:hAnsi="宋体" w:cs="宋体" w:eastAsia="宋体" w:hint="default"/>
                <w:sz w:val="18"/>
                <w:szCs w:val="18"/>
              </w:rPr>
            </w:pPr>
            <w:r>
              <w:rPr>
                <w:rFonts w:ascii="宋体" w:hAnsi="宋体" w:cs="宋体" w:eastAsia="宋体" w:hint="default"/>
                <w:sz w:val="18"/>
                <w:szCs w:val="18"/>
              </w:rPr>
              <w:t>劳务收入；境内销售；提供加工、修理 修配劳务；以及进口等货物</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商品与服务税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销售商品或提供服务额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房屋的计税余值或租金收入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实际占用的土地面积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红相股份有限公司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红相电力（上海）有限公司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RED PHASE INSTRUMENTS AUSTRALIA PTY</w:t>
            </w:r>
            <w:r>
              <w:rPr>
                <w:rFonts w:ascii="Times New Roman"/>
                <w:spacing w:val="-31"/>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厦门红相软件有限公司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厦门红相信息科技有限公司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浙江涵普电力科技有限公司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浙江涵普三维电力科技有限公司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合肥星波电子有限公司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spacing w:before="35"/>
        <w:ind w:left="1134" w:right="0" w:firstLine="0"/>
        <w:jc w:val="both"/>
        <w:rPr>
          <w:rFonts w:ascii="宋体" w:hAnsi="宋体" w:cs="宋体" w:eastAsia="宋体" w:hint="default"/>
          <w:sz w:val="21"/>
          <w:szCs w:val="21"/>
        </w:rPr>
      </w:pPr>
      <w:bookmarkStart w:name="2、税收优惠" w:id="219"/>
      <w:bookmarkEnd w:id="2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w:t>
      </w:r>
      <w:r>
        <w:rPr>
          <w:rFonts w:ascii="Times New Roman" w:hAnsi="Times New Roman" w:cs="Times New Roman" w:eastAsia="Times New Roman" w:hint="default"/>
        </w:rPr>
        <w:t>1</w:t>
      </w:r>
      <w:r>
        <w:rPr/>
        <w:t>）企业所得税优惠</w:t>
      </w:r>
    </w:p>
    <w:p>
      <w:pPr>
        <w:pStyle w:val="BodyText"/>
        <w:spacing w:line="240" w:lineRule="auto" w:before="99"/>
        <w:ind w:left="1134" w:right="0"/>
        <w:jc w:val="both"/>
      </w:pPr>
      <w:r>
        <w:rPr/>
        <w:t>①高新技术企业所得税优惠</w:t>
      </w:r>
    </w:p>
    <w:p>
      <w:pPr>
        <w:pStyle w:val="BodyText"/>
        <w:spacing w:line="312" w:lineRule="exact" w:before="148"/>
        <w:ind w:right="1089"/>
        <w:jc w:val="both"/>
      </w:pPr>
      <w:r>
        <w:rPr>
          <w:spacing w:val="-8"/>
        </w:rPr>
        <w:t>本公司于</w:t>
      </w:r>
      <w:r>
        <w:rPr>
          <w:rFonts w:ascii="Times New Roman" w:hAnsi="Times New Roman" w:cs="Times New Roman" w:eastAsia="Times New Roman" w:hint="default"/>
          <w:spacing w:val="-8"/>
        </w:rPr>
        <w:t>2009</w:t>
      </w:r>
      <w:r>
        <w:rPr>
          <w:spacing w:val="-8"/>
        </w:rPr>
        <w:t>年获得《高新技术企业证书》，并于</w:t>
      </w:r>
      <w:r>
        <w:rPr>
          <w:rFonts w:ascii="Times New Roman" w:hAnsi="Times New Roman" w:cs="Times New Roman" w:eastAsia="Times New Roman" w:hint="default"/>
          <w:spacing w:val="-8"/>
        </w:rPr>
        <w:t>2013</w:t>
      </w:r>
      <w:r>
        <w:rPr>
          <w:spacing w:val="-8"/>
        </w:rPr>
        <w:t>年</w:t>
      </w:r>
      <w:r>
        <w:rPr>
          <w:rFonts w:ascii="Times New Roman" w:hAnsi="Times New Roman" w:cs="Times New Roman" w:eastAsia="Times New Roman" w:hint="default"/>
          <w:spacing w:val="-8"/>
        </w:rPr>
        <w:t>1</w:t>
      </w:r>
      <w:r>
        <w:rPr>
          <w:spacing w:val="-8"/>
        </w:rPr>
        <w:t>月通过高新技术企业复审，根据《中</w:t>
      </w:r>
      <w:r>
        <w:rPr>
          <w:spacing w:val="-76"/>
        </w:rPr>
        <w:t> </w:t>
      </w:r>
      <w:r>
        <w:rPr>
          <w:spacing w:val="-76"/>
        </w:rPr>
      </w:r>
      <w:r>
        <w:rPr/>
        <w:t>华人民共和国企业所得税法》规定，在有效认定期（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年）内</w:t>
      </w:r>
      <w:r>
        <w:rPr>
          <w:spacing w:val="-86"/>
        </w:rPr>
        <w:t> </w:t>
      </w:r>
      <w:r>
        <w:rPr/>
        <w:t>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月，本公司通过高新技术企业复审，取得证书编号： </w:t>
      </w:r>
      <w:r>
        <w:rPr>
          <w:rFonts w:ascii="Times New Roman" w:hAnsi="Times New Roman" w:cs="Times New Roman" w:eastAsia="Times New Roman" w:hint="default"/>
          <w:spacing w:val="-2"/>
        </w:rPr>
        <w:t>GR201535100078</w:t>
      </w:r>
      <w:r>
        <w:rPr>
          <w:spacing w:val="-2"/>
        </w:rPr>
        <w:t>，签发日期为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日的《高新技术企业证书》，根据《中华人民共</w:t>
      </w:r>
      <w:r>
        <w:rPr>
          <w:spacing w:val="-75"/>
        </w:rPr>
        <w:t> </w:t>
      </w:r>
      <w:r>
        <w:rPr>
          <w:spacing w:val="-75"/>
        </w:rPr>
      </w:r>
      <w:r>
        <w:rPr/>
        <w:t>和国企业所得税法》规定，在有效认定期（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年）内按</w:t>
      </w:r>
      <w:r>
        <w:rPr>
          <w:rFonts w:ascii="Times New Roman" w:hAnsi="Times New Roman" w:cs="Times New Roman" w:eastAsia="Times New Roman" w:hint="default"/>
        </w:rPr>
        <w:t>15%</w:t>
      </w:r>
      <w:r>
        <w:rPr/>
        <w:t>的税率征收企业所得</w:t>
      </w:r>
      <w:r>
        <w:rPr>
          <w:spacing w:val="-57"/>
        </w:rPr>
        <w:t> </w:t>
      </w:r>
      <w:r>
        <w:rPr>
          <w:spacing w:val="-57"/>
        </w:rPr>
      </w:r>
      <w:r>
        <w:rPr/>
        <w:t>税。</w:t>
      </w:r>
    </w:p>
    <w:p>
      <w:pPr>
        <w:spacing w:line="240" w:lineRule="auto" w:before="7"/>
        <w:rPr>
          <w:rFonts w:ascii="宋体" w:hAnsi="宋体" w:cs="宋体" w:eastAsia="宋体" w:hint="default"/>
          <w:sz w:val="16"/>
          <w:szCs w:val="16"/>
        </w:rPr>
      </w:pPr>
    </w:p>
    <w:p>
      <w:pPr>
        <w:pStyle w:val="BodyText"/>
        <w:spacing w:line="312" w:lineRule="exact"/>
        <w:ind w:right="1132"/>
        <w:jc w:val="both"/>
      </w:pPr>
      <w:r>
        <w:rPr/>
        <w:t>子公司浙江涵普于</w:t>
      </w:r>
      <w:r>
        <w:rPr>
          <w:rFonts w:ascii="Times New Roman" w:hAnsi="Times New Roman" w:cs="Times New Roman" w:eastAsia="Times New Roman" w:hint="default"/>
        </w:rPr>
        <w:t>2009</w:t>
      </w:r>
      <w:r>
        <w:rPr/>
        <w:t>年获得《高新技术企业证书》，并于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月通过高新技术企业复</w:t>
      </w:r>
      <w:r>
        <w:rPr>
          <w:spacing w:val="-108"/>
        </w:rPr>
        <w:t> </w:t>
      </w:r>
      <w:r>
        <w:rPr>
          <w:spacing w:val="-108"/>
        </w:rPr>
      </w:r>
      <w:r>
        <w:rPr/>
        <w:t>审，根据《中华人民共和国企业所得税法》规定，在有效认定期（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w:t>
      </w:r>
    </w:p>
    <w:p>
      <w:pPr>
        <w:pStyle w:val="BodyText"/>
        <w:spacing w:line="312" w:lineRule="exact"/>
        <w:ind w:right="1132"/>
        <w:jc w:val="both"/>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2014</w:t>
      </w:r>
      <w:r>
        <w:rPr>
          <w:spacing w:val="-1"/>
        </w:rPr>
        <w:t>）内按</w:t>
      </w:r>
      <w:r>
        <w:rPr>
          <w:rFonts w:ascii="Times New Roman" w:hAnsi="Times New Roman" w:cs="Times New Roman" w:eastAsia="Times New Roman" w:hint="default"/>
          <w:spacing w:val="-1"/>
        </w:rPr>
        <w:t>15%</w:t>
      </w:r>
      <w:r>
        <w:rPr>
          <w:spacing w:val="-1"/>
        </w:rPr>
        <w:t>的税率征收企业所得税。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月，浙江涵普通过高新技术企业复审，于</w:t>
      </w:r>
      <w:r>
        <w:rPr>
          <w:spacing w:val="-118"/>
        </w:rPr>
        <w:t> </w:t>
      </w:r>
      <w:r>
        <w:rPr>
          <w:spacing w:val="-118"/>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日取得编号为</w:t>
      </w:r>
      <w:r>
        <w:rPr>
          <w:rFonts w:ascii="Times New Roman" w:hAnsi="Times New Roman" w:cs="Times New Roman" w:eastAsia="Times New Roman" w:hint="default"/>
        </w:rPr>
        <w:t>GR201533000586</w:t>
      </w:r>
      <w:r>
        <w:rPr/>
        <w:t>的《高新技术企业证书》。根据《中华人民共和</w:t>
      </w:r>
      <w:r>
        <w:rPr>
          <w:spacing w:val="-77"/>
        </w:rPr>
        <w:t> </w:t>
      </w:r>
      <w:r>
        <w:rPr>
          <w:spacing w:val="-77"/>
        </w:rPr>
      </w:r>
      <w:r>
        <w:rPr/>
        <w:t>国企业所得税法》规定，浙江涵普在有效认定期（</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年）内按</w:t>
      </w:r>
      <w:r>
        <w:rPr>
          <w:rFonts w:ascii="Times New Roman" w:hAnsi="Times New Roman" w:cs="Times New Roman" w:eastAsia="Times New Roman" w:hint="default"/>
        </w:rPr>
        <w:t>15%</w:t>
      </w:r>
      <w:r>
        <w:rPr/>
        <w:t>的税率缴纳企</w:t>
      </w:r>
      <w:r>
        <w:rPr>
          <w:spacing w:val="-55"/>
        </w:rPr>
        <w:t> </w:t>
      </w:r>
      <w:r>
        <w:rPr>
          <w:spacing w:val="-55"/>
        </w:rPr>
      </w:r>
      <w:r>
        <w:rPr/>
        <w:t>业所得税。</w:t>
      </w:r>
    </w:p>
    <w:p>
      <w:pPr>
        <w:spacing w:line="240" w:lineRule="auto" w:before="7"/>
        <w:rPr>
          <w:rFonts w:ascii="宋体" w:hAnsi="宋体" w:cs="宋体" w:eastAsia="宋体" w:hint="default"/>
          <w:sz w:val="16"/>
          <w:szCs w:val="16"/>
        </w:rPr>
      </w:pPr>
    </w:p>
    <w:p>
      <w:pPr>
        <w:pStyle w:val="BodyText"/>
        <w:spacing w:line="312" w:lineRule="exact"/>
        <w:ind w:right="1075"/>
        <w:jc w:val="both"/>
      </w:pPr>
      <w:r>
        <w:rPr/>
        <w:t>子公司星波通信于</w:t>
      </w:r>
      <w:r>
        <w:rPr>
          <w:rFonts w:ascii="Times New Roman" w:hAnsi="Times New Roman" w:cs="Times New Roman" w:eastAsia="Times New Roman" w:hint="default"/>
        </w:rPr>
        <w:t>2017</w:t>
      </w:r>
      <w:r>
        <w:rPr/>
        <w:t>年度取得了安徽省科学技术厅、安徽省财政厅、安徽省国家税务局、</w:t>
      </w:r>
      <w:r>
        <w:rPr>
          <w:spacing w:val="-115"/>
        </w:rPr>
        <w:t> </w:t>
      </w:r>
      <w:r>
        <w:rPr>
          <w:spacing w:val="-115"/>
        </w:rPr>
      </w:r>
      <w:r>
        <w:rPr/>
        <w:t>安徽省地方税务局联合颁发的《高新技术企业证书》（证书编号为：</w:t>
      </w:r>
      <w:r>
        <w:rPr>
          <w:rFonts w:ascii="Times New Roman" w:hAnsi="Times New Roman" w:cs="Times New Roman" w:eastAsia="Times New Roman" w:hint="default"/>
        </w:rPr>
        <w:t>GR201734000294</w:t>
      </w:r>
      <w:r>
        <w:rPr/>
        <w:t>号）， 有效期三年，根据《中华人民共和国企业所得税法》规定，星波通信在有效认定期（</w:t>
      </w:r>
      <w:r>
        <w:rPr>
          <w:rFonts w:ascii="Times New Roman" w:hAnsi="Times New Roman" w:cs="Times New Roman" w:eastAsia="Times New Roman" w:hint="default"/>
        </w:rPr>
        <w:t>2017</w:t>
      </w:r>
      <w:r>
        <w:rPr/>
        <w:t>年</w:t>
      </w:r>
    </w:p>
    <w:p>
      <w:pPr>
        <w:pStyle w:val="BodyText"/>
        <w:spacing w:line="302" w:lineRule="exact"/>
        <w:ind w:right="0"/>
        <w:jc w:val="both"/>
      </w:pP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pStyle w:val="BodyText"/>
        <w:spacing w:line="312" w:lineRule="exact" w:before="130"/>
        <w:ind w:right="1131"/>
        <w:jc w:val="both"/>
        <w:rPr>
          <w:rFonts w:ascii="Times New Roman" w:hAnsi="Times New Roman" w:cs="Times New Roman" w:eastAsia="Times New Roman" w:hint="default"/>
        </w:rPr>
      </w:pPr>
      <w:r>
        <w:rPr/>
        <w:t>子公司银川卧龙于</w:t>
      </w:r>
      <w:r>
        <w:rPr>
          <w:rFonts w:ascii="Times New Roman" w:hAnsi="Times New Roman" w:cs="Times New Roman" w:eastAsia="Times New Roman" w:hint="default"/>
        </w:rPr>
        <w:t>2017</w:t>
      </w:r>
      <w:r>
        <w:rPr/>
        <w:t>年度取得宁夏回族自治区科学技术厅、宁夏回族自治区财政厅、宁夏</w:t>
      </w:r>
      <w:r>
        <w:rPr>
          <w:spacing w:val="-115"/>
        </w:rPr>
        <w:t> </w:t>
      </w:r>
      <w:r>
        <w:rPr>
          <w:spacing w:val="-115"/>
        </w:rPr>
      </w:r>
      <w:r>
        <w:rPr>
          <w:spacing w:val="3"/>
        </w:rPr>
        <w:t>回族自治区国家税务局、宁夏回族自治区地方税务局联合颁发编号为</w:t>
      </w:r>
      <w:r>
        <w:rPr>
          <w:rFonts w:ascii="Times New Roman" w:hAnsi="Times New Roman" w:cs="Times New Roman" w:eastAsia="Times New Roman" w:hint="default"/>
          <w:spacing w:val="3"/>
        </w:rPr>
        <w:t>“GR201764000018</w:t>
      </w:r>
      <w:r>
        <w:rPr>
          <w:spacing w:val="3"/>
        </w:rPr>
        <w:t>号</w:t>
      </w:r>
      <w:r>
        <w:rPr>
          <w:rFonts w:ascii="Times New Roman" w:hAnsi="Times New Roman" w:cs="Times New Roman" w:eastAsia="Times New Roman" w:hint="default"/>
          <w:spacing w:val="3"/>
        </w:rPr>
        <w:t>”</w:t>
      </w:r>
    </w:p>
    <w:p>
      <w:pPr>
        <w:pStyle w:val="BodyText"/>
        <w:spacing w:line="312" w:lineRule="exact"/>
        <w:ind w:left="1134" w:right="1139"/>
        <w:jc w:val="both"/>
      </w:pPr>
      <w:r>
        <w:rPr/>
        <w:t>《高新技术企业证书》，根据《中华人民共和国企业所得税法》规定，银川卧龙在有效认定 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2019</w:t>
      </w:r>
      <w:r>
        <w:rPr/>
        <w:t>年）内按</w:t>
      </w:r>
      <w:r>
        <w:rPr>
          <w:rFonts w:ascii="Times New Roman" w:hAnsi="Times New Roman" w:cs="Times New Roman" w:eastAsia="Times New Roman" w:hint="default"/>
        </w:rPr>
        <w:t>15%</w:t>
      </w:r>
      <w:r>
        <w:rPr/>
        <w:t>的税率缴纳企业所得税。</w:t>
      </w:r>
    </w:p>
    <w:p>
      <w:pPr>
        <w:pStyle w:val="BodyText"/>
        <w:spacing w:line="240" w:lineRule="auto" w:before="185"/>
        <w:ind w:right="0"/>
        <w:jc w:val="both"/>
      </w:pPr>
      <w:r>
        <w:rPr/>
        <w:t>②软件企业所得税优惠</w:t>
      </w:r>
    </w:p>
    <w:p>
      <w:pPr>
        <w:spacing w:line="240" w:lineRule="auto" w:before="9"/>
        <w:rPr>
          <w:rFonts w:ascii="宋体" w:hAnsi="宋体" w:cs="宋体" w:eastAsia="宋体" w:hint="default"/>
          <w:sz w:val="18"/>
          <w:szCs w:val="18"/>
        </w:rPr>
      </w:pPr>
    </w:p>
    <w:p>
      <w:pPr>
        <w:pStyle w:val="BodyText"/>
        <w:spacing w:line="312" w:lineRule="exact"/>
        <w:ind w:right="1130"/>
        <w:jc w:val="both"/>
      </w:pPr>
      <w:r>
        <w:rPr/>
        <w:t>根据国发</w:t>
      </w:r>
      <w:r>
        <w:rPr>
          <w:rFonts w:ascii="Times New Roman" w:hAnsi="Times New Roman" w:cs="Times New Roman" w:eastAsia="Times New Roman" w:hint="default"/>
        </w:rPr>
        <w:t>[2011]4</w:t>
      </w:r>
      <w:r>
        <w:rPr/>
        <w:t>号《国务院关于印发进一步鼓励软件产业和集成电路产业发展若干政策的通 知》（国发</w:t>
      </w:r>
      <w:r>
        <w:rPr>
          <w:rFonts w:ascii="Times New Roman" w:hAnsi="Times New Roman" w:cs="Times New Roman" w:eastAsia="Times New Roman" w:hint="default"/>
        </w:rPr>
        <w:t>[2011]4</w:t>
      </w:r>
      <w:r>
        <w:rPr/>
        <w:t>号）和《关于软件和集成电路产业企业所得税优惠政策有关问题的通知》</w:t>
      </w:r>
    </w:p>
    <w:p>
      <w:pPr>
        <w:pStyle w:val="BodyText"/>
        <w:spacing w:line="312" w:lineRule="exact"/>
        <w:ind w:right="1129"/>
        <w:jc w:val="both"/>
      </w:pPr>
      <w:r>
        <w:rPr>
          <w:spacing w:val="2"/>
        </w:rPr>
        <w:t>（财税</w:t>
      </w:r>
      <w:r>
        <w:rPr>
          <w:rFonts w:ascii="Times New Roman" w:hAnsi="Times New Roman" w:cs="Times New Roman" w:eastAsia="Times New Roman" w:hint="default"/>
          <w:spacing w:val="2"/>
        </w:rPr>
        <w:t>[2016]49</w:t>
      </w:r>
      <w:r>
        <w:rPr>
          <w:spacing w:val="2"/>
        </w:rPr>
        <w:t>号）的规定，对新办的符合条件的软件企业，经备案后，自获利年度起，享</w:t>
      </w:r>
      <w:r>
        <w:rPr>
          <w:spacing w:val="-108"/>
        </w:rPr>
        <w:t> </w:t>
      </w:r>
      <w:r>
        <w:rPr>
          <w:spacing w:val="-108"/>
        </w:rPr>
      </w:r>
      <w:r>
        <w:rPr>
          <w:spacing w:val="-4"/>
        </w:rPr>
        <w:t>受企业所得税</w:t>
      </w:r>
      <w:r>
        <w:rPr>
          <w:rFonts w:ascii="Times New Roman" w:hAnsi="Times New Roman" w:cs="Times New Roman" w:eastAsia="Times New Roman" w:hint="default"/>
          <w:spacing w:val="-4"/>
        </w:rPr>
        <w:t>“</w:t>
      </w:r>
      <w:r>
        <w:rPr>
          <w:spacing w:val="-4"/>
        </w:rPr>
        <w:t>两免三减半</w:t>
      </w:r>
      <w:r>
        <w:rPr>
          <w:rFonts w:ascii="Times New Roman" w:hAnsi="Times New Roman" w:cs="Times New Roman" w:eastAsia="Times New Roman" w:hint="default"/>
          <w:spacing w:val="-4"/>
        </w:rPr>
        <w:t>”</w:t>
      </w:r>
      <w:r>
        <w:rPr>
          <w:spacing w:val="-4"/>
        </w:rPr>
        <w:t>优惠政策。子公司红相信息于</w:t>
      </w:r>
      <w:r>
        <w:rPr>
          <w:rFonts w:ascii="Times New Roman" w:hAnsi="Times New Roman" w:cs="Times New Roman" w:eastAsia="Times New Roman" w:hint="default"/>
          <w:spacing w:val="-4"/>
        </w:rPr>
        <w:t>2015</w:t>
      </w:r>
      <w:r>
        <w:rPr>
          <w:spacing w:val="-4"/>
        </w:rPr>
        <w:t>年设立并在</w:t>
      </w:r>
      <w:r>
        <w:rPr>
          <w:rFonts w:ascii="Times New Roman" w:hAnsi="Times New Roman" w:cs="Times New Roman" w:eastAsia="Times New Roman" w:hint="default"/>
          <w:spacing w:val="-4"/>
        </w:rPr>
        <w:t>2016</w:t>
      </w:r>
      <w:r>
        <w:rPr>
          <w:spacing w:val="-4"/>
        </w:rPr>
        <w:t>年度获利，</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日，红相信息获得厦门市软件行业协会颁发的《软件企业证书》，</w:t>
      </w:r>
      <w:r>
        <w:rPr>
          <w:rFonts w:ascii="Times New Roman" w:hAnsi="Times New Roman" w:cs="Times New Roman" w:eastAsia="Times New Roman" w:hint="default"/>
        </w:rPr>
        <w:t>2017</w:t>
      </w:r>
      <w:r>
        <w:rPr/>
        <w:t>年度红相信息</w:t>
      </w:r>
      <w:r>
        <w:rPr>
          <w:spacing w:val="-109"/>
        </w:rPr>
        <w:t> </w:t>
      </w:r>
      <w:r>
        <w:rPr/>
        <w:t>为企业所得税免税第二年。</w:t>
      </w:r>
    </w:p>
    <w:p>
      <w:pPr>
        <w:pStyle w:val="BodyText"/>
        <w:spacing w:line="240" w:lineRule="auto" w:before="185"/>
        <w:ind w:right="0"/>
        <w:jc w:val="both"/>
      </w:pPr>
      <w:r>
        <w:rPr/>
        <w:t>（</w:t>
      </w:r>
      <w:r>
        <w:rPr>
          <w:rFonts w:ascii="Times New Roman" w:hAnsi="Times New Roman" w:cs="Times New Roman" w:eastAsia="Times New Roman" w:hint="default"/>
        </w:rPr>
        <w:t>2</w:t>
      </w:r>
      <w:r>
        <w:rPr/>
        <w:t>）增值税优惠</w:t>
      </w:r>
    </w:p>
    <w:p>
      <w:pPr>
        <w:spacing w:line="240" w:lineRule="auto" w:before="4"/>
        <w:rPr>
          <w:rFonts w:ascii="宋体" w:hAnsi="宋体" w:cs="宋体" w:eastAsia="宋体" w:hint="default"/>
          <w:sz w:val="17"/>
          <w:szCs w:val="17"/>
        </w:rPr>
      </w:pPr>
    </w:p>
    <w:p>
      <w:pPr>
        <w:pStyle w:val="BodyText"/>
        <w:spacing w:line="312" w:lineRule="exact"/>
        <w:ind w:left="1134" w:right="0"/>
        <w:jc w:val="left"/>
      </w:pPr>
      <w:r>
        <w:rPr/>
        <w:t>根据财政部、国家税务总局、海关总署联合下发的《关于鼓励软件产业和集成电路产业发展 </w:t>
      </w:r>
      <w:r>
        <w:rPr>
          <w:spacing w:val="-3"/>
        </w:rPr>
        <w:t>有关税收政策问题的通知》（财税</w:t>
      </w:r>
      <w:r>
        <w:rPr>
          <w:rFonts w:ascii="Times New Roman" w:hAnsi="Times New Roman" w:cs="Times New Roman" w:eastAsia="Times New Roman" w:hint="default"/>
          <w:spacing w:val="-3"/>
        </w:rPr>
        <w:t>[2000]25</w:t>
      </w:r>
      <w:r>
        <w:rPr>
          <w:spacing w:val="-3"/>
        </w:rPr>
        <w:t>号）的规定，自</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日起至</w:t>
      </w:r>
      <w:r>
        <w:rPr>
          <w:rFonts w:ascii="Times New Roman" w:hAnsi="Times New Roman" w:cs="Times New Roman" w:eastAsia="Times New Roman" w:hint="default"/>
          <w:spacing w:val="-3"/>
        </w:rPr>
        <w:t>2010</w:t>
      </w:r>
      <w:r>
        <w:rPr>
          <w:spacing w:val="-3"/>
        </w:rPr>
        <w:t>年底以前，</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28" w:lineRule="auto" w:before="40"/>
        <w:ind w:right="1131"/>
        <w:jc w:val="both"/>
      </w:pPr>
      <w:r>
        <w:rPr/>
        <w:t>对增值税一般纳税人销售其自行开发生产的软件产品，按</w:t>
      </w:r>
      <w:r>
        <w:rPr>
          <w:rFonts w:ascii="Times New Roman" w:hAnsi="Times New Roman" w:cs="Times New Roman" w:eastAsia="Times New Roman" w:hint="default"/>
        </w:rPr>
        <w:t>17%</w:t>
      </w:r>
      <w:r>
        <w:rPr/>
        <w:t>的法定税率征收增值税后，对</w:t>
      </w:r>
      <w:r>
        <w:rPr>
          <w:spacing w:val="-56"/>
        </w:rPr>
        <w:t> </w:t>
      </w:r>
      <w:r>
        <w:rPr>
          <w:spacing w:val="-56"/>
        </w:rPr>
      </w:r>
      <w:r>
        <w:rPr/>
        <w:t>其增值税实际税负超过</w:t>
      </w:r>
      <w:r>
        <w:rPr>
          <w:rFonts w:ascii="Times New Roman" w:hAnsi="Times New Roman" w:cs="Times New Roman" w:eastAsia="Times New Roman" w:hint="default"/>
        </w:rPr>
        <w:t>3%</w:t>
      </w:r>
      <w:r>
        <w:rPr/>
        <w:t>的部分实行即征即退政策。根据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日国务院发布的《国</w:t>
      </w:r>
      <w:r>
        <w:rPr>
          <w:spacing w:val="-58"/>
        </w:rPr>
        <w:t> </w:t>
      </w:r>
      <w:r>
        <w:rPr>
          <w:spacing w:val="-58"/>
        </w:rPr>
      </w:r>
      <w:r>
        <w:rPr>
          <w:spacing w:val="4"/>
        </w:rPr>
        <w:t>务院关于印发进一步鼓励软件产业和集成电路产业发展若干政策的通知》（国发</w:t>
      </w:r>
      <w:r>
        <w:rPr>
          <w:rFonts w:ascii="Times New Roman" w:hAnsi="Times New Roman" w:cs="Times New Roman" w:eastAsia="Times New Roman" w:hint="default"/>
          <w:spacing w:val="4"/>
        </w:rPr>
        <w:t>[2011]4</w:t>
      </w:r>
      <w:r>
        <w:rPr>
          <w:spacing w:val="4"/>
        </w:rPr>
        <w:t>号</w:t>
      </w:r>
      <w:r>
        <w:rPr>
          <w:spacing w:val="-85"/>
        </w:rPr>
        <w:t> </w:t>
      </w:r>
      <w:r>
        <w:rPr/>
        <w:t>文），子公司浙江涵普、红相信息、和红相软件自行开发销售的软件产品继续享受上述增值</w:t>
      </w:r>
      <w:r>
        <w:rPr>
          <w:spacing w:val="-113"/>
        </w:rPr>
        <w:t> </w:t>
      </w:r>
      <w:r>
        <w:rPr>
          <w:spacing w:val="-113"/>
        </w:rPr>
      </w:r>
      <w:r>
        <w:rPr/>
        <w:t>税优惠政策。</w:t>
      </w:r>
    </w:p>
    <w:p>
      <w:pPr>
        <w:spacing w:line="240" w:lineRule="auto" w:before="0"/>
        <w:rPr>
          <w:rFonts w:ascii="宋体" w:hAnsi="宋体" w:cs="宋体" w:eastAsia="宋体" w:hint="default"/>
          <w:sz w:val="24"/>
          <w:szCs w:val="24"/>
        </w:rPr>
      </w:pPr>
    </w:p>
    <w:p>
      <w:pPr>
        <w:pStyle w:val="BodyText"/>
        <w:spacing w:line="313" w:lineRule="exact" w:before="165"/>
        <w:ind w:right="0"/>
        <w:jc w:val="both"/>
      </w:pPr>
      <w:r>
        <w:rPr/>
        <w:t>子公司星波通信根据《财政部、国家税务总局关于全面推开营业税改征增值税试点的通知》</w:t>
      </w:r>
    </w:p>
    <w:p>
      <w:pPr>
        <w:pStyle w:val="BodyText"/>
        <w:spacing w:line="312" w:lineRule="exact" w:before="29"/>
        <w:ind w:right="1137"/>
        <w:jc w:val="both"/>
      </w:pPr>
      <w:r>
        <w:rPr/>
        <w:t>（财税〔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号），公司技术开发和技术转让所得免征增值税。根据财政部、国家税务</w:t>
      </w:r>
      <w:r>
        <w:rPr>
          <w:spacing w:val="-114"/>
        </w:rPr>
        <w:t> </w:t>
      </w:r>
      <w:r>
        <w:rPr>
          <w:spacing w:val="-114"/>
        </w:rPr>
      </w:r>
      <w:r>
        <w:rPr/>
        <w:t>总局以及国防科工局相关文件规定，经国防科技工业局等主管单位登记备案的军品销售及研 发合同，取得的业务收入免征增值税。</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line="487" w:lineRule="auto" w:before="0"/>
        <w:ind w:left="1134" w:right="7693"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1"/>
      <w:bookmarkEnd w:id="2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2"/>
      <w:bookmarkEnd w:id="22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47,838.88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521,085,723.64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438,176,206.25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18,225,717.37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1,437,182.43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539,543,984.07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439,661,227.56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1,219,714.35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780,725.91</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w:t>
      </w:r>
      <w:r>
        <w:rPr>
          <w:spacing w:val="-83"/>
        </w:rPr>
        <w:t> </w:t>
      </w:r>
      <w:r>
        <w:rPr/>
        <w:t>存放在境外的款项系本集团之境外子公司澳洲红相存放于澳大利亚的现金及银行存款。</w:t>
      </w:r>
    </w:p>
    <w:p>
      <w:pPr>
        <w:spacing w:line="240" w:lineRule="auto" w:before="3"/>
        <w:rPr>
          <w:rFonts w:ascii="宋体" w:hAnsi="宋体" w:cs="宋体" w:eastAsia="宋体" w:hint="default"/>
          <w:sz w:val="17"/>
          <w:szCs w:val="17"/>
        </w:rPr>
      </w:pPr>
    </w:p>
    <w:p>
      <w:pPr>
        <w:pStyle w:val="BodyText"/>
        <w:spacing w:line="312" w:lineRule="exact"/>
        <w:ind w:right="1133"/>
        <w:jc w:val="both"/>
      </w:pPr>
      <w:r>
        <w:rPr/>
        <w:t>（</w:t>
      </w:r>
      <w:r>
        <w:rPr>
          <w:rFonts w:ascii="Times New Roman" w:hAnsi="Times New Roman" w:cs="Times New Roman" w:eastAsia="Times New Roman" w:hint="default"/>
        </w:rPr>
        <w:t>2</w:t>
      </w:r>
      <w:r>
        <w:rPr/>
        <w:t>）</w:t>
      </w:r>
      <w:r>
        <w:rPr>
          <w:spacing w:val="-7"/>
        </w:rPr>
        <w:t> </w:t>
      </w:r>
      <w:r>
        <w:rPr/>
        <w:t>其他货币资金期末、期初余额系使用受限的银行履约保函、银行承兑汇票保证金，在</w:t>
      </w:r>
      <w:r>
        <w:rPr>
          <w:spacing w:val="-114"/>
        </w:rPr>
        <w:t> </w:t>
      </w:r>
      <w:r>
        <w:rPr>
          <w:spacing w:val="-114"/>
        </w:rPr>
      </w:r>
      <w:r>
        <w:rPr/>
        <w:t>编制现金流量表时不计入期末、期初的</w:t>
      </w:r>
      <w:r>
        <w:rPr>
          <w:rFonts w:ascii="Times New Roman" w:hAnsi="Times New Roman" w:cs="Times New Roman" w:eastAsia="Times New Roman" w:hint="default"/>
        </w:rPr>
        <w:t>“</w:t>
      </w:r>
      <w:r>
        <w:rPr/>
        <w:t>现金及现金等价物</w:t>
      </w:r>
      <w:r>
        <w:rPr>
          <w:rFonts w:ascii="Times New Roman" w:hAnsi="Times New Roman" w:cs="Times New Roman" w:eastAsia="Times New Roman" w:hint="default"/>
        </w:rPr>
        <w:t>”</w:t>
      </w:r>
      <w:r>
        <w:rPr/>
        <w:t>。除此之外，本集团期末不存在</w:t>
      </w:r>
      <w:r>
        <w:rPr>
          <w:spacing w:val="-82"/>
        </w:rPr>
        <w:t> </w:t>
      </w:r>
      <w:r>
        <w:rPr>
          <w:spacing w:val="-82"/>
        </w:rPr>
      </w:r>
      <w:r>
        <w:rPr/>
        <w:t>质押、冻结，或有潜在收回风险的款项。</w:t>
      </w:r>
    </w:p>
    <w:p>
      <w:pPr>
        <w:spacing w:line="240" w:lineRule="auto" w:before="7"/>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2、应收票据" w:id="223"/>
      <w:bookmarkEnd w:id="2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应收票据分类列示"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24,864,622.00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9,009,360.72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242,896,147.92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2,625,971.53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商业承兑汇票减值准备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-3,460,070.92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264,300,699.00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11,635,332.25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期末公司已质押的应收票据"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期末公司已背书或贴现且在资产负债表日尚未到期的应收票据"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44,141,441.72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44,852,441.72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期末公司因出票人未履约而将其转应收账款的票据"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应收账款"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账款分类披露"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750,425,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878.87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84,730,1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665,695,7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293,938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,987.82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30,325,27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263,613,71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4,481,01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4,481,01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4,416,6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754,906,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890.62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89,211,1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665,695,7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298,355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,628.68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34,741,91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263,613,71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spacing w:line="33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469,722,458.93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23,486,122.96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157,184,230.57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17,412,761.10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84,605,553.91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22,869,547.43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23,924,923.77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10,755,852.20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10,119,379.03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5,336,508.24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4,869,332.66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4,869,332.66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750,425,878.87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84,730,124.59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5"/>
        <w:ind w:left="1134" w:right="0"/>
        <w:jc w:val="left"/>
      </w:pPr>
      <w:r>
        <w:rPr/>
        <w:t>确定该等应收账款组合的依据是各个明细项目的账龄。</w:t>
      </w:r>
    </w:p>
    <w:p>
      <w:pPr>
        <w:spacing w:line="240" w:lineRule="auto" w:before="9"/>
        <w:rPr>
          <w:rFonts w:ascii="宋体" w:hAnsi="宋体" w:cs="宋体" w:eastAsia="宋体" w:hint="default"/>
          <w:sz w:val="18"/>
          <w:szCs w:val="18"/>
        </w:rPr>
      </w:pPr>
    </w:p>
    <w:p>
      <w:pPr>
        <w:pStyle w:val="BodyText"/>
        <w:spacing w:line="312" w:lineRule="exact"/>
        <w:ind w:right="1009"/>
        <w:jc w:val="left"/>
      </w:pPr>
      <w:r>
        <w:rPr/>
        <w:t>除应收票据外的应收款项按照所归属经营管理分部类型（电力板块、铁路与轨道交通板块、 </w:t>
      </w:r>
      <w:r>
        <w:rPr>
          <w:spacing w:val="-4"/>
        </w:rPr>
        <w:t>军工板块）不同适用不同的政策和估计，详细见本节之</w:t>
      </w:r>
      <w:r>
        <w:rPr>
          <w:rFonts w:ascii="Times New Roman" w:hAnsi="Times New Roman" w:cs="Times New Roman" w:eastAsia="Times New Roman" w:hint="default"/>
          <w:spacing w:val="-4"/>
        </w:rPr>
        <w:t>“</w:t>
      </w:r>
      <w:r>
        <w:rPr>
          <w:spacing w:val="-4"/>
        </w:rPr>
        <w:t>五、重要会计政策及会计估计</w:t>
      </w:r>
      <w:r>
        <w:rPr>
          <w:rFonts w:ascii="Times New Roman" w:hAnsi="Times New Roman" w:cs="Times New Roman" w:eastAsia="Times New Roman" w:hint="default"/>
          <w:spacing w:val="-4"/>
        </w:rPr>
        <w:t>”</w:t>
      </w:r>
      <w:r>
        <w:rPr>
          <w:spacing w:val="-4"/>
        </w:rPr>
        <w:t>之</w:t>
      </w:r>
      <w:r>
        <w:rPr>
          <w:rFonts w:ascii="Times New Roman" w:hAnsi="Times New Roman" w:cs="Times New Roman" w:eastAsia="Times New Roman" w:hint="default"/>
          <w:spacing w:val="-4"/>
        </w:rPr>
        <w:t>“11</w:t>
      </w:r>
      <w:r>
        <w:rPr>
          <w:spacing w:val="-4"/>
        </w:rPr>
        <w:t>、</w:t>
      </w:r>
      <w:r>
        <w:rPr>
          <w:spacing w:val="-106"/>
        </w:rPr>
        <w:t> </w:t>
      </w:r>
      <w:r>
        <w:rPr/>
        <w:t>应收款项</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2）本期计提、收回或转回的坏账准备情况"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8,357,823.45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2,317,183.54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8064" w:space="76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3）本期实际核销的应收账款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应收西安电子工程研究所货款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21,280.00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按欠款方归集的期末余额前五名的应收账款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6"/>
        <w:ind w:right="0"/>
        <w:jc w:val="left"/>
      </w:pPr>
      <w:r>
        <w:rPr/>
        <w:t>本期按欠款方归集的期末余额前五名应收账款汇总金额</w:t>
      </w:r>
      <w:r>
        <w:rPr>
          <w:rFonts w:ascii="Times New Roman" w:hAnsi="Times New Roman" w:cs="Times New Roman" w:eastAsia="Times New Roman" w:hint="default"/>
        </w:rPr>
        <w:t>16,377.82</w:t>
      </w:r>
      <w:r>
        <w:rPr/>
        <w:t>万元，占应收账款期末余额</w:t>
      </w:r>
      <w:r>
        <w:rPr>
          <w:spacing w:val="-111"/>
        </w:rPr>
        <w:t> </w:t>
      </w:r>
      <w:r>
        <w:rPr>
          <w:spacing w:val="-111"/>
        </w:rPr>
      </w:r>
      <w:r>
        <w:rPr/>
        <w:t>合计数的比例</w:t>
      </w:r>
      <w:r>
        <w:rPr>
          <w:rFonts w:ascii="Times New Roman" w:hAnsi="Times New Roman" w:cs="Times New Roman" w:eastAsia="Times New Roman" w:hint="default"/>
        </w:rPr>
        <w:t>21.70%</w:t>
      </w:r>
      <w:r>
        <w:rPr/>
        <w:t>，相应计提的坏账准备期末余额汇总金额</w:t>
      </w:r>
      <w:r>
        <w:rPr>
          <w:rFonts w:ascii="Times New Roman" w:hAnsi="Times New Roman" w:cs="Times New Roman" w:eastAsia="Times New Roman" w:hint="default"/>
        </w:rPr>
        <w:t>943.51</w:t>
      </w:r>
      <w:r>
        <w:rPr/>
        <w:t>万元。</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5）因金融资产转移而终止确认的应收账款"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6）转移应收账款且继续涉入形成的资产、负债金额"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预付款项" w:id="235"/>
      <w:bookmarkEnd w:id="2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预付款项按账龄列示"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12,459,060.39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8,375,741.86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1,683,983.71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1,774,279.76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381,149.65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566,382.92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460,808.24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237,319.48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14,985,001.99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10,953,724.02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52"/>
        <w:ind w:left="1134" w:right="0"/>
        <w:jc w:val="left"/>
      </w:pPr>
      <w:r>
        <w:rPr/>
        <w:t>预付款项期末余额无账龄超过</w:t>
      </w:r>
      <w:r>
        <w:rPr>
          <w:rFonts w:ascii="Times New Roman" w:hAnsi="Times New Roman" w:cs="Times New Roman" w:eastAsia="Times New Roman" w:hint="default"/>
        </w:rPr>
        <w:t>1</w:t>
      </w:r>
      <w:r>
        <w:rPr/>
        <w:t>年的金额重要预付账款。</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2）按预付对象归集的期末余额前五名的预付款情况"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27"/>
        <w:jc w:val="left"/>
      </w:pPr>
      <w:r>
        <w:rPr>
          <w:spacing w:val="2"/>
        </w:rPr>
        <w:t>本期按预付对象归集的期末余额前五名预付款项汇总金额</w:t>
      </w:r>
      <w:r>
        <w:rPr>
          <w:rFonts w:ascii="Times New Roman" w:hAnsi="Times New Roman" w:cs="Times New Roman" w:eastAsia="Times New Roman" w:hint="default"/>
          <w:spacing w:val="2"/>
        </w:rPr>
        <w:t>753.37</w:t>
      </w:r>
      <w:r>
        <w:rPr>
          <w:spacing w:val="2"/>
        </w:rPr>
        <w:t>万元，占预付款项期末余额</w:t>
      </w:r>
      <w:r>
        <w:rPr/>
        <w:t> 合计数的比例 </w:t>
      </w:r>
      <w:r>
        <w:rPr>
          <w:rFonts w:ascii="Times New Roman" w:hAnsi="Times New Roman" w:cs="Times New Roman" w:eastAsia="Times New Roman" w:hint="default"/>
        </w:rPr>
        <w:t>50.27</w:t>
      </w:r>
      <w:r>
        <w:rPr>
          <w:rFonts w:ascii="Times New Roman" w:hAnsi="Times New Roman" w:cs="Times New Roman" w:eastAsia="Times New Roman" w:hint="default"/>
          <w:spacing w:val="-24"/>
        </w:rPr>
        <w:t> </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18"/>
          <w:szCs w:val="18"/>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应收利息" w:id="238"/>
      <w:bookmarkEnd w:id="2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利息分类"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天通知存款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668,002.90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重要逾期利息"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6、其他应收款" w:id="241"/>
      <w:bookmarkEnd w:id="24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其他应收款分类披露"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24,472,7</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4,536,56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19,936,22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10,670,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810.85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10,527,825.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160,298.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60,872.84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24,633,0</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93.04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4,696,86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19,936,22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10,731,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683.69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10,527,825.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8,978,544.59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448,927.24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2,069,325.29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207,414.71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318,995.62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93,983.74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152,729.46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76,364.73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161,933.60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3,547,940.90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3,547,940.90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15,382,452.86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4,536,564.92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left="1134" w:right="0"/>
        <w:jc w:val="left"/>
      </w:pPr>
      <w:r>
        <w:rPr/>
        <w:t>确定该等其他应收账款组合的依据是各个明细项目的账龄。</w:t>
      </w:r>
    </w:p>
    <w:p>
      <w:pPr>
        <w:spacing w:line="240" w:lineRule="auto" w:before="9"/>
        <w:rPr>
          <w:rFonts w:ascii="宋体" w:hAnsi="宋体" w:cs="宋体" w:eastAsia="宋体" w:hint="default"/>
          <w:sz w:val="18"/>
          <w:szCs w:val="18"/>
        </w:rPr>
      </w:pPr>
    </w:p>
    <w:p>
      <w:pPr>
        <w:pStyle w:val="BodyText"/>
        <w:spacing w:line="312" w:lineRule="exact"/>
        <w:ind w:right="0"/>
        <w:jc w:val="left"/>
      </w:pPr>
      <w:r>
        <w:rPr/>
        <w:t>其他应收款项按照所归属经营管理分部类型（电力板块、铁路与轨道交通板块、军工板块） </w:t>
      </w:r>
      <w:r>
        <w:rPr>
          <w:spacing w:val="-7"/>
        </w:rPr>
        <w:t>不同适用不同的政策和估计，详细见本节之</w:t>
      </w:r>
      <w:r>
        <w:rPr>
          <w:rFonts w:ascii="Times New Roman" w:hAnsi="Times New Roman" w:cs="Times New Roman" w:eastAsia="Times New Roman" w:hint="default"/>
          <w:spacing w:val="-7"/>
        </w:rPr>
        <w:t>“</w:t>
      </w:r>
      <w:r>
        <w:rPr>
          <w:spacing w:val="-7"/>
        </w:rPr>
        <w:t>五、重要会计政策及会计估计</w:t>
      </w:r>
      <w:r>
        <w:rPr>
          <w:rFonts w:ascii="Times New Roman" w:hAnsi="Times New Roman" w:cs="Times New Roman" w:eastAsia="Times New Roman" w:hint="default"/>
          <w:spacing w:val="-7"/>
        </w:rPr>
        <w:t>”</w:t>
      </w:r>
      <w:r>
        <w:rPr>
          <w:spacing w:val="-7"/>
        </w:rPr>
        <w:t>之</w:t>
      </w:r>
      <w:r>
        <w:rPr>
          <w:rFonts w:ascii="Times New Roman" w:hAnsi="Times New Roman" w:cs="Times New Roman" w:eastAsia="Times New Roman" w:hint="default"/>
          <w:spacing w:val="-7"/>
        </w:rPr>
        <w:t>“11</w:t>
      </w:r>
      <w:r>
        <w:rPr>
          <w:spacing w:val="-7"/>
        </w:rPr>
        <w:t>、应收款项</w:t>
      </w:r>
      <w:r>
        <w:rPr>
          <w:rFonts w:ascii="Times New Roman" w:hAnsi="Times New Roman" w:cs="Times New Roman" w:eastAsia="Times New Roman" w:hint="default"/>
          <w:spacing w:val="-7"/>
        </w:rPr>
        <w:t>”</w:t>
      </w:r>
      <w:r>
        <w:rPr>
          <w:spacing w:val="-7"/>
        </w:rPr>
        <w:t>。</w:t>
      </w:r>
    </w:p>
    <w:p>
      <w:pPr>
        <w:spacing w:line="240" w:lineRule="auto" w:before="1"/>
        <w:rPr>
          <w:rFonts w:ascii="宋体" w:hAnsi="宋体" w:cs="宋体" w:eastAsia="宋体" w:hint="default"/>
          <w:sz w:val="18"/>
          <w:szCs w:val="18"/>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本期计提、收回或转回的坏账准备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38" w:lineRule="auto" w:before="44"/>
        <w:ind w:left="113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64,862.56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2,605,253.38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841" w:space="989"/>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本期实际核销的其他应收款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其他应收款按款项性质分类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3,659,256.49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149,128.33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16,366,646.34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9,501,979.10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4,607,190.21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1,080,576.26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24,633,093.04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10,731,683.69</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按欠款方归集的期末余额前五名的其他应收款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1,446,174.00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1,446,174.00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74,726.90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1,004,045.00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50,202.25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7,463,219.00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1,641,103.15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涉及政府补助的应收款项"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7）因金融资产转移而终止确认的其他应收款"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8）转移其他应收款且继续涉入形成的资产、负债金额"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7、存货" w:id="250"/>
      <w:bookmarkEnd w:id="25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1）存货分类"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35,139,617.72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2,994,364.25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32,145,253.47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17,593,422.23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1,723,287.29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15,870,134.94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37,375,223.08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37,375,223.08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7,784,918.21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7,784,918.21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46,947,001.94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1,156,525.78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45,790,476.16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18,017,335.86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784,839.99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17,232,495.87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332,072.97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332,072.97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751,950.03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751,950.03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687,890.48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687,890.48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54,821,641.68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1,462,517.34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53,359,124.34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19,532,011.87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626,509.69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18,905,502.18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423,896.56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423,896.56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175,727,344.43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5,613,407.37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170,113,937.06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63,679,638.20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3,134,636.97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60,545,001.23</w:t>
            </w:r>
          </w:p>
        </w:tc>
      </w:tr>
    </w:tbl>
    <w:p>
      <w:pPr>
        <w:spacing w:line="338" w:lineRule="auto" w:before="51"/>
        <w:ind w:left="113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1133" w:right="15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133" w:right="17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1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存货跌价准备"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1,723,287.29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1,128,344.67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483,349.41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340,617.12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2,994,364.25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784,839.99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590,305.82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5,896,127.16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6,114,747.19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1,156,525.78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626,509.69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398,044.68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972,536.29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534,573.32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1,462,517.34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3,134,636.97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2,116,695.17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7,352,012.86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6,989,937.63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5,613,407.37</w:t>
            </w:r>
          </w:p>
        </w:tc>
      </w:tr>
    </w:tbl>
    <w:p>
      <w:pPr>
        <w:pStyle w:val="BodyText"/>
        <w:spacing w:line="240" w:lineRule="auto" w:before="81"/>
        <w:ind w:left="1134" w:right="0"/>
        <w:jc w:val="left"/>
      </w:pPr>
      <w:r>
        <w:rPr/>
        <w:t>存货跌价准备（续）</w:t>
      </w:r>
    </w:p>
    <w:p>
      <w:pPr>
        <w:spacing w:line="240" w:lineRule="auto" w:before="11"/>
        <w:rPr>
          <w:rFonts w:ascii="宋体" w:hAnsi="宋体" w:cs="宋体" w:eastAsia="宋体" w:hint="default"/>
          <w:sz w:val="22"/>
          <w:szCs w:val="22"/>
        </w:rPr>
      </w:pPr>
    </w:p>
    <w:tbl>
      <w:tblPr>
        <w:tblW w:w="0" w:type="auto"/>
        <w:jc w:val="left"/>
        <w:tblInd w:w="1134" w:type="dxa"/>
        <w:tblLayout w:type="fixed"/>
        <w:tblCellMar>
          <w:top w:w="0" w:type="dxa"/>
          <w:left w:w="0" w:type="dxa"/>
          <w:bottom w:w="0" w:type="dxa"/>
          <w:right w:w="0" w:type="dxa"/>
        </w:tblCellMar>
        <w:tblLook w:val="01E0"/>
      </w:tblPr>
      <w:tblGrid>
        <w:gridCol w:w="2109"/>
        <w:gridCol w:w="4352"/>
        <w:gridCol w:w="2604"/>
      </w:tblGrid>
      <w:tr>
        <w:trPr>
          <w:trHeight w:val="608" w:hRule="exact"/>
        </w:trPr>
        <w:tc>
          <w:tcPr>
            <w:tcW w:w="2109" w:type="dxa"/>
            <w:tcBorders>
              <w:top w:val="nil" w:sz="6" w:space="0" w:color="auto"/>
              <w:left w:val="nil" w:sz="6" w:space="0" w:color="auto"/>
              <w:bottom w:val="single" w:sz="8" w:space="0" w:color="000000"/>
              <w:right w:val="nil" w:sz="6" w:space="0" w:color="auto"/>
            </w:tcBorders>
          </w:tcPr>
          <w:p>
            <w:pPr>
              <w:pStyle w:val="TableParagraph"/>
              <w:spacing w:line="240" w:lineRule="exact"/>
              <w:ind w:left="221" w:right="0"/>
              <w:jc w:val="left"/>
              <w:rPr>
                <w:rFonts w:ascii="宋体" w:hAnsi="宋体" w:cs="宋体" w:eastAsia="宋体" w:hint="default"/>
                <w:sz w:val="24"/>
                <w:szCs w:val="24"/>
              </w:rPr>
            </w:pPr>
            <w:r>
              <w:rPr>
                <w:rFonts w:ascii="宋体" w:hAnsi="宋体" w:cs="宋体" w:eastAsia="宋体" w:hint="default"/>
                <w:b/>
                <w:bCs/>
                <w:sz w:val="24"/>
                <w:szCs w:val="24"/>
              </w:rPr>
              <w:t>存货种类</w:t>
            </w:r>
            <w:r>
              <w:rPr>
                <w:rFonts w:ascii="宋体" w:hAnsi="宋体" w:cs="宋体" w:eastAsia="宋体" w:hint="default"/>
                <w:sz w:val="24"/>
                <w:szCs w:val="24"/>
              </w:rPr>
            </w:r>
          </w:p>
        </w:tc>
        <w:tc>
          <w:tcPr>
            <w:tcW w:w="4352" w:type="dxa"/>
            <w:tcBorders>
              <w:top w:val="nil" w:sz="6" w:space="0" w:color="auto"/>
              <w:left w:val="nil" w:sz="6" w:space="0" w:color="auto"/>
              <w:bottom w:val="single" w:sz="8" w:space="0" w:color="000000"/>
              <w:right w:val="nil" w:sz="6" w:space="0" w:color="auto"/>
            </w:tcBorders>
          </w:tcPr>
          <w:p>
            <w:pPr>
              <w:pStyle w:val="TableParagraph"/>
              <w:spacing w:line="239" w:lineRule="exact"/>
              <w:ind w:right="426"/>
              <w:jc w:val="right"/>
              <w:rPr>
                <w:rFonts w:ascii="宋体" w:hAnsi="宋体" w:cs="宋体" w:eastAsia="宋体" w:hint="default"/>
                <w:sz w:val="24"/>
                <w:szCs w:val="24"/>
              </w:rPr>
            </w:pPr>
            <w:r>
              <w:rPr>
                <w:rFonts w:ascii="宋体" w:hAnsi="宋体" w:cs="宋体" w:eastAsia="宋体" w:hint="default"/>
                <w:b/>
                <w:bCs/>
                <w:w w:val="95"/>
                <w:sz w:val="24"/>
                <w:szCs w:val="24"/>
              </w:rPr>
              <w:t>确定可变现净值的</w:t>
            </w:r>
            <w:r>
              <w:rPr>
                <w:rFonts w:ascii="宋体" w:hAnsi="宋体" w:cs="宋体" w:eastAsia="宋体" w:hint="default"/>
                <w:sz w:val="24"/>
                <w:szCs w:val="24"/>
              </w:rPr>
            </w:r>
          </w:p>
          <w:p>
            <w:pPr>
              <w:pStyle w:val="TableParagraph"/>
              <w:spacing w:line="313" w:lineRule="exact"/>
              <w:ind w:right="425"/>
              <w:jc w:val="right"/>
              <w:rPr>
                <w:rFonts w:ascii="宋体" w:hAnsi="宋体" w:cs="宋体" w:eastAsia="宋体" w:hint="default"/>
                <w:sz w:val="24"/>
                <w:szCs w:val="24"/>
              </w:rPr>
            </w:pPr>
            <w:r>
              <w:rPr>
                <w:rFonts w:ascii="宋体" w:hAnsi="宋体" w:cs="宋体" w:eastAsia="宋体" w:hint="default"/>
                <w:b/>
                <w:bCs/>
                <w:sz w:val="24"/>
                <w:szCs w:val="24"/>
              </w:rPr>
              <w:t>具体依据</w:t>
            </w:r>
            <w:r>
              <w:rPr>
                <w:rFonts w:ascii="宋体" w:hAnsi="宋体" w:cs="宋体" w:eastAsia="宋体" w:hint="default"/>
                <w:sz w:val="24"/>
                <w:szCs w:val="24"/>
              </w:rPr>
            </w:r>
          </w:p>
        </w:tc>
        <w:tc>
          <w:tcPr>
            <w:tcW w:w="2604" w:type="dxa"/>
            <w:tcBorders>
              <w:top w:val="nil" w:sz="6" w:space="0" w:color="auto"/>
              <w:left w:val="nil" w:sz="6" w:space="0" w:color="auto"/>
              <w:bottom w:val="single" w:sz="8" w:space="0" w:color="000000"/>
              <w:right w:val="nil" w:sz="6" w:space="0" w:color="auto"/>
            </w:tcBorders>
          </w:tcPr>
          <w:p>
            <w:pPr>
              <w:pStyle w:val="TableParagraph"/>
              <w:spacing w:line="239" w:lineRule="exact"/>
              <w:ind w:left="425" w:right="0" w:firstLine="481"/>
              <w:jc w:val="left"/>
              <w:rPr>
                <w:rFonts w:ascii="宋体" w:hAnsi="宋体" w:cs="宋体" w:eastAsia="宋体" w:hint="default"/>
                <w:sz w:val="24"/>
                <w:szCs w:val="24"/>
              </w:rPr>
            </w:pPr>
            <w:r>
              <w:rPr>
                <w:rFonts w:ascii="宋体" w:hAnsi="宋体" w:cs="宋体" w:eastAsia="宋体" w:hint="default"/>
                <w:b/>
                <w:bCs/>
                <w:sz w:val="24"/>
                <w:szCs w:val="24"/>
              </w:rPr>
              <w:t>本期转回或转销</w:t>
            </w:r>
            <w:r>
              <w:rPr>
                <w:rFonts w:ascii="宋体" w:hAnsi="宋体" w:cs="宋体" w:eastAsia="宋体" w:hint="default"/>
                <w:sz w:val="24"/>
                <w:szCs w:val="24"/>
              </w:rPr>
            </w:r>
          </w:p>
          <w:p>
            <w:pPr>
              <w:pStyle w:val="TableParagraph"/>
              <w:spacing w:line="313" w:lineRule="exact"/>
              <w:ind w:left="425" w:right="0"/>
              <w:jc w:val="left"/>
              <w:rPr>
                <w:rFonts w:ascii="宋体" w:hAnsi="宋体" w:cs="宋体" w:eastAsia="宋体" w:hint="default"/>
                <w:sz w:val="24"/>
                <w:szCs w:val="24"/>
              </w:rPr>
            </w:pPr>
            <w:r>
              <w:rPr>
                <w:rFonts w:ascii="宋体" w:hAnsi="宋体" w:cs="宋体" w:eastAsia="宋体" w:hint="default"/>
                <w:b/>
                <w:bCs/>
                <w:sz w:val="24"/>
                <w:szCs w:val="24"/>
              </w:rPr>
              <w:t>存货跌价准备的原因</w:t>
            </w:r>
            <w:r>
              <w:rPr>
                <w:rFonts w:ascii="宋体" w:hAnsi="宋体" w:cs="宋体" w:eastAsia="宋体" w:hint="default"/>
                <w:sz w:val="24"/>
                <w:szCs w:val="24"/>
              </w:rPr>
            </w:r>
          </w:p>
        </w:tc>
      </w:tr>
      <w:tr>
        <w:trPr>
          <w:trHeight w:val="966" w:hRule="exact"/>
        </w:trPr>
        <w:tc>
          <w:tcPr>
            <w:tcW w:w="2109" w:type="dxa"/>
            <w:tcBorders>
              <w:top w:val="single" w:sz="8" w:space="0" w:color="000000"/>
              <w:left w:val="nil" w:sz="6" w:space="0" w:color="auto"/>
              <w:bottom w:val="single" w:sz="8" w:space="0" w:color="000000"/>
              <w:right w:val="nil" w:sz="6" w:space="0" w:color="auto"/>
            </w:tcBorders>
          </w:tcPr>
          <w:p>
            <w:pPr>
              <w:pStyle w:val="TableParagraph"/>
              <w:spacing w:line="276" w:lineRule="exact"/>
              <w:ind w:left="11"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435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22" w:right="0"/>
              <w:jc w:val="left"/>
              <w:rPr>
                <w:rFonts w:ascii="宋体" w:hAnsi="宋体" w:cs="宋体" w:eastAsia="宋体" w:hint="default"/>
                <w:sz w:val="21"/>
                <w:szCs w:val="21"/>
              </w:rPr>
            </w:pPr>
            <w:r>
              <w:rPr>
                <w:rFonts w:ascii="宋体" w:hAnsi="宋体" w:cs="宋体" w:eastAsia="宋体" w:hint="default"/>
                <w:spacing w:val="9"/>
                <w:sz w:val="21"/>
                <w:szCs w:val="21"/>
              </w:rPr>
              <w:t>估计的售价减去至完工时估计</w:t>
            </w:r>
          </w:p>
          <w:p>
            <w:pPr>
              <w:pStyle w:val="TableParagraph"/>
              <w:spacing w:line="273" w:lineRule="auto" w:before="37"/>
              <w:ind w:left="922" w:right="562"/>
              <w:jc w:val="left"/>
              <w:rPr>
                <w:rFonts w:ascii="宋体" w:hAnsi="宋体" w:cs="宋体" w:eastAsia="宋体" w:hint="default"/>
                <w:sz w:val="21"/>
                <w:szCs w:val="21"/>
              </w:rPr>
            </w:pPr>
            <w:r>
              <w:rPr>
                <w:rFonts w:ascii="宋体" w:hAnsi="宋体" w:cs="宋体" w:eastAsia="宋体" w:hint="default"/>
                <w:spacing w:val="-6"/>
                <w:sz w:val="21"/>
                <w:szCs w:val="21"/>
              </w:rPr>
              <w:t>将要发生的成本、估计的销售费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用以及相关税费</w:t>
            </w:r>
          </w:p>
        </w:tc>
        <w:tc>
          <w:tcPr>
            <w:tcW w:w="2604"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hAnsi="宋体" w:cs="宋体" w:eastAsia="宋体" w:hint="default"/>
                <w:sz w:val="21"/>
                <w:szCs w:val="21"/>
              </w:rPr>
              <w:t>生产销售</w:t>
            </w:r>
          </w:p>
        </w:tc>
      </w:tr>
      <w:tr>
        <w:trPr>
          <w:trHeight w:val="655" w:hRule="exact"/>
        </w:trPr>
        <w:tc>
          <w:tcPr>
            <w:tcW w:w="2109" w:type="dxa"/>
            <w:tcBorders>
              <w:top w:val="single" w:sz="8" w:space="0" w:color="000000"/>
              <w:left w:val="nil" w:sz="6" w:space="0" w:color="auto"/>
              <w:bottom w:val="single" w:sz="8" w:space="0" w:color="000000"/>
              <w:right w:val="nil" w:sz="6" w:space="0" w:color="auto"/>
            </w:tcBorders>
          </w:tcPr>
          <w:p>
            <w:pPr>
              <w:pStyle w:val="TableParagraph"/>
              <w:spacing w:line="276" w:lineRule="exact"/>
              <w:ind w:left="9"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4352" w:type="dxa"/>
            <w:tcBorders>
              <w:top w:val="single" w:sz="8" w:space="0" w:color="000000"/>
              <w:left w:val="nil" w:sz="6" w:space="0" w:color="auto"/>
              <w:bottom w:val="single" w:sz="8" w:space="0" w:color="000000"/>
              <w:right w:val="nil" w:sz="6" w:space="0" w:color="auto"/>
            </w:tcBorders>
          </w:tcPr>
          <w:p>
            <w:pPr>
              <w:pStyle w:val="TableParagraph"/>
              <w:spacing w:line="261" w:lineRule="exact"/>
              <w:ind w:left="922" w:right="0"/>
              <w:jc w:val="left"/>
              <w:rPr>
                <w:rFonts w:ascii="宋体" w:hAnsi="宋体" w:cs="宋体" w:eastAsia="宋体" w:hint="default"/>
                <w:sz w:val="21"/>
                <w:szCs w:val="21"/>
              </w:rPr>
            </w:pPr>
            <w:r>
              <w:rPr>
                <w:rFonts w:ascii="宋体" w:hAnsi="宋体" w:cs="宋体" w:eastAsia="宋体" w:hint="default"/>
                <w:spacing w:val="9"/>
                <w:sz w:val="21"/>
                <w:szCs w:val="21"/>
              </w:rPr>
              <w:t>估计的售价减去估计的销售费</w:t>
            </w:r>
          </w:p>
          <w:p>
            <w:pPr>
              <w:pStyle w:val="TableParagraph"/>
              <w:spacing w:line="240" w:lineRule="auto" w:before="37"/>
              <w:ind w:left="922" w:right="0"/>
              <w:jc w:val="left"/>
              <w:rPr>
                <w:rFonts w:ascii="宋体" w:hAnsi="宋体" w:cs="宋体" w:eastAsia="宋体" w:hint="default"/>
                <w:sz w:val="21"/>
                <w:szCs w:val="21"/>
              </w:rPr>
            </w:pPr>
            <w:r>
              <w:rPr>
                <w:rFonts w:ascii="宋体" w:hAnsi="宋体" w:cs="宋体" w:eastAsia="宋体" w:hint="default"/>
                <w:sz w:val="21"/>
                <w:szCs w:val="21"/>
              </w:rPr>
              <w:t>用及相关税费</w:t>
            </w:r>
          </w:p>
        </w:tc>
        <w:tc>
          <w:tcPr>
            <w:tcW w:w="2604" w:type="dxa"/>
            <w:tcBorders>
              <w:top w:val="single" w:sz="8" w:space="0" w:color="000000"/>
              <w:left w:val="nil" w:sz="6" w:space="0" w:color="auto"/>
              <w:bottom w:val="single" w:sz="8" w:space="0" w:color="000000"/>
              <w:right w:val="nil" w:sz="6" w:space="0" w:color="auto"/>
            </w:tcBorders>
          </w:tcPr>
          <w:p>
            <w:pPr>
              <w:pStyle w:val="TableParagraph"/>
              <w:spacing w:line="261" w:lineRule="exact"/>
              <w:ind w:right="7"/>
              <w:jc w:val="right"/>
              <w:rPr>
                <w:rFonts w:ascii="宋体" w:hAnsi="宋体" w:cs="宋体" w:eastAsia="宋体" w:hint="default"/>
                <w:sz w:val="21"/>
                <w:szCs w:val="21"/>
              </w:rPr>
            </w:pPr>
            <w:r>
              <w:rPr>
                <w:rFonts w:ascii="宋体" w:hAnsi="宋体" w:cs="宋体" w:eastAsia="宋体" w:hint="default"/>
                <w:sz w:val="21"/>
                <w:szCs w:val="21"/>
              </w:rPr>
              <w:t>对外销售</w:t>
            </w:r>
          </w:p>
        </w:tc>
      </w:tr>
    </w:tbl>
    <w:p>
      <w:pPr>
        <w:spacing w:after="0" w:line="261" w:lineRule="exact"/>
        <w:jc w:val="righ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04" w:type="dxa"/>
        <w:tblLayout w:type="fixed"/>
        <w:tblCellMar>
          <w:top w:w="0" w:type="dxa"/>
          <w:left w:w="0" w:type="dxa"/>
          <w:bottom w:w="0" w:type="dxa"/>
          <w:right w:w="0" w:type="dxa"/>
        </w:tblCellMar>
        <w:tblLook w:val="01E0"/>
      </w:tblPr>
      <w:tblGrid>
        <w:gridCol w:w="2031"/>
        <w:gridCol w:w="5055"/>
        <w:gridCol w:w="2010"/>
      </w:tblGrid>
      <w:tr>
        <w:trPr>
          <w:trHeight w:val="982" w:hRule="exact"/>
        </w:trPr>
        <w:tc>
          <w:tcPr>
            <w:tcW w:w="203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9" w:right="0"/>
              <w:jc w:val="left"/>
              <w:rPr>
                <w:rFonts w:ascii="宋体" w:hAnsi="宋体" w:cs="宋体" w:eastAsia="宋体" w:hint="default"/>
                <w:sz w:val="24"/>
                <w:szCs w:val="24"/>
              </w:rPr>
            </w:pPr>
            <w:r>
              <w:rPr>
                <w:rFonts w:ascii="宋体" w:hAnsi="宋体" w:cs="宋体" w:eastAsia="宋体" w:hint="default"/>
                <w:sz w:val="24"/>
                <w:szCs w:val="24"/>
              </w:rPr>
              <w:t>发出商品</w:t>
            </w:r>
          </w:p>
        </w:tc>
        <w:tc>
          <w:tcPr>
            <w:tcW w:w="505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73" w:lineRule="auto"/>
              <w:ind w:left="1030" w:right="1158"/>
              <w:jc w:val="left"/>
              <w:rPr>
                <w:rFonts w:ascii="宋体" w:hAnsi="宋体" w:cs="宋体" w:eastAsia="宋体" w:hint="default"/>
                <w:sz w:val="21"/>
                <w:szCs w:val="21"/>
              </w:rPr>
            </w:pPr>
            <w:r>
              <w:rPr>
                <w:rFonts w:ascii="宋体" w:hAnsi="宋体" w:cs="宋体" w:eastAsia="宋体" w:hint="default"/>
                <w:spacing w:val="9"/>
                <w:sz w:val="21"/>
                <w:szCs w:val="21"/>
              </w:rPr>
              <w:t>估计的售价减去估计的销售费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用及相关税费</w:t>
            </w:r>
          </w:p>
        </w:tc>
        <w:tc>
          <w:tcPr>
            <w:tcW w:w="201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60" w:right="0"/>
              <w:jc w:val="left"/>
              <w:rPr>
                <w:rFonts w:ascii="宋体" w:hAnsi="宋体" w:cs="宋体" w:eastAsia="宋体" w:hint="default"/>
                <w:sz w:val="21"/>
                <w:szCs w:val="21"/>
              </w:rPr>
            </w:pPr>
            <w:r>
              <w:rPr>
                <w:rFonts w:ascii="宋体" w:hAnsi="宋体" w:cs="宋体" w:eastAsia="宋体" w:hint="default"/>
                <w:sz w:val="21"/>
                <w:szCs w:val="21"/>
              </w:rPr>
              <w:t>对外销售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r>
        <w:rPr/>
        <w:pict>
          <v:group style="position:absolute;margin-left:55.200001pt;margin-top:-77.746353pt;width:485pt;height:.1pt;mso-position-horizontal-relative:page;mso-position-vertical-relative:paragraph;z-index:-1460224" coordorigin="1104,-1555" coordsize="9700,2">
            <v:shape style="position:absolute;left:1104;top:-1555;width:9700;height:2" coordorigin="1104,-1555" coordsize="9700,0" path="m1104,-1555l10804,-1555e" filled="false" stroked="true" strokeweight=".72pt" strokecolor="#000000">
              <v:path arrowok="t"/>
            </v:shape>
            <w10:wrap type="none"/>
          </v:group>
        </w:pict>
      </w:r>
      <w:bookmarkStart w:name="（3）存货期末余额含有借款费用资本化金额的说明"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4）期末建造合同形成的已完工未结算资产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8、其他流动资产" w:id="255"/>
      <w:bookmarkEnd w:id="2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25,584.83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1,766.34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57,592.80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67,167.91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9、可供出售金融资产" w:id="256"/>
      <w:bookmarkEnd w:id="25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可供出售金融资产情况"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4,969,524.26</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4,969,524.26</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104,969,524.26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4,969,524.26</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期末按公允价值计量的可供出售金融资产"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期末按成本计量的可供出售金融资产"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浙江厚达 智能科技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4.88%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中铁建金 融租赁有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4,969,524.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104,969,52</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4.26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报告期内可供出售金融资产减值的变动情况"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可供出售权益工具期末公允价值严重下跌或非暂时性下跌但未计提减值准备的相关说"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403" w:lineRule="auto" w:before="145"/>
        <w:ind w:right="2593"/>
        <w:jc w:val="left"/>
      </w:pPr>
      <w:r>
        <w:rPr/>
        <w:t>可供出售金融资产系根据购买日的公允价值计量确认，不存在活跃市场报价。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日，可供出售金融资产不存在减值情形。</w:t>
      </w:r>
    </w:p>
    <w:p>
      <w:pPr>
        <w:spacing w:before="124"/>
        <w:ind w:left="1133" w:right="0" w:firstLine="0"/>
        <w:jc w:val="left"/>
        <w:rPr>
          <w:rFonts w:ascii="宋体" w:hAnsi="宋体" w:cs="宋体" w:eastAsia="宋体" w:hint="default"/>
          <w:sz w:val="21"/>
          <w:szCs w:val="21"/>
        </w:rPr>
      </w:pPr>
      <w:bookmarkStart w:name="10、投资性房地产" w:id="262"/>
      <w:bookmarkEnd w:id="26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采用成本计量模式的投资性房地产"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21,967,653.05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21,967,653.05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21,967,653.05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21,967,653.05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6,938,724.54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6,938,724.54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1,043,843.40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1,043,843.40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1,043,843.40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1,043,843.40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7,982,567.94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7,982,567.94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13,985,085.11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13,985,085.11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15,028,928.51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15,028,928.51</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采用公允价值计量模式的投资性房地产"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3）未办妥产权证书的投资性房地产情况"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1、固定资产" w:id="266"/>
      <w:bookmarkEnd w:id="26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固定资产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46,154,827.99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18,767,781.90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8,265,147.34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4,945,890.38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78,133,647.61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124,562,236.79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51,564,315.93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4,970,120.27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2,421,747.92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183,518,420.91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8,733,589.93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1,217,754.27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1,247,083.62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11,198,427.82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7,588,245.79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7,588,245.79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116,973,991.00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42,830,726.00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3,752,366.00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1,174,664.30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164,731,747.30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1,206,428.35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1,437,815.35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230,822.00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1,206,428.35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1,437,815.35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170,717,064.78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70,101,275.83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12,028,839.26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7,367,073.30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260,214,253.17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7,666,339.41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5,023,981.19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4,753,895.45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2,383,378.93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19,827,594.98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4,909,674.93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6,789,080.06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1,770,994.30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823,899.73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14,293,649.02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4,909,674.93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6,789,080.06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1,770,994.30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823,899.73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14,293,649.02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708,022.79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721,608.68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708,022.79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721,608.68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12,576,014.34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11,799,558.67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5,816,866.96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3,207,195.35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33,399,635.32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14,290.69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合并增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13,762.69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14,290.69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7,067.13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7,067.13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158,141,050.44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58,295,021.60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6,211,444.30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4,159,877.95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226,807,394.29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38,488,488.58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13,743,800.71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3,511,251.89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2,562,511.45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58,306,052.63</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暂时闲置的固定资产情况"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未办妥产权证书的固定资产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城区凤凰北街北安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号楼</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号营业房</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安小区分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395,419.96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历史原因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厂区中的食堂</w:t>
            </w:r>
            <w:r>
              <w:rPr>
                <w:rFonts w:ascii="Times New Roman" w:hAnsi="Times New Roman" w:cs="Times New Roman" w:eastAsia="Times New Roman" w:hint="default"/>
                <w:sz w:val="18"/>
                <w:szCs w:val="18"/>
              </w:rPr>
              <w:t>(</w:t>
            </w:r>
            <w:r>
              <w:rPr>
                <w:rFonts w:ascii="宋体" w:hAnsi="宋体" w:cs="宋体" w:eastAsia="宋体" w:hint="default"/>
                <w:sz w:val="18"/>
                <w:szCs w:val="18"/>
              </w:rPr>
              <w:t>兴庆区兴源路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966,555.21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厂区内功能性附属建筑</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厂区中的门房、厕所和锅炉房</w:t>
            </w:r>
            <w:r>
              <w:rPr>
                <w:rFonts w:ascii="Times New Roman" w:hAnsi="Times New Roman" w:cs="Times New Roman" w:eastAsia="Times New Roman" w:hint="default"/>
                <w:sz w:val="18"/>
                <w:szCs w:val="18"/>
              </w:rPr>
              <w:t>(</w:t>
            </w:r>
            <w:r>
              <w:rPr>
                <w:rFonts w:ascii="宋体" w:hAnsi="宋体" w:cs="宋体" w:eastAsia="宋体" w:hint="default"/>
                <w:sz w:val="18"/>
                <w:szCs w:val="18"/>
              </w:rPr>
              <w:t>兴庆区兴 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828,737.60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厂区内功能性附属建筑</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2、在建工程" w:id="270"/>
      <w:bookmarkEnd w:id="27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在建工程情况"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高压电气设备故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539,150.94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539,150.94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障仿真试验室建 设项目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539,150.94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539,150.94</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重要在建工程项目本期变动情况"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高压电 气设备 故障仿 真试验 室建设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7,049,09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7,588,24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7,049,09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7,588,24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本期计提在建工程减值准备情况"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90"/>
        <w:ind w:left="1133"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日，未发现需要对上述在建工程计提减值准备的情况。</w:t>
      </w:r>
    </w:p>
    <w:p>
      <w:pPr>
        <w:spacing w:line="240" w:lineRule="auto" w:before="8"/>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13、无形资产" w:id="274"/>
      <w:bookmarkEnd w:id="27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无形资产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162"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12" w:right="53"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2,557,907.00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1,466,440.59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4,154,502.93</w:t>
            </w: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38,013,781.00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6,823,422.22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19,058,967.00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1,238,058.90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65,136,429.12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1,121,895.90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1,124,095.90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38,013,781.00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6,823,422.22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19,058,967.00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116,163.00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64,012,333.22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40,571,688.00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6,823,422.22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19,058,967.00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2,704,499.49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82,355.34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69,290,932.05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139,885.48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767,267.66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42,083.59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62,706.20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1,011,942.93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731,630.48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227,447.40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940,317.20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412,194.84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5,524.52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2,322,114.49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731,630.48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227,447.40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940,317.20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412,194.84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5,524.52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2,322,114.49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871,515.96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227,447.40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940,317.00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1,179,462.50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47,083.64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68,230.72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3,334,057.42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39,700,172.04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6,595,974.82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18,118,650.00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1,525,036.99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14,124.62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65,956,874.63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2,418,021.52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699,172.93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7,916.41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17,449.14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3,142,560.00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27.47%</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未办妥产权证书的土地使用权情况"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4、开发支出" w:id="277"/>
      <w:bookmarkEnd w:id="27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CRH380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w:t>
            </w:r>
          </w:p>
          <w:p>
            <w:pPr>
              <w:pStyle w:val="TableParagraph"/>
              <w:spacing w:line="319" w:lineRule="auto" w:before="61"/>
              <w:ind w:left="22" w:right="129"/>
              <w:jc w:val="left"/>
              <w:rPr>
                <w:rFonts w:ascii="宋体" w:hAnsi="宋体" w:cs="宋体" w:eastAsia="宋体" w:hint="default"/>
                <w:sz w:val="18"/>
                <w:szCs w:val="18"/>
              </w:rPr>
            </w:pPr>
            <w:r>
              <w:rPr>
                <w:rFonts w:ascii="宋体" w:hAnsi="宋体" w:cs="宋体" w:eastAsia="宋体" w:hint="default"/>
                <w:sz w:val="18"/>
                <w:szCs w:val="18"/>
              </w:rPr>
              <w:t>车组牵引变 压器研制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2,836,367.30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3,019,300.27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5,855,667.57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2,836,367.30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3,019,300.27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5,855,667.57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日，未发现需要对上述开发支出计提减值准备的情况。</w:t>
      </w:r>
    </w:p>
    <w:p>
      <w:pPr>
        <w:spacing w:line="240" w:lineRule="auto" w:before="4"/>
        <w:rPr>
          <w:rFonts w:ascii="宋体" w:hAnsi="宋体" w:cs="宋体" w:eastAsia="宋体" w:hint="default"/>
          <w:sz w:val="23"/>
          <w:szCs w:val="23"/>
        </w:rPr>
      </w:pPr>
    </w:p>
    <w:p>
      <w:pPr>
        <w:spacing w:before="0"/>
        <w:ind w:left="1133" w:right="0" w:firstLine="0"/>
        <w:jc w:val="left"/>
        <w:rPr>
          <w:rFonts w:ascii="宋体" w:hAnsi="宋体" w:cs="宋体" w:eastAsia="宋体" w:hint="default"/>
          <w:sz w:val="21"/>
          <w:szCs w:val="21"/>
        </w:rPr>
      </w:pPr>
      <w:bookmarkStart w:name="15、商誉" w:id="278"/>
      <w:bookmarkEnd w:id="27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商誉账面原值"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378" w:right="0"/>
              <w:jc w:val="left"/>
              <w:rPr>
                <w:rFonts w:ascii="Times New Roman" w:hAnsi="Times New Roman" w:cs="Times New Roman" w:eastAsia="Times New Roman" w:hint="default"/>
                <w:sz w:val="18"/>
                <w:szCs w:val="18"/>
              </w:rPr>
            </w:pPr>
            <w:r>
              <w:rPr>
                <w:rFonts w:ascii="Times New Roman"/>
                <w:sz w:val="18"/>
              </w:rPr>
              <w:t>4,099,176.90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4,099,176.90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670,994,526.54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670,994,526.54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394,587,113.03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394,587,113.03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4,099,176.90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1,065,581,639.57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1,069,680,816.47</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商誉减值准备"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312" w:lineRule="exact" w:before="97"/>
        <w:ind w:left="1134" w:right="1133"/>
        <w:jc w:val="both"/>
      </w:pPr>
      <w:r>
        <w:rPr/>
        <w:t>公司期末对商誉相关的资产组进行了减值测试，公司通过比较商誉相关的资产组组合可回收 金额与该资产组及商誉的账面价值，对商誉进行减值测试。如与商誉相关的资产组或者资产 组组合存在减值迹象的，先对不包含商誉的资产组或者资产组组合进行减值测试，计算可收 回金额，并与相关账面价值相比较，确认相应的减值损失，再对包含商誉的资产组或者资产 组组合进行减值测试，比较这些相关资产组或者资产组组合的账面价值（包括所分摊的商誉 的账面价值部分）与其可收回金额，如相关资产组或者资产组组合的可收回金额低于其账面 价值，确认商誉的减值损失。</w:t>
      </w:r>
    </w:p>
    <w:p>
      <w:pPr>
        <w:pStyle w:val="BodyText"/>
        <w:spacing w:line="232" w:lineRule="auto" w:before="133"/>
        <w:ind w:right="1132"/>
        <w:jc w:val="both"/>
      </w:pPr>
      <w:r>
        <w:rPr>
          <w:rFonts w:ascii="Times New Roman" w:hAnsi="Times New Roman" w:cs="Times New Roman" w:eastAsia="Times New Roman" w:hint="default"/>
        </w:rPr>
        <w:t>1.</w:t>
      </w:r>
      <w:r>
        <w:rPr/>
        <w:t>澳洲红相：本公司进行逐项比对、核查测试，未发现澳洲红相公司（整体资产负债作为一</w:t>
      </w:r>
      <w:r>
        <w:rPr>
          <w:spacing w:val="-40"/>
        </w:rPr>
        <w:t> </w:t>
      </w:r>
      <w:r>
        <w:rPr>
          <w:spacing w:val="-40"/>
        </w:rPr>
      </w:r>
      <w:r>
        <w:rPr/>
        <w:t>个资产组）存在任何表明资产可能已经发生减值的迹象，同时为了审慎起见，本公司还采用 预计未来现金流现值的方法计算资产组的可收回金额。本公司根据过往表现及对市场发展的 预期预计未来</w:t>
      </w:r>
      <w:r>
        <w:rPr>
          <w:rFonts w:ascii="Times New Roman" w:hAnsi="Times New Roman" w:cs="Times New Roman" w:eastAsia="Times New Roman" w:hint="default"/>
        </w:rPr>
        <w:t>5</w:t>
      </w:r>
      <w:r>
        <w:rPr/>
        <w:t>年内现金流量，其后年度采用的现金流量增长率预计为</w:t>
      </w:r>
      <w:r>
        <w:rPr>
          <w:rFonts w:ascii="Times New Roman" w:hAnsi="Times New Roman" w:cs="Times New Roman" w:eastAsia="Times New Roman" w:hint="default"/>
        </w:rPr>
        <w:t>0%</w:t>
      </w:r>
      <w:r>
        <w:rPr/>
        <w:t>，不会超过资产组</w:t>
      </w:r>
      <w:r>
        <w:rPr>
          <w:spacing w:val="-63"/>
        </w:rPr>
        <w:t> </w:t>
      </w:r>
      <w:r>
        <w:rPr>
          <w:spacing w:val="-63"/>
        </w:rPr>
      </w:r>
      <w:r>
        <w:rPr/>
        <w:t>经营业务的长期平均增长率。计算未来现金流现值所采用的折现率时考虑了通货膨胀率、无 风险资本成本率、风险溢价等因素。经测试本期不存在需计提的减值准备商誉。</w:t>
      </w:r>
    </w:p>
    <w:p>
      <w:pPr>
        <w:pStyle w:val="BodyText"/>
        <w:spacing w:line="312" w:lineRule="exact" w:before="185"/>
        <w:ind w:right="1132"/>
        <w:jc w:val="both"/>
      </w:pPr>
      <w:r>
        <w:rPr>
          <w:rFonts w:ascii="Times New Roman" w:hAnsi="Times New Roman" w:cs="Times New Roman" w:eastAsia="Times New Roman" w:hint="default"/>
          <w:spacing w:val="-1"/>
        </w:rPr>
        <w:t>2.</w:t>
      </w:r>
      <w:r>
        <w:rPr>
          <w:spacing w:val="-1"/>
        </w:rPr>
        <w:t>星波通信：公司因拟收购星波通信剩余</w:t>
      </w:r>
      <w:r>
        <w:rPr>
          <w:rFonts w:ascii="Times New Roman" w:hAnsi="Times New Roman" w:cs="Times New Roman" w:eastAsia="Times New Roman" w:hint="default"/>
          <w:spacing w:val="-1"/>
        </w:rPr>
        <w:t>32.46%</w:t>
      </w:r>
      <w:r>
        <w:rPr>
          <w:spacing w:val="-1"/>
        </w:rPr>
        <w:t>股权，委托国融兴华以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日为基准</w:t>
      </w:r>
      <w:r>
        <w:rPr>
          <w:spacing w:val="-117"/>
        </w:rPr>
        <w:t> </w:t>
      </w:r>
      <w:r>
        <w:rPr/>
        <w:t>日出具了</w:t>
      </w:r>
      <w:r>
        <w:rPr>
          <w:rFonts w:ascii="Times New Roman" w:hAnsi="Times New Roman" w:cs="Times New Roman" w:eastAsia="Times New Roman" w:hint="default"/>
        </w:rPr>
        <w:t>“</w:t>
      </w:r>
      <w:r>
        <w:rPr/>
        <w:t>国融兴华评报字</w:t>
      </w:r>
      <w:r>
        <w:rPr>
          <w:rFonts w:ascii="Times New Roman" w:hAnsi="Times New Roman" w:cs="Times New Roman" w:eastAsia="Times New Roman" w:hint="default"/>
        </w:rPr>
        <w:t>S[2017]</w:t>
      </w:r>
      <w:r>
        <w:rPr/>
        <w:t>第</w:t>
      </w:r>
      <w:r>
        <w:rPr>
          <w:rFonts w:ascii="Times New Roman" w:hAnsi="Times New Roman" w:cs="Times New Roman" w:eastAsia="Times New Roman" w:hint="default"/>
        </w:rPr>
        <w:t>0011</w:t>
      </w:r>
      <w:r>
        <w:rPr/>
        <w:t>号</w:t>
      </w:r>
      <w:r>
        <w:rPr>
          <w:rFonts w:ascii="Times New Roman" w:hAnsi="Times New Roman" w:cs="Times New Roman" w:eastAsia="Times New Roman" w:hint="default"/>
        </w:rPr>
        <w:t>”</w:t>
      </w:r>
      <w:r>
        <w:rPr/>
        <w:t>评估报告。该评估报告距离时间较近且星波通信</w:t>
      </w:r>
      <w:r>
        <w:rPr>
          <w:spacing w:val="-117"/>
        </w:rPr>
        <w:t> </w:t>
      </w:r>
      <w:r>
        <w:rPr>
          <w:spacing w:val="-117"/>
        </w:rPr>
      </w:r>
      <w:r>
        <w:rPr/>
        <w:t>组织结构、业务收入未发生明显变化，公司管理层在此基础上结合星波通信历史财务数据、 未来业务发展规划和行业发展趋势，对星波通信资产组未来现金流量进行预测，经测试星波 通信资产组于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日预计未来现金流量的现值高于包含商誉的资产组账面价值，无</w:t>
      </w:r>
      <w:r>
        <w:rPr>
          <w:spacing w:val="-113"/>
        </w:rPr>
        <w:t> </w:t>
      </w:r>
      <w:r>
        <w:rPr>
          <w:spacing w:val="-113"/>
        </w:rPr>
      </w:r>
      <w:r>
        <w:rPr/>
        <w:t>需计提减值准备。</w:t>
      </w:r>
    </w:p>
    <w:p>
      <w:pPr>
        <w:pStyle w:val="BodyText"/>
        <w:spacing w:line="312" w:lineRule="exact" w:before="156"/>
        <w:ind w:right="1132"/>
        <w:jc w:val="both"/>
      </w:pPr>
      <w:r>
        <w:rPr>
          <w:rFonts w:ascii="Times New Roman" w:hAnsi="Times New Roman" w:cs="Times New Roman" w:eastAsia="Times New Roman" w:hint="default"/>
        </w:rPr>
        <w:t>3.</w:t>
      </w:r>
      <w:r>
        <w:rPr/>
        <w:t>银川卧龙：公司对截至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日的银川卧龙商誉进行了减值测试，公司及银川卧龙</w:t>
      </w:r>
      <w:r>
        <w:rPr>
          <w:spacing w:val="-36"/>
        </w:rPr>
        <w:t> </w:t>
      </w:r>
      <w:r>
        <w:rPr>
          <w:spacing w:val="-36"/>
        </w:rPr>
      </w:r>
      <w:r>
        <w:rPr/>
        <w:t>管理层结合银川卧龙历史财务数据、未来业务发展计划和行业发展状况与趋势，对银川卧龙 资产组未来现金流量进行预测，经测试银川卧龙资产组于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日预计未来现金流量</w:t>
      </w:r>
      <w:r>
        <w:rPr>
          <w:spacing w:val="-110"/>
        </w:rPr>
        <w:t> </w:t>
      </w:r>
      <w:r>
        <w:rPr>
          <w:spacing w:val="-110"/>
        </w:rPr>
      </w:r>
      <w:r>
        <w:rPr/>
        <w:t>的现值高于包含商誉的资产组账面价值，无需计提减值准备。此外公司聘请了中企华评估机 构对银川卧龙截至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日的商誉进行评估，根据</w:t>
      </w:r>
      <w:r>
        <w:rPr>
          <w:rFonts w:ascii="Times New Roman" w:hAnsi="Times New Roman" w:cs="Times New Roman" w:eastAsia="Times New Roman" w:hint="default"/>
        </w:rPr>
        <w:t>“</w:t>
      </w:r>
      <w:r>
        <w:rPr/>
        <w:t>中企华评报字（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3197</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评估报告，银川卧龙资产组于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日预计未来现金流量的现值高于包含商誉的资产</w:t>
      </w:r>
      <w:r>
        <w:rPr>
          <w:spacing w:val="-111"/>
        </w:rPr>
        <w:t> </w:t>
      </w:r>
      <w:r>
        <w:rPr>
          <w:spacing w:val="-111"/>
        </w:rPr>
      </w:r>
      <w:r>
        <w:rPr/>
        <w:t>组账面价值，无需计提减值准备。</w:t>
      </w:r>
    </w:p>
    <w:p>
      <w:pPr>
        <w:pStyle w:val="BodyText"/>
        <w:spacing w:line="240" w:lineRule="auto" w:before="125"/>
        <w:ind w:right="0"/>
        <w:jc w:val="both"/>
      </w:pPr>
      <w:r>
        <w:rPr/>
        <w:t>截至报告日，不存在需要计提资产减值准备的商誉。</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6、长期待摊费用" w:id="281"/>
      <w:bookmarkEnd w:id="28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1,399,022.58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364,254.09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1,034,768.49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34,666.72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17,333.28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17,333.44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1,433,689.30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381,587.37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1,052,101.93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7、递延所得税资产/递延所得税负债" w:id="282"/>
      <w:bookmarkEnd w:id="282"/>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未经抵销的递延所得税资产"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102,988,701.56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15,505,136.60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38,080,408.10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5,720,262.56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2,380,784.43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369,297.91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1,559,657.65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233,948.65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2,115,481.38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528,870.35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40,812.12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17,529.53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102,110.54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30,633.16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100,564.68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30,169.40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已开票未确认收入暂时 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10,292,765.17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1,543,914.78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4,791,942.81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718,791.42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11,640,603.85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1,753,476.01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业绩奖励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540,383.89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133,163,818.32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20,283,956.34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44,591,004.99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6,720,701.56</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未经抵销的递延所得税负债"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120,281,935.66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18,406,253.18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16,831,002.84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2,524,650.43</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226,547.10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33,982.07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120,508,482.76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18,440,235.25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16,831,002.84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2,524,650.43</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以抵销后净额列示的递延所得税资产或负债"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20,283,956.34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6,720,701.56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18,440,235.25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2,524,650.43</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未确认递延所得税资产明细"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8,361,897.03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9,362,139.64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8,361,897.03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9,362,139.64</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未确认递延所得税资产的可抵扣亏损将于以下年度到期"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691,151.19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1,106,612.69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1,415,704.11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3,486,041.07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3,486,041.07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1,977,777.44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1,977,777.44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1,791,465.83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1,791,465.83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8,361,897.03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9,362,139.64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8、其他非流动资产" w:id="288"/>
      <w:bookmarkEnd w:id="28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9,182,440.00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2,872,583.49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9,182,440.00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2,872,583.49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19、短期借款" w:id="289"/>
      <w:bookmarkEnd w:id="28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短期借款分类"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已逾期未偿还的短期借款情况"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0、应付票据" w:id="292"/>
      <w:bookmarkEnd w:id="29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32,719,515.00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14,167,506.79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46,887,021.79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1,200,000.00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1、应付账款" w:id="293"/>
      <w:bookmarkEnd w:id="29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账款列示"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269,932,509.51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60,853,371.23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4,842,982.81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869,629.47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274,775,492.32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61,723,000.70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账龄超过1年的重要应付账款"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卧龙电气集团北京华泰变压器有限公司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3,572,250.91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上海智光电力技术有限公司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2,941,298.50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上海英孚特电子技术有限公司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2,874,950.80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保定市伊诺尔电气设备有限公司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10,454,400.21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2、预收款项" w:id="296"/>
      <w:bookmarkEnd w:id="296"/>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预收款项列示"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44,084,868.00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15,090,977.52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44,084,868.00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15,090,977.52</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账龄超过1年的重要预收款项"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期末建造合同形成的已结算未完工项目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3、应付职工薪酬" w:id="300"/>
      <w:bookmarkEnd w:id="30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职工薪酬列示"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16,180,099.54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88,606,347.11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79,673,683.73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25,112,762.92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243,575.60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6,576,563.55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6,391,866.18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428,272.97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16,423,675.14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95,202,010.66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86,084,649.91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25,541,035.89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2）短期薪酬列示"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13,515,227.45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77,940,686.32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68,153,443.16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23,302,470.61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3,148,680.71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3,148,680.71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105,085.50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3,462,427.66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3,387,663.96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179,849.20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86,191.01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2,877,392.87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2,814,640.55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148,943.33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338,415.66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331,093.02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19,823.06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246,619.13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241,930.39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11,082.81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3,183,804.58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3,187,337.18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81,335.40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870,747.84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845,688.33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27,710.12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、职工奖励及福利基金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2,472,267.98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950,870.39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1,521,397.59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16,180,099.54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88,606,347.11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79,673,683.73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25,112,762.92</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设定提存计划列示"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230,561.90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6,302,966.11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6,117,630.63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415,897.38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273,597.44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274,235.55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12,375.59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6,576,563.55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6,391,866.18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428,272.97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pPr>
      <w:r>
        <w:rPr/>
        <w:t>职工奖励及福利基金系子公司浙江涵普原计提的外商投资企业职工奖励及福利基金。</w:t>
      </w:r>
    </w:p>
    <w:p>
      <w:pPr>
        <w:spacing w:line="240" w:lineRule="auto" w:before="9"/>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24、应交税费" w:id="304"/>
      <w:bookmarkEnd w:id="304"/>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25,993,855.11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15,444,453.11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27,710,766.22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12,594,710.49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317,485.80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192,726.96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1,090,223.90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922,681.49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教育费及附加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487,424.20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422,185.48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324,916.13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281,456.98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1,066,776.11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90,406.42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56,991,447.47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29,948,620.93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pPr>
      <w:r>
        <w:rPr/>
        <w:t>其他税种主要是房产税、土地使用税、印花税等</w:t>
      </w:r>
    </w:p>
    <w:p>
      <w:pPr>
        <w:spacing w:line="240" w:lineRule="auto" w:before="9"/>
        <w:rPr>
          <w:rFonts w:ascii="宋体" w:hAnsi="宋体" w:cs="宋体" w:eastAsia="宋体" w:hint="default"/>
          <w:sz w:val="24"/>
          <w:szCs w:val="24"/>
        </w:rPr>
      </w:pPr>
    </w:p>
    <w:p>
      <w:pPr>
        <w:spacing w:before="0"/>
        <w:ind w:left="1134" w:right="0" w:firstLine="0"/>
        <w:jc w:val="left"/>
        <w:rPr>
          <w:rFonts w:ascii="宋体" w:hAnsi="宋体" w:cs="宋体" w:eastAsia="宋体" w:hint="default"/>
          <w:sz w:val="21"/>
          <w:szCs w:val="21"/>
        </w:rPr>
      </w:pPr>
      <w:bookmarkStart w:name="25、应付利息" w:id="305"/>
      <w:bookmarkEnd w:id="305"/>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2,876.20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935,779.69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27,405.01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936,376.14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30,281.21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6、应付股利" w:id="306"/>
      <w:bookmarkEnd w:id="306"/>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应付子公司少数股东股利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15,358,853.37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4,701,978.77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15,358,853.37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4,701,978.77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0"/>
        <w:rPr>
          <w:rFonts w:ascii="宋体" w:hAnsi="宋体" w:cs="宋体" w:eastAsia="宋体" w:hint="default"/>
          <w:sz w:val="7"/>
          <w:szCs w:val="7"/>
        </w:rPr>
      </w:pPr>
    </w:p>
    <w:tbl>
      <w:tblPr>
        <w:tblW w:w="0" w:type="auto"/>
        <w:jc w:val="left"/>
        <w:tblInd w:w="1134" w:type="dxa"/>
        <w:tblLayout w:type="fixed"/>
        <w:tblCellMar>
          <w:top w:w="0" w:type="dxa"/>
          <w:left w:w="0" w:type="dxa"/>
          <w:bottom w:w="0" w:type="dxa"/>
          <w:right w:w="0" w:type="dxa"/>
        </w:tblCellMar>
        <w:tblLook w:val="01E0"/>
      </w:tblPr>
      <w:tblGrid>
        <w:gridCol w:w="3060"/>
        <w:gridCol w:w="2551"/>
        <w:gridCol w:w="3514"/>
      </w:tblGrid>
      <w:tr>
        <w:trPr>
          <w:trHeight w:val="347"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应付股利金额</w:t>
            </w:r>
            <w:r>
              <w:rPr>
                <w:rFonts w:ascii="宋体" w:hAnsi="宋体" w:cs="宋体" w:eastAsia="宋体" w:hint="default"/>
                <w:sz w:val="21"/>
                <w:szCs w:val="21"/>
              </w:rPr>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03"/>
              <w:jc w:val="center"/>
              <w:rPr>
                <w:rFonts w:ascii="宋体" w:hAnsi="宋体" w:cs="宋体" w:eastAsia="宋体" w:hint="default"/>
                <w:sz w:val="21"/>
                <w:szCs w:val="21"/>
              </w:rPr>
            </w:pPr>
            <w:r>
              <w:rPr>
                <w:rFonts w:ascii="宋体" w:hAnsi="宋体" w:cs="宋体" w:eastAsia="宋体" w:hint="default"/>
                <w:b/>
                <w:bCs/>
                <w:sz w:val="21"/>
                <w:szCs w:val="21"/>
              </w:rPr>
              <w:t>未支付原因</w:t>
            </w:r>
            <w:r>
              <w:rPr>
                <w:rFonts w:ascii="宋体" w:hAnsi="宋体" w:cs="宋体" w:eastAsia="宋体" w:hint="default"/>
                <w:sz w:val="21"/>
                <w:szCs w:val="21"/>
              </w:rPr>
            </w:r>
          </w:p>
        </w:tc>
      </w:tr>
      <w:tr>
        <w:trPr>
          <w:trHeight w:val="347"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特盟国际经贸有限公司</w:t>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13"/>
              <w:jc w:val="right"/>
              <w:rPr>
                <w:rFonts w:ascii="Times New Roman" w:hAnsi="Times New Roman" w:cs="Times New Roman" w:eastAsia="Times New Roman" w:hint="default"/>
                <w:sz w:val="21"/>
                <w:szCs w:val="21"/>
              </w:rPr>
            </w:pPr>
            <w:r>
              <w:rPr>
                <w:rFonts w:ascii="Times New Roman"/>
                <w:spacing w:val="-1"/>
                <w:sz w:val="21"/>
              </w:rPr>
              <w:t>2,701,136.73</w:t>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02"/>
              <w:jc w:val="center"/>
              <w:rPr>
                <w:rFonts w:ascii="宋体" w:hAnsi="宋体" w:cs="宋体" w:eastAsia="宋体" w:hint="default"/>
                <w:sz w:val="21"/>
                <w:szCs w:val="21"/>
              </w:rPr>
            </w:pPr>
            <w:r>
              <w:rPr>
                <w:rFonts w:ascii="宋体" w:hAnsi="宋体" w:cs="宋体" w:eastAsia="宋体" w:hint="default"/>
                <w:sz w:val="21"/>
                <w:szCs w:val="21"/>
              </w:rPr>
              <w:t>协商确认暂缓支付</w:t>
            </w:r>
          </w:p>
        </w:tc>
      </w:tr>
      <w:tr>
        <w:trPr>
          <w:trHeight w:val="347"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海盐众普电力科技有限公司</w:t>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13"/>
              <w:jc w:val="right"/>
              <w:rPr>
                <w:rFonts w:ascii="Times New Roman" w:hAnsi="Times New Roman" w:cs="Times New Roman" w:eastAsia="Times New Roman" w:hint="default"/>
                <w:sz w:val="21"/>
                <w:szCs w:val="21"/>
              </w:rPr>
            </w:pPr>
            <w:r>
              <w:rPr>
                <w:rFonts w:ascii="Times New Roman"/>
                <w:spacing w:val="-1"/>
                <w:sz w:val="21"/>
              </w:rPr>
              <w:t>1,500,631.53</w:t>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02"/>
              <w:jc w:val="center"/>
              <w:rPr>
                <w:rFonts w:ascii="宋体" w:hAnsi="宋体" w:cs="宋体" w:eastAsia="宋体" w:hint="default"/>
                <w:sz w:val="21"/>
                <w:szCs w:val="21"/>
              </w:rPr>
            </w:pPr>
            <w:r>
              <w:rPr>
                <w:rFonts w:ascii="宋体" w:hAnsi="宋体" w:cs="宋体" w:eastAsia="宋体" w:hint="default"/>
                <w:sz w:val="21"/>
                <w:szCs w:val="21"/>
              </w:rPr>
              <w:t>协商确认暂缓支付</w:t>
            </w:r>
          </w:p>
        </w:tc>
      </w:tr>
      <w:tr>
        <w:trPr>
          <w:trHeight w:val="347"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海盐城普电子科技有限公司</w:t>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12"/>
              <w:jc w:val="right"/>
              <w:rPr>
                <w:rFonts w:ascii="Times New Roman" w:hAnsi="Times New Roman" w:cs="Times New Roman" w:eastAsia="Times New Roman" w:hint="default"/>
                <w:sz w:val="21"/>
                <w:szCs w:val="21"/>
              </w:rPr>
            </w:pPr>
            <w:r>
              <w:rPr>
                <w:rFonts w:ascii="Times New Roman"/>
                <w:spacing w:val="-1"/>
                <w:sz w:val="21"/>
              </w:rPr>
              <w:t>500,210.51</w:t>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02"/>
              <w:jc w:val="center"/>
              <w:rPr>
                <w:rFonts w:ascii="宋体" w:hAnsi="宋体" w:cs="宋体" w:eastAsia="宋体" w:hint="default"/>
                <w:sz w:val="21"/>
                <w:szCs w:val="21"/>
              </w:rPr>
            </w:pPr>
            <w:r>
              <w:rPr>
                <w:rFonts w:ascii="宋体" w:hAnsi="宋体" w:cs="宋体" w:eastAsia="宋体" w:hint="default"/>
                <w:sz w:val="21"/>
                <w:szCs w:val="21"/>
              </w:rPr>
              <w:t>协商确认暂缓支付</w:t>
            </w:r>
          </w:p>
        </w:tc>
      </w:tr>
      <w:tr>
        <w:trPr>
          <w:trHeight w:val="348"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9" w:right="0"/>
              <w:jc w:val="left"/>
              <w:rPr>
                <w:rFonts w:ascii="宋体" w:hAnsi="宋体" w:cs="宋体" w:eastAsia="宋体" w:hint="default"/>
                <w:sz w:val="21"/>
                <w:szCs w:val="21"/>
              </w:rPr>
            </w:pPr>
            <w:r>
              <w:rPr>
                <w:rFonts w:ascii="宋体" w:hAnsi="宋体" w:cs="宋体" w:eastAsia="宋体" w:hint="default"/>
                <w:sz w:val="21"/>
                <w:szCs w:val="21"/>
              </w:rPr>
              <w:t>安徽兴皖创业投资有限公司</w:t>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613"/>
              <w:jc w:val="right"/>
              <w:rPr>
                <w:rFonts w:ascii="Times New Roman" w:hAnsi="Times New Roman" w:cs="Times New Roman" w:eastAsia="Times New Roman" w:hint="default"/>
                <w:sz w:val="21"/>
                <w:szCs w:val="21"/>
              </w:rPr>
            </w:pPr>
            <w:r>
              <w:rPr>
                <w:rFonts w:ascii="Times New Roman"/>
                <w:spacing w:val="-1"/>
                <w:sz w:val="21"/>
              </w:rPr>
              <w:t>5,250,000.00</w:t>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02"/>
              <w:jc w:val="center"/>
              <w:rPr>
                <w:rFonts w:ascii="宋体" w:hAnsi="宋体" w:cs="宋体" w:eastAsia="宋体" w:hint="default"/>
                <w:sz w:val="21"/>
                <w:szCs w:val="21"/>
              </w:rPr>
            </w:pPr>
            <w:r>
              <w:rPr>
                <w:rFonts w:ascii="宋体" w:hAnsi="宋体" w:cs="宋体" w:eastAsia="宋体" w:hint="default"/>
                <w:sz w:val="21"/>
                <w:szCs w:val="21"/>
              </w:rPr>
              <w:t>协商确认暂缓支付</w:t>
            </w:r>
          </w:p>
        </w:tc>
      </w:tr>
      <w:tr>
        <w:trPr>
          <w:trHeight w:val="347" w:hRule="exact"/>
        </w:trPr>
        <w:tc>
          <w:tcPr>
            <w:tcW w:w="306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1"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13"/>
              <w:jc w:val="right"/>
              <w:rPr>
                <w:rFonts w:ascii="Times New Roman" w:hAnsi="Times New Roman" w:cs="Times New Roman" w:eastAsia="Times New Roman" w:hint="default"/>
                <w:sz w:val="21"/>
                <w:szCs w:val="21"/>
              </w:rPr>
            </w:pPr>
            <w:r>
              <w:rPr>
                <w:rFonts w:ascii="Times New Roman"/>
                <w:b/>
                <w:spacing w:val="-1"/>
                <w:sz w:val="21"/>
              </w:rPr>
              <w:t>9,951,978.77</w:t>
            </w:r>
            <w:r>
              <w:rPr>
                <w:rFonts w:ascii="Times New Roman"/>
                <w:spacing w:val="-1"/>
                <w:sz w:val="21"/>
              </w:rPr>
            </w:r>
          </w:p>
        </w:tc>
        <w:tc>
          <w:tcPr>
            <w:tcW w:w="35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04"/>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35"/>
        <w:ind w:left="1134" w:right="0" w:firstLine="0"/>
        <w:jc w:val="left"/>
        <w:rPr>
          <w:rFonts w:ascii="宋体" w:hAnsi="宋体" w:cs="宋体" w:eastAsia="宋体" w:hint="default"/>
          <w:sz w:val="21"/>
          <w:szCs w:val="21"/>
        </w:rPr>
      </w:pPr>
      <w:bookmarkStart w:name="27、其他应付款" w:id="307"/>
      <w:bookmarkEnd w:id="307"/>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按款项性质列示其他应付款"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150,351.61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140,296.51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1,674,783.95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65,578,490.30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7,178,765.02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1,028,159.97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2,310,424.31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555,549.70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重大资产重组现金对价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462,604,229.84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473,918,554.73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67,302,496.48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账龄超过1年的重要其他应付款"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8、一年内到期的非流动负债" w:id="310"/>
      <w:bookmarkEnd w:id="310"/>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479,166.62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291,666.67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770,833.29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2,874,999.96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126"/>
        <w:jc w:val="left"/>
      </w:pPr>
      <w:r>
        <w:rPr/>
        <w:t>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日与中国农业银行股份有限公司厦门莲前支行签订《厂房按揭借款合 </w:t>
      </w:r>
      <w:r>
        <w:rPr>
          <w:spacing w:val="-3"/>
        </w:rPr>
        <w:t>同》，以环东海域思明工业园</w:t>
      </w:r>
      <w:r>
        <w:rPr>
          <w:rFonts w:ascii="Times New Roman" w:hAnsi="Times New Roman" w:cs="Times New Roman" w:eastAsia="Times New Roman" w:hint="default"/>
          <w:spacing w:val="-3"/>
        </w:rPr>
        <w:t>37#</w:t>
      </w:r>
      <w:r>
        <w:rPr>
          <w:spacing w:val="-3"/>
        </w:rPr>
        <w:t>、</w:t>
      </w:r>
      <w:r>
        <w:rPr>
          <w:rFonts w:ascii="Times New Roman" w:hAnsi="Times New Roman" w:cs="Times New Roman" w:eastAsia="Times New Roman" w:hint="default"/>
          <w:spacing w:val="-3"/>
        </w:rPr>
        <w:t>38#</w:t>
      </w:r>
      <w:r>
        <w:rPr>
          <w:spacing w:val="-3"/>
        </w:rPr>
        <w:t>厂房作为抵押，向银行按揭借款计人民币</w:t>
      </w:r>
      <w:r>
        <w:rPr>
          <w:rFonts w:ascii="Times New Roman" w:hAnsi="Times New Roman" w:cs="Times New Roman" w:eastAsia="Times New Roman" w:hint="default"/>
          <w:spacing w:val="-3"/>
        </w:rPr>
        <w:t>23,000,000.00</w:t>
      </w:r>
      <w:r>
        <w:rPr>
          <w:rFonts w:ascii="Times New Roman" w:hAnsi="Times New Roman" w:cs="Times New Roman" w:eastAsia="Times New Roman" w:hint="default"/>
          <w:spacing w:val="-51"/>
        </w:rPr>
        <w:t> </w:t>
      </w:r>
      <w:r>
        <w:rPr/>
        <w:t>元，借款期限为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日，上述银行借款本金 余额</w:t>
      </w:r>
      <w:r>
        <w:rPr>
          <w:rFonts w:ascii="Times New Roman" w:hAnsi="Times New Roman" w:cs="Times New Roman" w:eastAsia="Times New Roman" w:hint="default"/>
        </w:rPr>
        <w:t>479,166.62</w:t>
      </w:r>
      <w:r>
        <w:rPr/>
        <w:t>元。</w:t>
      </w:r>
    </w:p>
    <w:p>
      <w:pPr>
        <w:spacing w:line="240" w:lineRule="auto" w:before="7"/>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29、长期借款" w:id="311"/>
      <w:bookmarkEnd w:id="311"/>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长期借款分类"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479,166.62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3,354,166.70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-479,166.62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-2,874,999.96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479,166.74</w:t>
            </w:r>
          </w:p>
        </w:tc>
      </w:tr>
    </w:tbl>
    <w:p>
      <w:pPr>
        <w:spacing w:line="357" w:lineRule="auto" w:before="51"/>
        <w:ind w:left="113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30、长期应付职工薪酬" w:id="313"/>
      <w:bookmarkEnd w:id="313"/>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长期应付职工薪酬表"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星波通信超额完成业绩承诺的奖励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3,602,559.27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1、递延收益" w:id="315"/>
      <w:bookmarkEnd w:id="31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11,510,666.26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161,729.08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11,348,937.18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11,510,666.26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161,729.08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11,348,937.18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轨道交通供 电设备国家 地方联合工 程实验室创 新能力建设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1,138,889.07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55,555.52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1,083,333.55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年增产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万千伏安节 能型高速铁 路牵引变压 器扩产项目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555,555.23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513,888.51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 区重点研发 计划重大科 技项目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自治区发改 委轨道交通 设备国家地 方联合工程 实验室创新 能力建设项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安徽省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企业发展专 </w:t>
            </w:r>
            <w:r>
              <w:rPr>
                <w:rFonts w:ascii="宋体" w:hAnsi="宋体" w:cs="宋体" w:eastAsia="宋体" w:hint="default"/>
                <w:spacing w:val="-13"/>
                <w:sz w:val="18"/>
                <w:szCs w:val="18"/>
              </w:rPr>
              <w:t>项补贴（微波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射频子系统 生产项目）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安徽省军民 结合高技术 产业发展专 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225,078.15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20,915.64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204,162.51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 </w:t>
            </w:r>
            <w:r>
              <w:rPr>
                <w:rFonts w:ascii="宋体" w:hAnsi="宋体" w:cs="宋体" w:eastAsia="宋体" w:hint="default"/>
                <w:sz w:val="18"/>
                <w:szCs w:val="18"/>
              </w:rPr>
              <w:t>政策</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仪器仪表设 备补助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291,523.68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24,825.44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266,698.24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科技局仪器 补贴款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169,620.13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18,765.76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150,854.37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11,510,666.2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161,729.08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11,348,937.1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2、股本" w:id="316"/>
      <w:bookmarkEnd w:id="316"/>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283,744,000.00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68,842,786.00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68,842,786.00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352,586,786.00</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28" w:lineRule="auto" w:before="160"/>
        <w:ind w:right="1128"/>
        <w:jc w:val="both"/>
      </w:pPr>
      <w:r>
        <w:rPr/>
        <w:t>根据本公司</w:t>
      </w:r>
      <w:r>
        <w:rPr>
          <w:rFonts w:ascii="Times New Roman" w:hAnsi="Times New Roman" w:cs="Times New Roman" w:eastAsia="Times New Roman" w:hint="default"/>
        </w:rPr>
        <w:t>2017</w:t>
      </w:r>
      <w:r>
        <w:rPr/>
        <w:t>年第一次临时股东大会决议，并经中国证券监督管理委员会《关于核准厦门</w:t>
      </w:r>
      <w:r>
        <w:rPr>
          <w:spacing w:val="-114"/>
        </w:rPr>
        <w:t> </w:t>
      </w:r>
      <w:r>
        <w:rPr>
          <w:spacing w:val="-114"/>
        </w:rPr>
      </w:r>
      <w:r>
        <w:rPr/>
        <w:t>红相电力设备股份有限公司向卧龙电气集团股份有限公司等发行股份购买资产并募集配套资 金的批复》（证监许可</w:t>
      </w:r>
      <w:r>
        <w:rPr>
          <w:rFonts w:ascii="Times New Roman" w:hAnsi="Times New Roman" w:cs="Times New Roman" w:eastAsia="Times New Roman" w:hint="default"/>
        </w:rPr>
        <w:t>[2017]1351</w:t>
      </w:r>
      <w:r>
        <w:rPr>
          <w:rFonts w:ascii="Times New Roman" w:hAnsi="Times New Roman" w:cs="Times New Roman" w:eastAsia="Times New Roman" w:hint="default"/>
          <w:spacing w:val="37"/>
        </w:rPr>
        <w:t> </w:t>
      </w:r>
      <w:r>
        <w:rPr/>
        <w:t>号）核准，本公司获准向卧龙电气集团股份有限公司、席 立功等</w:t>
      </w:r>
      <w:r>
        <w:rPr>
          <w:rFonts w:ascii="Times New Roman" w:hAnsi="Times New Roman" w:cs="Times New Roman" w:eastAsia="Times New Roman" w:hint="default"/>
        </w:rPr>
        <w:t>27</w:t>
      </w:r>
      <w:r>
        <w:rPr/>
        <w:t>位新股东发行共计</w:t>
      </w:r>
      <w:r>
        <w:rPr>
          <w:rFonts w:ascii="Times New Roman" w:hAnsi="Times New Roman" w:cs="Times New Roman" w:eastAsia="Times New Roman" w:hint="default"/>
        </w:rPr>
        <w:t>6,884.28</w:t>
      </w:r>
      <w:r>
        <w:rPr/>
        <w:t>万股股份购买相关资产，每股发行价</w:t>
      </w:r>
      <w:r>
        <w:rPr>
          <w:rFonts w:ascii="Times New Roman" w:hAnsi="Times New Roman" w:cs="Times New Roman" w:eastAsia="Times New Roman" w:hint="default"/>
        </w:rPr>
        <w:t>16.83</w:t>
      </w:r>
      <w:r>
        <w:rPr/>
        <w:t>元，认股总价</w:t>
      </w:r>
      <w:r>
        <w:rPr>
          <w:spacing w:val="-32"/>
        </w:rPr>
        <w:t> </w:t>
      </w:r>
      <w:r>
        <w:rPr>
          <w:spacing w:val="-32"/>
        </w:rPr>
      </w:r>
      <w:r>
        <w:rPr/>
        <w:t>合计为</w:t>
      </w:r>
      <w:r>
        <w:rPr>
          <w:rFonts w:ascii="Times New Roman" w:hAnsi="Times New Roman" w:cs="Times New Roman" w:eastAsia="Times New Roman" w:hint="default"/>
        </w:rPr>
        <w:t>115,862.41</w:t>
      </w:r>
      <w:r>
        <w:rPr/>
        <w:t>万元，其中，计入股本人民币</w:t>
      </w:r>
      <w:r>
        <w:rPr>
          <w:rFonts w:ascii="Times New Roman" w:hAnsi="Times New Roman" w:cs="Times New Roman" w:eastAsia="Times New Roman" w:hint="default"/>
        </w:rPr>
        <w:t>6,884.28</w:t>
      </w:r>
      <w:r>
        <w:rPr/>
        <w:t>万元，扣除发行费用后计入资本公积</w:t>
      </w:r>
    </w:p>
    <w:p>
      <w:pPr>
        <w:pStyle w:val="BodyText"/>
        <w:spacing w:line="312" w:lineRule="exact" w:before="13"/>
        <w:ind w:right="1132"/>
        <w:jc w:val="both"/>
      </w:pPr>
      <w:r>
        <w:rPr>
          <w:spacing w:val="-2"/>
        </w:rPr>
        <w:t>（股本溢价）</w:t>
      </w:r>
      <w:r>
        <w:rPr>
          <w:rFonts w:ascii="Times New Roman" w:hAnsi="Times New Roman" w:cs="Times New Roman" w:eastAsia="Times New Roman" w:hint="default"/>
          <w:spacing w:val="-2"/>
        </w:rPr>
        <w:t>107,343.33</w:t>
      </w:r>
      <w:r>
        <w:rPr>
          <w:spacing w:val="-2"/>
        </w:rPr>
        <w:t>万元，总股本由</w:t>
      </w:r>
      <w:r>
        <w:rPr>
          <w:rFonts w:ascii="Times New Roman" w:hAnsi="Times New Roman" w:cs="Times New Roman" w:eastAsia="Times New Roman" w:hint="default"/>
          <w:spacing w:val="-2"/>
        </w:rPr>
        <w:t>28,374.40</w:t>
      </w:r>
      <w:r>
        <w:rPr>
          <w:spacing w:val="-2"/>
        </w:rPr>
        <w:t>万股变更为</w:t>
      </w:r>
      <w:r>
        <w:rPr>
          <w:rFonts w:ascii="Times New Roman" w:hAnsi="Times New Roman" w:cs="Times New Roman" w:eastAsia="Times New Roman" w:hint="default"/>
          <w:spacing w:val="-2"/>
        </w:rPr>
        <w:t>35,258.68</w:t>
      </w:r>
      <w:r>
        <w:rPr>
          <w:spacing w:val="-2"/>
        </w:rPr>
        <w:t>万股，业经致同会计师</w:t>
      </w:r>
      <w:r>
        <w:rPr>
          <w:spacing w:val="-92"/>
        </w:rPr>
        <w:t> </w:t>
      </w:r>
      <w:r>
        <w:rPr>
          <w:spacing w:val="-92"/>
        </w:rPr>
      </w:r>
      <w:r>
        <w:rPr/>
        <w:t>事务所（特殊普通合伙）以</w:t>
      </w:r>
      <w:r>
        <w:rPr>
          <w:rFonts w:ascii="Times New Roman" w:hAnsi="Times New Roman" w:cs="Times New Roman" w:eastAsia="Times New Roman" w:hint="default"/>
        </w:rPr>
        <w:t>“</w:t>
      </w:r>
      <w:r>
        <w:rPr/>
        <w:t>致同验字（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350ZA0049</w:t>
      </w:r>
      <w:r>
        <w:rPr/>
        <w:t>号</w:t>
      </w:r>
      <w:r>
        <w:rPr>
          <w:rFonts w:ascii="Times New Roman" w:hAnsi="Times New Roman" w:cs="Times New Roman" w:eastAsia="Times New Roman" w:hint="default"/>
        </w:rPr>
        <w:t>”</w:t>
      </w:r>
      <w:r>
        <w:rPr/>
        <w:t>《验字报告》审验。</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1"/>
          <w:szCs w:val="31"/>
        </w:rPr>
      </w:pPr>
    </w:p>
    <w:p>
      <w:pPr>
        <w:spacing w:before="0"/>
        <w:ind w:left="1133" w:right="0" w:firstLine="0"/>
        <w:jc w:val="both"/>
        <w:rPr>
          <w:rFonts w:ascii="宋体" w:hAnsi="宋体" w:cs="宋体" w:eastAsia="宋体" w:hint="default"/>
          <w:sz w:val="21"/>
          <w:szCs w:val="21"/>
        </w:rPr>
      </w:pPr>
      <w:bookmarkStart w:name="33、资本公积" w:id="317"/>
      <w:bookmarkEnd w:id="317"/>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footerReference w:type="default" r:id="rId16"/>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4,450,557.81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1,073,433,337.52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1,077,883,895.33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4,234,061.74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4,234,061.74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4,450,557.81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1,077,667,399.26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1,082,117,957.07</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9"/>
        <w:rPr>
          <w:rFonts w:ascii="宋体" w:hAnsi="宋体" w:cs="宋体" w:eastAsia="宋体" w:hint="default"/>
          <w:sz w:val="16"/>
          <w:szCs w:val="16"/>
        </w:rPr>
      </w:pPr>
    </w:p>
    <w:p>
      <w:pPr>
        <w:pStyle w:val="BodyText"/>
        <w:spacing w:line="240" w:lineRule="auto"/>
        <w:ind w:left="1134" w:right="0"/>
        <w:jc w:val="both"/>
      </w:pPr>
      <w:r>
        <w:rPr/>
        <w:t>（</w:t>
      </w:r>
      <w:r>
        <w:rPr>
          <w:rFonts w:ascii="Times New Roman" w:hAnsi="Times New Roman" w:cs="Times New Roman" w:eastAsia="Times New Roman" w:hint="default"/>
        </w:rPr>
        <w:t>1</w:t>
      </w:r>
      <w:r>
        <w:rPr/>
        <w:t>）股本溢价本期增加系本公司溢价发行股份，详见本节之</w:t>
      </w:r>
      <w:r>
        <w:rPr>
          <w:rFonts w:ascii="Times New Roman" w:hAnsi="Times New Roman" w:cs="Times New Roman" w:eastAsia="Times New Roman" w:hint="default"/>
        </w:rPr>
        <w:t>31</w:t>
      </w:r>
      <w:r>
        <w:rPr/>
        <w:t>。</w:t>
      </w:r>
    </w:p>
    <w:p>
      <w:pPr>
        <w:spacing w:line="240" w:lineRule="auto" w:before="4"/>
        <w:rPr>
          <w:rFonts w:ascii="宋体" w:hAnsi="宋体" w:cs="宋体" w:eastAsia="宋体" w:hint="default"/>
          <w:sz w:val="17"/>
          <w:szCs w:val="17"/>
        </w:rPr>
      </w:pPr>
    </w:p>
    <w:p>
      <w:pPr>
        <w:pStyle w:val="BodyText"/>
        <w:spacing w:line="312" w:lineRule="exact"/>
        <w:ind w:right="1129"/>
        <w:jc w:val="both"/>
      </w:pPr>
      <w:r>
        <w:rPr/>
        <w:t>（</w:t>
      </w:r>
      <w:r>
        <w:rPr>
          <w:rFonts w:ascii="Times New Roman" w:hAnsi="Times New Roman" w:cs="Times New Roman" w:eastAsia="Times New Roman" w:hint="default"/>
        </w:rPr>
        <w:t>2</w:t>
      </w:r>
      <w:r>
        <w:rPr/>
        <w:t>）经子公司星波通信公司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日股东会决议，通过股权转让方式实施员工股权激</w:t>
      </w:r>
      <w:r>
        <w:rPr>
          <w:spacing w:val="-112"/>
        </w:rPr>
        <w:t> </w:t>
      </w:r>
      <w:r>
        <w:rPr>
          <w:spacing w:val="-2"/>
        </w:rPr>
        <w:t>励，由陈剑虹分别将其拥有的本公司</w:t>
      </w:r>
      <w:r>
        <w:rPr>
          <w:rFonts w:ascii="Times New Roman" w:hAnsi="Times New Roman" w:cs="Times New Roman" w:eastAsia="Times New Roman" w:hint="default"/>
          <w:spacing w:val="-2"/>
        </w:rPr>
        <w:t>152,258.00</w:t>
      </w:r>
      <w:r>
        <w:rPr>
          <w:spacing w:val="-2"/>
        </w:rPr>
        <w:t>元、</w:t>
      </w:r>
      <w:r>
        <w:rPr>
          <w:rFonts w:ascii="Times New Roman" w:hAnsi="Times New Roman" w:cs="Times New Roman" w:eastAsia="Times New Roman" w:hint="default"/>
          <w:spacing w:val="-2"/>
        </w:rPr>
        <w:t>126,882.00</w:t>
      </w:r>
      <w:r>
        <w:rPr>
          <w:spacing w:val="-2"/>
        </w:rPr>
        <w:t>元和</w:t>
      </w:r>
      <w:r>
        <w:rPr>
          <w:rFonts w:ascii="Times New Roman" w:hAnsi="Times New Roman" w:cs="Times New Roman" w:eastAsia="Times New Roman" w:hint="default"/>
          <w:spacing w:val="-2"/>
        </w:rPr>
        <w:t>106,581.00</w:t>
      </w:r>
      <w:r>
        <w:rPr>
          <w:spacing w:val="-2"/>
        </w:rPr>
        <w:t>元出资额分别转</w:t>
      </w:r>
      <w:r>
        <w:rPr>
          <w:spacing w:val="-88"/>
        </w:rPr>
        <w:t> </w:t>
      </w:r>
      <w:r>
        <w:rPr>
          <w:spacing w:val="15"/>
        </w:rPr>
        <w:t>让给刘宏胜、徐建平和陈小杰，转让价格</w:t>
      </w:r>
      <w:r>
        <w:rPr>
          <w:spacing w:val="-97"/>
        </w:rPr>
        <w:t> </w:t>
      </w:r>
      <w:r>
        <w:rPr>
          <w:rFonts w:ascii="Times New Roman" w:hAnsi="Times New Roman" w:cs="Times New Roman" w:eastAsia="Times New Roman" w:hint="default"/>
          <w:spacing w:val="14"/>
        </w:rPr>
        <w:t>4.3</w:t>
      </w:r>
      <w:r>
        <w:rPr>
          <w:spacing w:val="14"/>
        </w:rPr>
        <w:t>元</w:t>
      </w:r>
      <w:r>
        <w:rPr>
          <w:rFonts w:ascii="Times New Roman" w:hAnsi="Times New Roman" w:cs="Times New Roman" w:eastAsia="Times New Roman" w:hint="default"/>
          <w:spacing w:val="14"/>
        </w:rPr>
        <w:t>/</w:t>
      </w:r>
      <w:r>
        <w:rPr>
          <w:spacing w:val="14"/>
        </w:rPr>
        <w:t>股，转让价格与该股权公允价值的差额</w:t>
      </w:r>
      <w:r>
        <w:rPr>
          <w:spacing w:val="-116"/>
        </w:rPr>
        <w:t> </w:t>
      </w:r>
      <w:r>
        <w:rPr>
          <w:spacing w:val="-116"/>
        </w:rPr>
      </w:r>
      <w:r>
        <w:rPr>
          <w:rFonts w:ascii="Times New Roman" w:hAnsi="Times New Roman" w:cs="Times New Roman" w:eastAsia="Times New Roman" w:hint="default"/>
          <w:spacing w:val="2"/>
        </w:rPr>
        <w:t>6,268,969.12</w:t>
      </w:r>
      <w:r>
        <w:rPr>
          <w:spacing w:val="2"/>
        </w:rPr>
        <w:t>元确认为星波通信股份支付费用，按照本公司持股份额</w:t>
      </w:r>
      <w:r>
        <w:rPr>
          <w:rFonts w:ascii="Times New Roman" w:hAnsi="Times New Roman" w:cs="Times New Roman" w:eastAsia="Times New Roman" w:hint="default"/>
          <w:spacing w:val="2"/>
        </w:rPr>
        <w:t>67.54%</w:t>
      </w:r>
      <w:r>
        <w:rPr>
          <w:spacing w:val="2"/>
        </w:rPr>
        <w:t>确认资本公积</w:t>
      </w:r>
      <w:r>
        <w:rPr>
          <w:rFonts w:ascii="Times New Roman" w:hAnsi="Times New Roman" w:cs="Times New Roman" w:eastAsia="Times New Roman" w:hint="default"/>
          <w:spacing w:val="2"/>
        </w:rPr>
        <w:t>-</w:t>
      </w:r>
      <w:r>
        <w:rPr>
          <w:spacing w:val="2"/>
        </w:rPr>
        <w:t>其</w:t>
      </w:r>
      <w:r>
        <w:rPr>
          <w:spacing w:val="-118"/>
        </w:rPr>
        <w:t> </w:t>
      </w:r>
      <w:r>
        <w:rPr/>
        <w:t>他资本公积。</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34、其他综合收益" w:id="318"/>
      <w:bookmarkEnd w:id="3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-809,421.89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16,787.98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16,787.98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-792,633.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-809,421.89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16,787.98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16,787.98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-809,421.89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16,787.98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16,787.98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-792,633.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5、盈余公积" w:id="319"/>
      <w:bookmarkEnd w:id="319"/>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36,889,847.76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40,186,038.54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36,889,847.76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40,186,038.54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6、未分配利润" w:id="320"/>
      <w:bookmarkEnd w:id="320"/>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296,665,870.36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246,428,225.67</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79" w:header="747" w:top="1060" w:bottom="1160" w:left="0" w:right="0"/>
          <w:pgNumType w:start="201"/>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296,665,870.36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246,428,225.67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117,949,954.85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73,815,900.71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3,296,190.78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6,730,956.02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12,768,480.00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16,847,300.00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398,551,154.43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296,665,870.36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37、营业收入和营业成本" w:id="321"/>
      <w:bookmarkEnd w:id="321"/>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728,988,154.15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420,316,717.32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409,199,824.53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194,748,951.50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14,873,313.12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2,335,600.31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1,357,656.30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778,352.48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743,861,467.27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422,652,317.63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410,557,480.83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195,527,303.98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8、税金及附加" w:id="322"/>
      <w:bookmarkEnd w:id="322"/>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2,612,165.64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2,632,198.42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1,237,795.54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1,234,933.88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811,549.15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319,695.41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157,184.00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68,428.22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825,197.07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823,289.24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1,701,292.35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183,034.51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7,345,183.75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5,261,579.68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5"/>
        <w:ind w:right="0"/>
        <w:jc w:val="left"/>
      </w:pPr>
      <w:r>
        <w:rPr/>
        <w:t>其他税种主要是印花税。</w:t>
      </w:r>
    </w:p>
    <w:p>
      <w:pPr>
        <w:spacing w:line="240" w:lineRule="auto" w:before="10"/>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39、销售费用" w:id="323"/>
      <w:bookmarkEnd w:id="323"/>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21,504,217.94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19,029,740.68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9,759,117.73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8,122,944.35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运输、检验及维修费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9,398,514.17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4,860,003.57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8,777,844.58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7,607,909.72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市场调研及市场推广费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7,960,937.99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6,433,342.65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6,928,818.07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6,875,117.55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2,847,494.48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1,847,748.94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67,176,944.96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54,776,807.46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0、管理费用" w:id="324"/>
      <w:bookmarkEnd w:id="324"/>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43,947,984.93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26,780,407.38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17,940,557.37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14,594,867.60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9,600,253.06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8,120,863.20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7,179,328.49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5,459,295.56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5,887,386.80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4,086,145.44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2,824,908.87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1,317,412.62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1,808,181.23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760,527.34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6,268,969.12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99,060,129.14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61,119,519.14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1、财务费用" w:id="325"/>
      <w:bookmarkEnd w:id="325"/>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4,335,686.90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514,915.43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-5,788,965.03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-2,054,279.22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-60,595.42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101,671.20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564,337.01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362,481.85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-949,536.54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-1,075,210.74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2、资产减值损失" w:id="326"/>
      <w:bookmarkEnd w:id="326"/>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4,658,293.42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4,161,498.36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1,597,161.63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1,589,445.41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6,255,455.05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5,750,943.77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3、投资收益" w:id="327"/>
      <w:bookmarkEnd w:id="327"/>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292,800.00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411,802.30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704,602.30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4、资产处置收益" w:id="328"/>
      <w:bookmarkEnd w:id="328"/>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124,264.88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5、其他收益" w:id="329"/>
      <w:bookmarkEnd w:id="32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15,042,386.52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政府补助（与资产相关）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161,729.08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15,204,115.60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6、营业外收入" w:id="330"/>
      <w:bookmarkEnd w:id="330"/>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10,651,003.05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15,679.95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15,679.95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190,734.29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197,570.39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190,734.29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206,414.24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10,848,573.44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206,414.24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2" w:lineRule="auto"/>
              <w:ind w:left="22" w:right="26"/>
              <w:jc w:val="left"/>
              <w:rPr>
                <w:rFonts w:ascii="宋体" w:hAnsi="宋体" w:cs="宋体" w:eastAsia="宋体" w:hint="default"/>
                <w:sz w:val="18"/>
                <w:szCs w:val="18"/>
              </w:rPr>
            </w:pPr>
            <w:r>
              <w:rPr>
                <w:rFonts w:ascii="宋体" w:hAnsi="宋体" w:cs="宋体" w:eastAsia="宋体" w:hint="default"/>
                <w:sz w:val="18"/>
                <w:szCs w:val="18"/>
              </w:rPr>
              <w:t>对实际税负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部分 的增值税返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厦门市国家 </w:t>
            </w:r>
            <w:r>
              <w:rPr>
                <w:rFonts w:ascii="宋体" w:hAnsi="宋体" w:cs="宋体" w:eastAsia="宋体" w:hint="default"/>
                <w:spacing w:val="-13"/>
                <w:sz w:val="18"/>
                <w:szCs w:val="18"/>
              </w:rPr>
              <w:t>税务局；海盐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县国家税务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7,917,313.34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5,908,246.52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军品免税收 入减免增值 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区国税局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1,703,462.87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市级企业技 术中心奖励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年度规 上工业企业 研发费用补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办公楼临时 过渡租金补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系根据宁财</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（企）指标</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423</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pacing w:val="-12"/>
                <w:sz w:val="18"/>
                <w:szCs w:val="18"/>
              </w:rPr>
              <w:t>号，关于预拨</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基础条件建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60"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52.7pt;height:38pt;mso-position-horizontal-relative:char;mso-position-vertical-relative:line" coordorigin="0,0" coordsize="1054,760">
                  <v:group style="position:absolute;left:0;top:0;width:1054;height:760" coordorigin="0,0" coordsize="1054,760">
                    <v:shape style="position:absolute;left:0;top:0;width:1054;height:760" coordorigin="0,0" coordsize="1054,760" path="m0,760l1054,760,1054,0,0,0,0,760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12"/>
                <w:sz w:val="18"/>
                <w:szCs w:val="18"/>
              </w:rPr>
              <w:t>设计划（企业</w:t>
            </w:r>
            <w:r>
              <w:rPr>
                <w:rFonts w:ascii="宋体" w:hAnsi="宋体" w:cs="宋体" w:eastAsia="宋体" w:hint="default"/>
                <w:sz w:val="18"/>
                <w:szCs w:val="18"/>
              </w:rPr>
              <w:t> </w:t>
            </w:r>
            <w:r>
              <w:rPr>
                <w:rFonts w:ascii="宋体" w:hAnsi="宋体" w:cs="宋体" w:eastAsia="宋体" w:hint="default"/>
                <w:spacing w:val="-12"/>
                <w:sz w:val="18"/>
                <w:szCs w:val="18"/>
              </w:rPr>
              <w:t>技术中心）专</w:t>
            </w:r>
            <w:r>
              <w:rPr>
                <w:rFonts w:ascii="宋体" w:hAnsi="宋体" w:cs="宋体" w:eastAsia="宋体" w:hint="default"/>
                <w:sz w:val="18"/>
                <w:szCs w:val="18"/>
              </w:rPr>
              <w:t>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业研发经费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467,500.00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业增产增效 政策奖励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新创办小微 企业扶持补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中华街道办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239,962.00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年专精特 新中小企业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合肥市财政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区质量技术 专项奖励资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工业与信息 发展财政专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自治区新型 工业化第二 批专项补助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区总部企业 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122,636.00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科技金融贷 款风险补偿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区财务管理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662.139954pt;width:52.65pt;height:92.6pt;mso-position-horizontal-relative:page;mso-position-vertical-relative:page;z-index:-1459936" coordorigin="2205,13243" coordsize="1053,1852">
            <v:shape style="position:absolute;left:2205;top:13243;width:1053;height:1852" coordorigin="2205,13243" coordsize="1053,1852" path="m2205,15095l3257,15095,3257,13243,2205,13243,2205,1509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 盐县核电关 联企业财政 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年产业 转型升级专 </w:t>
            </w:r>
            <w:r>
              <w:rPr>
                <w:rFonts w:ascii="宋体" w:hAnsi="宋体" w:cs="宋体" w:eastAsia="宋体" w:hint="default"/>
                <w:spacing w:val="-12"/>
                <w:sz w:val="18"/>
                <w:szCs w:val="18"/>
              </w:rPr>
              <w:t>项（产学研合</w:t>
            </w:r>
            <w:r>
              <w:rPr>
                <w:rFonts w:ascii="宋体" w:hAnsi="宋体" w:cs="宋体" w:eastAsia="宋体" w:hint="default"/>
                <w:sz w:val="18"/>
                <w:szCs w:val="18"/>
              </w:rPr>
              <w:t> </w:t>
            </w:r>
            <w:r>
              <w:rPr>
                <w:rFonts w:ascii="宋体" w:hAnsi="宋体" w:cs="宋体" w:eastAsia="宋体" w:hint="default"/>
                <w:spacing w:val="-12"/>
                <w:sz w:val="18"/>
                <w:szCs w:val="18"/>
              </w:rPr>
              <w:t>作项目）专项</w:t>
            </w:r>
            <w:r>
              <w:rPr>
                <w:rFonts w:ascii="宋体" w:hAnsi="宋体" w:cs="宋体" w:eastAsia="宋体" w:hint="default"/>
                <w:sz w:val="18"/>
                <w:szCs w:val="18"/>
              </w:rPr>
              <w:t> 支持资金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合肥市财政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71,865.00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企业招收本 市农村劳动 力社保补差</w:t>
            </w:r>
            <w:r>
              <w:rPr>
                <w:rFonts w:ascii="Times New Roman" w:hAnsi="Times New Roman" w:cs="Times New Roman" w:eastAsia="Times New Roman" w:hint="default"/>
                <w:sz w:val="18"/>
                <w:szCs w:val="18"/>
              </w:rPr>
              <w:t>\ </w:t>
            </w:r>
            <w:r>
              <w:rPr>
                <w:rFonts w:ascii="宋体" w:hAnsi="宋体" w:cs="宋体" w:eastAsia="宋体" w:hint="default"/>
                <w:sz w:val="18"/>
                <w:szCs w:val="18"/>
              </w:rPr>
              <w:t>劳务协作奖 励</w:t>
            </w:r>
            <w:r>
              <w:rPr>
                <w:rFonts w:ascii="Times New Roman" w:hAnsi="Times New Roman" w:cs="Times New Roman" w:eastAsia="Times New Roman" w:hint="default"/>
                <w:sz w:val="18"/>
                <w:szCs w:val="18"/>
              </w:rPr>
              <w:t>\</w:t>
            </w: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厦门市思明 区就业管理 中心</w:t>
            </w:r>
            <w:r>
              <w:rPr>
                <w:rFonts w:ascii="Times New Roman" w:hAnsi="Times New Roman" w:cs="Times New Roman" w:eastAsia="Times New Roman" w:hint="default"/>
                <w:sz w:val="18"/>
                <w:szCs w:val="18"/>
              </w:rPr>
              <w:t>\</w:t>
            </w:r>
            <w:r>
              <w:rPr>
                <w:rFonts w:ascii="宋体" w:hAnsi="宋体" w:cs="宋体" w:eastAsia="宋体" w:hint="default"/>
                <w:sz w:val="18"/>
                <w:szCs w:val="18"/>
              </w:rPr>
              <w:t>厦门市 社会保险管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77,584.03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95,291.78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收盐科</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号科技资助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73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系根据宁经 信技改发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431</w:t>
            </w:r>
          </w:p>
          <w:p>
            <w:pPr>
              <w:pStyle w:val="TableParagraph"/>
              <w:spacing w:line="316"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号文件精神， 对年增产</w:t>
            </w:r>
          </w:p>
          <w:p>
            <w:pPr>
              <w:pStyle w:val="TableParagraph"/>
              <w:spacing w:line="312" w:lineRule="auto" w:before="1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万千伏 安节能型高 速铁路牵引 变压器扩产 项目的建设 进行补助，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 收到相关补 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摊销期自</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185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52.65pt;height:92.6pt;mso-position-horizontal-relative:char;mso-position-vertical-relative:line" coordorigin="0,0" coordsize="1053,1852">
                  <v:group style="position:absolute;left:0;top:0;width:1053;height:1852" coordorigin="0,0" coordsize="1053,1852">
                    <v:shape style="position:absolute;left:0;top:0;width:1053;height:1852" coordorigin="0,0" coordsize="1053,1852" path="m0,1852l1052,1852,1052,0,0,0,0,185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319"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6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group style="width:52.7pt;height:108.2pt;mso-position-horizontal-relative:char;mso-position-vertical-relative:line" coordorigin="0,0" coordsize="1054,2164">
                  <v:group style="position:absolute;left:0;top:0;width:1054;height:2164" coordorigin="0,0" coordsize="1054,2164">
                    <v:shape style="position:absolute;left:0;top:0;width:1054;height:2164" coordorigin="0,0" coordsize="1054,2164" path="m0,2164l1054,2164,1054,0,0,0,0,2164xe" filled="true" fillcolor="#ffffff" stroked="false">
                      <v:path arrowok="t"/>
                      <v:fill type="solid"/>
                    </v:shape>
                  </v:group>
                </v:group>
              </w:pict>
            </w:r>
            <w:r>
              <w:rPr>
                <w:rFonts w:ascii="Times New Roman" w:hAnsi="Times New Roman" w:cs="Times New Roman" w:eastAsia="Times New Roman" w:hint="default"/>
                <w:position w:val="-42"/>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55,555.56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2012.7.31 </w:t>
            </w:r>
            <w:r>
              <w:rPr>
                <w:rFonts w:ascii="宋体" w:hAnsi="宋体" w:cs="宋体" w:eastAsia="宋体" w:hint="default"/>
                <w:sz w:val="18"/>
                <w:szCs w:val="18"/>
              </w:rPr>
              <w:t>至 </w:t>
            </w:r>
            <w:r>
              <w:rPr>
                <w:rFonts w:ascii="Times New Roman" w:hAnsi="Times New Roman" w:cs="Times New Roman" w:eastAsia="Times New Roman" w:hint="default"/>
                <w:spacing w:val="-13"/>
                <w:sz w:val="18"/>
                <w:szCs w:val="18"/>
              </w:rPr>
              <w:t>2024.7.30</w:t>
            </w:r>
            <w:r>
              <w:rPr>
                <w:rFonts w:ascii="宋体" w:hAnsi="宋体" w:cs="宋体" w:eastAsia="宋体" w:hint="default"/>
                <w:spacing w:val="-13"/>
                <w:sz w:val="18"/>
                <w:szCs w:val="18"/>
              </w:rPr>
              <w:t>，每</w:t>
            </w:r>
            <w:r>
              <w:rPr>
                <w:rFonts w:ascii="宋体" w:hAnsi="宋体" w:cs="宋体" w:eastAsia="宋体" w:hint="default"/>
                <w:spacing w:val="-71"/>
                <w:sz w:val="18"/>
                <w:szCs w:val="18"/>
              </w:rPr>
              <w:t> </w:t>
            </w:r>
            <w:r>
              <w:rPr>
                <w:rFonts w:ascii="宋体" w:hAnsi="宋体" w:cs="宋体" w:eastAsia="宋体" w:hint="default"/>
                <w:sz w:val="18"/>
                <w:szCs w:val="18"/>
              </w:rPr>
              <w:t>月摊销</w:t>
            </w:r>
          </w:p>
          <w:p>
            <w:pPr>
              <w:pStyle w:val="TableParagraph"/>
              <w:spacing w:line="240" w:lineRule="auto" w:before="3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13888.89 </w:t>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合创券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left"/>
              <w:rPr>
                <w:rFonts w:ascii="宋体" w:hAnsi="宋体" w:cs="宋体" w:eastAsia="宋体" w:hint="default"/>
                <w:sz w:val="18"/>
                <w:szCs w:val="18"/>
              </w:rPr>
            </w:pPr>
            <w:r>
              <w:rPr>
                <w:rFonts w:ascii="宋体" w:hAnsi="宋体" w:cs="宋体" w:eastAsia="宋体" w:hint="default"/>
                <w:sz w:val="18"/>
                <w:szCs w:val="18"/>
              </w:rPr>
              <w:t>合肥市高新 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48,759.41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银川市就业 与创业服务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43,157.80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0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系根据宁发 改高技</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670</w:t>
            </w:r>
          </w:p>
          <w:p>
            <w:pPr>
              <w:pStyle w:val="TableParagraph"/>
              <w:spacing w:line="314"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号文件精神， 对轨道交通 设备国家地 方联合工程 实验室创新 能力项目的 建设进行补 助，</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公司收到相 关补助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pacing w:val="-12"/>
                <w:sz w:val="18"/>
                <w:szCs w:val="18"/>
              </w:rPr>
              <w:t>万元。摊销期</w:t>
            </w:r>
            <w:r>
              <w:rPr>
                <w:rFonts w:ascii="宋体" w:hAnsi="宋体" w:cs="宋体" w:eastAsia="宋体" w:hint="default"/>
                <w:sz w:val="18"/>
                <w:szCs w:val="18"/>
              </w:rPr>
              <w:t> 限自</w:t>
            </w:r>
          </w:p>
          <w:p>
            <w:pPr>
              <w:pStyle w:val="TableParagraph"/>
              <w:spacing w:line="300" w:lineRule="auto" w:before="20"/>
              <w:ind w:left="22"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2012.4.27 </w:t>
            </w:r>
            <w:r>
              <w:rPr>
                <w:rFonts w:ascii="宋体" w:hAnsi="宋体" w:cs="宋体" w:eastAsia="宋体" w:hint="default"/>
                <w:sz w:val="18"/>
                <w:szCs w:val="18"/>
              </w:rPr>
              <w:t>至 </w:t>
            </w:r>
            <w:r>
              <w:rPr>
                <w:rFonts w:ascii="Times New Roman" w:hAnsi="Times New Roman" w:cs="Times New Roman" w:eastAsia="Times New Roman" w:hint="default"/>
                <w:spacing w:val="-13"/>
                <w:sz w:val="18"/>
                <w:szCs w:val="18"/>
              </w:rPr>
              <w:t>2024.4.26</w:t>
            </w:r>
            <w:r>
              <w:rPr>
                <w:rFonts w:ascii="宋体" w:hAnsi="宋体" w:cs="宋体" w:eastAsia="宋体" w:hint="default"/>
                <w:spacing w:val="-13"/>
                <w:sz w:val="18"/>
                <w:szCs w:val="18"/>
              </w:rPr>
              <w:t>，每</w:t>
            </w:r>
            <w:r>
              <w:rPr>
                <w:rFonts w:ascii="宋体" w:hAnsi="宋体" w:cs="宋体" w:eastAsia="宋体" w:hint="default"/>
                <w:spacing w:val="-71"/>
                <w:sz w:val="18"/>
                <w:szCs w:val="18"/>
              </w:rPr>
              <w:t> </w:t>
            </w:r>
            <w:r>
              <w:rPr>
                <w:rFonts w:ascii="宋体" w:hAnsi="宋体" w:cs="宋体" w:eastAsia="宋体" w:hint="default"/>
                <w:sz w:val="18"/>
                <w:szCs w:val="18"/>
              </w:rPr>
              <w:t>月摊销</w:t>
            </w:r>
          </w:p>
          <w:p>
            <w:pPr>
              <w:pStyle w:val="TableParagraph"/>
              <w:spacing w:line="240" w:lineRule="auto" w:before="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10416.67 </w:t>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2.65pt;height:124.85pt;mso-position-horizontal-relative:char;mso-position-vertical-relative:line" coordorigin="0,0" coordsize="1053,2497">
                  <v:group style="position:absolute;left:0;top:0;width:1053;height:2497" coordorigin="0,0" coordsize="1053,2497">
                    <v:shape style="position:absolute;left:0;top:0;width:1053;height:2497" coordorigin="0,0" coordsize="1053,2497" path="m0,2496l1052,2496,1052,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银川市财政 国库支付中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8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2.7pt;height:140.450pt;mso-position-horizontal-relative:char;mso-position-vertical-relative:line" coordorigin="0,0" coordsize="1054,2809">
                  <v:group style="position:absolute;left:0;top:0;width:1054;height:2809" coordorigin="0,0" coordsize="1054,2809">
                    <v:shape style="position:absolute;left:0;top:0;width:1054;height:2809" coordorigin="0,0" coordsize="1054,2809" path="m0,2808l1054,2808,1054,0,0,0,0,280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41,666.68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人才扶持资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36,113.00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 </w:t>
            </w:r>
            <w:r>
              <w:rPr>
                <w:rFonts w:ascii="宋体" w:hAnsi="宋体" w:cs="宋体" w:eastAsia="宋体" w:hint="default"/>
                <w:sz w:val="18"/>
                <w:szCs w:val="18"/>
              </w:rPr>
              <w:t>政策</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仪器仪表设 备补助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合肥市财政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24,825.44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国内发明专 利授权奖励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24,167.00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安徽省军民 结合高技术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合肥市财政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20,915.64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年度厦 门市专利奖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科技局政策 配套项目专 项补贴款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合肥高新技 术产业开发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18,765.76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收盐科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专利资助经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个人所得税 手续费返还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厦门市地税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11,205.50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阵地建设示 范点奖励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中国共产党 海盐县城镇 企业工作委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就业补助</w:t>
            </w:r>
          </w:p>
          <w:p>
            <w:pPr>
              <w:pStyle w:val="TableParagraph"/>
              <w:spacing w:line="312" w:lineRule="auto" w:before="76"/>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年江北 区稳增促调 专项资金补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宁波市财政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赴外引才补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科创红包补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厦门市科学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476.00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美丽厂区奖 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中国共产党 海盐县城镇 企业工作委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专利发展专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小微企业实 用新型奖励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区科技和信 息化局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个税手续费 返回以及免 征教育费附 加和地方教 育附加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地方税务局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5,410.57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1,154.86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42"/>
              <w:jc w:val="left"/>
              <w:rPr>
                <w:rFonts w:ascii="宋体" w:hAnsi="宋体" w:cs="宋体" w:eastAsia="宋体" w:hint="default"/>
                <w:sz w:val="18"/>
                <w:szCs w:val="18"/>
              </w:rPr>
            </w:pPr>
            <w:r>
              <w:rPr>
                <w:rFonts w:ascii="宋体" w:hAnsi="宋体" w:cs="宋体" w:eastAsia="宋体" w:hint="default"/>
                <w:sz w:val="18"/>
                <w:szCs w:val="18"/>
              </w:rPr>
              <w:t>厦门市财政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 企业兼并重 组奖励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厦门市经信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事处观音山 住房补贴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海盐县科技 局科技计划 项目经费补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海盐县科技 局中小企业 技术创新项 目立项经费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厦门市科学 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35.059998pt;width:52.7pt;height:6.8pt;mso-position-horizontal-relative:page;mso-position-vertical-relative:page;z-index:-1459528" coordorigin="5394,14701" coordsize="1054,136">
            <v:shape style="position:absolute;left:5394;top:14701;width:1054;height:136" coordorigin="5394,14701" coordsize="1054,136" path="m5394,14837l6447,14837,6447,14701,5394,14701,5394,148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年厦门市科 技小巨人领 军企业专项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厦门市社会 保险管理中 心稳岗补贴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厦门市社会 保险管理中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133,641.89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海盐县财政 局工业品牌 创建财政奖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厦门市财政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 业企业研发 投入可加计 扣除奖励金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厦门市经信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厦门市知识 产权局工业 设计优势企 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海盐县科技 局专利补助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事处人才扶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厦门市思明 区人民政府 滨海街道办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外经贸发展 专项资金补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优秀大学生 创业园补助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海盐县财政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 外经贸发展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海盐县财政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厦门科易通 宝网络科技 有限公司思 明区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w:t>
            </w: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批次平台奖 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厦门市思明 区科信局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050pt;mso-position-horizontal-relative:char;mso-position-vertical-relative:line" coordorigin="0,0" coordsize="1054,781">
                  <v:group style="position:absolute;left:0;top:0;width:1054;height:781" coordorigin="0,0" coordsize="1054,781">
                    <v:shape style="position:absolute;left:0;top:0;width:1054;height:781" coordorigin="0,0" coordsize="1054,781"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区科技和信 息化局国内 发明专利奖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区科技和信 息化局首件 专利奖励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区科技和信 息化局奖励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厦门市科学 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年厦门市技 术交易奖励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区就业管理 中心劳务协 作奖励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厦门市就业 管理中心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厦门市思明 区科技和信 息化局小微 企业实用新 型奖励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厦门市知识 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10,651,003.0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pPr>
      <w:r>
        <w:rPr/>
        <w:t>根据《企业会计准则第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），公司</w:t>
      </w:r>
      <w:r>
        <w:rPr>
          <w:rFonts w:ascii="Times New Roman" w:hAnsi="Times New Roman" w:cs="Times New Roman" w:eastAsia="Times New Roman" w:hint="default"/>
        </w:rPr>
        <w:t>2017</w:t>
      </w:r>
      <w:r>
        <w:rPr/>
        <w:t>年度的政府补助重分类至</w:t>
      </w:r>
      <w:r>
        <w:rPr>
          <w:rFonts w:ascii="Times New Roman" w:hAnsi="Times New Roman" w:cs="Times New Roman" w:eastAsia="Times New Roman" w:hint="default"/>
        </w:rPr>
        <w:t>“</w:t>
      </w:r>
      <w:r>
        <w:rPr/>
        <w:t>其</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他收益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3"/>
          <w:szCs w:val="23"/>
        </w:rPr>
      </w:pPr>
    </w:p>
    <w:p>
      <w:pPr>
        <w:spacing w:before="0"/>
        <w:ind w:left="1134" w:right="0" w:firstLine="0"/>
        <w:jc w:val="left"/>
        <w:rPr>
          <w:rFonts w:ascii="宋体" w:hAnsi="宋体" w:cs="宋体" w:eastAsia="宋体" w:hint="default"/>
          <w:sz w:val="21"/>
          <w:szCs w:val="21"/>
        </w:rPr>
      </w:pPr>
      <w:bookmarkStart w:name="47、营业外支出" w:id="331"/>
      <w:bookmarkEnd w:id="331"/>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612,100.76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19,858.02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612,100.76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76,291.06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66,707.97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76,291.06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688,391.82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86,565.99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688,391.82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8、所得税费用" w:id="332"/>
      <w:bookmarkEnd w:id="332"/>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所得税费用表"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24,608,331.23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17,186,199.09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-5,369,416.15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-1,115,809.26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19,238,915.08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16,070,389.83</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会计利润与所得税费用调整过程"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157,052,712.52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23,557,906.88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1,392,543.17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-1,169,252.75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-150,612.38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1,380,757.35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-4,110.71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-493,065.04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-2,982,466.52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-2,292,784.93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19,238,915.08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7" w:lineRule="auto" w:before="0"/>
        <w:ind w:left="1133" w:right="6473" w:firstLine="0"/>
        <w:jc w:val="left"/>
        <w:rPr>
          <w:rFonts w:ascii="宋体" w:hAnsi="宋体" w:cs="宋体" w:eastAsia="宋体" w:hint="default"/>
          <w:sz w:val="21"/>
          <w:szCs w:val="21"/>
        </w:rPr>
      </w:pPr>
      <w:bookmarkStart w:name="49、其他综合收益" w:id="335"/>
      <w:bookmarkEnd w:id="335"/>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七、财务合并报表项目注释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宋体" w:hAnsi="宋体" w:cs="宋体" w:eastAsia="宋体" w:hint="default"/>
          <w:w w:val="100"/>
          <w:sz w:val="18"/>
          <w:szCs w:val="18"/>
        </w:rPr>
        <w:t> </w:t>
      </w:r>
      <w:bookmarkStart w:name="50、现金流量表项目" w:id="336"/>
      <w:bookmarkEnd w:id="336"/>
      <w:r>
        <w:rPr>
          <w:rFonts w:ascii="宋体" w:hAnsi="宋体" w:cs="宋体" w:eastAsia="宋体" w:hint="default"/>
          <w:w w:val="100"/>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6"/>
        <w:ind w:left="1133" w:right="0" w:firstLine="0"/>
        <w:jc w:val="left"/>
        <w:rPr>
          <w:rFonts w:ascii="宋体" w:hAnsi="宋体" w:cs="宋体" w:eastAsia="宋体" w:hint="default"/>
          <w:sz w:val="21"/>
          <w:szCs w:val="21"/>
        </w:rPr>
      </w:pPr>
      <w:bookmarkStart w:name="（1）收到的其他与经营活动有关的现金"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收到的保证金退款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32,925,400.12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28,385,308.75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5,421,610.31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4,742,756.53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收到的备用金还款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861,858.98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1,295,534.58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5,120,962.13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2,054,279.22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14,604,536.94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3,171,493.40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58,934,368.48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39,649,372.48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支付的其他与经营活动有关的现金"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支付各项付现费用等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75,341,778.50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45,896,752.07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9,881,102.45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9,129,795.04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23,263,447.00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29,085,710.12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4,809,846.97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117,855.33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113,296,174.92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84,230,112.56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收到的其他与投资活动有关的现金"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处置理财产品收到的现金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支付的其他与投资活动有关的现金"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支付投资交易保证金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收到的其他与筹资活动有关的现金"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收到募资计划保证金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30,141,708.00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64,832,069.30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收到权益分派保证金及利息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1,000,552.01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收到投资者存款利息收入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1,173,018.18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32,315,278.19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64,832,069.30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6）支付的其他与筹资活动有关的现金"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支付与发行股份相关的中介机构服务费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17,328,163.54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支付募资计划保证金退回投资方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96,146,795.48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支付权益分派保证金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支付筹资活动的金融机构手续费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15,096.06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114,490,055.08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1、现金流量表补充资料" w:id="343"/>
      <w:bookmarkEnd w:id="343"/>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现金流量表补充资料"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137,813,797.44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84,717,022.34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6,255,455.05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5,750,943.77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40.9pt;mso-position-horizontal-relative:page;mso-position-vertical-relative:page;z-index:-1459384" coordorigin="4467,4877" coordsize="3025,818">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10"/>
        <w:gridCol w:w="205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15,337,492.42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7,679,260.59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2,322,114.49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359,584.85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381,587.37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441,011.64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-9,601.22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-124,264.88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596,420.81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19,858.02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4,414,742.87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514,915.43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-704,602.30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-13,563,254.78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-916,206.38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15,915,584.82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-199,602.88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8,233,078.82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-1,665,111.29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80,832,978.19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13,713,951.52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34,791,420.41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20,953,000.84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293,321,816.69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130,539,761.27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521,318,266.70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438,224,045.13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287,729,724.84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83,094,221.57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150,494,320.29</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本期支付的取得子公司的现金净额"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71,539,632.78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支付星波通信现金对价金额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71,539,632.78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55,817,719.42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44,272,153.16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11,545,566.26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15,721,913.36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本期收到的处置子公司的现金净额"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现金和现金等价物的构成"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232,543.06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47,838.88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521,085,723.64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438,176,206.25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521,318,266.70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438,224,045.13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52、所有者权益变动表项目注释" w:id="348"/>
      <w:bookmarkEnd w:id="348"/>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53、所有权或使用权受到限制的资产" w:id="349"/>
      <w:bookmarkEnd w:id="349"/>
      <w:r>
        <w:rPr>
          <w:rFonts w:ascii="宋体" w:hAnsi="宋体" w:cs="宋体" w:eastAsia="宋体" w:hint="default"/>
          <w:sz w:val="18"/>
          <w:szCs w:val="18"/>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18,225,717.37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96,235,063.92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31,594,217.56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11,998,789.46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158,053,788.31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312" w:lineRule="exact"/>
        <w:ind w:right="1131"/>
        <w:jc w:val="both"/>
      </w:pPr>
      <w:r>
        <w:rPr>
          <w:spacing w:val="-2"/>
        </w:rPr>
        <w:t>注</w:t>
      </w:r>
      <w:r>
        <w:rPr>
          <w:rFonts w:ascii="Times New Roman" w:hAnsi="Times New Roman" w:cs="Times New Roman" w:eastAsia="Times New Roman" w:hint="default"/>
          <w:spacing w:val="-2"/>
        </w:rPr>
        <w:t>1</w:t>
      </w:r>
      <w:r>
        <w:rPr>
          <w:spacing w:val="-2"/>
        </w:rPr>
        <w:t>：母公司于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日与中国农业银行股份有限公司厦门莲前支行签订《厂房按揭借款</w:t>
      </w:r>
      <w:r>
        <w:rPr>
          <w:spacing w:val="-114"/>
        </w:rPr>
        <w:t> </w:t>
      </w:r>
      <w:r>
        <w:rPr>
          <w:spacing w:val="-114"/>
        </w:rPr>
      </w:r>
      <w:r>
        <w:rPr>
          <w:spacing w:val="-8"/>
        </w:rPr>
        <w:t>合同》，以环东海域思明工业园</w:t>
      </w:r>
      <w:r>
        <w:rPr>
          <w:rFonts w:ascii="Times New Roman" w:hAnsi="Times New Roman" w:cs="Times New Roman" w:eastAsia="Times New Roman" w:hint="default"/>
          <w:spacing w:val="-8"/>
        </w:rPr>
        <w:t>37#</w:t>
      </w:r>
      <w:r>
        <w:rPr>
          <w:spacing w:val="-8"/>
        </w:rPr>
        <w:t>、</w:t>
      </w:r>
      <w:r>
        <w:rPr>
          <w:rFonts w:ascii="Times New Roman" w:hAnsi="Times New Roman" w:cs="Times New Roman" w:eastAsia="Times New Roman" w:hint="default"/>
          <w:spacing w:val="-8"/>
        </w:rPr>
        <w:t>38#</w:t>
      </w:r>
      <w:r>
        <w:rPr>
          <w:spacing w:val="-8"/>
        </w:rPr>
        <w:t>厂房作为抵押，向银行按揭借款计人民币</w:t>
      </w:r>
      <w:r>
        <w:rPr>
          <w:rFonts w:ascii="Times New Roman" w:hAnsi="Times New Roman" w:cs="Times New Roman" w:eastAsia="Times New Roman" w:hint="default"/>
          <w:spacing w:val="-8"/>
        </w:rPr>
        <w:t>23,000,000.00</w:t>
      </w:r>
      <w:r>
        <w:rPr>
          <w:rFonts w:ascii="Times New Roman" w:hAnsi="Times New Roman" w:cs="Times New Roman" w:eastAsia="Times New Roman" w:hint="default"/>
          <w:spacing w:val="-28"/>
        </w:rPr>
        <w:t> </w:t>
      </w:r>
      <w:r>
        <w:rPr/>
        <w:t>元，借款期限为</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日，上述银行借款本金</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余额</w:t>
      </w:r>
      <w:r>
        <w:rPr>
          <w:rFonts w:ascii="Times New Roman" w:hAnsi="Times New Roman" w:cs="Times New Roman" w:eastAsia="Times New Roman" w:hint="default"/>
        </w:rPr>
        <w:t>479,166.62</w:t>
      </w:r>
      <w:r>
        <w:rPr/>
        <w:t>元，均为一年内到期长期借款。</w:t>
      </w:r>
    </w:p>
    <w:p>
      <w:pPr>
        <w:spacing w:line="240" w:lineRule="auto" w:before="4"/>
        <w:rPr>
          <w:rFonts w:ascii="宋体" w:hAnsi="宋体" w:cs="宋体" w:eastAsia="宋体" w:hint="default"/>
          <w:sz w:val="17"/>
          <w:szCs w:val="17"/>
        </w:rPr>
      </w:pPr>
    </w:p>
    <w:p>
      <w:pPr>
        <w:pStyle w:val="BodyText"/>
        <w:spacing w:line="312" w:lineRule="exact"/>
        <w:ind w:right="1636"/>
        <w:jc w:val="both"/>
      </w:pPr>
      <w:r>
        <w:rPr>
          <w:spacing w:val="-3"/>
        </w:rPr>
        <w:t>注</w:t>
      </w:r>
      <w:r>
        <w:rPr>
          <w:rFonts w:ascii="Times New Roman" w:hAnsi="Times New Roman" w:cs="Times New Roman" w:eastAsia="Times New Roman" w:hint="default"/>
          <w:spacing w:val="-3"/>
        </w:rPr>
        <w:t>2</w:t>
      </w:r>
      <w:r>
        <w:rPr>
          <w:spacing w:val="-3"/>
        </w:rPr>
        <w:t>：子公司涵普电力公司以位于杭州伟星大厦第十八层整层的写字楼及土地使用权（房</w:t>
      </w:r>
      <w:r>
        <w:rPr>
          <w:spacing w:val="-111"/>
        </w:rPr>
        <w:t> </w:t>
      </w:r>
      <w:r>
        <w:rPr>
          <w:spacing w:val="-111"/>
        </w:rPr>
      </w:r>
      <w:r>
        <w:rPr/>
        <w:t>屋产权证：杭房权证西移字第</w:t>
      </w:r>
      <w:r>
        <w:rPr>
          <w:rFonts w:ascii="Times New Roman" w:hAnsi="Times New Roman" w:cs="Times New Roman" w:eastAsia="Times New Roman" w:hint="default"/>
        </w:rPr>
        <w:t>13598170</w:t>
      </w:r>
      <w:r>
        <w:rPr/>
        <w:t>号；土地使用权证：杭西国用（</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018135</w:t>
      </w:r>
      <w:r>
        <w:rPr>
          <w:rFonts w:ascii="Times New Roman" w:hAnsi="Times New Roman" w:cs="Times New Roman" w:eastAsia="Times New Roman" w:hint="default"/>
          <w:spacing w:val="-57"/>
        </w:rPr>
        <w:t> </w:t>
      </w:r>
      <w:r>
        <w:rPr/>
        <w:t>号）作为抵押，向中国银行海盐支行申请综合授信并开具保函。</w:t>
      </w:r>
    </w:p>
    <w:p>
      <w:pPr>
        <w:pStyle w:val="BodyText"/>
        <w:spacing w:line="312" w:lineRule="exact" w:before="216"/>
        <w:ind w:right="1131"/>
        <w:jc w:val="both"/>
      </w:pPr>
      <w:r>
        <w:rPr/>
        <w:t>注</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w:t>
      </w:r>
      <w:r>
        <w:rPr>
          <w:spacing w:val="-63"/>
        </w:rPr>
        <w:t> </w:t>
      </w:r>
      <w:r>
        <w:rPr/>
        <w:t>子</w:t>
      </w:r>
      <w:r>
        <w:rPr>
          <w:spacing w:val="-64"/>
        </w:rPr>
        <w:t> </w:t>
      </w:r>
      <w:r>
        <w:rPr/>
        <w:t>公</w:t>
      </w:r>
      <w:r>
        <w:rPr>
          <w:spacing w:val="-63"/>
        </w:rPr>
        <w:t> </w:t>
      </w:r>
      <w:r>
        <w:rPr/>
        <w:t>司</w:t>
      </w:r>
      <w:r>
        <w:rPr>
          <w:spacing w:val="-63"/>
        </w:rPr>
        <w:t> </w:t>
      </w:r>
      <w:r>
        <w:rPr/>
        <w:t>银</w:t>
      </w:r>
      <w:r>
        <w:rPr>
          <w:spacing w:val="-63"/>
        </w:rPr>
        <w:t> </w:t>
      </w:r>
      <w:r>
        <w:rPr/>
        <w:t>川</w:t>
      </w:r>
      <w:r>
        <w:rPr>
          <w:spacing w:val="-64"/>
        </w:rPr>
        <w:t> </w:t>
      </w:r>
      <w:r>
        <w:rPr/>
        <w:t>卧</w:t>
      </w:r>
      <w:r>
        <w:rPr>
          <w:spacing w:val="-63"/>
        </w:rPr>
        <w:t> </w:t>
      </w:r>
      <w:r>
        <w:rPr/>
        <w:t>龙</w:t>
      </w:r>
      <w:r>
        <w:rPr>
          <w:spacing w:val="-63"/>
        </w:rPr>
        <w:t> </w:t>
      </w:r>
      <w:r>
        <w:rPr/>
        <w:t>公</w:t>
      </w:r>
      <w:r>
        <w:rPr>
          <w:spacing w:val="-63"/>
        </w:rPr>
        <w:t> </w:t>
      </w:r>
      <w:r>
        <w:rPr/>
        <w:t>司</w:t>
      </w:r>
      <w:r>
        <w:rPr>
          <w:spacing w:val="-64"/>
        </w:rPr>
        <w:t> </w:t>
      </w:r>
      <w:r>
        <w:rPr/>
        <w:t>与</w:t>
      </w:r>
      <w:r>
        <w:rPr>
          <w:spacing w:val="-63"/>
        </w:rPr>
        <w:t> </w:t>
      </w:r>
      <w:r>
        <w:rPr/>
        <w:t>宁</w:t>
      </w:r>
      <w:r>
        <w:rPr>
          <w:spacing w:val="-63"/>
        </w:rPr>
        <w:t> </w:t>
      </w:r>
      <w:r>
        <w:rPr/>
        <w:t>夏</w:t>
      </w:r>
      <w:r>
        <w:rPr>
          <w:spacing w:val="-63"/>
        </w:rPr>
        <w:t> </w:t>
      </w:r>
      <w:r>
        <w:rPr/>
        <w:t>银</w:t>
      </w:r>
      <w:r>
        <w:rPr>
          <w:spacing w:val="-64"/>
        </w:rPr>
        <w:t> </w:t>
      </w:r>
      <w:r>
        <w:rPr/>
        <w:t>行</w:t>
      </w:r>
      <w:r>
        <w:rPr>
          <w:spacing w:val="-63"/>
        </w:rPr>
        <w:t> </w:t>
      </w:r>
      <w:r>
        <w:rPr/>
        <w:t>股</w:t>
      </w:r>
      <w:r>
        <w:rPr>
          <w:spacing w:val="-63"/>
        </w:rPr>
        <w:t> </w:t>
      </w:r>
      <w:r>
        <w:rPr/>
        <w:t>份</w:t>
      </w:r>
      <w:r>
        <w:rPr>
          <w:spacing w:val="-63"/>
        </w:rPr>
        <w:t> </w:t>
      </w:r>
      <w:r>
        <w:rPr/>
        <w:t>有</w:t>
      </w:r>
      <w:r>
        <w:rPr>
          <w:spacing w:val="-64"/>
        </w:rPr>
        <w:t> </w:t>
      </w:r>
      <w:r>
        <w:rPr/>
        <w:t>限</w:t>
      </w:r>
      <w:r>
        <w:rPr>
          <w:spacing w:val="-63"/>
        </w:rPr>
        <w:t> </w:t>
      </w:r>
      <w:r>
        <w:rPr/>
        <w:t>公</w:t>
      </w:r>
      <w:r>
        <w:rPr>
          <w:spacing w:val="-63"/>
        </w:rPr>
        <w:t> </w:t>
      </w:r>
      <w:r>
        <w:rPr/>
        <w:t>司</w:t>
      </w:r>
      <w:r>
        <w:rPr>
          <w:spacing w:val="-63"/>
        </w:rPr>
        <w:t> </w:t>
      </w:r>
      <w:r>
        <w:rPr/>
        <w:t>新</w:t>
      </w:r>
      <w:r>
        <w:rPr>
          <w:spacing w:val="-64"/>
        </w:rPr>
        <w:t> </w:t>
      </w:r>
      <w:r>
        <w:rPr/>
        <w:t>城</w:t>
      </w:r>
      <w:r>
        <w:rPr>
          <w:spacing w:val="-63"/>
        </w:rPr>
        <w:t> </w:t>
      </w:r>
      <w:r>
        <w:rPr/>
        <w:t>支</w:t>
      </w:r>
      <w:r>
        <w:rPr>
          <w:spacing w:val="-63"/>
        </w:rPr>
        <w:t> </w:t>
      </w:r>
      <w:r>
        <w:rPr/>
        <w:t>行</w:t>
      </w:r>
      <w:r>
        <w:rPr>
          <w:spacing w:val="-63"/>
        </w:rPr>
        <w:t> </w:t>
      </w:r>
      <w:r>
        <w:rPr/>
        <w:t>签</w:t>
      </w:r>
      <w:r>
        <w:rPr>
          <w:spacing w:val="-64"/>
        </w:rPr>
        <w:t> </w:t>
      </w:r>
      <w:r>
        <w:rPr/>
        <w:t>订</w:t>
      </w:r>
      <w:r>
        <w:rPr>
          <w:spacing w:val="-63"/>
        </w:rPr>
        <w:t> </w:t>
      </w:r>
      <w:r>
        <w:rPr/>
        <w:t>的</w:t>
      </w:r>
      <w:r>
        <w:rPr>
          <w:spacing w:val="-62"/>
        </w:rPr>
        <w:t> </w:t>
      </w:r>
      <w:r>
        <w:rPr/>
        <w:t>编</w:t>
      </w:r>
      <w:r>
        <w:rPr>
          <w:spacing w:val="-62"/>
        </w:rPr>
        <w:t> </w:t>
      </w:r>
      <w:r>
        <w:rPr/>
        <w:t>号</w:t>
      </w:r>
      <w:r>
        <w:rPr>
          <w:spacing w:val="-63"/>
        </w:rPr>
        <w:t> </w:t>
      </w:r>
      <w:r>
        <w:rPr/>
        <w:t>为</w:t>
      </w:r>
      <w:r>
        <w:rPr/>
        <w:t> </w:t>
      </w:r>
      <w:r>
        <w:rPr>
          <w:rFonts w:ascii="Times New Roman" w:hAnsi="Times New Roman" w:cs="Times New Roman" w:eastAsia="Times New Roman" w:hint="default"/>
        </w:rPr>
        <w:t>NY01001010002017060000101</w:t>
      </w:r>
      <w:r>
        <w:rPr/>
        <w:t>的《最高额抵押合同》，以房产和土地使用权设定抵押，该最</w:t>
      </w:r>
      <w:r>
        <w:rPr>
          <w:spacing w:val="-87"/>
        </w:rPr>
        <w:t> </w:t>
      </w:r>
      <w:r>
        <w:rPr>
          <w:spacing w:val="-87"/>
        </w:rPr>
      </w:r>
      <w:r>
        <w:rPr/>
        <w:t>高额抵押合同所担保的主债权期限为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日期间的债务人办理的人</w:t>
      </w:r>
      <w:r>
        <w:rPr>
          <w:spacing w:val="-109"/>
        </w:rPr>
        <w:t> </w:t>
      </w:r>
      <w:r>
        <w:rPr>
          <w:spacing w:val="4"/>
        </w:rPr>
        <w:t>民币</w:t>
      </w:r>
      <w:r>
        <w:rPr>
          <w:rFonts w:ascii="Times New Roman" w:hAnsi="Times New Roman" w:cs="Times New Roman" w:eastAsia="Times New Roman" w:hint="default"/>
          <w:spacing w:val="4"/>
        </w:rPr>
        <w:t>/</w:t>
      </w:r>
      <w:r>
        <w:rPr>
          <w:spacing w:val="4"/>
        </w:rPr>
        <w:t>外币贷款、银行承兑汇票、银行保函，对债权人的全部债权在最高额债权余额人民币</w:t>
      </w:r>
      <w:r>
        <w:rPr>
          <w:spacing w:val="-100"/>
        </w:rPr>
        <w:t> </w:t>
      </w:r>
      <w:r>
        <w:rPr>
          <w:spacing w:val="-100"/>
        </w:rPr>
      </w:r>
      <w:r>
        <w:rPr>
          <w:rFonts w:ascii="Times New Roman" w:hAnsi="Times New Roman" w:cs="Times New Roman" w:eastAsia="Times New Roman" w:hint="default"/>
        </w:rPr>
        <w:t>101,428,823.00</w:t>
      </w:r>
      <w:r>
        <w:rPr/>
        <w:t>元，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日银川卧龙公司向宁夏银行股份有限公司新城支行借款</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55"/>
        </w:rPr>
        <w:t> </w:t>
      </w:r>
      <w:r>
        <w:rPr>
          <w:spacing w:val="-2"/>
        </w:rPr>
        <w:t>万，到期日为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日银川卧龙公司向宁夏银行股份有限公司新城支行</w:t>
      </w:r>
      <w:r>
        <w:rPr>
          <w:spacing w:val="-108"/>
        </w:rPr>
        <w:t> </w:t>
      </w:r>
      <w:r>
        <w:rPr/>
        <w:t>借款</w:t>
      </w:r>
      <w:r>
        <w:rPr>
          <w:rFonts w:ascii="Times New Roman" w:hAnsi="Times New Roman" w:cs="Times New Roman" w:eastAsia="Times New Roman" w:hint="default"/>
        </w:rPr>
        <w:t>3000</w:t>
      </w:r>
      <w:r>
        <w:rPr/>
        <w:t>万，到期日为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54、外币货币性项目" w:id="350"/>
      <w:bookmarkEnd w:id="350"/>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外币货币性项目"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980,863.13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6,409,197.87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239,519.41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1,219,824.46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80,808.45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111,841.25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569,585.12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38,603.42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47,526.83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242,044.64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56,574.92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17,681.90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90,050.38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259" w:lineRule="auto" w:before="0"/>
        <w:ind w:left="1133" w:right="0" w:firstLine="0"/>
        <w:jc w:val="left"/>
        <w:rPr>
          <w:rFonts w:ascii="宋体" w:hAnsi="宋体" w:cs="宋体" w:eastAsia="宋体" w:hint="default"/>
          <w:sz w:val="21"/>
          <w:szCs w:val="21"/>
        </w:rPr>
      </w:pPr>
      <w:bookmarkStart w:name="（2）境外经营实体说明，包括对于重要的境外经营实体，应披露其境外主要经营地、记账"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3"/>
        <w:ind w:right="1153"/>
        <w:jc w:val="left"/>
      </w:pPr>
      <w:r>
        <w:rPr/>
        <w:t>子公司澳洲红相系注册于澳大利亚的有限公司，其主要经营地在澳大利亚，主要结算货币为 澳元，以澳元作为其记账本位币。</w:t>
      </w:r>
    </w:p>
    <w:p>
      <w:pPr>
        <w:spacing w:after="0" w:line="312" w:lineRule="exact"/>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8329" w:firstLine="0"/>
        <w:jc w:val="left"/>
        <w:rPr>
          <w:rFonts w:ascii="宋体" w:hAnsi="宋体" w:cs="宋体" w:eastAsia="宋体" w:hint="default"/>
          <w:sz w:val="21"/>
          <w:szCs w:val="21"/>
        </w:rPr>
      </w:pPr>
      <w:bookmarkStart w:name="55、其他" w:id="353"/>
      <w:bookmarkEnd w:id="353"/>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4"/>
      <w:bookmarkEnd w:id="35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5"/>
      <w:bookmarkEnd w:id="3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3"/>
        <w:ind w:left="1133" w:right="0" w:firstLine="0"/>
        <w:jc w:val="left"/>
        <w:rPr>
          <w:rFonts w:ascii="宋体" w:hAnsi="宋体" w:cs="宋体" w:eastAsia="宋体" w:hint="default"/>
          <w:sz w:val="21"/>
          <w:szCs w:val="21"/>
        </w:rPr>
      </w:pPr>
      <w:bookmarkStart w:name="（1）本期发生的非同一控制下企业合并"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卧龙电气银 川变压器有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发行股份和 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317,593,431.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61,853,927.7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合肥星波通 信技术有限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522,768,000.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发行股份和 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73,125,221.0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27,220,865.2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合并成本及商誉"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359,775,037.53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174,368,825.09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810,224,962.47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348,399,125.91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522,767,951.00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499,005,473.46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128,180,837.97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670,994,526.54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394,587,113.03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313" w:lineRule="exact" w:before="66"/>
        <w:ind w:left="1558" w:right="0"/>
        <w:jc w:val="left"/>
      </w:pPr>
      <w:r>
        <w:rPr/>
        <w:t>合并成本的确定方法：</w:t>
      </w:r>
    </w:p>
    <w:p>
      <w:pPr>
        <w:pStyle w:val="BodyText"/>
        <w:spacing w:line="312" w:lineRule="exact" w:before="29"/>
        <w:ind w:right="1130" w:firstLine="424"/>
        <w:jc w:val="both"/>
      </w:pPr>
      <w:r>
        <w:rPr>
          <w:spacing w:val="-3"/>
        </w:rPr>
        <w:t>①</w:t>
      </w:r>
      <w:r>
        <w:rPr>
          <w:rFonts w:ascii="Times New Roman" w:hAnsi="Times New Roman" w:cs="Times New Roman" w:eastAsia="Times New Roman" w:hint="default"/>
          <w:spacing w:val="-3"/>
        </w:rPr>
        <w:t>2017</w:t>
      </w:r>
      <w:r>
        <w:rPr>
          <w:spacing w:val="-3"/>
        </w:rPr>
        <w:t>年，红相股份通过发行股份及支付现金方式取得银川卧龙</w:t>
      </w:r>
      <w:r>
        <w:rPr>
          <w:rFonts w:ascii="Times New Roman" w:hAnsi="Times New Roman" w:cs="Times New Roman" w:eastAsia="Times New Roman" w:hint="default"/>
          <w:spacing w:val="-3"/>
        </w:rPr>
        <w:t>100%</w:t>
      </w:r>
      <w:r>
        <w:rPr>
          <w:spacing w:val="-3"/>
        </w:rPr>
        <w:t>股权。根据</w:t>
      </w:r>
      <w:r>
        <w:rPr>
          <w:rFonts w:ascii="Times New Roman" w:hAnsi="Times New Roman" w:cs="Times New Roman" w:eastAsia="Times New Roman" w:hint="default"/>
          <w:spacing w:val="-3"/>
        </w:rPr>
        <w:t>“</w:t>
      </w:r>
      <w:r>
        <w:rPr>
          <w:spacing w:val="-3"/>
        </w:rPr>
        <w:t>中企华</w:t>
      </w:r>
      <w:r>
        <w:rPr/>
        <w:t> </w:t>
      </w:r>
      <w:r>
        <w:rPr>
          <w:spacing w:val="3"/>
        </w:rPr>
        <w:t>评报字</w:t>
      </w:r>
      <w:r>
        <w:rPr>
          <w:rFonts w:ascii="Times New Roman" w:hAnsi="Times New Roman" w:cs="Times New Roman" w:eastAsia="Times New Roman" w:hint="default"/>
          <w:spacing w:val="3"/>
        </w:rPr>
        <w:t>(2016)</w:t>
      </w:r>
      <w:r>
        <w:rPr>
          <w:spacing w:val="3"/>
        </w:rPr>
        <w:t>第</w:t>
      </w:r>
      <w:r>
        <w:rPr>
          <w:rFonts w:ascii="Times New Roman" w:hAnsi="Times New Roman" w:cs="Times New Roman" w:eastAsia="Times New Roman" w:hint="default"/>
          <w:spacing w:val="3"/>
        </w:rPr>
        <w:t>4379</w:t>
      </w:r>
      <w:r>
        <w:rPr>
          <w:spacing w:val="3"/>
        </w:rPr>
        <w:t>号</w:t>
      </w:r>
      <w:r>
        <w:rPr>
          <w:rFonts w:ascii="Times New Roman" w:hAnsi="Times New Roman" w:cs="Times New Roman" w:eastAsia="Times New Roman" w:hint="default"/>
          <w:spacing w:val="3"/>
        </w:rPr>
        <w:t>”</w:t>
      </w:r>
      <w:r>
        <w:rPr>
          <w:spacing w:val="3"/>
        </w:rPr>
        <w:t>《资产评估报告》，银川卧龙采用收益法下</w:t>
      </w:r>
      <w:r>
        <w:rPr>
          <w:rFonts w:ascii="Times New Roman" w:hAnsi="Times New Roman" w:cs="Times New Roman" w:eastAsia="Times New Roman" w:hint="default"/>
          <w:spacing w:val="3"/>
        </w:rPr>
        <w:t>100%</w:t>
      </w:r>
      <w:r>
        <w:rPr>
          <w:spacing w:val="3"/>
        </w:rPr>
        <w:t>股权的评估价值为</w:t>
      </w:r>
      <w:r>
        <w:rPr>
          <w:spacing w:val="-116"/>
        </w:rPr>
        <w:t> </w:t>
      </w:r>
      <w:r>
        <w:rPr>
          <w:spacing w:val="-116"/>
        </w:rPr>
      </w:r>
      <w:r>
        <w:rPr>
          <w:rFonts w:ascii="Times New Roman" w:hAnsi="Times New Roman" w:cs="Times New Roman" w:eastAsia="Times New Roman" w:hint="default"/>
          <w:spacing w:val="-1"/>
        </w:rPr>
        <w:t>113,084.71</w:t>
      </w:r>
      <w:r>
        <w:rPr>
          <w:spacing w:val="-1"/>
        </w:rPr>
        <w:t>万元（评估基准日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日），本次银川卧龙</w:t>
      </w:r>
      <w:r>
        <w:rPr>
          <w:rFonts w:ascii="Times New Roman" w:hAnsi="Times New Roman" w:cs="Times New Roman" w:eastAsia="Times New Roman" w:hint="default"/>
          <w:spacing w:val="-1"/>
        </w:rPr>
        <w:t>100%</w:t>
      </w:r>
      <w:r>
        <w:rPr>
          <w:spacing w:val="-1"/>
        </w:rPr>
        <w:t>股权收购的收购定价系参</w:t>
      </w:r>
      <w:r>
        <w:rPr>
          <w:spacing w:val="-114"/>
        </w:rPr>
        <w:t> </w:t>
      </w:r>
      <w:r>
        <w:rPr/>
        <w:t>考北京中企华资产评估有限责任公司（以下简称中企华）评估结果，经交易各方协商确定为</w:t>
      </w:r>
      <w:r>
        <w:rPr>
          <w:spacing w:val="-113"/>
        </w:rPr>
        <w:t> </w:t>
      </w:r>
      <w:r>
        <w:rPr>
          <w:spacing w:val="-113"/>
        </w:rPr>
      </w:r>
      <w:r>
        <w:rPr/>
        <w:t>人民币</w:t>
      </w:r>
      <w:r>
        <w:rPr>
          <w:rFonts w:ascii="Times New Roman" w:hAnsi="Times New Roman" w:cs="Times New Roman" w:eastAsia="Times New Roman" w:hint="default"/>
        </w:rPr>
        <w:t>117,000.00</w:t>
      </w:r>
      <w:r>
        <w:rPr/>
        <w:t>万元。</w:t>
      </w:r>
    </w:p>
    <w:p>
      <w:pPr>
        <w:pStyle w:val="BodyText"/>
        <w:spacing w:line="312" w:lineRule="exact"/>
        <w:ind w:right="1130" w:firstLine="424"/>
        <w:jc w:val="both"/>
      </w:pPr>
      <w:r>
        <w:rPr>
          <w:spacing w:val="-1"/>
        </w:rPr>
        <w:t>②</w:t>
      </w:r>
      <w:r>
        <w:rPr>
          <w:rFonts w:ascii="Times New Roman" w:hAnsi="Times New Roman" w:cs="Times New Roman" w:eastAsia="Times New Roman" w:hint="default"/>
          <w:spacing w:val="-1"/>
        </w:rPr>
        <w:t>2017</w:t>
      </w:r>
      <w:r>
        <w:rPr>
          <w:spacing w:val="-1"/>
        </w:rPr>
        <w:t>年，红相股份通过发行股份及支付现金方式取得星波通信</w:t>
      </w:r>
      <w:r>
        <w:rPr>
          <w:rFonts w:ascii="Times New Roman" w:hAnsi="Times New Roman" w:cs="Times New Roman" w:eastAsia="Times New Roman" w:hint="default"/>
          <w:spacing w:val="-1"/>
        </w:rPr>
        <w:t>67.54%</w:t>
      </w:r>
      <w:r>
        <w:rPr>
          <w:spacing w:val="-1"/>
        </w:rPr>
        <w:t>股权。根据</w:t>
      </w:r>
      <w:r>
        <w:rPr>
          <w:rFonts w:ascii="Times New Roman" w:hAnsi="Times New Roman" w:cs="Times New Roman" w:eastAsia="Times New Roman" w:hint="default"/>
          <w:spacing w:val="-1"/>
        </w:rPr>
        <w:t>“</w:t>
      </w:r>
      <w:r>
        <w:rPr>
          <w:spacing w:val="-1"/>
        </w:rPr>
        <w:t>国融</w:t>
      </w:r>
      <w:r>
        <w:rPr/>
        <w:t> </w:t>
      </w:r>
      <w:r>
        <w:rPr>
          <w:spacing w:val="-2"/>
        </w:rPr>
        <w:t>兴华评报字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080049</w:t>
      </w:r>
      <w:r>
        <w:rPr>
          <w:spacing w:val="-2"/>
        </w:rPr>
        <w:t>号</w:t>
      </w:r>
      <w:r>
        <w:rPr>
          <w:rFonts w:ascii="Times New Roman" w:hAnsi="Times New Roman" w:cs="Times New Roman" w:eastAsia="Times New Roman" w:hint="default"/>
          <w:spacing w:val="-2"/>
        </w:rPr>
        <w:t>”</w:t>
      </w:r>
      <w:r>
        <w:rPr>
          <w:spacing w:val="-2"/>
        </w:rPr>
        <w:t>《资产评估报告》，星波通信采用收益法下</w:t>
      </w:r>
      <w:r>
        <w:rPr>
          <w:rFonts w:ascii="Times New Roman" w:hAnsi="Times New Roman" w:cs="Times New Roman" w:eastAsia="Times New Roman" w:hint="default"/>
          <w:spacing w:val="-2"/>
        </w:rPr>
        <w:t>100%</w:t>
      </w:r>
      <w:r>
        <w:rPr>
          <w:spacing w:val="-2"/>
        </w:rPr>
        <w:t>股权的评估价</w:t>
      </w:r>
      <w:r>
        <w:rPr>
          <w:spacing w:val="-93"/>
        </w:rPr>
        <w:t> </w:t>
      </w:r>
      <w:r>
        <w:rPr>
          <w:spacing w:val="-2"/>
        </w:rPr>
        <w:t>值为</w:t>
      </w:r>
      <w:r>
        <w:rPr>
          <w:rFonts w:ascii="Times New Roman" w:hAnsi="Times New Roman" w:cs="Times New Roman" w:eastAsia="Times New Roman" w:hint="default"/>
          <w:spacing w:val="-2"/>
        </w:rPr>
        <w:t>77,471.13</w:t>
      </w:r>
      <w:r>
        <w:rPr>
          <w:spacing w:val="-2"/>
        </w:rPr>
        <w:t>万元（评估基准日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日）。本次星波通信</w:t>
      </w:r>
      <w:r>
        <w:rPr>
          <w:rFonts w:ascii="Times New Roman" w:hAnsi="Times New Roman" w:cs="Times New Roman" w:eastAsia="Times New Roman" w:hint="default"/>
          <w:spacing w:val="-2"/>
        </w:rPr>
        <w:t>67.54%</w:t>
      </w:r>
      <w:r>
        <w:rPr>
          <w:spacing w:val="-2"/>
        </w:rPr>
        <w:t>股份收购交易的转让</w:t>
      </w:r>
      <w:r>
        <w:rPr/>
        <w:t> 价格系参考北京国融兴华资产评估有限责任公司（以下简称国融兴华）评估结果，经交易各</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left="1558" w:right="6913" w:hanging="425"/>
        <w:jc w:val="left"/>
      </w:pPr>
      <w:r>
        <w:rPr/>
        <w:t>方协商确定为人民币</w:t>
      </w:r>
      <w:r>
        <w:rPr>
          <w:rFonts w:ascii="Times New Roman" w:hAnsi="Times New Roman" w:cs="Times New Roman" w:eastAsia="Times New Roman" w:hint="default"/>
        </w:rPr>
        <w:t>52,276.80</w:t>
      </w:r>
      <w:r>
        <w:rPr/>
        <w:t>万元。 公允价值确认的方法：</w:t>
      </w:r>
    </w:p>
    <w:p>
      <w:pPr>
        <w:pStyle w:val="BodyText"/>
        <w:spacing w:line="312" w:lineRule="exact"/>
        <w:ind w:right="1008" w:firstLine="424"/>
        <w:jc w:val="left"/>
      </w:pPr>
      <w:r>
        <w:rPr>
          <w:spacing w:val="-1"/>
        </w:rPr>
        <w:t>购买日公司聘请了评估机构采用了资产基础法可辨认净资产价值进行评估。资产基础法：</w:t>
      </w:r>
      <w:r>
        <w:rPr/>
        <w:t> 是指以被评估单位评估基准日的资产负债表为基础，通过分别合理评估企业表内及表外各项</w:t>
      </w:r>
    </w:p>
    <w:p>
      <w:pPr>
        <w:pStyle w:val="BodyText"/>
        <w:spacing w:line="284" w:lineRule="exact"/>
        <w:ind w:right="0"/>
        <w:jc w:val="left"/>
      </w:pPr>
      <w:r>
        <w:rPr/>
        <w:t>资产、负债的价值，通过资产减负债从而确定评估对象价值的一种评估方法。</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0"/>
          <w:szCs w:val="30"/>
        </w:rPr>
      </w:pPr>
    </w:p>
    <w:p>
      <w:pPr>
        <w:spacing w:line="360" w:lineRule="auto" w:before="0"/>
        <w:ind w:left="1134" w:right="8592"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11"/>
        <w:rPr>
          <w:rFonts w:ascii="宋体" w:hAnsi="宋体" w:cs="宋体" w:eastAsia="宋体" w:hint="default"/>
          <w:sz w:val="19"/>
          <w:szCs w:val="19"/>
        </w:rPr>
      </w:pPr>
    </w:p>
    <w:p>
      <w:pPr>
        <w:spacing w:before="0"/>
        <w:ind w:left="1133" w:right="0" w:firstLine="0"/>
        <w:jc w:val="left"/>
        <w:rPr>
          <w:rFonts w:ascii="宋体" w:hAnsi="宋体" w:cs="宋体" w:eastAsia="宋体" w:hint="default"/>
          <w:sz w:val="21"/>
          <w:szCs w:val="21"/>
        </w:rPr>
      </w:pPr>
      <w:bookmarkStart w:name="（3）被购买方于购买日可辨认资产、负债"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卧龙电气银川变压器有限公司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合肥星波通信技术有限公司</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1,014,229,040.36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928,238,134.46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231,375,460.35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191,812,691.97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66,832,372.93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66,832,372.93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14,392,365.59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14,392,365.59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395,828,343.15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395,828,343.15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75,211,217.31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75,211,217.31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53,051,390.02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49,890,952.13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82,690,533.93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62,180,133.09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124,907,000.00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85,296,443.39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39,824,747.30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31,226,825.53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51,310,530.00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8,090,618.60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12,701,803.22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2,247,357.45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其他可辨认的资产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322,299,404.26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322,299,404.26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6,554,793.00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515,223,566.90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502,324,931.01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36,812,829.60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30,484,100.79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157,631,899.60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157,631,899.60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13,646,354.34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13,646,354.34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12,898,635.89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6,328,728.81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其他可辨认负债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144,693,031.41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144,693,031.41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16,837,746.45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16,837,746.45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499,005,473.46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425,913,203.45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194,562,630.75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161,328,591.18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4,777,558.24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3,890,352.75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499,005,473.46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425,913,203.45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189,785,072.51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157,438,238.43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312" w:lineRule="exact" w:before="97"/>
        <w:ind w:left="1134" w:right="996" w:firstLine="424"/>
        <w:jc w:val="left"/>
      </w:pPr>
      <w:r>
        <w:rPr>
          <w:spacing w:val="2"/>
        </w:rPr>
        <w:t>①根据中企华</w:t>
      </w:r>
      <w:r>
        <w:rPr>
          <w:rFonts w:ascii="Times New Roman" w:hAnsi="Times New Roman" w:cs="Times New Roman" w:eastAsia="Times New Roman" w:hint="default"/>
          <w:spacing w:val="2"/>
        </w:rPr>
        <w:t>“</w:t>
      </w:r>
      <w:r>
        <w:rPr>
          <w:spacing w:val="2"/>
        </w:rPr>
        <w:t>中企华评报字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4078</w:t>
      </w:r>
      <w:r>
        <w:rPr>
          <w:spacing w:val="2"/>
        </w:rPr>
        <w:t>号</w:t>
      </w:r>
      <w:r>
        <w:rPr>
          <w:rFonts w:ascii="Times New Roman" w:hAnsi="Times New Roman" w:cs="Times New Roman" w:eastAsia="Times New Roman" w:hint="default"/>
          <w:spacing w:val="2"/>
        </w:rPr>
        <w:t>” </w:t>
      </w:r>
      <w:r>
        <w:rPr>
          <w:spacing w:val="3"/>
        </w:rPr>
        <w:t>《评估报告》对银川卧龙截至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8 </w:t>
      </w:r>
      <w:r>
        <w:rPr>
          <w:spacing w:val="-2"/>
        </w:rPr>
        <w:t>月</w:t>
      </w:r>
      <w:r>
        <w:rPr>
          <w:rFonts w:ascii="Times New Roman" w:hAnsi="Times New Roman" w:cs="Times New Roman" w:eastAsia="Times New Roman" w:hint="default"/>
          <w:spacing w:val="-2"/>
        </w:rPr>
        <w:t>31</w:t>
      </w:r>
      <w:r>
        <w:rPr>
          <w:spacing w:val="-2"/>
        </w:rPr>
        <w:t>日各项可辨认资产、负债的公允价值进行确认。本公司对合并中取得的各项可辨认资产、</w:t>
      </w:r>
      <w:r>
        <w:rPr>
          <w:spacing w:val="-118"/>
        </w:rPr>
        <w:t> </w:t>
      </w:r>
      <w:r>
        <w:rPr>
          <w:spacing w:val="-118"/>
        </w:rPr>
      </w:r>
      <w:r>
        <w:rPr/>
        <w:t>负债按评估确定的公允价值进行确认和记录，考虑存货、固定资产、无形资产在评估基准日 对递延所得税等影响，将公允价值较账面价值的增值部分归集到相应的具体资产项目。</w:t>
      </w:r>
    </w:p>
    <w:p>
      <w:pPr>
        <w:pStyle w:val="BodyText"/>
        <w:spacing w:line="312" w:lineRule="exact"/>
        <w:ind w:right="1126" w:firstLine="424"/>
        <w:jc w:val="both"/>
      </w:pPr>
      <w:r>
        <w:rPr>
          <w:spacing w:val="5"/>
        </w:rPr>
        <w:t>②根据国融兴华 </w:t>
      </w:r>
      <w:r>
        <w:rPr>
          <w:rFonts w:ascii="Times New Roman" w:hAnsi="Times New Roman" w:cs="Times New Roman" w:eastAsia="Times New Roman" w:hint="default"/>
          <w:spacing w:val="4"/>
        </w:rPr>
        <w:t>“</w:t>
      </w:r>
      <w:r>
        <w:rPr>
          <w:spacing w:val="4"/>
        </w:rPr>
        <w:t>国融兴华咨报字</w:t>
      </w:r>
      <w:r>
        <w:rPr>
          <w:rFonts w:ascii="Times New Roman" w:hAnsi="Times New Roman" w:cs="Times New Roman" w:eastAsia="Times New Roman" w:hint="default"/>
          <w:spacing w:val="4"/>
        </w:rPr>
        <w:t>S[2017]</w:t>
      </w:r>
      <w:r>
        <w:rPr>
          <w:spacing w:val="4"/>
        </w:rPr>
        <w:t>第</w:t>
      </w:r>
      <w:r>
        <w:rPr>
          <w:rFonts w:ascii="Times New Roman" w:hAnsi="Times New Roman" w:cs="Times New Roman" w:eastAsia="Times New Roman" w:hint="default"/>
          <w:spacing w:val="4"/>
        </w:rPr>
        <w:t>0001</w:t>
      </w:r>
      <w:r>
        <w:rPr>
          <w:spacing w:val="4"/>
        </w:rPr>
        <w:t>号</w:t>
      </w:r>
      <w:r>
        <w:rPr>
          <w:rFonts w:ascii="Times New Roman" w:hAnsi="Times New Roman" w:cs="Times New Roman" w:eastAsia="Times New Roman" w:hint="default"/>
          <w:spacing w:val="4"/>
        </w:rPr>
        <w:t>”</w:t>
      </w:r>
      <w:r>
        <w:rPr>
          <w:spacing w:val="4"/>
        </w:rPr>
        <w:t>《可辨认资产评估项目评估咨询报</w:t>
      </w:r>
      <w:r>
        <w:rPr>
          <w:spacing w:val="6"/>
        </w:rPr>
        <w:t> </w:t>
      </w:r>
      <w:r>
        <w:rPr>
          <w:spacing w:val="2"/>
        </w:rPr>
        <w:t>告》对星波通信截至 </w:t>
      </w:r>
      <w:r>
        <w:rPr>
          <w:rFonts w:ascii="Times New Roman" w:hAnsi="Times New Roman" w:cs="Times New Roman" w:eastAsia="Times New Roman" w:hint="default"/>
        </w:rPr>
        <w:t>2017 </w:t>
      </w:r>
      <w:r>
        <w:rPr/>
        <w:t>年</w:t>
      </w:r>
      <w:r>
        <w:rPr>
          <w:spacing w:val="-54"/>
        </w:rPr>
        <w:t> </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日各项可辨认资产、负债的公允价值进行确认。本公司</w:t>
      </w:r>
      <w:r>
        <w:rPr/>
        <w:t> 对合并中取得的各项可辨认资产、负债按评估确定的公允价值进行确认和记录，考虑存货、 固定资产、无形资产在评估基准日对递延所得税等影响，将公允价值较账面价值的增值部分</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归集到相应的具体资产项目。</w:t>
      </w:r>
    </w:p>
    <w:p>
      <w:pPr>
        <w:spacing w:line="240" w:lineRule="auto" w:before="8"/>
        <w:rPr>
          <w:rFonts w:ascii="宋体" w:hAnsi="宋体" w:cs="宋体" w:eastAsia="宋体" w:hint="default"/>
          <w:sz w:val="30"/>
          <w:szCs w:val="30"/>
        </w:rPr>
      </w:pPr>
    </w:p>
    <w:p>
      <w:pPr>
        <w:spacing w:line="357" w:lineRule="auto" w:before="0"/>
        <w:ind w:left="1133" w:right="7513"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无</w:t>
      </w:r>
    </w:p>
    <w:p>
      <w:pPr>
        <w:spacing w:before="29"/>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购买日之前持有的股权按照公允价值重新计量产生的利得或损失"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购买日或合并当期期末无法合理确定合并对价或被购买方可辨认资产、负债公允价值"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6）其他说明"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2、处置子公司" w:id="362"/>
      <w:bookmarkEnd w:id="3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line="544" w:lineRule="auto" w:before="43"/>
        <w:ind w:left="1133" w:right="98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3、其他" w:id="363"/>
      <w:bookmarkEnd w:id="36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2"/>
        <w:spacing w:line="240" w:lineRule="auto" w:before="100"/>
        <w:ind w:left="1134" w:right="0"/>
        <w:jc w:val="left"/>
        <w:rPr>
          <w:b w:val="0"/>
          <w:bCs w:val="0"/>
        </w:rPr>
      </w:pPr>
      <w:bookmarkStart w:name="九、在其他主体中的权益" w:id="364"/>
      <w:bookmarkEnd w:id="36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在子公司中的权益" w:id="365"/>
      <w:bookmarkEnd w:id="3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企业集团的构成"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澳洲红相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澳大利亚墨尔本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红相软件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计算机软件开 发、销售及技术 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红相信息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软件开发；信息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系统集成服务； 数据处理和存储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涵普三维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电力设备生产及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银川卧龙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变压器生产及销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中宁银变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宁夏中宁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宁夏中宁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新能源开发、建 设、管理咨询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微波通信产品生 产及销售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星波电子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微波通信产品生 产及销售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360"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2"/>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2）重要的非全资子公司"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14,434,456.84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9,586,657.09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73,923,459.63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5,429,385.75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73,846,085.91</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3）重要非全资子公司的主要财务信息"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浙江涵 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183,573,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757.87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29,096,9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69.97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212,670,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727.84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62,259,0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84.44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2,365,65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64,624,7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41.54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164,404,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708.28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12,423,1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04.62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176,827,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812.90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52,793,6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26.81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52,793,6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26.81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星波通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209,258,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004.08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54,918,4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264,176,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500.78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40,575,7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87.85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5,094,37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45,670,1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67.71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浙江涵普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144,098,115.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14,835,597.2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14,835,597.2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27,442,830.6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128,581,858.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22,176,120.3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22,176,120.3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16,863,303.2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星波通信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73,125,221.0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8,642,788.18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8,642,788.18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14,494,669.1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both"/>
      </w:pPr>
      <w:r>
        <w:rPr/>
        <w:t>该项中净利润与综合收益总额填写金额为归属于母公司的净利润与综合收益总额。</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4）使用企业集团资产和清偿企业集团债务的重大限制"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5）向纳入合并财务报表范围的结构化主体提供的财务支持或其他支持"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both"/>
        <w:rPr>
          <w:rFonts w:ascii="宋体" w:hAnsi="宋体" w:cs="宋体" w:eastAsia="宋体" w:hint="default"/>
          <w:sz w:val="21"/>
          <w:szCs w:val="21"/>
        </w:rPr>
      </w:pPr>
      <w:bookmarkStart w:name="2、在未纳入合并财务报表范围的结构化主体中的权益" w:id="371"/>
      <w:bookmarkEnd w:id="3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spacing w:before="0"/>
        <w:ind w:left="1134" w:right="0" w:firstLine="0"/>
        <w:jc w:val="both"/>
        <w:rPr>
          <w:rFonts w:ascii="宋体" w:hAnsi="宋体" w:cs="宋体" w:eastAsia="宋体" w:hint="default"/>
          <w:sz w:val="21"/>
          <w:szCs w:val="21"/>
        </w:rPr>
      </w:pPr>
      <w:bookmarkStart w:name="3、其他" w:id="372"/>
      <w:bookmarkEnd w:id="3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left="1134" w:right="0"/>
        <w:jc w:val="both"/>
        <w:rPr>
          <w:b w:val="0"/>
          <w:bCs w:val="0"/>
        </w:rPr>
      </w:pPr>
      <w:bookmarkStart w:name="十、与金融工具相关的风险" w:id="373"/>
      <w:bookmarkEnd w:id="373"/>
      <w:r>
        <w:rPr>
          <w:b w:val="0"/>
          <w:bCs w:val="0"/>
        </w:rPr>
      </w:r>
      <w:r>
        <w:rPr/>
        <w:t>十、与金融工具相关的风险</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left="1134" w:right="1138"/>
        <w:jc w:val="both"/>
      </w:pPr>
      <w:r>
        <w:rPr/>
        <w:t>本集团的主要金融工具包括货币资金、应收账款、应收票据、应收利息、应收股利、其他应 收款、其他流动资产、可供出售金融资产、应付账款、应付利息、应付票据、应付股利、其</w:t>
      </w:r>
      <w:r>
        <w:rPr>
          <w:spacing w:val="-116"/>
        </w:rPr>
        <w:t> </w:t>
      </w:r>
      <w:r>
        <w:rPr>
          <w:spacing w:val="-116"/>
        </w:rPr>
      </w:r>
      <w:r>
        <w:rPr/>
        <w:t>他应付款、短期借款、一年内到期的非流动负债。各项金融工具的详细情况已于相关附注内 披露。与这些金融工具有关的风险，以及本集团为降低这些风险所采取的风险管理政策如下 所述。本集团管理层对这些风险敞口进行管理和监控以确保将上述风险控制在限定的范围之 内。</w:t>
      </w:r>
    </w:p>
    <w:p>
      <w:pPr>
        <w:pStyle w:val="BodyText"/>
        <w:spacing w:line="240" w:lineRule="auto" w:before="185"/>
        <w:ind w:left="1134" w:right="0"/>
        <w:jc w:val="both"/>
      </w:pPr>
      <w:r>
        <w:rPr>
          <w:rFonts w:ascii="Times New Roman" w:hAnsi="Times New Roman" w:cs="Times New Roman" w:eastAsia="Times New Roman" w:hint="default"/>
        </w:rPr>
        <w:t>1</w:t>
      </w:r>
      <w:r>
        <w:rPr/>
        <w:t>、风险管理目标和政策</w:t>
      </w:r>
    </w:p>
    <w:p>
      <w:pPr>
        <w:pStyle w:val="BodyText"/>
        <w:spacing w:line="237" w:lineRule="auto" w:before="198"/>
        <w:ind w:left="1134" w:right="1139"/>
        <w:jc w:val="both"/>
      </w:pPr>
      <w:r>
        <w:rPr/>
        <w:t>本集团从事风险管理的目标是在风险和收益之间取得适当的平衡，力求降低金融风险对本集 团财务业绩的不利影响。基于该风险管理目标，本集团已制定风险管理政策以辨别和分析本 集团所面临的风险，设定适当的风险可接受水平并设计相应的内部控制程序，以监控本集团 的风险水平。本集团会定期审阅这些风险管理政策及有关内部控制系统，以适应市场情况或 本集团经营活动的改变。本集团的内部审计部门也定期或随机检查内部控制系统的执行是否 符合风险管理政策。</w:t>
      </w:r>
    </w:p>
    <w:p>
      <w:pPr>
        <w:spacing w:after="0" w:line="237" w:lineRule="auto"/>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0"/>
        <w:jc w:val="left"/>
      </w:pPr>
      <w:r>
        <w:rPr/>
        <w:t>本集团的金融工具导致的主要风险是信用风险、流动性风险、市场风险（包括利率风险、汇 率风险和商品价格风险）。</w:t>
      </w:r>
    </w:p>
    <w:p>
      <w:pPr>
        <w:pStyle w:val="BodyText"/>
        <w:spacing w:line="237" w:lineRule="auto" w:before="188"/>
        <w:ind w:right="995"/>
        <w:jc w:val="left"/>
      </w:pPr>
      <w:r>
        <w:rPr/>
        <w:t>董事会负责规划并建立本集团的风险管理架构，指定本集团的风险管理政策和相关指引并监 </w:t>
      </w:r>
      <w:r>
        <w:rPr>
          <w:spacing w:val="-2"/>
        </w:rPr>
        <w:t>督风险管理措施的执行情况。本集团已制定风险管理政策以识别和分析本集团所面临的风险，</w:t>
      </w:r>
      <w:r>
        <w:rPr/>
        <w:t> 这些风险管理政策对特定风险进行了明确规定，涵盖了信用风险、流动性风险和市场风险管 理等诸多方面。本集团定期评估市场环境及本集团经营活动的变化以决定是否对风险管理政 策及系统进行更新。本集团的风险管理由风险管理委员会按照董事会批准的政策开展。风险 管理委员会通过与本集团其他业务部门的紧密合作来识别、评价和规避相关风险。本集团内 </w:t>
      </w:r>
      <w:r>
        <w:rPr>
          <w:spacing w:val="-2"/>
        </w:rPr>
        <w:t>部审计部门就风险管理控制及程序进行定期的审核，并将审核结果上报本集团的审计委员会。</w:t>
      </w:r>
    </w:p>
    <w:p>
      <w:pPr>
        <w:spacing w:line="240" w:lineRule="auto" w:before="9"/>
        <w:rPr>
          <w:rFonts w:ascii="宋体" w:hAnsi="宋体" w:cs="宋体" w:eastAsia="宋体" w:hint="default"/>
          <w:sz w:val="18"/>
          <w:szCs w:val="18"/>
        </w:rPr>
      </w:pPr>
    </w:p>
    <w:p>
      <w:pPr>
        <w:pStyle w:val="BodyText"/>
        <w:spacing w:line="312" w:lineRule="exact"/>
        <w:ind w:right="0"/>
        <w:jc w:val="left"/>
      </w:pPr>
      <w:r>
        <w:rPr/>
        <w:t>本集团通过适当的多样化投资及业务组合来分散金融工具风险，并通过制定相应的风险管理 政策减少集中于任何单一行业、特定地区或特定交易对手方的风险。</w:t>
      </w:r>
    </w:p>
    <w:p>
      <w:pPr>
        <w:pStyle w:val="BodyText"/>
        <w:spacing w:line="381" w:lineRule="auto" w:before="185"/>
        <w:ind w:right="1394"/>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w:t>
      </w:r>
    </w:p>
    <w:p>
      <w:pPr>
        <w:pStyle w:val="BodyText"/>
        <w:spacing w:line="312" w:lineRule="exact" w:before="103"/>
        <w:ind w:right="0"/>
        <w:jc w:val="left"/>
      </w:pPr>
      <w:r>
        <w:rPr/>
        <w:t>本集团对信用风险按组合分类进行管理。信用风险主要产生于银行存款、衍生金融工具和应 收款项等。</w:t>
      </w:r>
    </w:p>
    <w:p>
      <w:pPr>
        <w:pStyle w:val="BodyText"/>
        <w:spacing w:line="312" w:lineRule="exact" w:before="216"/>
        <w:ind w:right="0"/>
        <w:jc w:val="left"/>
      </w:pPr>
      <w:r>
        <w:rPr/>
        <w:t>本集团银行存款主要存放于国有银行和其它大中型上市银行，本集团预期银行存款不存在重 大的信用风险。</w:t>
      </w:r>
    </w:p>
    <w:p>
      <w:pPr>
        <w:spacing w:line="240" w:lineRule="auto" w:before="7"/>
        <w:rPr>
          <w:rFonts w:ascii="宋体" w:hAnsi="宋体" w:cs="宋体" w:eastAsia="宋体" w:hint="default"/>
          <w:sz w:val="16"/>
          <w:szCs w:val="16"/>
        </w:rPr>
      </w:pPr>
    </w:p>
    <w:p>
      <w:pPr>
        <w:pStyle w:val="BodyText"/>
        <w:spacing w:line="312" w:lineRule="exact"/>
        <w:ind w:left="1134" w:right="994"/>
        <w:jc w:val="left"/>
      </w:pPr>
      <w:r>
        <w:rPr>
          <w:spacing w:val="-2"/>
        </w:rPr>
        <w:t>对于应收款项，本集团设定相关政策以控制信用风险敞口。本集团基于对债务人的财务状况、</w:t>
      </w:r>
      <w:r>
        <w:rPr/>
        <w:t> 外部评级、从第三方获取担保的可能性、信用记录及其它因素诸如目前市场状况等评估债务 人的信用资质并设置相应欠款额度与信用期限。本集团已采取政策只与信用良好的交易对手</w:t>
      </w:r>
      <w:r>
        <w:rPr>
          <w:spacing w:val="-115"/>
        </w:rPr>
        <w:t> </w:t>
      </w:r>
      <w:r>
        <w:rPr>
          <w:spacing w:val="-115"/>
        </w:rPr>
      </w:r>
      <w:r>
        <w:rPr/>
        <w:t>方合作并在有必要时获取足够的抵押品，以此缓解因交易对手方未能履行合同义务而产生财 务损失的风险。本集团会定期对债务人信用记录进行监控，对于信用记录不良的债务人，本 集团会采用书面催款、缩短信用期或取消信用期等方式，以确保本集团的整体信用风险在可 控的范围内。</w:t>
      </w:r>
    </w:p>
    <w:p>
      <w:pPr>
        <w:spacing w:line="240" w:lineRule="auto" w:before="7"/>
        <w:rPr>
          <w:rFonts w:ascii="宋体" w:hAnsi="宋体" w:cs="宋体" w:eastAsia="宋体" w:hint="default"/>
          <w:sz w:val="16"/>
          <w:szCs w:val="16"/>
        </w:rPr>
      </w:pPr>
    </w:p>
    <w:p>
      <w:pPr>
        <w:pStyle w:val="BodyText"/>
        <w:spacing w:line="312" w:lineRule="exact"/>
        <w:ind w:right="0"/>
        <w:jc w:val="left"/>
      </w:pPr>
      <w:r>
        <w:rPr/>
        <w:t>本集团应收账款的债务人为分布于不同行业和地区的客户。本集团持续对应收账款的财务状 况实施信用评估，并在适当时购买信用担保保险。</w:t>
      </w:r>
    </w:p>
    <w:p>
      <w:pPr>
        <w:spacing w:line="240" w:lineRule="auto" w:before="7"/>
        <w:rPr>
          <w:rFonts w:ascii="宋体" w:hAnsi="宋体" w:cs="宋体" w:eastAsia="宋体" w:hint="default"/>
          <w:sz w:val="16"/>
          <w:szCs w:val="16"/>
        </w:rPr>
      </w:pPr>
    </w:p>
    <w:p>
      <w:pPr>
        <w:pStyle w:val="BodyText"/>
        <w:spacing w:line="312" w:lineRule="exact"/>
        <w:ind w:right="0"/>
        <w:jc w:val="left"/>
      </w:pPr>
      <w:r>
        <w:rPr/>
        <w:t>本集团所承受的最大信用风险敞口为资产负债表中每项金融资产的账面金额。本集团没有提 供任何其他可能令本集团承受信用风险的担保。</w:t>
      </w:r>
    </w:p>
    <w:p>
      <w:pPr>
        <w:pStyle w:val="BodyText"/>
        <w:spacing w:line="312" w:lineRule="exact" w:before="216"/>
        <w:ind w:right="1132"/>
        <w:jc w:val="both"/>
      </w:pPr>
      <w:r>
        <w:rPr/>
        <w:t>本集团应收账款中，欠款金额前五大客户的应收账款占本集团应收账款总额的</w:t>
      </w:r>
      <w:r>
        <w:rPr>
          <w:rFonts w:ascii="Times New Roman" w:hAnsi="Times New Roman" w:cs="Times New Roman" w:eastAsia="Times New Roman" w:hint="default"/>
        </w:rPr>
        <w:t>21.70%</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56"/>
        </w:rPr>
        <w:t> </w:t>
      </w:r>
      <w:r>
        <w:rPr/>
        <w:t>年：</w:t>
      </w:r>
      <w:r>
        <w:rPr>
          <w:rFonts w:ascii="Times New Roman" w:hAnsi="Times New Roman" w:cs="Times New Roman" w:eastAsia="Times New Roman" w:hint="default"/>
        </w:rPr>
        <w:t>30.14%</w:t>
      </w:r>
      <w:r>
        <w:rPr/>
        <w:t>）；本集团其他应收款中，欠款金额前五大公司的其他应收款占本集团其他应收 款总额的</w:t>
      </w:r>
      <w:r>
        <w:rPr>
          <w:rFonts w:ascii="Times New Roman" w:hAnsi="Times New Roman" w:cs="Times New Roman" w:eastAsia="Times New Roman" w:hint="default"/>
        </w:rPr>
        <w:t>30.30%</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45.29%</w:t>
      </w:r>
      <w:r>
        <w:rPr/>
        <w:t>）。</w:t>
      </w:r>
    </w:p>
    <w:p>
      <w:pPr>
        <w:pStyle w:val="BodyText"/>
        <w:spacing w:line="240" w:lineRule="auto" w:before="185"/>
        <w:ind w:left="1134" w:right="0"/>
        <w:jc w:val="left"/>
      </w:pPr>
      <w:r>
        <w:rPr/>
        <w:t>（</w:t>
      </w:r>
      <w:r>
        <w:rPr>
          <w:rFonts w:ascii="Times New Roman" w:hAnsi="Times New Roman" w:cs="Times New Roman" w:eastAsia="Times New Roman" w:hint="default"/>
        </w:rPr>
        <w:t>2</w:t>
      </w:r>
      <w:r>
        <w:rPr/>
        <w:t>）流动性风险</w:t>
      </w:r>
    </w:p>
    <w:p>
      <w:pPr>
        <w:spacing w:line="240" w:lineRule="auto" w:before="4"/>
        <w:rPr>
          <w:rFonts w:ascii="宋体" w:hAnsi="宋体" w:cs="宋体" w:eastAsia="宋体" w:hint="default"/>
          <w:sz w:val="17"/>
          <w:szCs w:val="17"/>
        </w:rPr>
      </w:pPr>
    </w:p>
    <w:p>
      <w:pPr>
        <w:pStyle w:val="BodyText"/>
        <w:spacing w:line="312" w:lineRule="exact"/>
        <w:ind w:right="0"/>
        <w:jc w:val="left"/>
      </w:pPr>
      <w:r>
        <w:rPr/>
        <w:t>流动性风险，是指本集团在履行以交付现金或其他金融资产的方式结算的义务时发生资金短 缺的风险。</w:t>
      </w:r>
    </w:p>
    <w:p>
      <w:pPr>
        <w:pStyle w:val="BodyText"/>
        <w:spacing w:line="240" w:lineRule="auto" w:before="185"/>
        <w:ind w:right="0"/>
        <w:jc w:val="left"/>
      </w:pPr>
      <w:r>
        <w:rPr/>
        <w:t>管理流动风险时，本集团保持管理层认为充分的现金及现金等价物并对其进行监控，以满足</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31"/>
        <w:jc w:val="both"/>
      </w:pPr>
      <w:r>
        <w:rPr/>
        <w:t>本集团经营需要，并降低现金流量波动的影响。本集团管理层对银行借款的使用情况进行监</w:t>
      </w:r>
      <w:r>
        <w:rPr>
          <w:spacing w:val="-113"/>
        </w:rPr>
        <w:t> </w:t>
      </w:r>
      <w:r>
        <w:rPr>
          <w:spacing w:val="-113"/>
        </w:rPr>
      </w:r>
      <w:r>
        <w:rPr/>
        <w:t>控并确保遵守借款协议。同时从主要金融机构获得提供足够备用资金的承诺，以满足短期和 长期的资金需求。</w:t>
      </w:r>
    </w:p>
    <w:p>
      <w:pPr>
        <w:spacing w:line="240" w:lineRule="auto" w:before="7"/>
        <w:rPr>
          <w:rFonts w:ascii="宋体" w:hAnsi="宋体" w:cs="宋体" w:eastAsia="宋体" w:hint="default"/>
          <w:sz w:val="16"/>
          <w:szCs w:val="16"/>
        </w:rPr>
      </w:pPr>
    </w:p>
    <w:p>
      <w:pPr>
        <w:pStyle w:val="BodyText"/>
        <w:spacing w:line="312" w:lineRule="exact"/>
        <w:ind w:right="1131"/>
        <w:jc w:val="both"/>
      </w:pPr>
      <w:r>
        <w:rPr/>
        <w:t>本集团通过经营业务产生的资金及银行及其他借款来筹措营运资金。于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w:t>
      </w:r>
      <w:r>
        <w:rPr>
          <w:spacing w:val="-107"/>
        </w:rPr>
        <w:t> </w:t>
      </w:r>
      <w:r>
        <w:rPr>
          <w:spacing w:val="-107"/>
        </w:rPr>
      </w:r>
      <w:r>
        <w:rPr/>
        <w:t>集团尚未使用的银行借款额度为人民币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1700</w:t>
      </w:r>
      <w:r>
        <w:rPr/>
        <w:t>万元）。</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期末本集团持有的金融负债按未折现剩余合同现金流量的到期期限分析如下（单位：人民币 万元）：</w:t>
      </w:r>
    </w:p>
    <w:p>
      <w:pPr>
        <w:spacing w:line="240" w:lineRule="auto" w:before="2"/>
        <w:rPr>
          <w:rFonts w:ascii="宋体" w:hAnsi="宋体" w:cs="宋体" w:eastAsia="宋体" w:hint="default"/>
          <w:sz w:val="17"/>
          <w:szCs w:val="17"/>
        </w:rPr>
      </w:pPr>
    </w:p>
    <w:tbl>
      <w:tblPr>
        <w:tblW w:w="0" w:type="auto"/>
        <w:jc w:val="left"/>
        <w:tblInd w:w="1119" w:type="dxa"/>
        <w:tblLayout w:type="fixed"/>
        <w:tblCellMar>
          <w:top w:w="0" w:type="dxa"/>
          <w:left w:w="0" w:type="dxa"/>
          <w:bottom w:w="0" w:type="dxa"/>
          <w:right w:w="0" w:type="dxa"/>
        </w:tblCellMar>
        <w:tblLook w:val="01E0"/>
      </w:tblPr>
      <w:tblGrid>
        <w:gridCol w:w="3723"/>
        <w:gridCol w:w="2582"/>
        <w:gridCol w:w="1708"/>
        <w:gridCol w:w="1283"/>
      </w:tblGrid>
      <w:tr>
        <w:trPr>
          <w:trHeight w:val="349" w:hRule="exact"/>
        </w:trPr>
        <w:tc>
          <w:tcPr>
            <w:tcW w:w="9296" w:type="dxa"/>
            <w:gridSpan w:val="4"/>
            <w:tcBorders>
              <w:top w:val="single" w:sz="6" w:space="0" w:color="000000"/>
              <w:left w:val="nil" w:sz="6" w:space="0" w:color="auto"/>
              <w:bottom w:val="single" w:sz="8" w:space="0" w:color="000000"/>
              <w:right w:val="nil" w:sz="6" w:space="0" w:color="auto"/>
            </w:tcBorders>
          </w:tcPr>
          <w:p>
            <w:pPr>
              <w:pStyle w:val="TableParagraph"/>
              <w:spacing w:line="286" w:lineRule="exact"/>
              <w:ind w:left="597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20"/>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559"/>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年以内</w:t>
            </w:r>
            <w:r>
              <w:rPr>
                <w:rFonts w:ascii="宋体" w:hAnsi="宋体" w:cs="宋体" w:eastAsia="宋体" w:hint="default"/>
                <w:sz w:val="24"/>
                <w:szCs w:val="24"/>
              </w:rPr>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561"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年</w:t>
            </w:r>
            <w:r>
              <w:rPr>
                <w:rFonts w:ascii="宋体" w:hAnsi="宋体" w:cs="宋体" w:eastAsia="宋体" w:hint="default"/>
                <w:sz w:val="24"/>
                <w:szCs w:val="24"/>
              </w:rPr>
            </w:r>
          </w:p>
        </w:tc>
        <w:tc>
          <w:tcPr>
            <w:tcW w:w="1283" w:type="dxa"/>
            <w:tcBorders>
              <w:top w:val="single" w:sz="8" w:space="0" w:color="000000"/>
              <w:left w:val="nil" w:sz="6" w:space="0" w:color="auto"/>
              <w:bottom w:val="single" w:sz="8" w:space="0" w:color="000000"/>
              <w:right w:val="nil" w:sz="6" w:space="0" w:color="auto"/>
            </w:tcBorders>
          </w:tcPr>
          <w:p>
            <w:pPr>
              <w:pStyle w:val="TableParagraph"/>
              <w:tabs>
                <w:tab w:pos="445" w:val="left" w:leader="none"/>
              </w:tabs>
              <w:spacing w:line="281" w:lineRule="exact"/>
              <w:ind w:right="11"/>
              <w:jc w:val="right"/>
              <w:rPr>
                <w:rFonts w:ascii="宋体" w:hAnsi="宋体" w:cs="宋体" w:eastAsia="宋体" w:hint="default"/>
                <w:sz w:val="24"/>
                <w:szCs w:val="24"/>
              </w:rPr>
            </w:pPr>
            <w:r>
              <w:rPr>
                <w:rFonts w:ascii="宋体" w:hAnsi="宋体" w:cs="宋体" w:eastAsia="宋体" w:hint="default"/>
                <w:b/>
                <w:bCs/>
                <w:w w:val="95"/>
                <w:sz w:val="24"/>
                <w:szCs w:val="24"/>
              </w:rPr>
              <w:t>合</w:t>
              <w:tab/>
              <w:t>计</w:t>
            </w:r>
            <w:r>
              <w:rPr>
                <w:rFonts w:ascii="宋体" w:hAnsi="宋体" w:cs="宋体" w:eastAsia="宋体" w:hint="default"/>
                <w:sz w:val="24"/>
                <w:szCs w:val="24"/>
              </w:rPr>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582" w:type="dxa"/>
            <w:tcBorders>
              <w:top w:val="single" w:sz="8" w:space="0" w:color="000000"/>
              <w:left w:val="nil" w:sz="6" w:space="0" w:color="auto"/>
              <w:bottom w:val="single" w:sz="8" w:space="0" w:color="000000"/>
              <w:right w:val="nil" w:sz="6" w:space="0" w:color="auto"/>
            </w:tcBorders>
          </w:tcPr>
          <w:p>
            <w:pP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20,000.00</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20,000.00</w:t>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560"/>
              <w:jc w:val="right"/>
              <w:rPr>
                <w:rFonts w:ascii="Times New Roman" w:hAnsi="Times New Roman" w:cs="Times New Roman" w:eastAsia="Times New Roman" w:hint="default"/>
                <w:sz w:val="24"/>
                <w:szCs w:val="24"/>
              </w:rPr>
            </w:pPr>
            <w:r>
              <w:rPr>
                <w:rFonts w:ascii="Times New Roman"/>
                <w:sz w:val="24"/>
              </w:rPr>
              <w:t>4,688.70</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8"/>
              <w:jc w:val="right"/>
              <w:rPr>
                <w:rFonts w:ascii="Times New Roman" w:hAnsi="Times New Roman" w:cs="Times New Roman" w:eastAsia="Times New Roman" w:hint="default"/>
                <w:sz w:val="24"/>
                <w:szCs w:val="24"/>
              </w:rPr>
            </w:pPr>
            <w:r>
              <w:rPr>
                <w:rFonts w:ascii="Times New Roman"/>
                <w:sz w:val="24"/>
              </w:rPr>
              <w:t>4,688.70</w:t>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27,477.55</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27,477.55</w:t>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93.64</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93.64</w:t>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47,391.86</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47,391.86</w:t>
            </w:r>
          </w:p>
        </w:tc>
      </w:tr>
      <w:tr>
        <w:trPr>
          <w:trHeight w:val="347"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0"/>
              <w:jc w:val="right"/>
              <w:rPr>
                <w:rFonts w:ascii="Times New Roman" w:hAnsi="Times New Roman" w:cs="Times New Roman" w:eastAsia="Times New Roman" w:hint="default"/>
                <w:sz w:val="24"/>
                <w:szCs w:val="24"/>
              </w:rPr>
            </w:pPr>
            <w:r>
              <w:rPr>
                <w:rFonts w:ascii="Times New Roman"/>
                <w:sz w:val="24"/>
              </w:rPr>
              <w:t>77.08</w:t>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77.08</w:t>
            </w:r>
          </w:p>
        </w:tc>
      </w:tr>
      <w:tr>
        <w:trPr>
          <w:trHeight w:val="348" w:hRule="exact"/>
        </w:trPr>
        <w:tc>
          <w:tcPr>
            <w:tcW w:w="372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2582"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560"/>
              <w:jc w:val="right"/>
              <w:rPr>
                <w:rFonts w:ascii="Times New Roman" w:hAnsi="Times New Roman" w:cs="Times New Roman" w:eastAsia="Times New Roman" w:hint="default"/>
                <w:sz w:val="24"/>
                <w:szCs w:val="24"/>
              </w:rPr>
            </w:pPr>
            <w:r>
              <w:rPr>
                <w:rFonts w:ascii="Times New Roman"/>
                <w:b/>
                <w:sz w:val="24"/>
              </w:rPr>
              <w:t>99,728.83</w:t>
            </w:r>
            <w:r>
              <w:rPr>
                <w:rFonts w:ascii="Times New Roman"/>
                <w:sz w:val="24"/>
              </w:rPr>
            </w:r>
          </w:p>
        </w:tc>
        <w:tc>
          <w:tcPr>
            <w:tcW w:w="1708" w:type="dxa"/>
            <w:tcBorders>
              <w:top w:val="single" w:sz="8" w:space="0" w:color="000000"/>
              <w:left w:val="nil" w:sz="6" w:space="0" w:color="auto"/>
              <w:bottom w:val="single" w:sz="8" w:space="0" w:color="000000"/>
              <w:right w:val="nil" w:sz="6" w:space="0" w:color="auto"/>
            </w:tcBorders>
          </w:tcPr>
          <w:p>
            <w:pP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99,728.83</w:t>
            </w:r>
            <w:r>
              <w:rPr>
                <w:rFonts w:ascii="Times New Roman"/>
                <w:sz w:val="24"/>
              </w:rPr>
            </w:r>
          </w:p>
        </w:tc>
      </w:tr>
    </w:tbl>
    <w:p>
      <w:pPr>
        <w:pStyle w:val="BodyText"/>
        <w:spacing w:line="240" w:lineRule="auto" w:before="81"/>
        <w:ind w:left="1134" w:right="0"/>
        <w:jc w:val="left"/>
      </w:pPr>
      <w:r>
        <w:rPr/>
        <w:t>期初本集团持有的金融负债项目按未折现剩余合同现金流量的到期期限分析如下（单位：人 民币万元）：</w:t>
      </w:r>
    </w:p>
    <w:p>
      <w:pPr>
        <w:spacing w:line="240" w:lineRule="auto" w:before="4"/>
        <w:rPr>
          <w:rFonts w:ascii="宋体" w:hAnsi="宋体" w:cs="宋体" w:eastAsia="宋体" w:hint="default"/>
          <w:sz w:val="19"/>
          <w:szCs w:val="19"/>
        </w:rPr>
      </w:pPr>
    </w:p>
    <w:tbl>
      <w:tblPr>
        <w:tblW w:w="0" w:type="auto"/>
        <w:jc w:val="left"/>
        <w:tblInd w:w="1119" w:type="dxa"/>
        <w:tblLayout w:type="fixed"/>
        <w:tblCellMar>
          <w:top w:w="0" w:type="dxa"/>
          <w:left w:w="0" w:type="dxa"/>
          <w:bottom w:w="0" w:type="dxa"/>
          <w:right w:w="0" w:type="dxa"/>
        </w:tblCellMar>
        <w:tblLook w:val="01E0"/>
      </w:tblPr>
      <w:tblGrid>
        <w:gridCol w:w="3717"/>
        <w:gridCol w:w="2577"/>
        <w:gridCol w:w="1578"/>
        <w:gridCol w:w="1424"/>
      </w:tblGrid>
      <w:tr>
        <w:trPr>
          <w:trHeight w:val="349" w:hRule="exact"/>
        </w:trPr>
        <w:tc>
          <w:tcPr>
            <w:tcW w:w="9296" w:type="dxa"/>
            <w:gridSpan w:val="4"/>
            <w:tcBorders>
              <w:top w:val="single" w:sz="6" w:space="0" w:color="000000"/>
              <w:left w:val="nil" w:sz="6" w:space="0" w:color="auto"/>
              <w:bottom w:val="single" w:sz="8" w:space="0" w:color="000000"/>
              <w:right w:val="nil" w:sz="6" w:space="0" w:color="auto"/>
            </w:tcBorders>
          </w:tcPr>
          <w:p>
            <w:pPr>
              <w:pStyle w:val="TableParagraph"/>
              <w:spacing w:line="286" w:lineRule="exact"/>
              <w:ind w:left="5964"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8"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20"/>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561"/>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年以内</w:t>
            </w:r>
            <w:r>
              <w:rPr>
                <w:rFonts w:ascii="宋体" w:hAnsi="宋体" w:cs="宋体" w:eastAsia="宋体" w:hint="default"/>
                <w:sz w:val="24"/>
                <w:szCs w:val="24"/>
              </w:rPr>
            </w:r>
          </w:p>
        </w:tc>
        <w:tc>
          <w:tcPr>
            <w:tcW w:w="1578"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452"/>
              <w:jc w:val="righ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1-3</w:t>
            </w:r>
            <w:r>
              <w:rPr>
                <w:rFonts w:ascii="宋体" w:hAnsi="宋体" w:cs="宋体" w:eastAsia="宋体" w:hint="default"/>
                <w:b/>
                <w:bCs/>
                <w:w w:val="95"/>
                <w:sz w:val="24"/>
                <w:szCs w:val="24"/>
              </w:rPr>
              <w:t>年</w:t>
            </w:r>
            <w:r>
              <w:rPr>
                <w:rFonts w:ascii="宋体" w:hAnsi="宋体" w:cs="宋体" w:eastAsia="宋体" w:hint="default"/>
                <w:sz w:val="24"/>
                <w:szCs w:val="24"/>
              </w:rPr>
            </w:r>
          </w:p>
        </w:tc>
        <w:tc>
          <w:tcPr>
            <w:tcW w:w="1424" w:type="dxa"/>
            <w:tcBorders>
              <w:top w:val="single" w:sz="8" w:space="0" w:color="000000"/>
              <w:left w:val="nil" w:sz="6" w:space="0" w:color="auto"/>
              <w:bottom w:val="single" w:sz="8" w:space="0" w:color="000000"/>
              <w:right w:val="nil" w:sz="6" w:space="0" w:color="auto"/>
            </w:tcBorders>
          </w:tcPr>
          <w:p>
            <w:pPr>
              <w:pStyle w:val="TableParagraph"/>
              <w:tabs>
                <w:tab w:pos="445" w:val="left" w:leader="none"/>
              </w:tabs>
              <w:spacing w:line="281" w:lineRule="exact"/>
              <w:ind w:right="8"/>
              <w:jc w:val="right"/>
              <w:rPr>
                <w:rFonts w:ascii="宋体" w:hAnsi="宋体" w:cs="宋体" w:eastAsia="宋体" w:hint="default"/>
                <w:sz w:val="24"/>
                <w:szCs w:val="24"/>
              </w:rPr>
            </w:pPr>
            <w:r>
              <w:rPr>
                <w:rFonts w:ascii="宋体" w:hAnsi="宋体" w:cs="宋体" w:eastAsia="宋体" w:hint="default"/>
                <w:b/>
                <w:bCs/>
                <w:w w:val="95"/>
                <w:sz w:val="24"/>
                <w:szCs w:val="24"/>
              </w:rPr>
              <w:t>合</w:t>
              <w:tab/>
              <w:t>计</w:t>
            </w:r>
            <w:r>
              <w:rPr>
                <w:rFonts w:ascii="宋体" w:hAnsi="宋体" w:cs="宋体" w:eastAsia="宋体" w:hint="default"/>
                <w:sz w:val="24"/>
                <w:szCs w:val="24"/>
              </w:rPr>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577" w:type="dxa"/>
            <w:tcBorders>
              <w:top w:val="single" w:sz="8" w:space="0" w:color="000000"/>
              <w:left w:val="nil" w:sz="6" w:space="0" w:color="auto"/>
              <w:bottom w:val="single" w:sz="8" w:space="0" w:color="000000"/>
              <w:right w:val="nil" w:sz="6" w:space="0" w:color="auto"/>
            </w:tcBorders>
          </w:tcPr>
          <w:p>
            <w:pP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300.00</w:t>
            </w: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300.00</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6,172.30</w:t>
            </w: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6,172.30</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3.03</w:t>
            </w: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3.03</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6,730.25</w:t>
            </w: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6,730.25</w:t>
            </w:r>
          </w:p>
        </w:tc>
      </w:tr>
      <w:tr>
        <w:trPr>
          <w:trHeight w:val="348"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62"/>
              <w:jc w:val="right"/>
              <w:rPr>
                <w:rFonts w:ascii="Times New Roman" w:hAnsi="Times New Roman" w:cs="Times New Roman" w:eastAsia="Times New Roman" w:hint="default"/>
                <w:sz w:val="24"/>
                <w:szCs w:val="24"/>
              </w:rPr>
            </w:pPr>
            <w:r>
              <w:rPr>
                <w:rFonts w:ascii="Times New Roman"/>
                <w:sz w:val="24"/>
              </w:rPr>
              <w:t>287.50</w:t>
            </w:r>
          </w:p>
        </w:tc>
        <w:tc>
          <w:tcPr>
            <w:tcW w:w="1578" w:type="dxa"/>
            <w:tcBorders>
              <w:top w:val="single" w:sz="8" w:space="0" w:color="000000"/>
              <w:left w:val="nil" w:sz="6" w:space="0" w:color="auto"/>
              <w:bottom w:val="single" w:sz="8" w:space="0" w:color="000000"/>
              <w:right w:val="nil" w:sz="6" w:space="0" w:color="auto"/>
            </w:tcBorders>
          </w:tcPr>
          <w:p>
            <w:pP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287.50</w:t>
            </w:r>
          </w:p>
        </w:tc>
      </w:tr>
      <w:tr>
        <w:trPr>
          <w:trHeight w:val="347"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577" w:type="dxa"/>
            <w:tcBorders>
              <w:top w:val="single" w:sz="8" w:space="0" w:color="000000"/>
              <w:left w:val="nil" w:sz="6" w:space="0" w:color="auto"/>
              <w:bottom w:val="single" w:sz="8" w:space="0" w:color="000000"/>
              <w:right w:val="nil" w:sz="6" w:space="0" w:color="auto"/>
            </w:tcBorders>
          </w:tcPr>
          <w:p>
            <w:pPr/>
          </w:p>
        </w:tc>
        <w:tc>
          <w:tcPr>
            <w:tcW w:w="1578"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452"/>
              <w:jc w:val="right"/>
              <w:rPr>
                <w:rFonts w:ascii="Times New Roman" w:hAnsi="Times New Roman" w:cs="Times New Roman" w:eastAsia="Times New Roman" w:hint="default"/>
                <w:sz w:val="24"/>
                <w:szCs w:val="24"/>
              </w:rPr>
            </w:pPr>
            <w:r>
              <w:rPr>
                <w:rFonts w:ascii="Times New Roman"/>
                <w:sz w:val="24"/>
              </w:rPr>
              <w:t>47.92</w:t>
            </w: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7"/>
              <w:jc w:val="right"/>
              <w:rPr>
                <w:rFonts w:ascii="Times New Roman" w:hAnsi="Times New Roman" w:cs="Times New Roman" w:eastAsia="Times New Roman" w:hint="default"/>
                <w:sz w:val="24"/>
                <w:szCs w:val="24"/>
              </w:rPr>
            </w:pPr>
            <w:r>
              <w:rPr>
                <w:rFonts w:ascii="Times New Roman"/>
                <w:sz w:val="24"/>
              </w:rPr>
              <w:t>47.92</w:t>
            </w:r>
          </w:p>
        </w:tc>
      </w:tr>
      <w:tr>
        <w:trPr>
          <w:trHeight w:val="348" w:hRule="exact"/>
        </w:trPr>
        <w:tc>
          <w:tcPr>
            <w:tcW w:w="371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2577"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562"/>
              <w:jc w:val="right"/>
              <w:rPr>
                <w:rFonts w:ascii="Times New Roman" w:hAnsi="Times New Roman" w:cs="Times New Roman" w:eastAsia="Times New Roman" w:hint="default"/>
                <w:sz w:val="24"/>
                <w:szCs w:val="24"/>
              </w:rPr>
            </w:pPr>
            <w:r>
              <w:rPr>
                <w:rFonts w:ascii="Times New Roman"/>
                <w:b/>
                <w:sz w:val="24"/>
              </w:rPr>
              <w:t>13,493.08</w:t>
            </w:r>
            <w:r>
              <w:rPr>
                <w:rFonts w:ascii="Times New Roman"/>
                <w:sz w:val="24"/>
              </w:rPr>
            </w:r>
          </w:p>
        </w:tc>
        <w:tc>
          <w:tcPr>
            <w:tcW w:w="1578"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452"/>
              <w:jc w:val="right"/>
              <w:rPr>
                <w:rFonts w:ascii="Times New Roman" w:hAnsi="Times New Roman" w:cs="Times New Roman" w:eastAsia="Times New Roman" w:hint="default"/>
                <w:sz w:val="24"/>
                <w:szCs w:val="24"/>
              </w:rPr>
            </w:pPr>
            <w:r>
              <w:rPr>
                <w:rFonts w:ascii="Times New Roman"/>
                <w:b/>
                <w:sz w:val="24"/>
              </w:rPr>
              <w:t>47.92</w:t>
            </w:r>
            <w:r>
              <w:rPr>
                <w:rFonts w:ascii="Times New Roman"/>
                <w:sz w:val="24"/>
              </w:rPr>
            </w:r>
          </w:p>
        </w:tc>
        <w:tc>
          <w:tcPr>
            <w:tcW w:w="142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7"/>
              <w:jc w:val="right"/>
              <w:rPr>
                <w:rFonts w:ascii="Times New Roman" w:hAnsi="Times New Roman" w:cs="Times New Roman" w:eastAsia="Times New Roman" w:hint="default"/>
                <w:sz w:val="24"/>
                <w:szCs w:val="24"/>
              </w:rPr>
            </w:pPr>
            <w:r>
              <w:rPr>
                <w:rFonts w:ascii="Times New Roman"/>
                <w:b/>
                <w:sz w:val="24"/>
              </w:rPr>
              <w:t>13,541.00</w:t>
            </w:r>
            <w:r>
              <w:rPr>
                <w:rFonts w:ascii="Times New Roman"/>
                <w:sz w:val="24"/>
              </w:rPr>
            </w:r>
          </w:p>
        </w:tc>
      </w:tr>
    </w:tbl>
    <w:p>
      <w:pPr>
        <w:pStyle w:val="BodyText"/>
        <w:spacing w:line="312" w:lineRule="exact" w:before="111"/>
        <w:ind w:left="1134" w:right="0"/>
        <w:jc w:val="left"/>
      </w:pPr>
      <w:r>
        <w:rPr/>
        <w:t>上表中披露的金融负债金额为未经折现的合同现金流量，因而可能与资产负债表中的账面金 额有所不同。</w:t>
      </w:r>
    </w:p>
    <w:p>
      <w:pPr>
        <w:pStyle w:val="BodyText"/>
        <w:spacing w:line="240" w:lineRule="auto" w:before="185"/>
        <w:ind w:left="1134" w:right="0"/>
        <w:jc w:val="left"/>
      </w:pPr>
      <w:r>
        <w:rPr/>
        <w:t>（</w:t>
      </w:r>
      <w:r>
        <w:rPr>
          <w:rFonts w:ascii="Times New Roman" w:hAnsi="Times New Roman" w:cs="Times New Roman" w:eastAsia="Times New Roman" w:hint="default"/>
        </w:rPr>
        <w:t>3</w:t>
      </w:r>
      <w:r>
        <w:rPr/>
        <w:t>）市场风险</w:t>
      </w:r>
    </w:p>
    <w:p>
      <w:pPr>
        <w:pStyle w:val="BodyText"/>
        <w:spacing w:line="240" w:lineRule="auto" w:before="195"/>
        <w:ind w:left="1134" w:right="0"/>
        <w:jc w:val="left"/>
      </w:pPr>
      <w:r>
        <w:rPr/>
        <w:t>金融工具的市场风险，是指金融工具的公允价值或未来现金流量因市场价格变动而发生波动</w:t>
      </w:r>
      <w:r>
        <w:rPr>
          <w:spacing w:val="-116"/>
        </w:rPr>
        <w:t> </w:t>
      </w:r>
      <w:r>
        <w:rPr>
          <w:spacing w:val="-116"/>
        </w:rPr>
      </w:r>
      <w:r>
        <w:rPr/>
        <w:t>的风险，包括利率风险、汇率风险和其他价格风险。</w:t>
      </w:r>
    </w:p>
    <w:p>
      <w:pPr>
        <w:pStyle w:val="BodyText"/>
        <w:spacing w:line="403" w:lineRule="auto" w:before="214"/>
        <w:ind w:right="1118"/>
        <w:jc w:val="left"/>
      </w:pPr>
      <w:r>
        <w:rPr/>
        <w:t>利率风险 利率风险，是指金融工具的公允价值或未来现金流量因市场利率变动而发生波动的风险。利</w:t>
      </w:r>
    </w:p>
    <w:p>
      <w:pPr>
        <w:spacing w:after="0" w:line="403"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率风险可源于已确认的计息金融工具和未确认的金融工具（如某些贷款承诺）。</w:t>
      </w:r>
    </w:p>
    <w:p>
      <w:pPr>
        <w:spacing w:line="240" w:lineRule="auto" w:before="7"/>
        <w:rPr>
          <w:rFonts w:ascii="宋体" w:hAnsi="宋体" w:cs="宋体" w:eastAsia="宋体" w:hint="default"/>
          <w:sz w:val="16"/>
          <w:szCs w:val="16"/>
        </w:rPr>
      </w:pPr>
    </w:p>
    <w:p>
      <w:pPr>
        <w:pStyle w:val="BodyText"/>
        <w:spacing w:line="237" w:lineRule="auto"/>
        <w:ind w:right="1129"/>
        <w:jc w:val="both"/>
      </w:pPr>
      <w:r>
        <w:rPr/>
        <w:t>本集团的利率风险主要产生于长期银行借款及应付债券等长期带息债务。浮动利率的金融负 债使本集团面临现金流量利率风险，固定利率的金融负债使本集团面临公允价值利率风险。 本集团根据当时的市场环境来决定固定利率及浮动利率合同的相对比例，并通过定期审阅与</w:t>
      </w:r>
      <w:r>
        <w:rPr>
          <w:spacing w:val="-108"/>
        </w:rPr>
        <w:t> </w:t>
      </w:r>
      <w:r>
        <w:rPr>
          <w:spacing w:val="-108"/>
        </w:rPr>
      </w:r>
      <w:r>
        <w:rPr/>
        <w:t>监察维持适当的固定和浮动利率工具组合。</w:t>
      </w:r>
    </w:p>
    <w:p>
      <w:pPr>
        <w:spacing w:line="240" w:lineRule="auto" w:before="9"/>
        <w:rPr>
          <w:rFonts w:ascii="宋体" w:hAnsi="宋体" w:cs="宋体" w:eastAsia="宋体" w:hint="default"/>
          <w:sz w:val="18"/>
          <w:szCs w:val="18"/>
        </w:rPr>
      </w:pPr>
    </w:p>
    <w:p>
      <w:pPr>
        <w:pStyle w:val="BodyText"/>
        <w:spacing w:line="312" w:lineRule="exact"/>
        <w:ind w:right="995"/>
        <w:jc w:val="left"/>
      </w:pPr>
      <w:r>
        <w:rPr/>
        <w:t>本集团密切关注利率变动对本集团利率风险的影响。本集团目前并未采取利率对冲政策。但 </w:t>
      </w:r>
      <w:r>
        <w:rPr>
          <w:spacing w:val="-2"/>
        </w:rPr>
        <w:t>管理层负责监控利率风险，并将于需要时考虑对冲重大利率风险。由于定期存款为短期存款，</w:t>
      </w:r>
      <w:r>
        <w:rPr/>
        <w:t> 故银行存款的公允价值利率风险并不重大。</w:t>
      </w:r>
    </w:p>
    <w:p>
      <w:pPr>
        <w:pStyle w:val="BodyText"/>
        <w:spacing w:line="240" w:lineRule="auto" w:before="185"/>
        <w:ind w:right="0"/>
        <w:jc w:val="left"/>
      </w:pPr>
      <w:r>
        <w:rPr/>
        <w:t>本集团持有的计息金融工具如下（单位：人民币万元）：</w:t>
      </w:r>
    </w:p>
    <w:p>
      <w:pPr>
        <w:spacing w:line="240" w:lineRule="auto" w:before="0"/>
        <w:rPr>
          <w:rFonts w:ascii="宋体" w:hAnsi="宋体" w:cs="宋体" w:eastAsia="宋体" w:hint="default"/>
          <w:sz w:val="12"/>
          <w:szCs w:val="12"/>
        </w:rPr>
      </w:pPr>
    </w:p>
    <w:tbl>
      <w:tblPr>
        <w:tblW w:w="0" w:type="auto"/>
        <w:jc w:val="left"/>
        <w:tblInd w:w="1119" w:type="dxa"/>
        <w:tblLayout w:type="fixed"/>
        <w:tblCellMar>
          <w:top w:w="0" w:type="dxa"/>
          <w:left w:w="0" w:type="dxa"/>
          <w:bottom w:w="0" w:type="dxa"/>
          <w:right w:w="0" w:type="dxa"/>
        </w:tblCellMar>
        <w:tblLook w:val="01E0"/>
      </w:tblPr>
      <w:tblGrid>
        <w:gridCol w:w="3422"/>
        <w:gridCol w:w="3720"/>
        <w:gridCol w:w="2010"/>
      </w:tblGrid>
      <w:tr>
        <w:trPr>
          <w:trHeight w:val="349" w:hRule="exact"/>
        </w:trPr>
        <w:tc>
          <w:tcPr>
            <w:tcW w:w="3422" w:type="dxa"/>
            <w:tcBorders>
              <w:top w:val="single" w:sz="8" w:space="0" w:color="000000"/>
              <w:left w:val="nil" w:sz="6" w:space="0" w:color="auto"/>
              <w:bottom w:val="single" w:sz="6" w:space="0" w:color="000000"/>
              <w:right w:val="nil" w:sz="6" w:space="0" w:color="auto"/>
            </w:tcBorders>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20"/>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3720" w:type="dxa"/>
            <w:tcBorders>
              <w:top w:val="single" w:sz="8" w:space="0" w:color="000000"/>
              <w:left w:val="nil" w:sz="6" w:space="0" w:color="auto"/>
              <w:bottom w:val="single" w:sz="6" w:space="0" w:color="000000"/>
              <w:right w:val="nil" w:sz="6" w:space="0" w:color="auto"/>
            </w:tcBorders>
          </w:tcPr>
          <w:p>
            <w:pPr>
              <w:pStyle w:val="TableParagraph"/>
              <w:spacing w:line="286" w:lineRule="exact"/>
              <w:ind w:right="1036"/>
              <w:jc w:val="right"/>
              <w:rPr>
                <w:rFonts w:ascii="宋体" w:hAnsi="宋体" w:cs="宋体" w:eastAsia="宋体" w:hint="default"/>
                <w:sz w:val="24"/>
                <w:szCs w:val="24"/>
              </w:rPr>
            </w:pPr>
            <w:r>
              <w:rPr>
                <w:rFonts w:ascii="宋体" w:hAnsi="宋体" w:cs="宋体" w:eastAsia="宋体" w:hint="default"/>
                <w:b/>
                <w:bCs/>
                <w:sz w:val="24"/>
                <w:szCs w:val="24"/>
              </w:rPr>
              <w:t>本年数</w:t>
            </w:r>
            <w:r>
              <w:rPr>
                <w:rFonts w:ascii="宋体" w:hAnsi="宋体" w:cs="宋体" w:eastAsia="宋体" w:hint="default"/>
                <w:sz w:val="24"/>
                <w:szCs w:val="24"/>
              </w:rPr>
            </w:r>
          </w:p>
        </w:tc>
        <w:tc>
          <w:tcPr>
            <w:tcW w:w="2010" w:type="dxa"/>
            <w:tcBorders>
              <w:top w:val="single" w:sz="8" w:space="0" w:color="000000"/>
              <w:left w:val="nil" w:sz="6" w:space="0" w:color="auto"/>
              <w:bottom w:val="single" w:sz="6"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hAnsi="宋体" w:cs="宋体" w:eastAsia="宋体" w:hint="default"/>
                <w:b/>
                <w:bCs/>
                <w:sz w:val="24"/>
                <w:szCs w:val="24"/>
              </w:rPr>
              <w:t>上年数</w:t>
            </w:r>
            <w:r>
              <w:rPr>
                <w:rFonts w:ascii="宋体" w:hAnsi="宋体" w:cs="宋体" w:eastAsia="宋体" w:hint="default"/>
                <w:sz w:val="24"/>
                <w:szCs w:val="24"/>
              </w:rPr>
            </w:r>
          </w:p>
        </w:tc>
      </w:tr>
      <w:tr>
        <w:trPr>
          <w:trHeight w:val="349" w:hRule="exact"/>
        </w:trPr>
        <w:tc>
          <w:tcPr>
            <w:tcW w:w="3422"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24" w:right="0"/>
              <w:jc w:val="left"/>
              <w:rPr>
                <w:rFonts w:ascii="宋体" w:hAnsi="宋体" w:cs="宋体" w:eastAsia="宋体" w:hint="default"/>
                <w:sz w:val="24"/>
                <w:szCs w:val="24"/>
              </w:rPr>
            </w:pPr>
            <w:r>
              <w:rPr>
                <w:rFonts w:ascii="宋体" w:hAnsi="宋体" w:cs="宋体" w:eastAsia="宋体" w:hint="default"/>
                <w:sz w:val="24"/>
                <w:szCs w:val="24"/>
              </w:rPr>
              <w:t>固定利率金融工具</w:t>
            </w:r>
          </w:p>
        </w:tc>
        <w:tc>
          <w:tcPr>
            <w:tcW w:w="3720" w:type="dxa"/>
            <w:tcBorders>
              <w:top w:val="single" w:sz="6" w:space="0" w:color="000000"/>
              <w:left w:val="nil" w:sz="6" w:space="0" w:color="auto"/>
              <w:bottom w:val="single" w:sz="8" w:space="0" w:color="000000"/>
              <w:right w:val="nil" w:sz="6" w:space="0" w:color="auto"/>
            </w:tcBorders>
          </w:tcPr>
          <w:p>
            <w:pPr/>
          </w:p>
        </w:tc>
        <w:tc>
          <w:tcPr>
            <w:tcW w:w="2010"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98"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其中：其他流动资产</w:t>
            </w:r>
            <w:r>
              <w:rPr>
                <w:rFonts w:ascii="Times New Roman" w:hAnsi="Times New Roman" w:cs="Times New Roman" w:eastAsia="Times New Roman" w:hint="default"/>
                <w:sz w:val="24"/>
                <w:szCs w:val="24"/>
              </w:rPr>
              <w:t>-</w:t>
            </w:r>
            <w:r>
              <w:rPr>
                <w:rFonts w:ascii="宋体" w:hAnsi="宋体" w:cs="宋体" w:eastAsia="宋体" w:hint="default"/>
                <w:sz w:val="24"/>
                <w:szCs w:val="24"/>
              </w:rPr>
              <w:t>理财产品</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37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39"/>
              <w:jc w:val="right"/>
              <w:rPr>
                <w:rFonts w:ascii="Times New Roman" w:hAnsi="Times New Roman" w:cs="Times New Roman" w:eastAsia="Times New Roman" w:hint="default"/>
                <w:sz w:val="24"/>
                <w:szCs w:val="24"/>
              </w:rPr>
            </w:pPr>
            <w:r>
              <w:rPr>
                <w:rFonts w:ascii="Times New Roman"/>
                <w:sz w:val="24"/>
              </w:rPr>
              <w:t>20,000.00</w:t>
            </w:r>
          </w:p>
        </w:tc>
        <w:tc>
          <w:tcPr>
            <w:tcW w:w="201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300</w:t>
            </w: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20"/>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72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1039"/>
              <w:jc w:val="right"/>
              <w:rPr>
                <w:rFonts w:ascii="Times New Roman" w:hAnsi="Times New Roman" w:cs="Times New Roman" w:eastAsia="Times New Roman" w:hint="default"/>
                <w:sz w:val="24"/>
                <w:szCs w:val="24"/>
              </w:rPr>
            </w:pPr>
            <w:r>
              <w:rPr>
                <w:rFonts w:ascii="Times New Roman"/>
                <w:b/>
                <w:sz w:val="24"/>
              </w:rPr>
              <w:t>20,000.00</w:t>
            </w:r>
            <w:r>
              <w:rPr>
                <w:rFonts w:ascii="Times New Roman"/>
                <w:sz w:val="24"/>
              </w:rPr>
            </w:r>
          </w:p>
        </w:tc>
        <w:tc>
          <w:tcPr>
            <w:tcW w:w="201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300</w:t>
            </w:r>
            <w:r>
              <w:rPr>
                <w:rFonts w:ascii="Times New Roman"/>
                <w:sz w:val="24"/>
              </w:rPr>
            </w: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浮动利率金融工具</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其中：货币资金</w:t>
            </w:r>
          </w:p>
        </w:tc>
        <w:tc>
          <w:tcPr>
            <w:tcW w:w="372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1039"/>
              <w:jc w:val="right"/>
              <w:rPr>
                <w:rFonts w:ascii="Times New Roman" w:hAnsi="Times New Roman" w:cs="Times New Roman" w:eastAsia="Times New Roman" w:hint="default"/>
                <w:sz w:val="24"/>
                <w:szCs w:val="24"/>
              </w:rPr>
            </w:pPr>
            <w:r>
              <w:rPr>
                <w:rFonts w:ascii="Times New Roman"/>
                <w:sz w:val="24"/>
              </w:rPr>
              <w:t>52,108.57</w:t>
            </w:r>
          </w:p>
        </w:tc>
        <w:tc>
          <w:tcPr>
            <w:tcW w:w="2010"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8"/>
              <w:jc w:val="right"/>
              <w:rPr>
                <w:rFonts w:ascii="Times New Roman" w:hAnsi="Times New Roman" w:cs="Times New Roman" w:eastAsia="Times New Roman" w:hint="default"/>
                <w:sz w:val="24"/>
                <w:szCs w:val="24"/>
              </w:rPr>
            </w:pPr>
            <w:r>
              <w:rPr>
                <w:rFonts w:ascii="Times New Roman"/>
                <w:sz w:val="24"/>
              </w:rPr>
              <w:t>43,817.62</w:t>
            </w: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sz w:val="24"/>
                <w:szCs w:val="24"/>
              </w:rPr>
              <w:t>其中：长期借款</w:t>
            </w:r>
          </w:p>
        </w:tc>
        <w:tc>
          <w:tcPr>
            <w:tcW w:w="3720" w:type="dxa"/>
            <w:tcBorders>
              <w:top w:val="single" w:sz="8" w:space="0" w:color="000000"/>
              <w:left w:val="nil" w:sz="6" w:space="0" w:color="auto"/>
              <w:bottom w:val="single" w:sz="8" w:space="0" w:color="000000"/>
              <w:right w:val="nil" w:sz="6" w:space="0" w:color="auto"/>
            </w:tcBorders>
          </w:tcPr>
          <w:p>
            <w:pPr/>
          </w:p>
        </w:tc>
        <w:tc>
          <w:tcPr>
            <w:tcW w:w="201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335.42</w:t>
            </w:r>
          </w:p>
        </w:tc>
      </w:tr>
      <w:tr>
        <w:trPr>
          <w:trHeight w:val="348" w:hRule="exact"/>
        </w:trPr>
        <w:tc>
          <w:tcPr>
            <w:tcW w:w="342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20"/>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72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1039"/>
              <w:jc w:val="right"/>
              <w:rPr>
                <w:rFonts w:ascii="Times New Roman" w:hAnsi="Times New Roman" w:cs="Times New Roman" w:eastAsia="Times New Roman" w:hint="default"/>
                <w:sz w:val="24"/>
                <w:szCs w:val="24"/>
              </w:rPr>
            </w:pPr>
            <w:r>
              <w:rPr>
                <w:rFonts w:ascii="Times New Roman"/>
                <w:b/>
                <w:sz w:val="24"/>
              </w:rPr>
              <w:t>52,108.57</w:t>
            </w:r>
            <w:r>
              <w:rPr>
                <w:rFonts w:ascii="Times New Roman"/>
                <w:sz w:val="24"/>
              </w:rPr>
            </w:r>
          </w:p>
        </w:tc>
        <w:tc>
          <w:tcPr>
            <w:tcW w:w="2010"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44,153.04</w:t>
            </w:r>
            <w:r>
              <w:rPr>
                <w:rFonts w:ascii="Times New Roman"/>
                <w:sz w:val="24"/>
              </w:rPr>
            </w:r>
          </w:p>
        </w:tc>
      </w:tr>
    </w:tbl>
    <w:p>
      <w:pPr>
        <w:pStyle w:val="BodyText"/>
        <w:spacing w:line="312" w:lineRule="exact" w:before="111"/>
        <w:ind w:right="1132"/>
        <w:jc w:val="both"/>
      </w:pPr>
      <w:r>
        <w:rPr/>
        <w:t>于 </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t>日，如果以浮动利率计算的借款利率上升或下降</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个基点，而其它因素 保持不变，本集团的净利润及股东权益将减少或增加约</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w:t>
      </w:r>
      <w:r>
        <w:rPr>
          <w:rFonts w:ascii="Times New Roman" w:hAnsi="Times New Roman" w:cs="Times New Roman" w:eastAsia="Times New Roman" w:hint="default"/>
        </w:rPr>
        <w:t>3.17</w:t>
      </w:r>
      <w:r>
        <w:rPr/>
        <w:t>万 元）。</w:t>
      </w:r>
    </w:p>
    <w:p>
      <w:pPr>
        <w:pStyle w:val="BodyText"/>
        <w:spacing w:line="312" w:lineRule="exact" w:before="216"/>
        <w:ind w:right="1139"/>
        <w:jc w:val="both"/>
      </w:pPr>
      <w:r>
        <w:rPr/>
        <w:t>对于资产负债表日持有的、使本集团面临公允价值利率风险的金融工具，上述敏感性分析中 的净利润及股东权益的影响是假设在资产负债表日利率发生变动，按照新利率对上述金融工 具进行重新计量后的影响。对于资产负债表日持有的、使本集团面临现金流量利率风险的浮 动利率非衍生工具，上述敏感性分析中的净利润及股东权益的影响是上述利率变动对按年度 估算的利息费用或收入的影响。上一年度的分析基于同样的假设和方法。</w:t>
      </w:r>
    </w:p>
    <w:p>
      <w:pPr>
        <w:pStyle w:val="BodyText"/>
        <w:spacing w:line="240" w:lineRule="auto" w:before="185"/>
        <w:ind w:right="0"/>
        <w:jc w:val="both"/>
      </w:pPr>
      <w:r>
        <w:rPr/>
        <w:t>汇率风险</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汇率风险主要为本集团的财务状况和现金流量受外汇汇率波动的影响。除了在澳大利亚设立 的子公司持有以澳元为结算货币的资产外，本集团持有的外币资产及负债占整体的资产及负 债比例并不重大。因此本集团认为面临的汇率风险并不重大。</w:t>
      </w:r>
    </w:p>
    <w:p>
      <w:pPr>
        <w:spacing w:line="240" w:lineRule="auto" w:before="7"/>
        <w:rPr>
          <w:rFonts w:ascii="宋体" w:hAnsi="宋体" w:cs="宋体" w:eastAsia="宋体" w:hint="default"/>
          <w:sz w:val="16"/>
          <w:szCs w:val="16"/>
        </w:rPr>
      </w:pPr>
    </w:p>
    <w:p>
      <w:pPr>
        <w:pStyle w:val="BodyText"/>
        <w:spacing w:line="312" w:lineRule="exact"/>
        <w:ind w:left="1134" w:right="1132"/>
        <w:jc w:val="both"/>
      </w:pPr>
      <w:r>
        <w:rPr/>
        <w:t>于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日，本集团持有的外币金融资产和外币金融负债折算成人民币的金额列示 如下（单位：人民币元）：</w:t>
      </w:r>
    </w:p>
    <w:p>
      <w:pPr>
        <w:spacing w:after="0" w:line="312" w:lineRule="exact"/>
        <w:jc w:val="both"/>
        <w:sectPr>
          <w:pgSz w:w="11910" w:h="16840"/>
          <w:pgMar w:header="747" w:footer="979" w:top="1060" w:bottom="1160" w:left="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45936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1858"/>
        <w:gridCol w:w="2436"/>
        <w:gridCol w:w="1491"/>
        <w:gridCol w:w="1828"/>
        <w:gridCol w:w="1554"/>
      </w:tblGrid>
      <w:tr>
        <w:trPr>
          <w:trHeight w:val="335" w:hRule="exact"/>
        </w:trPr>
        <w:tc>
          <w:tcPr>
            <w:tcW w:w="1858" w:type="dxa"/>
            <w:tcBorders>
              <w:top w:val="nil" w:sz="6" w:space="0" w:color="auto"/>
              <w:left w:val="nil" w:sz="6" w:space="0" w:color="auto"/>
              <w:bottom w:val="single" w:sz="6" w:space="0" w:color="000000"/>
              <w:right w:val="nil" w:sz="6" w:space="0" w:color="auto"/>
            </w:tcBorders>
          </w:tcPr>
          <w:p>
            <w:pPr/>
          </w:p>
        </w:tc>
        <w:tc>
          <w:tcPr>
            <w:tcW w:w="2436" w:type="dxa"/>
            <w:tcBorders>
              <w:top w:val="nil" w:sz="6" w:space="0" w:color="auto"/>
              <w:left w:val="nil" w:sz="6" w:space="0" w:color="auto"/>
              <w:bottom w:val="single" w:sz="6" w:space="0" w:color="000000"/>
              <w:right w:val="nil" w:sz="6" w:space="0" w:color="auto"/>
            </w:tcBorders>
          </w:tcPr>
          <w:p>
            <w:pPr/>
          </w:p>
        </w:tc>
        <w:tc>
          <w:tcPr>
            <w:tcW w:w="1491" w:type="dxa"/>
            <w:tcBorders>
              <w:top w:val="nil" w:sz="6" w:space="0" w:color="auto"/>
              <w:left w:val="nil" w:sz="6" w:space="0" w:color="auto"/>
              <w:bottom w:val="single" w:sz="6" w:space="0" w:color="000000"/>
              <w:right w:val="nil" w:sz="6" w:space="0" w:color="auto"/>
            </w:tcBorders>
          </w:tcPr>
          <w:p>
            <w:pPr/>
          </w:p>
        </w:tc>
        <w:tc>
          <w:tcPr>
            <w:tcW w:w="3381" w:type="dxa"/>
            <w:gridSpan w:val="2"/>
            <w:tcBorders>
              <w:top w:val="nil" w:sz="6" w:space="0" w:color="auto"/>
              <w:left w:val="nil" w:sz="6" w:space="0" w:color="auto"/>
              <w:bottom w:val="single" w:sz="6" w:space="0" w:color="000000"/>
              <w:right w:val="nil" w:sz="6" w:space="0" w:color="auto"/>
            </w:tcBorders>
          </w:tcPr>
          <w:p>
            <w:pPr/>
          </w:p>
        </w:tc>
      </w:tr>
      <w:tr>
        <w:trPr>
          <w:trHeight w:val="349" w:hRule="exact"/>
        </w:trPr>
        <w:tc>
          <w:tcPr>
            <w:tcW w:w="1858" w:type="dxa"/>
            <w:tcBorders>
              <w:top w:val="single" w:sz="6" w:space="0" w:color="000000"/>
              <w:left w:val="nil" w:sz="6" w:space="0" w:color="auto"/>
              <w:bottom w:val="nil" w:sz="6" w:space="0" w:color="auto"/>
              <w:right w:val="nil" w:sz="6" w:space="0" w:color="auto"/>
            </w:tcBorders>
          </w:tcPr>
          <w:p>
            <w:pPr>
              <w:pStyle w:val="TableParagraph"/>
              <w:tabs>
                <w:tab w:pos="484" w:val="left" w:leader="none"/>
              </w:tabs>
              <w:spacing w:line="286" w:lineRule="exact"/>
              <w:ind w:left="39"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436"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1344" w:right="0"/>
              <w:jc w:val="left"/>
              <w:rPr>
                <w:rFonts w:ascii="宋体" w:hAnsi="宋体" w:cs="宋体" w:eastAsia="宋体" w:hint="default"/>
                <w:sz w:val="24"/>
                <w:szCs w:val="24"/>
              </w:rPr>
            </w:pPr>
            <w:r>
              <w:rPr>
                <w:rFonts w:ascii="宋体" w:hAnsi="宋体" w:cs="宋体" w:eastAsia="宋体" w:hint="default"/>
                <w:b/>
                <w:bCs/>
                <w:sz w:val="24"/>
                <w:szCs w:val="24"/>
              </w:rPr>
              <w:t>外币负债</w:t>
            </w:r>
            <w:r>
              <w:rPr>
                <w:rFonts w:ascii="宋体" w:hAnsi="宋体" w:cs="宋体" w:eastAsia="宋体" w:hint="default"/>
                <w:sz w:val="24"/>
                <w:szCs w:val="24"/>
              </w:rPr>
            </w:r>
          </w:p>
        </w:tc>
        <w:tc>
          <w:tcPr>
            <w:tcW w:w="1491" w:type="dxa"/>
            <w:tcBorders>
              <w:top w:val="single" w:sz="6" w:space="0" w:color="000000"/>
              <w:left w:val="nil" w:sz="6" w:space="0" w:color="auto"/>
              <w:bottom w:val="single" w:sz="8" w:space="0" w:color="000000"/>
              <w:right w:val="nil" w:sz="6" w:space="0" w:color="auto"/>
            </w:tcBorders>
          </w:tcPr>
          <w:p>
            <w:pPr/>
          </w:p>
        </w:tc>
        <w:tc>
          <w:tcPr>
            <w:tcW w:w="3381" w:type="dxa"/>
            <w:gridSpan w:val="2"/>
            <w:tcBorders>
              <w:top w:val="single" w:sz="6" w:space="0" w:color="000000"/>
              <w:left w:val="nil" w:sz="6" w:space="0" w:color="auto"/>
              <w:bottom w:val="single" w:sz="8" w:space="0" w:color="000000"/>
              <w:right w:val="nil" w:sz="6" w:space="0" w:color="auto"/>
            </w:tcBorders>
          </w:tcPr>
          <w:p>
            <w:pPr>
              <w:pStyle w:val="TableParagraph"/>
              <w:spacing w:line="286" w:lineRule="exact"/>
              <w:ind w:left="1070" w:right="0"/>
              <w:jc w:val="left"/>
              <w:rPr>
                <w:rFonts w:ascii="宋体" w:hAnsi="宋体" w:cs="宋体" w:eastAsia="宋体" w:hint="default"/>
                <w:sz w:val="24"/>
                <w:szCs w:val="24"/>
              </w:rPr>
            </w:pPr>
            <w:r>
              <w:rPr>
                <w:rFonts w:ascii="宋体" w:hAnsi="宋体" w:cs="宋体" w:eastAsia="宋体" w:hint="default"/>
                <w:b/>
                <w:bCs/>
                <w:sz w:val="24"/>
                <w:szCs w:val="24"/>
              </w:rPr>
              <w:t>外币资产</w:t>
            </w:r>
            <w:r>
              <w:rPr>
                <w:rFonts w:ascii="宋体" w:hAnsi="宋体" w:cs="宋体" w:eastAsia="宋体" w:hint="default"/>
                <w:sz w:val="24"/>
                <w:szCs w:val="24"/>
              </w:rPr>
            </w:r>
          </w:p>
        </w:tc>
      </w:tr>
      <w:tr>
        <w:trPr>
          <w:trHeight w:val="347" w:hRule="exact"/>
        </w:trPr>
        <w:tc>
          <w:tcPr>
            <w:tcW w:w="1858" w:type="dxa"/>
            <w:tcBorders>
              <w:top w:val="nil" w:sz="6" w:space="0" w:color="auto"/>
              <w:left w:val="nil" w:sz="6" w:space="0" w:color="auto"/>
              <w:bottom w:val="single" w:sz="8" w:space="0" w:color="000000"/>
              <w:right w:val="nil" w:sz="6" w:space="0" w:color="auto"/>
            </w:tcBorders>
          </w:tcPr>
          <w:p>
            <w:pP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09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80"/>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80"/>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8" w:hRule="exact"/>
        </w:trPr>
        <w:tc>
          <w:tcPr>
            <w:tcW w:w="185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436" w:type="dxa"/>
            <w:tcBorders>
              <w:top w:val="single" w:sz="8" w:space="0" w:color="000000"/>
              <w:left w:val="nil" w:sz="6" w:space="0" w:color="auto"/>
              <w:bottom w:val="single" w:sz="8" w:space="0" w:color="000000"/>
              <w:right w:val="nil" w:sz="6" w:space="0" w:color="auto"/>
            </w:tcBorders>
          </w:tcPr>
          <w:p>
            <w:pP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1"/>
              <w:jc w:val="right"/>
              <w:rPr>
                <w:rFonts w:ascii="Times New Roman" w:hAnsi="Times New Roman" w:cs="Times New Roman" w:eastAsia="Times New Roman" w:hint="default"/>
                <w:sz w:val="24"/>
                <w:szCs w:val="24"/>
              </w:rPr>
            </w:pPr>
            <w:r>
              <w:rPr>
                <w:rFonts w:ascii="Times New Roman"/>
                <w:sz w:val="24"/>
              </w:rPr>
              <w:t>195,382.75</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3"/>
              <w:jc w:val="right"/>
              <w:rPr>
                <w:rFonts w:ascii="Times New Roman" w:hAnsi="Times New Roman" w:cs="Times New Roman" w:eastAsia="Times New Roman" w:hint="default"/>
                <w:sz w:val="24"/>
                <w:szCs w:val="24"/>
              </w:rPr>
            </w:pPr>
            <w:r>
              <w:rPr>
                <w:rFonts w:ascii="Times New Roman"/>
                <w:sz w:val="24"/>
              </w:rPr>
              <w:t>6,489,964.32</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633,054.81</w:t>
            </w:r>
          </w:p>
        </w:tc>
      </w:tr>
      <w:tr>
        <w:trPr>
          <w:trHeight w:val="347" w:hRule="exact"/>
        </w:trPr>
        <w:tc>
          <w:tcPr>
            <w:tcW w:w="1858"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39" w:right="0"/>
              <w:jc w:val="left"/>
              <w:rPr>
                <w:rFonts w:ascii="宋体" w:hAnsi="宋体" w:cs="宋体" w:eastAsia="宋体" w:hint="default"/>
                <w:sz w:val="24"/>
                <w:szCs w:val="24"/>
              </w:rPr>
            </w:pPr>
            <w:r>
              <w:rPr>
                <w:rFonts w:ascii="宋体" w:hAnsi="宋体" w:cs="宋体" w:eastAsia="宋体" w:hint="default"/>
                <w:sz w:val="24"/>
                <w:szCs w:val="24"/>
              </w:rPr>
              <w:t>英镑</w:t>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855" w:right="0"/>
              <w:jc w:val="left"/>
              <w:rPr>
                <w:rFonts w:ascii="Times New Roman" w:hAnsi="Times New Roman" w:cs="Times New Roman" w:eastAsia="Times New Roman" w:hint="default"/>
                <w:sz w:val="24"/>
                <w:szCs w:val="24"/>
              </w:rPr>
            </w:pPr>
            <w:r>
              <w:rPr>
                <w:rFonts w:ascii="Times New Roman"/>
                <w:sz w:val="24"/>
              </w:rPr>
              <w:t>56,574.92</w:t>
            </w: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281"/>
              <w:jc w:val="right"/>
              <w:rPr>
                <w:rFonts w:ascii="Times New Roman" w:hAnsi="Times New Roman" w:cs="Times New Roman" w:eastAsia="Times New Roman" w:hint="default"/>
                <w:sz w:val="24"/>
                <w:szCs w:val="24"/>
              </w:rPr>
            </w:pPr>
            <w:r>
              <w:rPr>
                <w:rFonts w:ascii="Times New Roman"/>
                <w:sz w:val="24"/>
              </w:rPr>
              <w:t>54,836.28</w:t>
            </w:r>
          </w:p>
        </w:tc>
        <w:tc>
          <w:tcPr>
            <w:tcW w:w="1828" w:type="dxa"/>
            <w:tcBorders>
              <w:top w:val="single" w:sz="8" w:space="0" w:color="000000"/>
              <w:left w:val="nil" w:sz="6" w:space="0" w:color="auto"/>
              <w:bottom w:val="single" w:sz="8" w:space="0" w:color="000000"/>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
        </w:tc>
      </w:tr>
      <w:tr>
        <w:trPr>
          <w:trHeight w:val="347" w:hRule="exact"/>
        </w:trPr>
        <w:tc>
          <w:tcPr>
            <w:tcW w:w="185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 w:right="0"/>
              <w:jc w:val="left"/>
              <w:rPr>
                <w:rFonts w:ascii="宋体" w:hAnsi="宋体" w:cs="宋体" w:eastAsia="宋体" w:hint="default"/>
                <w:sz w:val="24"/>
                <w:szCs w:val="24"/>
              </w:rPr>
            </w:pPr>
            <w:r>
              <w:rPr>
                <w:rFonts w:ascii="宋体" w:hAnsi="宋体" w:cs="宋体" w:eastAsia="宋体" w:hint="default"/>
                <w:sz w:val="24"/>
                <w:szCs w:val="24"/>
              </w:rPr>
              <w:t>澳元</w:t>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736" w:right="0"/>
              <w:jc w:val="left"/>
              <w:rPr>
                <w:rFonts w:ascii="Times New Roman" w:hAnsi="Times New Roman" w:cs="Times New Roman" w:eastAsia="Times New Roman" w:hint="default"/>
                <w:sz w:val="24"/>
                <w:szCs w:val="24"/>
              </w:rPr>
            </w:pPr>
            <w:r>
              <w:rPr>
                <w:rFonts w:ascii="Times New Roman"/>
                <w:sz w:val="24"/>
              </w:rPr>
              <w:t>332,095.02</w:t>
            </w: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1"/>
              <w:jc w:val="right"/>
              <w:rPr>
                <w:rFonts w:ascii="Times New Roman" w:hAnsi="Times New Roman" w:cs="Times New Roman" w:eastAsia="Times New Roman" w:hint="default"/>
                <w:sz w:val="24"/>
                <w:szCs w:val="24"/>
              </w:rPr>
            </w:pPr>
            <w:r>
              <w:rPr>
                <w:rFonts w:ascii="Times New Roman"/>
                <w:sz w:val="24"/>
              </w:rPr>
              <w:t>679,938.78</w:t>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83"/>
              <w:jc w:val="right"/>
              <w:rPr>
                <w:rFonts w:ascii="Times New Roman" w:hAnsi="Times New Roman" w:cs="Times New Roman" w:eastAsia="Times New Roman" w:hint="default"/>
                <w:sz w:val="24"/>
                <w:szCs w:val="24"/>
              </w:rPr>
            </w:pPr>
            <w:r>
              <w:rPr>
                <w:rFonts w:ascii="Times New Roman"/>
                <w:sz w:val="24"/>
              </w:rPr>
              <w:t>1,828,013.00</w:t>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
              <w:jc w:val="right"/>
              <w:rPr>
                <w:rFonts w:ascii="Times New Roman" w:hAnsi="Times New Roman" w:cs="Times New Roman" w:eastAsia="Times New Roman" w:hint="default"/>
                <w:sz w:val="24"/>
                <w:szCs w:val="24"/>
              </w:rPr>
            </w:pPr>
            <w:r>
              <w:rPr>
                <w:rFonts w:ascii="Times New Roman"/>
                <w:sz w:val="24"/>
              </w:rPr>
              <w:t>1,191,961.03</w:t>
            </w:r>
          </w:p>
        </w:tc>
      </w:tr>
      <w:tr>
        <w:trPr>
          <w:trHeight w:val="348" w:hRule="exact"/>
        </w:trPr>
        <w:tc>
          <w:tcPr>
            <w:tcW w:w="1858" w:type="dxa"/>
            <w:tcBorders>
              <w:top w:val="single" w:sz="8" w:space="0" w:color="000000"/>
              <w:left w:val="nil" w:sz="6" w:space="0" w:color="auto"/>
              <w:bottom w:val="single" w:sz="8" w:space="0" w:color="000000"/>
              <w:right w:val="nil" w:sz="6" w:space="0" w:color="auto"/>
            </w:tcBorders>
          </w:tcPr>
          <w:p>
            <w:pPr>
              <w:pStyle w:val="TableParagraph"/>
              <w:tabs>
                <w:tab w:pos="484" w:val="left" w:leader="none"/>
              </w:tabs>
              <w:spacing w:line="281" w:lineRule="exact"/>
              <w:ind w:left="39"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436"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left="735" w:right="0"/>
              <w:jc w:val="left"/>
              <w:rPr>
                <w:rFonts w:ascii="Times New Roman" w:hAnsi="Times New Roman" w:cs="Times New Roman" w:eastAsia="Times New Roman" w:hint="default"/>
                <w:sz w:val="24"/>
                <w:szCs w:val="24"/>
              </w:rPr>
            </w:pPr>
            <w:r>
              <w:rPr>
                <w:rFonts w:ascii="Times New Roman"/>
                <w:b/>
                <w:sz w:val="24"/>
              </w:rPr>
              <w:t>388,669.94</w:t>
            </w:r>
            <w:r>
              <w:rPr>
                <w:rFonts w:ascii="Times New Roman"/>
                <w:sz w:val="24"/>
              </w:rPr>
            </w: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281"/>
              <w:jc w:val="right"/>
              <w:rPr>
                <w:rFonts w:ascii="Times New Roman" w:hAnsi="Times New Roman" w:cs="Times New Roman" w:eastAsia="Times New Roman" w:hint="default"/>
                <w:sz w:val="24"/>
                <w:szCs w:val="24"/>
              </w:rPr>
            </w:pPr>
            <w:r>
              <w:rPr>
                <w:rFonts w:ascii="Times New Roman"/>
                <w:b/>
                <w:sz w:val="24"/>
              </w:rPr>
              <w:t>930,157.81</w:t>
            </w:r>
            <w:r>
              <w:rPr>
                <w:rFonts w:ascii="Times New Roman"/>
                <w:sz w:val="24"/>
              </w:rPr>
            </w:r>
          </w:p>
        </w:tc>
        <w:tc>
          <w:tcPr>
            <w:tcW w:w="1828"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282"/>
              <w:jc w:val="right"/>
              <w:rPr>
                <w:rFonts w:ascii="Times New Roman" w:hAnsi="Times New Roman" w:cs="Times New Roman" w:eastAsia="Times New Roman" w:hint="default"/>
                <w:sz w:val="24"/>
                <w:szCs w:val="24"/>
              </w:rPr>
            </w:pPr>
            <w:r>
              <w:rPr>
                <w:rFonts w:ascii="Times New Roman"/>
                <w:b/>
                <w:sz w:val="24"/>
              </w:rPr>
              <w:t>8,317,977.32</w:t>
            </w:r>
            <w:r>
              <w:rPr>
                <w:rFonts w:ascii="Times New Roman"/>
                <w:sz w:val="24"/>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26"/>
              <w:ind w:right="8"/>
              <w:jc w:val="right"/>
              <w:rPr>
                <w:rFonts w:ascii="Times New Roman" w:hAnsi="Times New Roman" w:cs="Times New Roman" w:eastAsia="Times New Roman" w:hint="default"/>
                <w:sz w:val="24"/>
                <w:szCs w:val="24"/>
              </w:rPr>
            </w:pPr>
            <w:r>
              <w:rPr>
                <w:rFonts w:ascii="Times New Roman"/>
                <w:b/>
                <w:sz w:val="24"/>
              </w:rPr>
              <w:t>1,825,015.84</w:t>
            </w:r>
            <w:r>
              <w:rPr>
                <w:rFonts w:ascii="Times New Roman"/>
                <w:sz w:val="24"/>
              </w:rPr>
            </w:r>
          </w:p>
        </w:tc>
      </w:tr>
    </w:tbl>
    <w:p>
      <w:pPr>
        <w:pStyle w:val="BodyText"/>
        <w:spacing w:line="312" w:lineRule="exact" w:before="111"/>
        <w:ind w:right="0"/>
        <w:jc w:val="left"/>
      </w:pPr>
      <w:r>
        <w:rPr/>
        <w:t>本集团密切关注汇率变动对本集团汇率风险的影响。本集团目前并未采取任何措施规避汇率 风险。但管理层负责监控汇率风险，并将于需要时考虑对冲重大汇率风险。</w:t>
      </w:r>
    </w:p>
    <w:p>
      <w:pPr>
        <w:spacing w:line="240" w:lineRule="auto" w:before="7"/>
        <w:rPr>
          <w:rFonts w:ascii="宋体" w:hAnsi="宋体" w:cs="宋体" w:eastAsia="宋体" w:hint="default"/>
          <w:sz w:val="16"/>
          <w:szCs w:val="16"/>
        </w:rPr>
      </w:pPr>
    </w:p>
    <w:p>
      <w:pPr>
        <w:pStyle w:val="BodyText"/>
        <w:spacing w:line="312" w:lineRule="exact"/>
        <w:ind w:right="1003"/>
        <w:jc w:val="left"/>
      </w:pP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日，对于本集团以外币计价的货币资金、应收账款、其他应收款、应付账款、</w:t>
      </w:r>
      <w:r>
        <w:rPr>
          <w:spacing w:val="-114"/>
        </w:rPr>
        <w:t> </w:t>
      </w:r>
      <w:r>
        <w:rPr>
          <w:spacing w:val="-114"/>
        </w:rPr>
      </w:r>
      <w:r>
        <w:rPr/>
        <w:t>其他应付款等外币资产、负债，假设人民币对外币（主要为对美元、英镑和澳元）升值或贬 </w:t>
      </w:r>
      <w:r>
        <w:rPr>
          <w:spacing w:val="-6"/>
        </w:rPr>
        <w:t>值</w:t>
      </w:r>
      <w:r>
        <w:rPr>
          <w:rFonts w:ascii="Times New Roman" w:hAnsi="Times New Roman" w:cs="Times New Roman" w:eastAsia="Times New Roman" w:hint="default"/>
          <w:spacing w:val="-6"/>
        </w:rPr>
        <w:t>10%</w:t>
      </w:r>
      <w:r>
        <w:rPr>
          <w:spacing w:val="-6"/>
        </w:rPr>
        <w:t>，而其他因素保持不变，则会导致本集团股东权益及净利润均增加或减少约人民币</w:t>
      </w:r>
      <w:r>
        <w:rPr>
          <w:rFonts w:ascii="Times New Roman" w:hAnsi="Times New Roman" w:cs="Times New Roman" w:eastAsia="Times New Roman" w:hint="default"/>
          <w:spacing w:val="-6"/>
        </w:rPr>
        <w:t>79.29</w:t>
      </w:r>
      <w:r>
        <w:rPr>
          <w:rFonts w:ascii="Times New Roman" w:hAnsi="Times New Roman" w:cs="Times New Roman" w:eastAsia="Times New Roman" w:hint="default"/>
          <w:spacing w:val="-16"/>
        </w:rPr>
        <w:t> </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日：约人民币</w:t>
      </w:r>
      <w:r>
        <w:rPr>
          <w:rFonts w:ascii="Times New Roman" w:hAnsi="Times New Roman" w:cs="Times New Roman" w:eastAsia="Times New Roman" w:hint="default"/>
        </w:rPr>
        <w:t>8.95</w:t>
      </w:r>
      <w:r>
        <w:rPr/>
        <w:t>万元）。</w:t>
      </w:r>
    </w:p>
    <w:p>
      <w:pPr>
        <w:pStyle w:val="BodyText"/>
        <w:spacing w:line="240" w:lineRule="auto" w:before="185"/>
        <w:ind w:left="1134" w:right="0"/>
        <w:jc w:val="left"/>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17"/>
          <w:szCs w:val="17"/>
        </w:rPr>
      </w:pPr>
    </w:p>
    <w:p>
      <w:pPr>
        <w:pStyle w:val="BodyText"/>
        <w:spacing w:line="312" w:lineRule="exact"/>
        <w:ind w:right="0"/>
        <w:jc w:val="left"/>
      </w:pPr>
      <w:r>
        <w:rPr/>
        <w:t>本集团资本管理政策的目标是为了保障本集团能够持续经营，从而为股东提供回报，并使其 他利益相关者获益，同时维持最佳的资本结构以降低资本成本。</w:t>
      </w:r>
    </w:p>
    <w:p>
      <w:pPr>
        <w:pStyle w:val="BodyText"/>
        <w:spacing w:line="312" w:lineRule="exact" w:before="216"/>
        <w:ind w:right="0"/>
        <w:jc w:val="left"/>
      </w:pPr>
      <w:r>
        <w:rPr/>
        <w:t>为了维持或调整资本结构，本集团可能会调整支付给股东的股利金额、向股东返还资本、发 行新股或出售资产以减低债务。</w:t>
      </w:r>
    </w:p>
    <w:p>
      <w:pPr>
        <w:spacing w:line="240" w:lineRule="auto" w:before="7"/>
        <w:rPr>
          <w:rFonts w:ascii="宋体" w:hAnsi="宋体" w:cs="宋体" w:eastAsia="宋体" w:hint="default"/>
          <w:sz w:val="16"/>
          <w:szCs w:val="16"/>
        </w:rPr>
      </w:pPr>
    </w:p>
    <w:p>
      <w:pPr>
        <w:pStyle w:val="BodyText"/>
        <w:spacing w:line="312" w:lineRule="exact"/>
        <w:ind w:right="0"/>
        <w:jc w:val="left"/>
      </w:pPr>
      <w:r>
        <w:rPr/>
        <w:t>本集团以资产负债率（即总负债除以总资产）为基础对资本结构进行监控。于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9"/>
        </w:rPr>
        <w:t> </w:t>
      </w:r>
      <w:r>
        <w:rPr/>
        <w:t>日，本集团的资产负债率为</w:t>
      </w:r>
      <w:r>
        <w:rPr>
          <w:rFonts w:ascii="Times New Roman" w:hAnsi="Times New Roman" w:cs="Times New Roman" w:eastAsia="Times New Roman" w:hint="default"/>
        </w:rPr>
        <w:t>36.72%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22.83%</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1"/>
        <w:ind w:right="0"/>
        <w:jc w:val="left"/>
        <w:rPr>
          <w:b w:val="0"/>
          <w:bCs w:val="0"/>
        </w:rPr>
      </w:pPr>
      <w:bookmarkStart w:name="十一、公允价值的披露" w:id="374"/>
      <w:bookmarkEnd w:id="37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以公允价值计量的资产和负债的期末公允价值" w:id="375"/>
      <w:bookmarkEnd w:id="37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其中：存货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108,826,357.56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108,826,357.56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160,794,548.07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160,794,548.07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其中：无形资产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62,210,392.18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62,210,392.18</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331,831,297.81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331,831,297.81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其中：递延所得税负债</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16,040,596.08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16,040,596.08</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16,040,596.08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16,040,596.08</w:t>
            </w:r>
          </w:p>
        </w:tc>
      </w:tr>
    </w:tbl>
    <w:p>
      <w:pPr>
        <w:spacing w:line="240" w:lineRule="auto" w:before="2"/>
        <w:rPr>
          <w:rFonts w:ascii="宋体" w:hAnsi="宋体" w:cs="宋体" w:eastAsia="宋体" w:hint="default"/>
          <w:sz w:val="19"/>
          <w:szCs w:val="19"/>
        </w:rPr>
      </w:pPr>
    </w:p>
    <w:p>
      <w:pPr>
        <w:spacing w:line="487" w:lineRule="auto" w:before="35"/>
        <w:ind w:left="1134" w:right="0" w:firstLine="0"/>
        <w:jc w:val="left"/>
        <w:rPr>
          <w:rFonts w:ascii="宋体" w:hAnsi="宋体" w:cs="宋体" w:eastAsia="宋体" w:hint="default"/>
          <w:sz w:val="21"/>
          <w:szCs w:val="21"/>
        </w:rPr>
      </w:pPr>
      <w:bookmarkStart w:name="2、持续和非持续第一层次公允价值计量项目市价的确定依据" w:id="376"/>
      <w:bookmarkEnd w:id="37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4"/>
          <w:szCs w:val="24"/>
        </w:rPr>
        <w:t>第一层次：相同资产或负债在活跃市场中的报价（未经调整的）。 </w:t>
      </w:r>
      <w:bookmarkStart w:name="3、持续和非持续第二层次公允价值计量项目，采用的估值技术和重要参数的定性及定量信" w:id="377"/>
      <w:bookmarkEnd w:id="377"/>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pStyle w:val="BodyText"/>
        <w:spacing w:line="312" w:lineRule="exact" w:before="88"/>
        <w:ind w:left="1134" w:right="1152"/>
        <w:jc w:val="left"/>
      </w:pPr>
      <w:r>
        <w:rPr/>
        <w:t>第二层次：直接（即价格）或间接（即从价格推导出）地使用除第一层次中的资产或负债的 市场报价之外的可观察输入值。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4"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378"/>
      <w:bookmarkEnd w:id="3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ind w:right="0"/>
        <w:jc w:val="left"/>
      </w:pPr>
      <w:r>
        <w:rPr/>
        <w:t>第三层次：资产或负债使用了任何非基于可观察市场数据的输入值（不可观察输入值）。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spacing w:before="0"/>
        <w:ind w:left="1133"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379"/>
      <w:bookmarkEnd w:id="3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6、持续的公允价值计量项目，本期内发生各层级之间转换的，转换的原因及确定转换时点" w:id="380"/>
      <w:bookmarkEnd w:id="38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7、本期内发生的估值技术变更及变更原因" w:id="381"/>
      <w:bookmarkEnd w:id="38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8、不以公允价值计量的金融资产和金融负债的公允价值情况" w:id="382"/>
      <w:bookmarkEnd w:id="38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52"/>
        <w:jc w:val="left"/>
      </w:pPr>
      <w:r>
        <w:rPr/>
        <w:t>本集团以摊余成本计量的金融资产和金融负债主要包括：货币资金、应收票据、应收账款、 可供出售金融资产、其他应收款、短期借款、应付票据、应付账款、其他应付款等。</w:t>
      </w:r>
    </w:p>
    <w:p>
      <w:pPr>
        <w:pStyle w:val="BodyText"/>
        <w:spacing w:line="240" w:lineRule="auto" w:before="185"/>
        <w:ind w:left="1134" w:right="0"/>
        <w:jc w:val="left"/>
      </w:pPr>
      <w:r>
        <w:rPr/>
        <w:t>本集团不以公允价值计量的金融资产和金融负债的账面价值与公允价值相差很小。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spacing w:before="0"/>
        <w:ind w:left="1134" w:right="0" w:firstLine="0"/>
        <w:jc w:val="left"/>
        <w:rPr>
          <w:rFonts w:ascii="宋体" w:hAnsi="宋体" w:cs="宋体" w:eastAsia="宋体" w:hint="default"/>
          <w:sz w:val="21"/>
          <w:szCs w:val="21"/>
        </w:rPr>
      </w:pPr>
      <w:bookmarkStart w:name="9、其他" w:id="383"/>
      <w:bookmarkEnd w:id="38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left"/>
      </w:pPr>
      <w:r>
        <w:rPr/>
        <w:t>上述项目均为本年度非同一控制下企业合并中取得的被购买方可辨认资产、负债于购买日的</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312" w:lineRule="exact" w:before="56"/>
        <w:ind w:right="1153"/>
        <w:jc w:val="left"/>
      </w:pPr>
      <w:r>
        <w:rPr/>
        <w:t>公允价值。公允价值系基于市场价值的价值类型，采用成本法评估，从重置成本的角度确认 可辨认资产、负债公允价值。</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关联方及关联交易" w:id="384"/>
      <w:bookmarkEnd w:id="384"/>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本企业的母公司情况" w:id="385"/>
      <w:bookmarkEnd w:id="3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312" w:lineRule="exact" w:before="97"/>
        <w:ind w:right="1113"/>
        <w:jc w:val="left"/>
      </w:pPr>
      <w:r>
        <w:rPr/>
        <w:t>本公司没有母公司。杨保田持股比例为</w:t>
      </w:r>
      <w:r>
        <w:rPr>
          <w:rFonts w:ascii="Times New Roman" w:hAnsi="Times New Roman" w:cs="Times New Roman" w:eastAsia="Times New Roman" w:hint="default"/>
        </w:rPr>
        <w:t>35.42%</w:t>
      </w:r>
      <w:r>
        <w:rPr/>
        <w:t>，杨成持股比例为</w:t>
      </w:r>
      <w:r>
        <w:rPr>
          <w:rFonts w:ascii="Times New Roman" w:hAnsi="Times New Roman" w:cs="Times New Roman" w:eastAsia="Times New Roman" w:hint="default"/>
        </w:rPr>
        <w:t>11.02%</w:t>
      </w:r>
      <w:r>
        <w:rPr/>
        <w:t>，杨成与杨保田是父 子关系，占公司总股本的</w:t>
      </w:r>
      <w:r>
        <w:rPr>
          <w:rFonts w:ascii="Times New Roman" w:hAnsi="Times New Roman" w:cs="Times New Roman" w:eastAsia="Times New Roman" w:hint="default"/>
        </w:rPr>
        <w:t>46.44%</w:t>
      </w:r>
      <w:r>
        <w:rPr/>
        <w:t>，是公司的实际控制人。</w:t>
      </w:r>
    </w:p>
    <w:p>
      <w:pPr>
        <w:spacing w:line="240" w:lineRule="auto" w:before="5"/>
        <w:rPr>
          <w:rFonts w:ascii="宋体" w:hAnsi="宋体" w:cs="宋体" w:eastAsia="宋体" w:hint="default"/>
          <w:sz w:val="28"/>
          <w:szCs w:val="28"/>
        </w:rPr>
      </w:pPr>
    </w:p>
    <w:p>
      <w:pPr>
        <w:spacing w:line="360" w:lineRule="auto" w:before="0"/>
        <w:ind w:left="1133" w:right="7873" w:firstLine="0"/>
        <w:jc w:val="left"/>
        <w:rPr>
          <w:rFonts w:ascii="宋体" w:hAnsi="宋体" w:cs="宋体" w:eastAsia="宋体" w:hint="default"/>
          <w:sz w:val="18"/>
          <w:szCs w:val="18"/>
        </w:rPr>
      </w:pPr>
      <w:r>
        <w:rPr>
          <w:rFonts w:ascii="宋体" w:hAnsi="宋体" w:cs="宋体" w:eastAsia="宋体" w:hint="default"/>
          <w:sz w:val="18"/>
          <w:szCs w:val="18"/>
        </w:rPr>
        <w:t>本企业最终控制方是杨保田、杨成。 其他说明：</w:t>
      </w:r>
    </w:p>
    <w:p>
      <w:pPr>
        <w:spacing w:line="240" w:lineRule="auto" w:before="11"/>
        <w:rPr>
          <w:rFonts w:ascii="宋体" w:hAnsi="宋体" w:cs="宋体" w:eastAsia="宋体" w:hint="default"/>
          <w:sz w:val="19"/>
          <w:szCs w:val="19"/>
        </w:rPr>
      </w:pPr>
    </w:p>
    <w:p>
      <w:pPr>
        <w:spacing w:before="0"/>
        <w:ind w:left="1133" w:right="0" w:firstLine="0"/>
        <w:jc w:val="left"/>
        <w:rPr>
          <w:rFonts w:ascii="宋体" w:hAnsi="宋体" w:cs="宋体" w:eastAsia="宋体" w:hint="default"/>
          <w:sz w:val="21"/>
          <w:szCs w:val="21"/>
        </w:rPr>
      </w:pPr>
      <w:bookmarkStart w:name="2、本企业的子公司情况" w:id="386"/>
      <w:bookmarkEnd w:id="3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本企业子公司的情况详见附注九、其他主体中的权益。</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其他关联方情况" w:id="387"/>
      <w:bookmarkEnd w:id="38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卧龙电气集团股份有限公司（以下简称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卧龙电气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卧龙控股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持有卧龙电气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卧龙电气集团北京华泰变压器有限公司（以下简称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北京华泰</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卧龙控股的控股子公司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卧龙电气烟台东源变压器有限公司（以下简称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烟台东源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上海卧龙国际商务股份有限公司（以下简称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上海商务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浙江龙能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梁山龙能电力发展有限公司（以下简称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梁山龙能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都昌龙能电力发展有限公司（以下简称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都昌龙能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卧龙电气的控股子公司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陈剑虹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星波通信少数股东、星波通信关键管理人员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星波通信关键管理人员</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关联交易情况" w:id="388"/>
      <w:bookmarkEnd w:id="38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购销商品、提供和接受劳务的关联交易"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994,786.32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994,786.32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1" w:right="0"/>
              <w:jc w:val="left"/>
              <w:rPr>
                <w:rFonts w:ascii="Times New Roman" w:hAnsi="Times New Roman" w:cs="Times New Roman" w:eastAsia="Times New Roman" w:hint="default"/>
                <w:sz w:val="18"/>
                <w:szCs w:val="18"/>
              </w:rPr>
            </w:pPr>
            <w:r>
              <w:rPr>
                <w:rFonts w:ascii="Times New Roman"/>
                <w:sz w:val="18"/>
              </w:rPr>
              <w:t>78,292,277.37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312" w:lineRule="auto" w:before="116"/>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月完成银川卧龙</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股权及星波通信</w:t>
      </w:r>
      <w:r>
        <w:rPr>
          <w:rFonts w:ascii="Times New Roman" w:hAnsi="Times New Roman" w:cs="Times New Roman" w:eastAsia="Times New Roman" w:hint="default"/>
          <w:sz w:val="18"/>
          <w:szCs w:val="18"/>
        </w:rPr>
        <w:t>67.54%</w:t>
      </w:r>
      <w:r>
        <w:rPr>
          <w:rFonts w:ascii="宋体" w:hAnsi="宋体" w:cs="宋体" w:eastAsia="宋体" w:hint="default"/>
          <w:sz w:val="18"/>
          <w:szCs w:val="18"/>
        </w:rPr>
        <w:t>股权收购事宜，本次收购完成后，卧龙电气成为公司</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w:t>
      </w:r>
      <w:r>
        <w:rPr>
          <w:rFonts w:ascii="宋体" w:hAnsi="宋体" w:cs="宋体" w:eastAsia="宋体" w:hint="default"/>
          <w:spacing w:val="-2"/>
          <w:sz w:val="18"/>
          <w:szCs w:val="18"/>
        </w:rPr>
        <w:t>东。银川卧龙为卧龙电气原全资子公司，银川卧龙与卧龙电气并表内的子公司进行相关的日常交易，因本次收购完成后卧龙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电气成为上市公司关联股东的情形，导致交易变更为关联交易。 以上交易是银川卧龙并入红相股份之前签订的合同，在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月之后执行的情况。</w:t>
      </w:r>
    </w:p>
    <w:p>
      <w:pPr>
        <w:spacing w:line="240" w:lineRule="auto" w:before="4"/>
        <w:rPr>
          <w:rFonts w:ascii="宋体" w:hAnsi="宋体" w:cs="宋体" w:eastAsia="宋体" w:hint="default"/>
          <w:sz w:val="21"/>
          <w:szCs w:val="21"/>
        </w:rPr>
      </w:pPr>
    </w:p>
    <w:p>
      <w:pPr>
        <w:spacing w:before="0"/>
        <w:ind w:left="1133" w:right="0" w:firstLine="0"/>
        <w:jc w:val="left"/>
        <w:rPr>
          <w:rFonts w:ascii="宋体" w:hAnsi="宋体" w:cs="宋体" w:eastAsia="宋体" w:hint="default"/>
          <w:sz w:val="21"/>
          <w:szCs w:val="21"/>
        </w:rPr>
      </w:pPr>
      <w:bookmarkStart w:name="（2）关联受托管理/承包及委托管理/出包情况"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340" w:lineRule="auto"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3525" w:space="5304"/>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3）关联租赁情况" w:id="391"/>
      <w:bookmarkEnd w:id="3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4）关联担保情况"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before="90"/>
        <w:ind w:left="113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股东杨成和澳洲红相董事</w:t>
      </w:r>
      <w:r>
        <w:rPr>
          <w:rFonts w:ascii="Times New Roman" w:hAnsi="Times New Roman" w:cs="Times New Roman" w:eastAsia="Times New Roman" w:hint="default"/>
          <w:sz w:val="21"/>
          <w:szCs w:val="21"/>
        </w:rPr>
        <w:t>Ri</w:t>
      </w:r>
      <w:r>
        <w:rPr>
          <w:rFonts w:ascii="Times New Roman" w:hAnsi="Times New Roman" w:cs="Times New Roman" w:eastAsia="Times New Roman" w:hint="default"/>
          <w:spacing w:val="-1"/>
          <w:sz w:val="21"/>
          <w:szCs w:val="21"/>
        </w:rPr>
        <w:t>c</w:t>
      </w:r>
      <w:r>
        <w:rPr>
          <w:rFonts w:ascii="Times New Roman" w:hAnsi="Times New Roman" w:cs="Times New Roman" w:eastAsia="Times New Roman" w:hint="default"/>
          <w:sz w:val="21"/>
          <w:szCs w:val="21"/>
        </w:rPr>
        <w:t>hard</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
          <w:w w:val="99"/>
          <w:sz w:val="21"/>
          <w:szCs w:val="21"/>
        </w:rPr>
        <w:t>M</w:t>
      </w:r>
      <w:r>
        <w:rPr>
          <w:rFonts w:ascii="Times New Roman" w:hAnsi="Times New Roman" w:cs="Times New Roman" w:eastAsia="Times New Roman" w:hint="default"/>
          <w:spacing w:val="-1"/>
          <w:sz w:val="21"/>
          <w:szCs w:val="21"/>
        </w:rPr>
        <w:t>i</w:t>
      </w:r>
      <w:r>
        <w:rPr>
          <w:rFonts w:ascii="Times New Roman" w:hAnsi="Times New Roman" w:cs="Times New Roman" w:eastAsia="Times New Roman" w:hint="default"/>
          <w:sz w:val="21"/>
          <w:szCs w:val="21"/>
        </w:rPr>
        <w:t>chael</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Dowling</w:t>
      </w:r>
      <w:r>
        <w:rPr>
          <w:rFonts w:ascii="宋体" w:hAnsi="宋体" w:cs="宋体" w:eastAsia="宋体" w:hint="default"/>
          <w:sz w:val="21"/>
          <w:szCs w:val="21"/>
        </w:rPr>
        <w:t>对子公司澳洲红相的房租提供了担保</w:t>
      </w:r>
      <w:r>
        <w:rPr>
          <w:rFonts w:ascii="宋体" w:hAnsi="宋体" w:cs="宋体" w:eastAsia="宋体" w:hint="default"/>
          <w:spacing w:val="-94"/>
          <w:sz w:val="21"/>
          <w:szCs w:val="21"/>
        </w:rPr>
        <w:t>，</w:t>
      </w:r>
      <w:r>
        <w:rPr>
          <w:rFonts w:ascii="宋体" w:hAnsi="宋体" w:cs="宋体" w:eastAsia="宋体" w:hint="default"/>
          <w:sz w:val="21"/>
          <w:szCs w:val="21"/>
        </w:rPr>
        <w:t>担保起始日为</w:t>
      </w:r>
      <w:r>
        <w:rPr>
          <w:rFonts w:ascii="Times New Roman" w:hAnsi="Times New Roman" w:cs="Times New Roman" w:eastAsia="Times New Roman" w:hint="default"/>
          <w:sz w:val="21"/>
          <w:szCs w:val="21"/>
        </w:rPr>
        <w:t>2009</w:t>
      </w:r>
    </w:p>
    <w:p>
      <w:pPr>
        <w:spacing w:before="21"/>
        <w:ind w:left="1134"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日，担保到期日为</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关联方资金拆借" w:id="393"/>
      <w:bookmarkEnd w:id="3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关联方资产转让、债务重组情况"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7）关键管理人员报酬"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5,908,027.25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4,256,648.35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8）其他关联交易"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5、关联方应收应付款项" w:id="397"/>
      <w:bookmarkEnd w:id="39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应收项目" w:id="398"/>
      <w:bookmarkEnd w:id="3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烟台东源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21,341,846.56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1,067,092.33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39,321,001.46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393,210.01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4,521,105.94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226,055.30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梁山龙能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都昌龙能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1,036,348.67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51,817.43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浙江龙能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6,745.59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上海商务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卧龙控股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应付项目" w:id="399"/>
      <w:bookmarkEnd w:id="3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3,572,250.91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银川卧龙和星波通信原股东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462,604,229.84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卧龙电气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686,863.02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关联方承诺" w:id="400"/>
      <w:bookmarkEnd w:id="40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7、其他" w:id="401"/>
      <w:bookmarkEnd w:id="40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02"/>
      <w:bookmarkEnd w:id="40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385,721.00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385,721.00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12"/>
          <w:szCs w:val="12"/>
        </w:rPr>
      </w:pPr>
    </w:p>
    <w:p>
      <w:pPr>
        <w:pStyle w:val="BodyText"/>
        <w:spacing w:line="225" w:lineRule="auto"/>
        <w:ind w:right="112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日，经子公司星波通信公司股东会决议同意通过股权转让实施员工股权激励，由</w:t>
      </w:r>
      <w:r>
        <w:rPr>
          <w:spacing w:val="-114"/>
        </w:rPr>
        <w:t> </w:t>
      </w:r>
      <w:r>
        <w:rPr>
          <w:spacing w:val="-114"/>
        </w:rPr>
      </w:r>
      <w:r>
        <w:rPr>
          <w:spacing w:val="-2"/>
        </w:rPr>
        <w:t>陈剑虹分别将其拥有的本公司</w:t>
      </w:r>
      <w:r>
        <w:rPr>
          <w:rFonts w:ascii="Times New Roman" w:hAnsi="Times New Roman" w:cs="Times New Roman" w:eastAsia="Times New Roman" w:hint="default"/>
          <w:spacing w:val="-2"/>
        </w:rPr>
        <w:t>152,258.00</w:t>
      </w:r>
      <w:r>
        <w:rPr>
          <w:spacing w:val="-2"/>
        </w:rPr>
        <w:t>元、</w:t>
      </w:r>
      <w:r>
        <w:rPr>
          <w:rFonts w:ascii="Times New Roman" w:hAnsi="Times New Roman" w:cs="Times New Roman" w:eastAsia="Times New Roman" w:hint="default"/>
          <w:spacing w:val="-2"/>
        </w:rPr>
        <w:t>126,882.00</w:t>
      </w:r>
      <w:r>
        <w:rPr>
          <w:spacing w:val="-2"/>
        </w:rPr>
        <w:t>元、</w:t>
      </w:r>
      <w:r>
        <w:rPr>
          <w:rFonts w:ascii="Times New Roman" w:hAnsi="Times New Roman" w:cs="Times New Roman" w:eastAsia="Times New Roman" w:hint="default"/>
          <w:spacing w:val="-2"/>
        </w:rPr>
        <w:t>106,581.00</w:t>
      </w:r>
      <w:r>
        <w:rPr>
          <w:spacing w:val="-2"/>
        </w:rPr>
        <w:t>元出资额分别转让给刘</w:t>
      </w:r>
      <w:r>
        <w:rPr>
          <w:spacing w:val="-88"/>
        </w:rPr>
        <w:t> </w:t>
      </w:r>
      <w:r>
        <w:rPr>
          <w:spacing w:val="2"/>
        </w:rPr>
        <w:t>宏胜、徐建平、陈小杰，转让价格参照本公司截至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日的每股净资产确定，即</w:t>
      </w:r>
      <w:r>
        <w:rPr>
          <w:rFonts w:ascii="Times New Roman" w:hAnsi="Times New Roman" w:cs="Times New Roman" w:eastAsia="Times New Roman" w:hint="default"/>
          <w:spacing w:val="2"/>
        </w:rPr>
        <w:t>4.3</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t>股。</w:t>
      </w:r>
    </w:p>
    <w:p>
      <w:pPr>
        <w:spacing w:line="240" w:lineRule="auto" w:before="7"/>
        <w:rPr>
          <w:rFonts w:ascii="宋体" w:hAnsi="宋体" w:cs="宋体" w:eastAsia="宋体" w:hint="default"/>
          <w:sz w:val="17"/>
          <w:szCs w:val="17"/>
        </w:rPr>
      </w:pPr>
    </w:p>
    <w:p>
      <w:pPr>
        <w:pStyle w:val="BodyText"/>
        <w:spacing w:line="312" w:lineRule="exact"/>
        <w:ind w:right="1132"/>
        <w:jc w:val="both"/>
      </w:pPr>
      <w:r>
        <w:rPr/>
        <w:t>本次股份授予日每股公允价值参照红相股份收购本公司余下</w:t>
      </w:r>
      <w:r>
        <w:rPr>
          <w:rFonts w:ascii="Times New Roman" w:hAnsi="Times New Roman" w:cs="Times New Roman" w:eastAsia="Times New Roman" w:hint="default"/>
        </w:rPr>
        <w:t>32.46%</w:t>
      </w:r>
      <w:r>
        <w:rPr/>
        <w:t>股权时本公司股权评估总</w:t>
      </w:r>
      <w:r>
        <w:rPr>
          <w:spacing w:val="-117"/>
        </w:rPr>
        <w:t> </w:t>
      </w:r>
      <w:r>
        <w:rPr/>
        <w:t>价值</w:t>
      </w:r>
      <w:r>
        <w:rPr>
          <w:rFonts w:ascii="Times New Roman" w:hAnsi="Times New Roman" w:cs="Times New Roman" w:eastAsia="Times New Roman" w:hint="default"/>
        </w:rPr>
        <w:t>7.81</w:t>
      </w:r>
      <w:r>
        <w:rPr/>
        <w:t>亿元为基础，确定每股公允价值为</w:t>
      </w:r>
      <w:r>
        <w:rPr>
          <w:rFonts w:ascii="Times New Roman" w:hAnsi="Times New Roman" w:cs="Times New Roman" w:eastAsia="Times New Roman" w:hint="default"/>
        </w:rPr>
        <w:t>20.5526</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spacing w:before="0"/>
        <w:ind w:left="1133" w:right="0" w:firstLine="0"/>
        <w:jc w:val="both"/>
        <w:rPr>
          <w:rFonts w:ascii="宋体" w:hAnsi="宋体" w:cs="宋体" w:eastAsia="宋体" w:hint="default"/>
          <w:sz w:val="21"/>
          <w:szCs w:val="21"/>
        </w:rPr>
      </w:pPr>
      <w:bookmarkStart w:name="2、以权益结算的股份支付情况" w:id="404"/>
      <w:bookmarkEnd w:id="4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参考与红相股份股权交易过程中确定的股权价格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4,234,061.74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6,268,969.12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以现金结算的股份支付情况" w:id="405"/>
      <w:bookmarkEnd w:id="40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547" w:lineRule="auto" w:before="0"/>
        <w:ind w:left="113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06"/>
      <w:bookmarkEnd w:id="40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before="122"/>
        <w:ind w:left="1134" w:right="0" w:firstLine="0"/>
        <w:jc w:val="left"/>
        <w:rPr>
          <w:rFonts w:ascii="宋体" w:hAnsi="宋体" w:cs="宋体" w:eastAsia="宋体" w:hint="default"/>
          <w:sz w:val="21"/>
          <w:szCs w:val="21"/>
        </w:rPr>
      </w:pPr>
      <w:bookmarkStart w:name="5、其他" w:id="407"/>
      <w:bookmarkEnd w:id="40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四、承诺及或有事项" w:id="408"/>
      <w:bookmarkEnd w:id="408"/>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重要承诺事项" w:id="409"/>
      <w:bookmarkEnd w:id="4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5"/>
        <w:ind w:left="1134" w:right="0"/>
        <w:jc w:val="left"/>
      </w:pPr>
      <w:r>
        <w:rPr/>
        <w:t>重要的承诺事项</w:t>
      </w:r>
    </w:p>
    <w:p>
      <w:pPr>
        <w:spacing w:after="0" w:line="240" w:lineRule="auto"/>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left"/>
      </w:pPr>
      <w:r>
        <w:rPr/>
        <w:t>（</w:t>
      </w:r>
      <w:r>
        <w:rPr>
          <w:rFonts w:ascii="Times New Roman" w:hAnsi="Times New Roman" w:cs="Times New Roman" w:eastAsia="Times New Roman" w:hint="default"/>
        </w:rPr>
        <w:t>1</w:t>
      </w:r>
      <w:r>
        <w:rPr/>
        <w:t>）资本承诺</w:t>
      </w:r>
    </w:p>
    <w:p>
      <w:pPr>
        <w:spacing w:line="240" w:lineRule="auto" w:before="8"/>
        <w:rPr>
          <w:rFonts w:ascii="宋体" w:hAnsi="宋体" w:cs="宋体" w:eastAsia="宋体" w:hint="default"/>
          <w:sz w:val="10"/>
          <w:szCs w:val="10"/>
        </w:rPr>
      </w:pPr>
    </w:p>
    <w:tbl>
      <w:tblPr>
        <w:tblW w:w="0" w:type="auto"/>
        <w:jc w:val="left"/>
        <w:tblInd w:w="1119" w:type="dxa"/>
        <w:tblLayout w:type="fixed"/>
        <w:tblCellMar>
          <w:top w:w="0" w:type="dxa"/>
          <w:left w:w="0" w:type="dxa"/>
          <w:bottom w:w="0" w:type="dxa"/>
          <w:right w:w="0" w:type="dxa"/>
        </w:tblCellMar>
        <w:tblLook w:val="01E0"/>
      </w:tblPr>
      <w:tblGrid>
        <w:gridCol w:w="5394"/>
        <w:gridCol w:w="2087"/>
        <w:gridCol w:w="1708"/>
      </w:tblGrid>
      <w:tr>
        <w:trPr>
          <w:trHeight w:val="35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512" w:right="0"/>
              <w:jc w:val="left"/>
              <w:rPr>
                <w:rFonts w:ascii="宋体" w:hAnsi="宋体" w:cs="宋体" w:eastAsia="宋体" w:hint="default"/>
                <w:sz w:val="21"/>
                <w:szCs w:val="21"/>
              </w:rPr>
            </w:pPr>
            <w:r>
              <w:rPr>
                <w:rFonts w:ascii="宋体" w:hAnsi="宋体" w:cs="宋体" w:eastAsia="宋体" w:hint="default"/>
                <w:b/>
                <w:bCs/>
                <w:sz w:val="21"/>
                <w:szCs w:val="21"/>
              </w:rPr>
              <w:t>已签约但尚未于财务报表中确认的资本承诺</w:t>
            </w:r>
            <w:r>
              <w:rPr>
                <w:rFonts w:ascii="宋体" w:hAnsi="宋体" w:cs="宋体" w:eastAsia="宋体" w:hint="default"/>
                <w:sz w:val="21"/>
                <w:szCs w:val="21"/>
              </w:rPr>
            </w:r>
          </w:p>
        </w:tc>
        <w:tc>
          <w:tcPr>
            <w:tcW w:w="2087"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38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71" w:lineRule="exact"/>
              <w:ind w:right="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53"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购建长期资产承诺</w:t>
            </w:r>
          </w:p>
        </w:tc>
        <w:tc>
          <w:tcPr>
            <w:tcW w:w="2087"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386"/>
              <w:jc w:val="right"/>
              <w:rPr>
                <w:rFonts w:ascii="Times New Roman" w:hAnsi="Times New Roman" w:cs="Times New Roman" w:eastAsia="Times New Roman" w:hint="default"/>
                <w:sz w:val="21"/>
                <w:szCs w:val="21"/>
              </w:rPr>
            </w:pPr>
            <w:r>
              <w:rPr>
                <w:rFonts w:ascii="Times New Roman"/>
                <w:spacing w:val="-1"/>
                <w:sz w:val="21"/>
              </w:rPr>
              <w:t>1,039,460.00</w:t>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1,714,224.00</w:t>
            </w:r>
          </w:p>
        </w:tc>
      </w:tr>
      <w:tr>
        <w:trPr>
          <w:trHeight w:val="35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87"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对外投资承诺：浙江涵普剩余股权收购（注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087" w:type="dxa"/>
            <w:tcBorders>
              <w:top w:val="single" w:sz="8" w:space="0" w:color="000000"/>
              <w:left w:val="nil" w:sz="6" w:space="0" w:color="auto"/>
              <w:bottom w:val="single" w:sz="8" w:space="0" w:color="000000"/>
              <w:right w:val="nil" w:sz="6" w:space="0" w:color="auto"/>
            </w:tcBorders>
          </w:tcPr>
          <w:p>
            <w:pPr/>
          </w:p>
        </w:tc>
        <w:tc>
          <w:tcPr>
            <w:tcW w:w="1708" w:type="dxa"/>
            <w:tcBorders>
              <w:top w:val="single" w:sz="8" w:space="0" w:color="000000"/>
              <w:left w:val="nil" w:sz="6" w:space="0" w:color="auto"/>
              <w:bottom w:val="single" w:sz="8" w:space="0" w:color="000000"/>
              <w:right w:val="nil" w:sz="6" w:space="0" w:color="auto"/>
            </w:tcBorders>
          </w:tcPr>
          <w:p>
            <w:pPr/>
          </w:p>
        </w:tc>
      </w:tr>
      <w:tr>
        <w:trPr>
          <w:trHeight w:val="352"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87"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对外投资承诺：投资合资售电公司（注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087" w:type="dxa"/>
            <w:tcBorders>
              <w:top w:val="single" w:sz="8" w:space="0" w:color="000000"/>
              <w:left w:val="nil" w:sz="6" w:space="0" w:color="auto"/>
              <w:bottom w:val="single" w:sz="8" w:space="0" w:color="000000"/>
              <w:right w:val="nil" w:sz="6" w:space="0" w:color="auto"/>
            </w:tcBorders>
          </w:tcPr>
          <w:p>
            <w:pP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33,000,000.00</w:t>
            </w:r>
          </w:p>
        </w:tc>
      </w:tr>
      <w:tr>
        <w:trPr>
          <w:trHeight w:val="665"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对外投资承诺：发行股份及支付现金购买星波通信股份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2087"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384"/>
              <w:jc w:val="right"/>
              <w:rPr>
                <w:rFonts w:ascii="Times New Roman" w:hAnsi="Times New Roman" w:cs="Times New Roman" w:eastAsia="Times New Roman" w:hint="default"/>
                <w:sz w:val="21"/>
                <w:szCs w:val="21"/>
              </w:rPr>
            </w:pPr>
            <w:r>
              <w:rPr>
                <w:rFonts w:ascii="Times New Roman"/>
                <w:spacing w:val="-1"/>
                <w:sz w:val="21"/>
              </w:rPr>
              <w:t>251,232,049.00</w:t>
            </w: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522,767,951.00</w:t>
            </w:r>
          </w:p>
        </w:tc>
      </w:tr>
      <w:tr>
        <w:trPr>
          <w:trHeight w:val="665" w:hRule="exact"/>
        </w:trPr>
        <w:tc>
          <w:tcPr>
            <w:tcW w:w="539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对外投资承诺：发行股份及支付现金购买银川卧龙股份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2087" w:type="dxa"/>
            <w:tcBorders>
              <w:top w:val="single" w:sz="8" w:space="0" w:color="000000"/>
              <w:left w:val="nil" w:sz="6" w:space="0" w:color="auto"/>
              <w:bottom w:val="single" w:sz="8" w:space="0" w:color="000000"/>
              <w:right w:val="nil" w:sz="6" w:space="0" w:color="auto"/>
            </w:tcBorders>
          </w:tcPr>
          <w:p>
            <w:pPr/>
          </w:p>
        </w:tc>
        <w:tc>
          <w:tcPr>
            <w:tcW w:w="1708" w:type="dxa"/>
            <w:tcBorders>
              <w:top w:val="single" w:sz="8" w:space="0" w:color="000000"/>
              <w:left w:val="nil" w:sz="6" w:space="0" w:color="auto"/>
              <w:bottom w:val="single" w:sz="8"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1,170,000,000.00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12" w:lineRule="exact"/>
        <w:ind w:right="1134"/>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日，本公司与浙江涵普和浙江涵普的原股东特盟国际经贸有限公司、海盐</w:t>
      </w:r>
      <w:r>
        <w:rPr>
          <w:spacing w:val="-113"/>
        </w:rPr>
        <w:t> </w:t>
      </w:r>
      <w:r>
        <w:rPr>
          <w:spacing w:val="-113"/>
        </w:rPr>
      </w:r>
      <w:r>
        <w:rPr/>
        <w:t>众普电力科技有限公司和海盐城普电子科技有限公司签订投资协议，约定本公司以人民币现 金</w:t>
      </w:r>
      <w:r>
        <w:rPr>
          <w:rFonts w:ascii="Times New Roman" w:hAnsi="Times New Roman" w:cs="Times New Roman" w:eastAsia="Times New Roman" w:hint="default"/>
        </w:rPr>
        <w:t>54,925,589.52</w:t>
      </w:r>
      <w:r>
        <w:rPr/>
        <w:t>元对浙江涵普增资，增资后本公司持有浙江涵普</w:t>
      </w:r>
      <w:r>
        <w:rPr>
          <w:rFonts w:ascii="Times New Roman" w:hAnsi="Times New Roman" w:cs="Times New Roman" w:eastAsia="Times New Roman" w:hint="default"/>
        </w:rPr>
        <w:t>51%</w:t>
      </w:r>
      <w:r>
        <w:rPr/>
        <w:t>股权。</w:t>
      </w:r>
    </w:p>
    <w:p>
      <w:pPr>
        <w:pStyle w:val="BodyText"/>
        <w:spacing w:line="228" w:lineRule="auto" w:before="199"/>
        <w:ind w:right="1131"/>
        <w:jc w:val="both"/>
      </w:pPr>
      <w:r>
        <w:rPr/>
        <w:t>增资完成后，协议各方同意，在浙江涵普</w:t>
      </w:r>
      <w:r>
        <w:rPr>
          <w:rFonts w:ascii="Times New Roman" w:hAnsi="Times New Roman" w:cs="Times New Roman" w:eastAsia="Times New Roman" w:hint="default"/>
        </w:rPr>
        <w:t>2015</w:t>
      </w:r>
      <w:r>
        <w:rPr/>
        <w:t>年和</w:t>
      </w:r>
      <w:r>
        <w:rPr>
          <w:rFonts w:ascii="Times New Roman" w:hAnsi="Times New Roman" w:cs="Times New Roman" w:eastAsia="Times New Roman" w:hint="default"/>
        </w:rPr>
        <w:t>2016</w:t>
      </w:r>
      <w:r>
        <w:rPr/>
        <w:t>年的实际税后净利润（扣除非经常性</w:t>
      </w:r>
      <w:r>
        <w:rPr>
          <w:spacing w:val="-109"/>
        </w:rPr>
        <w:t> </w:t>
      </w:r>
      <w:r>
        <w:rPr>
          <w:spacing w:val="-109"/>
        </w:rPr>
      </w:r>
      <w:r>
        <w:rPr/>
        <w:t>损益后）分别不低于人民币</w:t>
      </w:r>
      <w:r>
        <w:rPr>
          <w:rFonts w:ascii="Times New Roman" w:hAnsi="Times New Roman" w:cs="Times New Roman" w:eastAsia="Times New Roman" w:hint="default"/>
        </w:rPr>
        <w:t>1800</w:t>
      </w:r>
      <w:r>
        <w:rPr/>
        <w:t>万元和</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年三年累计净利润（扣除非</w:t>
      </w:r>
      <w:r>
        <w:rPr>
          <w:spacing w:val="-106"/>
        </w:rPr>
        <w:t> </w:t>
      </w:r>
      <w:r>
        <w:rPr/>
        <w:t>经常性损益后）不低于人民币</w:t>
      </w:r>
      <w:r>
        <w:rPr>
          <w:rFonts w:ascii="Times New Roman" w:hAnsi="Times New Roman" w:cs="Times New Roman" w:eastAsia="Times New Roman" w:hint="default"/>
        </w:rPr>
        <w:t>5500</w:t>
      </w:r>
      <w:r>
        <w:rPr/>
        <w:t>万元的情形下，本公司承诺在浙江涵普</w:t>
      </w:r>
      <w:r>
        <w:rPr>
          <w:rFonts w:ascii="Times New Roman" w:hAnsi="Times New Roman" w:cs="Times New Roman" w:eastAsia="Times New Roman" w:hint="default"/>
        </w:rPr>
        <w:t>2017</w:t>
      </w:r>
      <w:r>
        <w:rPr/>
        <w:t>年审计完成后</w:t>
      </w:r>
      <w:r>
        <w:rPr>
          <w:spacing w:val="-107"/>
        </w:rPr>
        <w:t> </w:t>
      </w:r>
      <w:r>
        <w:rPr>
          <w:spacing w:val="-107"/>
        </w:rPr>
      </w:r>
      <w:r>
        <w:rPr>
          <w:spacing w:val="-2"/>
        </w:rPr>
        <w:t>的</w:t>
      </w:r>
      <w:r>
        <w:rPr>
          <w:rFonts w:ascii="Times New Roman" w:hAnsi="Times New Roman" w:cs="Times New Roman" w:eastAsia="Times New Roman" w:hint="default"/>
          <w:spacing w:val="-2"/>
        </w:rPr>
        <w:t>6</w:t>
      </w:r>
      <w:r>
        <w:rPr>
          <w:spacing w:val="-2"/>
        </w:rPr>
        <w:t>个月内，以各方确认的</w:t>
      </w:r>
      <w:r>
        <w:rPr>
          <w:rFonts w:ascii="Times New Roman" w:hAnsi="Times New Roman" w:cs="Times New Roman" w:eastAsia="Times New Roman" w:hint="default"/>
          <w:spacing w:val="-2"/>
        </w:rPr>
        <w:t>2017</w:t>
      </w:r>
      <w:r>
        <w:rPr>
          <w:spacing w:val="-2"/>
        </w:rPr>
        <w:t>年经审计的扣除非经常性损益后的税后净利润为依据，以不高</w:t>
      </w:r>
      <w:r>
        <w:rPr>
          <w:spacing w:val="-117"/>
        </w:rPr>
        <w:t> </w:t>
      </w:r>
      <w:r>
        <w:rPr>
          <w:spacing w:val="-117"/>
        </w:rPr>
      </w:r>
      <w:r>
        <w:rPr>
          <w:spacing w:val="-2"/>
        </w:rPr>
        <w:t>于</w:t>
      </w:r>
      <w:r>
        <w:rPr>
          <w:rFonts w:ascii="Times New Roman" w:hAnsi="Times New Roman" w:cs="Times New Roman" w:eastAsia="Times New Roman" w:hint="default"/>
          <w:spacing w:val="-2"/>
        </w:rPr>
        <w:t>15</w:t>
      </w:r>
      <w:r>
        <w:rPr>
          <w:spacing w:val="-2"/>
        </w:rPr>
        <w:t>倍市盈率且不超过人民币</w:t>
      </w:r>
      <w:r>
        <w:rPr>
          <w:rFonts w:ascii="Times New Roman" w:hAnsi="Times New Roman" w:cs="Times New Roman" w:eastAsia="Times New Roman" w:hint="default"/>
          <w:spacing w:val="-2"/>
        </w:rPr>
        <w:t>45000</w:t>
      </w:r>
      <w:r>
        <w:rPr>
          <w:spacing w:val="-2"/>
        </w:rPr>
        <w:t>万元对浙江涵普进行股权收购前的整体估值，由本公司以</w:t>
      </w:r>
      <w:r>
        <w:rPr>
          <w:spacing w:val="-114"/>
        </w:rPr>
        <w:t> </w:t>
      </w:r>
      <w:r>
        <w:rPr>
          <w:spacing w:val="-114"/>
        </w:rPr>
      </w:r>
      <w:r>
        <w:rPr/>
        <w:t>现金及股份支付相结合的方式收购特盟国际经贸有限公司、海盐众普电力科技有限公司和海 盐城普电子科技有限公司所持有的剩余</w:t>
      </w:r>
      <w:r>
        <w:rPr>
          <w:rFonts w:ascii="Times New Roman" w:hAnsi="Times New Roman" w:cs="Times New Roman" w:eastAsia="Times New Roman" w:hint="default"/>
        </w:rPr>
        <w:t>29%-39%</w:t>
      </w:r>
      <w:r>
        <w:rPr/>
        <w:t>的股权（具体股权比例届时由各方另行商议</w:t>
      </w:r>
      <w:r>
        <w:rPr>
          <w:spacing w:val="-114"/>
        </w:rPr>
        <w:t> </w:t>
      </w:r>
      <w:r>
        <w:rPr>
          <w:spacing w:val="-114"/>
        </w:rPr>
      </w:r>
      <w:r>
        <w:rPr/>
        <w:t>确定）。</w:t>
      </w:r>
    </w:p>
    <w:p>
      <w:pPr>
        <w:spacing w:line="240" w:lineRule="auto" w:before="11"/>
        <w:rPr>
          <w:rFonts w:ascii="宋体" w:hAnsi="宋体" w:cs="宋体" w:eastAsia="宋体" w:hint="default"/>
          <w:sz w:val="18"/>
          <w:szCs w:val="18"/>
        </w:rPr>
      </w:pPr>
    </w:p>
    <w:p>
      <w:pPr>
        <w:pStyle w:val="BodyText"/>
        <w:spacing w:line="312" w:lineRule="exact"/>
        <w:ind w:right="113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日，本公司与厦门火炬集团有限公司、厦门信息集团有限公司签订《合作</w:t>
      </w:r>
      <w:r>
        <w:rPr>
          <w:spacing w:val="-113"/>
        </w:rPr>
        <w:t> </w:t>
      </w:r>
      <w:r>
        <w:rPr>
          <w:spacing w:val="-113"/>
        </w:rPr>
      </w:r>
      <w:r>
        <w:rPr>
          <w:spacing w:val="-3"/>
        </w:rPr>
        <w:t>框架协议》，约定各方共同出资设立合资售电公司，注册资本人民币</w:t>
      </w:r>
      <w:r>
        <w:rPr>
          <w:rFonts w:ascii="Times New Roman" w:hAnsi="Times New Roman" w:cs="Times New Roman" w:eastAsia="Times New Roman" w:hint="default"/>
          <w:spacing w:val="-3"/>
        </w:rPr>
        <w:t>1</w:t>
      </w:r>
      <w:r>
        <w:rPr>
          <w:spacing w:val="-3"/>
        </w:rPr>
        <w:t>亿元。合资售电公司经</w:t>
      </w:r>
      <w:r>
        <w:rPr>
          <w:spacing w:val="-80"/>
        </w:rPr>
        <w:t> </w:t>
      </w:r>
      <w:r>
        <w:rPr>
          <w:spacing w:val="-80"/>
        </w:rPr>
      </w:r>
      <w:r>
        <w:rPr/>
        <w:t>营范围暂定为：售电业务、电力工程设备及维修、电力技术开发与转让、技术咨询、电力项</w:t>
      </w:r>
      <w:r>
        <w:rPr>
          <w:spacing w:val="-117"/>
        </w:rPr>
        <w:t> </w:t>
      </w:r>
      <w:r>
        <w:rPr>
          <w:spacing w:val="-117"/>
        </w:rPr>
      </w:r>
      <w:r>
        <w:rPr/>
        <w:t>目投资、新能源的技术开发与技术服务。本公司拟出资人民币</w:t>
      </w:r>
      <w:r>
        <w:rPr>
          <w:rFonts w:ascii="Times New Roman" w:hAnsi="Times New Roman" w:cs="Times New Roman" w:eastAsia="Times New Roman" w:hint="default"/>
        </w:rPr>
        <w:t>3300</w:t>
      </w:r>
      <w:r>
        <w:rPr/>
        <w:t>万元，持有合资公司股权</w:t>
      </w:r>
      <w:r>
        <w:rPr>
          <w:spacing w:val="-110"/>
        </w:rPr>
        <w:t> </w:t>
      </w:r>
      <w:r>
        <w:rPr>
          <w:spacing w:val="-110"/>
        </w:rPr>
      </w:r>
      <w:r>
        <w:rPr>
          <w:rFonts w:ascii="Times New Roman" w:hAnsi="Times New Roman" w:cs="Times New Roman" w:eastAsia="Times New Roman" w:hint="default"/>
        </w:rPr>
        <w:t>33%</w:t>
      </w:r>
      <w:r>
        <w:rPr/>
        <w:t>。截至本财务报告日，各方尚未出资。</w:t>
      </w:r>
    </w:p>
    <w:p>
      <w:pPr>
        <w:pStyle w:val="BodyText"/>
        <w:spacing w:line="312" w:lineRule="exact" w:before="216"/>
        <w:ind w:right="113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月，本公司已完成以发行股份及支付现金相结合的方式购买星波通信</w:t>
      </w:r>
      <w:r>
        <w:rPr>
          <w:rFonts w:ascii="Times New Roman" w:hAnsi="Times New Roman" w:cs="Times New Roman" w:eastAsia="Times New Roman" w:hint="default"/>
        </w:rPr>
        <w:t>67.5411%</w:t>
      </w:r>
      <w:r>
        <w:rPr>
          <w:rFonts w:ascii="Times New Roman" w:hAnsi="Times New Roman" w:cs="Times New Roman" w:eastAsia="Times New Roman" w:hint="default"/>
          <w:spacing w:val="-56"/>
        </w:rPr>
        <w:t> </w:t>
      </w:r>
      <w:r>
        <w:rPr/>
        <w:t>股权的重大资产重组交易。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日，本公司与陈剑虹、赵静如、徐建平、刘宏胜、</w:t>
      </w:r>
      <w:r>
        <w:rPr>
          <w:spacing w:val="-112"/>
        </w:rPr>
        <w:t> </w:t>
      </w:r>
      <w:r>
        <w:rPr>
          <w:spacing w:val="-112"/>
        </w:rPr>
      </w:r>
      <w:r>
        <w:rPr/>
        <w:t>陈小杰签署附条件生效的《股权收购协议》，各方参考评估机构出具的评估报告中载明的评 估结果以及上市公司收购星波通信</w:t>
      </w:r>
      <w:r>
        <w:rPr>
          <w:rFonts w:ascii="Times New Roman" w:hAnsi="Times New Roman" w:cs="Times New Roman" w:eastAsia="Times New Roman" w:hint="default"/>
        </w:rPr>
        <w:t>67.5411% </w:t>
      </w:r>
      <w:r>
        <w:rPr/>
        <w:t>股权的对价，协商确定星波通信</w:t>
      </w:r>
      <w:r>
        <w:rPr>
          <w:rFonts w:ascii="Times New Roman" w:hAnsi="Times New Roman" w:cs="Times New Roman" w:eastAsia="Times New Roman" w:hint="default"/>
        </w:rPr>
        <w:t>100%</w:t>
      </w:r>
      <w:r>
        <w:rPr>
          <w:rFonts w:ascii="Times New Roman" w:hAnsi="Times New Roman" w:cs="Times New Roman" w:eastAsia="Times New Roman" w:hint="default"/>
          <w:spacing w:val="57"/>
        </w:rPr>
        <w:t> </w:t>
      </w:r>
      <w:r>
        <w:rPr/>
        <w:t>股权作价 为</w:t>
      </w:r>
      <w:r>
        <w:rPr>
          <w:rFonts w:ascii="Times New Roman" w:hAnsi="Times New Roman" w:cs="Times New Roman" w:eastAsia="Times New Roman" w:hint="default"/>
        </w:rPr>
        <w:t>77,400.00</w:t>
      </w:r>
      <w:r>
        <w:rPr/>
        <w:t>万元，星波通信</w:t>
      </w:r>
      <w:r>
        <w:rPr>
          <w:rFonts w:ascii="Times New Roman" w:hAnsi="Times New Roman" w:cs="Times New Roman" w:eastAsia="Times New Roman" w:hint="default"/>
        </w:rPr>
        <w:t>32.4589%</w:t>
      </w:r>
      <w:r>
        <w:rPr/>
        <w:t>股权转让对价为</w:t>
      </w:r>
      <w:r>
        <w:rPr>
          <w:rFonts w:ascii="Times New Roman" w:hAnsi="Times New Roman" w:cs="Times New Roman" w:eastAsia="Times New Roman" w:hint="default"/>
        </w:rPr>
        <w:t>25,123.20</w:t>
      </w:r>
      <w:r>
        <w:rPr/>
        <w:t>万元，本次交易涉及的非公开 发行股票相关事项尚需提交公司股东大会审议通过并取得中国证监会的核准。截至本财务报 告日，本次交易的进度见</w:t>
      </w:r>
      <w:r>
        <w:rPr>
          <w:color w:val="FF0000"/>
        </w:rPr>
        <w:t>附注十五、</w:t>
      </w:r>
      <w:r>
        <w:rPr>
          <w:rFonts w:ascii="Times New Roman" w:hAnsi="Times New Roman" w:cs="Times New Roman" w:eastAsia="Times New Roman" w:hint="default"/>
          <w:color w:val="FF0000"/>
        </w:rPr>
        <w:t>3</w:t>
      </w:r>
      <w:r>
        <w:rPr>
          <w:color w:val="FF0000"/>
        </w:rPr>
        <w:t>（</w:t>
      </w:r>
      <w:r>
        <w:rPr>
          <w:rFonts w:ascii="Times New Roman" w:hAnsi="Times New Roman" w:cs="Times New Roman" w:eastAsia="Times New Roman" w:hint="default"/>
          <w:color w:val="FF0000"/>
        </w:rPr>
        <w:t>1</w:t>
      </w:r>
      <w:r>
        <w:rPr>
          <w:color w:val="FF0000"/>
        </w:rPr>
        <w:t>）</w:t>
      </w:r>
      <w:r>
        <w:rPr/>
        <w:t>。</w:t>
      </w:r>
    </w:p>
    <w:p>
      <w:pPr>
        <w:spacing w:line="240" w:lineRule="auto" w:before="7"/>
        <w:rPr>
          <w:rFonts w:ascii="宋体" w:hAnsi="宋体" w:cs="宋体" w:eastAsia="宋体" w:hint="default"/>
          <w:sz w:val="16"/>
          <w:szCs w:val="16"/>
        </w:rPr>
      </w:pPr>
    </w:p>
    <w:p>
      <w:pPr>
        <w:pStyle w:val="BodyText"/>
        <w:spacing w:line="312" w:lineRule="exact"/>
        <w:ind w:left="1134" w:right="1139"/>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月，本公司已完成向卧龙电气、席立功、何东武、吴国敏以发行股份及支付现</w:t>
      </w:r>
      <w:r>
        <w:rPr>
          <w:spacing w:val="-115"/>
        </w:rPr>
        <w:t> </w:t>
      </w:r>
      <w:r>
        <w:rPr/>
        <w:t>金相结合的式购买银川卧龙</w:t>
      </w:r>
      <w:r>
        <w:rPr>
          <w:spacing w:val="-24"/>
        </w:rPr>
        <w:t> </w:t>
      </w:r>
      <w:r>
        <w:rPr>
          <w:rFonts w:ascii="Times New Roman" w:hAnsi="Times New Roman" w:cs="Times New Roman" w:eastAsia="Times New Roman" w:hint="default"/>
        </w:rPr>
        <w:t>100%</w:t>
      </w:r>
      <w:r>
        <w:rPr/>
        <w:t>股权的重大资产重组交易。</w:t>
      </w:r>
    </w:p>
    <w:p>
      <w:pPr>
        <w:pStyle w:val="BodyText"/>
        <w:spacing w:line="381" w:lineRule="auto" w:before="185"/>
        <w:ind w:left="1134" w:right="283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after="0" w:line="381" w:lineRule="auto"/>
        <w:jc w:val="left"/>
        <w:sectPr>
          <w:pgSz w:w="11910" w:h="16840"/>
          <w:pgMar w:header="747" w:footer="979" w:top="1060" w:bottom="1160" w:left="0" w:right="0"/>
        </w:sectPr>
      </w:pPr>
    </w:p>
    <w:p>
      <w:pPr>
        <w:spacing w:line="240" w:lineRule="auto" w:before="6"/>
        <w:rPr>
          <w:rFonts w:ascii="宋体" w:hAnsi="宋体" w:cs="宋体" w:eastAsia="宋体" w:hint="default"/>
          <w:sz w:val="3"/>
          <w:szCs w:val="3"/>
        </w:rPr>
      </w:pPr>
      <w:r>
        <w:rPr/>
        <w:pict>
          <v:group style="position:absolute;margin-left:55.200001pt;margin-top:55.619984pt;width:485pt;height:.1pt;mso-position-horizontal-relative:page;mso-position-vertical-relative:page;z-index:-145931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04" w:type="dxa"/>
        <w:tblLayout w:type="fixed"/>
        <w:tblCellMar>
          <w:top w:w="0" w:type="dxa"/>
          <w:left w:w="0" w:type="dxa"/>
          <w:bottom w:w="0" w:type="dxa"/>
          <w:right w:w="0" w:type="dxa"/>
        </w:tblCellMar>
        <w:tblLook w:val="01E0"/>
      </w:tblPr>
      <w:tblGrid>
        <w:gridCol w:w="4512"/>
        <w:gridCol w:w="2601"/>
        <w:gridCol w:w="1990"/>
      </w:tblGrid>
      <w:tr>
        <w:trPr>
          <w:trHeight w:val="670" w:hRule="exact"/>
        </w:trPr>
        <w:tc>
          <w:tcPr>
            <w:tcW w:w="4512"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9"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60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718"/>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990"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7"/>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42" w:hRule="exact"/>
        </w:trPr>
        <w:tc>
          <w:tcPr>
            <w:tcW w:w="4512"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3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18"/>
              <w:jc w:val="right"/>
              <w:rPr>
                <w:rFonts w:ascii="Times New Roman" w:hAnsi="Times New Roman" w:cs="Times New Roman" w:eastAsia="Times New Roman" w:hint="default"/>
                <w:sz w:val="24"/>
                <w:szCs w:val="24"/>
              </w:rPr>
            </w:pPr>
            <w:r>
              <w:rPr>
                <w:rFonts w:ascii="Times New Roman"/>
                <w:sz w:val="24"/>
              </w:rPr>
              <w:t>2,242,312.72</w:t>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1,431,019.20</w:t>
            </w:r>
          </w:p>
        </w:tc>
      </w:tr>
      <w:tr>
        <w:trPr>
          <w:trHeight w:val="342" w:hRule="exact"/>
        </w:trPr>
        <w:tc>
          <w:tcPr>
            <w:tcW w:w="4512"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3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18"/>
              <w:jc w:val="right"/>
              <w:rPr>
                <w:rFonts w:ascii="Times New Roman" w:hAnsi="Times New Roman" w:cs="Times New Roman" w:eastAsia="Times New Roman" w:hint="default"/>
                <w:sz w:val="24"/>
                <w:szCs w:val="24"/>
              </w:rPr>
            </w:pPr>
            <w:r>
              <w:rPr>
                <w:rFonts w:ascii="Times New Roman"/>
                <w:sz w:val="24"/>
              </w:rPr>
              <w:t>1,275,818.64</w:t>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1,042,359.20</w:t>
            </w:r>
          </w:p>
        </w:tc>
      </w:tr>
      <w:tr>
        <w:trPr>
          <w:trHeight w:val="342" w:hRule="exact"/>
        </w:trPr>
        <w:tc>
          <w:tcPr>
            <w:tcW w:w="4512" w:type="dxa"/>
            <w:tcBorders>
              <w:top w:val="single" w:sz="8" w:space="0" w:color="000000"/>
              <w:left w:val="nil" w:sz="6" w:space="0" w:color="auto"/>
              <w:bottom w:val="single" w:sz="8" w:space="0" w:color="000000"/>
              <w:right w:val="nil" w:sz="6" w:space="0" w:color="auto"/>
            </w:tcBorders>
          </w:tcPr>
          <w:p>
            <w:pPr>
              <w:pStyle w:val="TableParagraph"/>
              <w:spacing w:line="293" w:lineRule="exact"/>
              <w:ind w:left="39"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18"/>
              <w:jc w:val="right"/>
              <w:rPr>
                <w:rFonts w:ascii="Times New Roman" w:hAnsi="Times New Roman" w:cs="Times New Roman" w:eastAsia="Times New Roman" w:hint="default"/>
                <w:sz w:val="24"/>
                <w:szCs w:val="24"/>
              </w:rPr>
            </w:pPr>
            <w:r>
              <w:rPr>
                <w:rFonts w:ascii="Times New Roman"/>
                <w:sz w:val="24"/>
              </w:rPr>
              <w:t>981,045.12</w:t>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988,045.12</w:t>
            </w:r>
          </w:p>
        </w:tc>
      </w:tr>
      <w:tr>
        <w:trPr>
          <w:trHeight w:val="342" w:hRule="exact"/>
        </w:trPr>
        <w:tc>
          <w:tcPr>
            <w:tcW w:w="4512" w:type="dxa"/>
            <w:tcBorders>
              <w:top w:val="single" w:sz="8" w:space="0" w:color="000000"/>
              <w:left w:val="nil" w:sz="6" w:space="0" w:color="auto"/>
              <w:bottom w:val="single" w:sz="8" w:space="0" w:color="000000"/>
              <w:right w:val="nil" w:sz="6" w:space="0" w:color="auto"/>
            </w:tcBorders>
          </w:tcPr>
          <w:p>
            <w:pPr>
              <w:pStyle w:val="TableParagraph"/>
              <w:spacing w:line="275" w:lineRule="exact"/>
              <w:ind w:left="39" w:right="0"/>
              <w:jc w:val="left"/>
              <w:rPr>
                <w:rFonts w:ascii="宋体" w:hAnsi="宋体" w:cs="宋体" w:eastAsia="宋体" w:hint="default"/>
                <w:sz w:val="24"/>
                <w:szCs w:val="24"/>
              </w:rPr>
            </w:pPr>
            <w:r>
              <w:rPr>
                <w:rFonts w:ascii="宋体" w:hAnsi="宋体" w:cs="宋体" w:eastAsia="宋体" w:hint="default"/>
                <w:sz w:val="24"/>
                <w:szCs w:val="24"/>
              </w:rPr>
              <w:t>以后年度</w:t>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71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8"/>
              <w:jc w:val="right"/>
              <w:rPr>
                <w:rFonts w:ascii="Times New Roman" w:hAnsi="Times New Roman" w:cs="Times New Roman" w:eastAsia="Times New Roman" w:hint="default"/>
                <w:sz w:val="24"/>
                <w:szCs w:val="24"/>
              </w:rPr>
            </w:pPr>
            <w:r>
              <w:rPr>
                <w:rFonts w:ascii="Times New Roman"/>
                <w:sz w:val="24"/>
              </w:rPr>
              <w:t>981,045.12</w:t>
            </w:r>
          </w:p>
        </w:tc>
      </w:tr>
      <w:tr>
        <w:trPr>
          <w:trHeight w:val="342" w:hRule="exact"/>
        </w:trPr>
        <w:tc>
          <w:tcPr>
            <w:tcW w:w="4512" w:type="dxa"/>
            <w:tcBorders>
              <w:top w:val="single" w:sz="8" w:space="0" w:color="000000"/>
              <w:left w:val="nil" w:sz="6" w:space="0" w:color="auto"/>
              <w:bottom w:val="single" w:sz="8" w:space="0" w:color="000000"/>
              <w:right w:val="nil" w:sz="6" w:space="0" w:color="auto"/>
            </w:tcBorders>
          </w:tcPr>
          <w:p>
            <w:pPr>
              <w:pStyle w:val="TableParagraph"/>
              <w:tabs>
                <w:tab w:pos="484" w:val="left" w:leader="none"/>
              </w:tabs>
              <w:spacing w:line="275" w:lineRule="exact"/>
              <w:ind w:left="39"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60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18"/>
              <w:jc w:val="right"/>
              <w:rPr>
                <w:rFonts w:ascii="Times New Roman" w:hAnsi="Times New Roman" w:cs="Times New Roman" w:eastAsia="Times New Roman" w:hint="default"/>
                <w:sz w:val="24"/>
                <w:szCs w:val="24"/>
              </w:rPr>
            </w:pPr>
            <w:r>
              <w:rPr>
                <w:rFonts w:ascii="Times New Roman"/>
                <w:b/>
                <w:sz w:val="24"/>
              </w:rPr>
              <w:t>4,499,176.48</w:t>
            </w:r>
            <w:r>
              <w:rPr>
                <w:rFonts w:ascii="Times New Roman"/>
                <w:sz w:val="24"/>
              </w:rPr>
            </w:r>
          </w:p>
        </w:tc>
        <w:tc>
          <w:tcPr>
            <w:tcW w:w="199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8"/>
              <w:jc w:val="right"/>
              <w:rPr>
                <w:rFonts w:ascii="Times New Roman" w:hAnsi="Times New Roman" w:cs="Times New Roman" w:eastAsia="Times New Roman" w:hint="default"/>
                <w:sz w:val="24"/>
                <w:szCs w:val="24"/>
              </w:rPr>
            </w:pPr>
            <w:r>
              <w:rPr>
                <w:rFonts w:ascii="Times New Roman"/>
                <w:b/>
                <w:sz w:val="24"/>
              </w:rPr>
              <w:t>4,442,468.64</w:t>
            </w:r>
            <w:r>
              <w:rPr>
                <w:rFonts w:ascii="Times New Roman"/>
                <w:sz w:val="24"/>
              </w:rPr>
            </w:r>
          </w:p>
        </w:tc>
      </w:tr>
    </w:tbl>
    <w:p>
      <w:pPr>
        <w:spacing w:line="240" w:lineRule="auto" w:before="5"/>
        <w:rPr>
          <w:rFonts w:ascii="宋体" w:hAnsi="宋体" w:cs="宋体" w:eastAsia="宋体" w:hint="default"/>
          <w:sz w:val="13"/>
          <w:szCs w:val="13"/>
        </w:rPr>
      </w:pPr>
    </w:p>
    <w:p>
      <w:pPr>
        <w:pStyle w:val="BodyText"/>
        <w:spacing w:line="381" w:lineRule="auto" w:before="26"/>
        <w:ind w:left="1134" w:right="8712"/>
        <w:jc w:val="left"/>
      </w:pPr>
      <w:r>
        <w:rPr/>
        <w:t>（</w:t>
      </w:r>
      <w:r>
        <w:rPr>
          <w:rFonts w:ascii="Times New Roman" w:hAnsi="Times New Roman" w:cs="Times New Roman" w:eastAsia="Times New Roman" w:hint="default"/>
        </w:rPr>
        <w:t>3</w:t>
      </w:r>
      <w:r>
        <w:rPr/>
        <w:t>）其他承诺事项 利润分配承诺</w:t>
      </w:r>
    </w:p>
    <w:p>
      <w:pPr>
        <w:pStyle w:val="BodyText"/>
        <w:spacing w:line="312" w:lineRule="exact" w:before="103"/>
        <w:ind w:left="1134" w:right="1139"/>
        <w:jc w:val="both"/>
      </w:pPr>
      <w:r>
        <w:rPr/>
        <w:t>根据本公司章程，在满足公司正常生产经营资金需求的情况下，如无重大投资计划或重大现 金支出等事项，公司应该采取现金方式分配股利，并且以现金方式分配的利润不少于当年实 现的可分配利润的</w:t>
      </w:r>
      <w:r>
        <w:rPr>
          <w:rFonts w:ascii="Times New Roman" w:hAnsi="Times New Roman" w:cs="Times New Roman" w:eastAsia="Times New Roman" w:hint="default"/>
        </w:rPr>
        <w:t>20%</w:t>
      </w:r>
      <w:r>
        <w:rPr/>
        <w:t>。</w:t>
      </w:r>
    </w:p>
    <w:p>
      <w:pPr>
        <w:pStyle w:val="BodyText"/>
        <w:spacing w:line="240" w:lineRule="auto" w:before="185"/>
        <w:ind w:left="1134" w:right="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5"/>
        <w:ind w:left="1133" w:right="0" w:firstLine="0"/>
        <w:jc w:val="both"/>
        <w:rPr>
          <w:rFonts w:ascii="宋体" w:hAnsi="宋体" w:cs="宋体" w:eastAsia="宋体" w:hint="default"/>
          <w:sz w:val="21"/>
          <w:szCs w:val="21"/>
        </w:rPr>
      </w:pPr>
      <w:bookmarkStart w:name="2、或有事项" w:id="410"/>
      <w:bookmarkEnd w:id="4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资产负债表日存在的重要或有事项"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12" w:type="dxa"/>
        <w:tblLayout w:type="fixed"/>
        <w:tblCellMar>
          <w:top w:w="0" w:type="dxa"/>
          <w:left w:w="0" w:type="dxa"/>
          <w:bottom w:w="0" w:type="dxa"/>
          <w:right w:w="0" w:type="dxa"/>
        </w:tblCellMar>
        <w:tblLook w:val="01E0"/>
      </w:tblPr>
      <w:tblGrid>
        <w:gridCol w:w="1336"/>
        <w:gridCol w:w="1169"/>
        <w:gridCol w:w="997"/>
        <w:gridCol w:w="939"/>
        <w:gridCol w:w="1536"/>
        <w:gridCol w:w="1536"/>
        <w:gridCol w:w="811"/>
        <w:gridCol w:w="972"/>
      </w:tblGrid>
      <w:tr>
        <w:trPr>
          <w:trHeight w:val="660" w:hRule="exact"/>
        </w:trPr>
        <w:tc>
          <w:tcPr>
            <w:tcW w:w="133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24" w:right="0"/>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原告</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申请人</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193"/>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被告</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被申</w:t>
            </w:r>
            <w:r>
              <w:rPr>
                <w:rFonts w:ascii="宋体" w:hAnsi="宋体" w:cs="宋体" w:eastAsia="宋体" w:hint="default"/>
                <w:b/>
                <w:bCs/>
                <w:spacing w:val="1"/>
                <w:w w:val="99"/>
                <w:sz w:val="22"/>
                <w:szCs w:val="22"/>
              </w:rPr>
              <w:t> </w:t>
            </w:r>
            <w:r>
              <w:rPr>
                <w:rFonts w:ascii="宋体" w:hAnsi="宋体" w:cs="宋体" w:eastAsia="宋体" w:hint="default"/>
                <w:b/>
                <w:bCs/>
                <w:sz w:val="22"/>
                <w:szCs w:val="22"/>
              </w:rPr>
              <w:t>请人</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起诉日期</w:t>
            </w:r>
            <w:r>
              <w:rPr>
                <w:rFonts w:ascii="宋体" w:hAnsi="宋体" w:cs="宋体" w:eastAsia="宋体" w:hint="default"/>
                <w:sz w:val="22"/>
                <w:szCs w:val="22"/>
              </w:rPr>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案由</w:t>
            </w:r>
            <w:r>
              <w:rPr>
                <w:rFonts w:ascii="宋体" w:hAnsi="宋体" w:cs="宋体" w:eastAsia="宋体" w:hint="default"/>
                <w:sz w:val="22"/>
                <w:szCs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b/>
                <w:bCs/>
                <w:sz w:val="22"/>
                <w:szCs w:val="22"/>
              </w:rPr>
              <w:t>标的及金额</w:t>
            </w:r>
            <w:r>
              <w:rPr>
                <w:rFonts w:ascii="宋体" w:hAnsi="宋体" w:cs="宋体" w:eastAsia="宋体" w:hint="default"/>
                <w:sz w:val="22"/>
                <w:szCs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128"/>
              <w:jc w:val="left"/>
              <w:rPr>
                <w:rFonts w:ascii="宋体" w:hAnsi="宋体" w:cs="宋体" w:eastAsia="宋体" w:hint="default"/>
                <w:sz w:val="22"/>
                <w:szCs w:val="22"/>
              </w:rPr>
            </w:pPr>
            <w:r>
              <w:rPr>
                <w:rFonts w:ascii="宋体" w:hAnsi="宋体" w:cs="宋体" w:eastAsia="宋体" w:hint="default"/>
                <w:b/>
                <w:bCs/>
                <w:sz w:val="22"/>
                <w:szCs w:val="22"/>
              </w:rPr>
              <w:t>进展情</w:t>
            </w:r>
            <w:r>
              <w:rPr>
                <w:rFonts w:ascii="宋体" w:hAnsi="宋体" w:cs="宋体" w:eastAsia="宋体" w:hint="default"/>
                <w:b/>
                <w:bCs/>
                <w:spacing w:val="1"/>
                <w:w w:val="99"/>
                <w:sz w:val="22"/>
                <w:szCs w:val="22"/>
              </w:rPr>
              <w:t> </w:t>
            </w:r>
            <w:r>
              <w:rPr>
                <w:rFonts w:ascii="宋体" w:hAnsi="宋体" w:cs="宋体" w:eastAsia="宋体" w:hint="default"/>
                <w:b/>
                <w:bCs/>
                <w:sz w:val="22"/>
                <w:szCs w:val="22"/>
              </w:rPr>
              <w:t>况</w:t>
            </w:r>
            <w:r>
              <w:rPr>
                <w:rFonts w:ascii="宋体" w:hAnsi="宋体" w:cs="宋体" w:eastAsia="宋体" w:hint="default"/>
                <w:sz w:val="22"/>
                <w:szCs w:val="22"/>
              </w:rPr>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执行情况</w:t>
            </w:r>
            <w:r>
              <w:rPr>
                <w:rFonts w:ascii="宋体" w:hAnsi="宋体" w:cs="宋体" w:eastAsia="宋体" w:hint="default"/>
                <w:sz w:val="22"/>
                <w:szCs w:val="22"/>
              </w:rPr>
            </w:r>
          </w:p>
        </w:tc>
      </w:tr>
      <w:tr>
        <w:trPr>
          <w:trHeight w:val="1283" w:hRule="exact"/>
        </w:trPr>
        <w:tc>
          <w:tcPr>
            <w:tcW w:w="133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24" w:right="0"/>
              <w:jc w:val="left"/>
              <w:rPr>
                <w:rFonts w:ascii="宋体" w:hAnsi="宋体" w:cs="宋体" w:eastAsia="宋体" w:hint="default"/>
                <w:sz w:val="22"/>
                <w:szCs w:val="22"/>
              </w:rPr>
            </w:pPr>
            <w:r>
              <w:rPr>
                <w:rFonts w:ascii="宋体" w:hAnsi="宋体" w:cs="宋体" w:eastAsia="宋体" w:hint="default"/>
                <w:sz w:val="22"/>
                <w:szCs w:val="22"/>
              </w:rPr>
              <w:t>银川卧龙</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3"/>
              <w:jc w:val="both"/>
              <w:rPr>
                <w:rFonts w:ascii="宋体" w:hAnsi="宋体" w:cs="宋体" w:eastAsia="宋体" w:hint="default"/>
                <w:sz w:val="22"/>
                <w:szCs w:val="22"/>
              </w:rPr>
            </w:pPr>
            <w:r>
              <w:rPr>
                <w:rFonts w:ascii="宋体" w:hAnsi="宋体" w:cs="宋体" w:eastAsia="宋体" w:hint="default"/>
                <w:spacing w:val="9"/>
                <w:sz w:val="22"/>
                <w:szCs w:val="22"/>
              </w:rPr>
              <w:t>内蒙古元瑞</w:t>
            </w:r>
            <w:r>
              <w:rPr>
                <w:rFonts w:ascii="宋体" w:hAnsi="宋体" w:cs="宋体" w:eastAsia="宋体" w:hint="default"/>
                <w:w w:val="99"/>
                <w:sz w:val="22"/>
                <w:szCs w:val="22"/>
              </w:rPr>
              <w:t> </w:t>
            </w:r>
            <w:r>
              <w:rPr>
                <w:rFonts w:ascii="宋体" w:hAnsi="宋体" w:cs="宋体" w:eastAsia="宋体" w:hint="default"/>
                <w:spacing w:val="9"/>
                <w:sz w:val="22"/>
                <w:szCs w:val="22"/>
              </w:rPr>
              <w:t>电建有限公</w:t>
            </w:r>
            <w:r>
              <w:rPr>
                <w:rFonts w:ascii="宋体" w:hAnsi="宋体" w:cs="宋体" w:eastAsia="宋体" w:hint="default"/>
                <w:w w:val="99"/>
                <w:sz w:val="22"/>
                <w:szCs w:val="22"/>
              </w:rPr>
              <w:t> </w:t>
            </w:r>
            <w:r>
              <w:rPr>
                <w:rFonts w:ascii="宋体" w:hAnsi="宋体" w:cs="宋体" w:eastAsia="宋体" w:hint="default"/>
                <w:spacing w:val="9"/>
                <w:sz w:val="22"/>
                <w:szCs w:val="22"/>
              </w:rPr>
              <w:t>司（原大正</w:t>
            </w:r>
            <w:r>
              <w:rPr>
                <w:rFonts w:ascii="宋体" w:hAnsi="宋体" w:cs="宋体" w:eastAsia="宋体" w:hint="default"/>
                <w:w w:val="99"/>
                <w:sz w:val="22"/>
                <w:szCs w:val="22"/>
              </w:rPr>
              <w:t> </w:t>
            </w:r>
            <w:r>
              <w:rPr>
                <w:rFonts w:ascii="宋体" w:hAnsi="宋体" w:cs="宋体" w:eastAsia="宋体" w:hint="default"/>
                <w:sz w:val="22"/>
                <w:szCs w:val="22"/>
              </w:rPr>
              <w:t>电业局）</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05"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p>
          <w:p>
            <w:pPr>
              <w:pStyle w:val="TableParagraph"/>
              <w:spacing w:line="240" w:lineRule="auto" w:before="7"/>
              <w:ind w:left="160" w:right="0"/>
              <w:jc w:val="left"/>
              <w:rPr>
                <w:rFonts w:ascii="宋体" w:hAnsi="宋体" w:cs="宋体" w:eastAsia="宋体" w:hint="default"/>
                <w:sz w:val="22"/>
                <w:szCs w:val="22"/>
              </w:rPr>
            </w:pP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1"/>
              <w:jc w:val="left"/>
              <w:rPr>
                <w:rFonts w:ascii="宋体" w:hAnsi="宋体" w:cs="宋体" w:eastAsia="宋体" w:hint="default"/>
                <w:sz w:val="22"/>
                <w:szCs w:val="22"/>
              </w:rPr>
            </w:pPr>
            <w:r>
              <w:rPr>
                <w:rFonts w:ascii="宋体" w:hAnsi="宋体" w:cs="宋体" w:eastAsia="宋体" w:hint="default"/>
                <w:sz w:val="22"/>
                <w:szCs w:val="22"/>
              </w:rPr>
              <w:t>合同欠款</w:t>
            </w:r>
            <w:r>
              <w:rPr>
                <w:rFonts w:ascii="宋体" w:hAnsi="宋体" w:cs="宋体" w:eastAsia="宋体" w:hint="default"/>
                <w:w w:val="99"/>
                <w:sz w:val="22"/>
                <w:szCs w:val="22"/>
              </w:rPr>
              <w:t> </w:t>
            </w:r>
            <w:r>
              <w:rPr>
                <w:rFonts w:ascii="宋体" w:hAnsi="宋体" w:cs="宋体" w:eastAsia="宋体" w:hint="default"/>
                <w:sz w:val="22"/>
                <w:szCs w:val="22"/>
              </w:rPr>
              <w:t>纠纷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2"/>
                <w:szCs w:val="22"/>
              </w:rPr>
            </w:pPr>
            <w:r>
              <w:rPr>
                <w:rFonts w:ascii="Times New Roman"/>
                <w:w w:val="95"/>
                <w:sz w:val="22"/>
              </w:rPr>
              <w:t>3,853,430.00</w:t>
            </w:r>
            <w:r>
              <w:rPr>
                <w:rFonts w:ascii="Times New Roman"/>
                <w:sz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right"/>
              <w:rPr>
                <w:rFonts w:ascii="Times New Roman" w:hAnsi="Times New Roman" w:cs="Times New Roman" w:eastAsia="Times New Roman" w:hint="default"/>
                <w:sz w:val="22"/>
                <w:szCs w:val="22"/>
              </w:rPr>
            </w:pPr>
            <w:r>
              <w:rPr>
                <w:rFonts w:ascii="Times New Roman"/>
                <w:w w:val="95"/>
                <w:sz w:val="22"/>
              </w:rPr>
              <w:t>1,156,029.00</w:t>
            </w:r>
            <w:r>
              <w:rPr>
                <w:rFonts w:ascii="Times New Roman"/>
                <w:sz w:val="22"/>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132"/>
              <w:jc w:val="left"/>
              <w:rPr>
                <w:rFonts w:ascii="宋体" w:hAnsi="宋体" w:cs="宋体" w:eastAsia="宋体" w:hint="default"/>
                <w:sz w:val="22"/>
                <w:szCs w:val="22"/>
              </w:rPr>
            </w:pPr>
            <w:r>
              <w:rPr>
                <w:rFonts w:ascii="宋体" w:hAnsi="宋体" w:cs="宋体" w:eastAsia="宋体" w:hint="default"/>
                <w:sz w:val="22"/>
                <w:szCs w:val="22"/>
              </w:rPr>
              <w:t>已达成</w:t>
            </w:r>
            <w:r>
              <w:rPr>
                <w:rFonts w:ascii="宋体" w:hAnsi="宋体" w:cs="宋体" w:eastAsia="宋体" w:hint="default"/>
                <w:w w:val="99"/>
                <w:sz w:val="22"/>
                <w:szCs w:val="22"/>
              </w:rPr>
              <w:t> </w:t>
            </w:r>
            <w:r>
              <w:rPr>
                <w:rFonts w:ascii="宋体" w:hAnsi="宋体" w:cs="宋体" w:eastAsia="宋体" w:hint="default"/>
                <w:sz w:val="22"/>
                <w:szCs w:val="22"/>
              </w:rPr>
              <w:t>协议</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2" w:right="0"/>
              <w:jc w:val="left"/>
              <w:rPr>
                <w:rFonts w:ascii="宋体" w:hAnsi="宋体" w:cs="宋体" w:eastAsia="宋体" w:hint="default"/>
                <w:sz w:val="22"/>
                <w:szCs w:val="22"/>
              </w:rPr>
            </w:pPr>
            <w:r>
              <w:rPr>
                <w:rFonts w:ascii="宋体" w:hAnsi="宋体" w:cs="宋体" w:eastAsia="宋体" w:hint="default"/>
                <w:sz w:val="22"/>
                <w:szCs w:val="22"/>
              </w:rPr>
              <w:t>执行中</w:t>
            </w:r>
          </w:p>
        </w:tc>
      </w:tr>
      <w:tr>
        <w:trPr>
          <w:trHeight w:val="971" w:hRule="exact"/>
        </w:trPr>
        <w:tc>
          <w:tcPr>
            <w:tcW w:w="1336"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银川卧龙</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3"/>
              <w:jc w:val="both"/>
              <w:rPr>
                <w:rFonts w:ascii="宋体" w:hAnsi="宋体" w:cs="宋体" w:eastAsia="宋体" w:hint="default"/>
                <w:sz w:val="22"/>
                <w:szCs w:val="22"/>
              </w:rPr>
            </w:pPr>
            <w:r>
              <w:rPr>
                <w:rFonts w:ascii="宋体" w:hAnsi="宋体" w:cs="宋体" w:eastAsia="宋体" w:hint="default"/>
                <w:spacing w:val="9"/>
                <w:sz w:val="22"/>
                <w:szCs w:val="22"/>
              </w:rPr>
              <w:t>宁夏宁电光</w:t>
            </w:r>
            <w:r>
              <w:rPr>
                <w:rFonts w:ascii="宋体" w:hAnsi="宋体" w:cs="宋体" w:eastAsia="宋体" w:hint="default"/>
                <w:w w:val="99"/>
                <w:sz w:val="22"/>
                <w:szCs w:val="22"/>
              </w:rPr>
              <w:t> </w:t>
            </w:r>
            <w:r>
              <w:rPr>
                <w:rFonts w:ascii="宋体" w:hAnsi="宋体" w:cs="宋体" w:eastAsia="宋体" w:hint="default"/>
                <w:spacing w:val="9"/>
                <w:sz w:val="22"/>
                <w:szCs w:val="22"/>
              </w:rPr>
              <w:t>伏材料有限</w:t>
            </w:r>
            <w:r>
              <w:rPr>
                <w:rFonts w:ascii="宋体" w:hAnsi="宋体" w:cs="宋体" w:eastAsia="宋体" w:hint="default"/>
                <w:w w:val="99"/>
                <w:sz w:val="22"/>
                <w:szCs w:val="22"/>
              </w:rPr>
              <w:t> </w:t>
            </w:r>
            <w:r>
              <w:rPr>
                <w:rFonts w:ascii="宋体" w:hAnsi="宋体" w:cs="宋体" w:eastAsia="宋体" w:hint="default"/>
                <w:sz w:val="22"/>
                <w:szCs w:val="22"/>
              </w:rPr>
              <w:t>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p>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1"/>
              <w:jc w:val="left"/>
              <w:rPr>
                <w:rFonts w:ascii="宋体" w:hAnsi="宋体" w:cs="宋体" w:eastAsia="宋体" w:hint="default"/>
                <w:sz w:val="22"/>
                <w:szCs w:val="22"/>
              </w:rPr>
            </w:pPr>
            <w:r>
              <w:rPr>
                <w:rFonts w:ascii="宋体" w:hAnsi="宋体" w:cs="宋体" w:eastAsia="宋体" w:hint="default"/>
                <w:sz w:val="22"/>
                <w:szCs w:val="22"/>
              </w:rPr>
              <w:t>合同欠款</w:t>
            </w:r>
            <w:r>
              <w:rPr>
                <w:rFonts w:ascii="宋体" w:hAnsi="宋体" w:cs="宋体" w:eastAsia="宋体" w:hint="default"/>
                <w:w w:val="99"/>
                <w:sz w:val="22"/>
                <w:szCs w:val="22"/>
              </w:rPr>
              <w:t> </w:t>
            </w:r>
            <w:r>
              <w:rPr>
                <w:rFonts w:ascii="宋体" w:hAnsi="宋体" w:cs="宋体" w:eastAsia="宋体" w:hint="default"/>
                <w:sz w:val="22"/>
                <w:szCs w:val="22"/>
              </w:rPr>
              <w:t>纠纷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817,300.00</w:t>
            </w:r>
            <w:r>
              <w:rPr>
                <w:rFonts w:ascii="Times New Roman"/>
                <w:sz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
              <w:jc w:val="right"/>
              <w:rPr>
                <w:rFonts w:ascii="Times New Roman" w:hAnsi="Times New Roman" w:cs="Times New Roman" w:eastAsia="Times New Roman" w:hint="default"/>
                <w:sz w:val="22"/>
                <w:szCs w:val="22"/>
              </w:rPr>
            </w:pPr>
            <w:r>
              <w:rPr>
                <w:rFonts w:ascii="Times New Roman"/>
                <w:w w:val="95"/>
                <w:sz w:val="22"/>
              </w:rPr>
              <w:t>408,650.00</w:t>
            </w:r>
            <w:r>
              <w:rPr>
                <w:rFonts w:ascii="Times New Roman"/>
                <w:sz w:val="22"/>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已胜诉</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执行中</w:t>
            </w:r>
          </w:p>
        </w:tc>
      </w:tr>
      <w:tr>
        <w:trPr>
          <w:trHeight w:val="971" w:hRule="exact"/>
        </w:trPr>
        <w:tc>
          <w:tcPr>
            <w:tcW w:w="1336"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银川卧龙</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3"/>
              <w:jc w:val="both"/>
              <w:rPr>
                <w:rFonts w:ascii="宋体" w:hAnsi="宋体" w:cs="宋体" w:eastAsia="宋体" w:hint="default"/>
                <w:sz w:val="22"/>
                <w:szCs w:val="22"/>
              </w:rPr>
            </w:pPr>
            <w:r>
              <w:rPr>
                <w:rFonts w:ascii="宋体" w:hAnsi="宋体" w:cs="宋体" w:eastAsia="宋体" w:hint="default"/>
                <w:spacing w:val="9"/>
                <w:sz w:val="22"/>
                <w:szCs w:val="22"/>
              </w:rPr>
              <w:t>陕西创源煤</w:t>
            </w:r>
            <w:r>
              <w:rPr>
                <w:rFonts w:ascii="宋体" w:hAnsi="宋体" w:cs="宋体" w:eastAsia="宋体" w:hint="default"/>
                <w:w w:val="99"/>
                <w:sz w:val="22"/>
                <w:szCs w:val="22"/>
              </w:rPr>
              <w:t> </w:t>
            </w:r>
            <w:r>
              <w:rPr>
                <w:rFonts w:ascii="宋体" w:hAnsi="宋体" w:cs="宋体" w:eastAsia="宋体" w:hint="default"/>
                <w:spacing w:val="9"/>
                <w:sz w:val="22"/>
                <w:szCs w:val="22"/>
              </w:rPr>
              <w:t>电化工集团</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05"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p>
          <w:p>
            <w:pPr>
              <w:pStyle w:val="TableParagraph"/>
              <w:spacing w:line="240" w:lineRule="auto" w:before="7"/>
              <w:ind w:left="160" w:right="0"/>
              <w:jc w:val="left"/>
              <w:rPr>
                <w:rFonts w:ascii="宋体" w:hAnsi="宋体" w:cs="宋体" w:eastAsia="宋体" w:hint="default"/>
                <w:sz w:val="22"/>
                <w:szCs w:val="22"/>
              </w:rPr>
            </w:pP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1"/>
              <w:jc w:val="left"/>
              <w:rPr>
                <w:rFonts w:ascii="宋体" w:hAnsi="宋体" w:cs="宋体" w:eastAsia="宋体" w:hint="default"/>
                <w:sz w:val="22"/>
                <w:szCs w:val="22"/>
              </w:rPr>
            </w:pPr>
            <w:r>
              <w:rPr>
                <w:rFonts w:ascii="宋体" w:hAnsi="宋体" w:cs="宋体" w:eastAsia="宋体" w:hint="default"/>
                <w:sz w:val="22"/>
                <w:szCs w:val="22"/>
              </w:rPr>
              <w:t>合同欠款</w:t>
            </w:r>
            <w:r>
              <w:rPr>
                <w:rFonts w:ascii="宋体" w:hAnsi="宋体" w:cs="宋体" w:eastAsia="宋体" w:hint="default"/>
                <w:w w:val="99"/>
                <w:sz w:val="22"/>
                <w:szCs w:val="22"/>
              </w:rPr>
              <w:t> </w:t>
            </w:r>
            <w:r>
              <w:rPr>
                <w:rFonts w:ascii="宋体" w:hAnsi="宋体" w:cs="宋体" w:eastAsia="宋体" w:hint="default"/>
                <w:sz w:val="22"/>
                <w:szCs w:val="22"/>
              </w:rPr>
              <w:t>纠纷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532,400.00</w:t>
            </w:r>
            <w:r>
              <w:rPr>
                <w:rFonts w:ascii="Times New Roman"/>
                <w:sz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
              <w:jc w:val="right"/>
              <w:rPr>
                <w:rFonts w:ascii="Times New Roman" w:hAnsi="Times New Roman" w:cs="Times New Roman" w:eastAsia="Times New Roman" w:hint="default"/>
                <w:sz w:val="22"/>
                <w:szCs w:val="22"/>
              </w:rPr>
            </w:pPr>
            <w:r>
              <w:rPr>
                <w:rFonts w:ascii="Times New Roman"/>
                <w:w w:val="95"/>
                <w:sz w:val="22"/>
              </w:rPr>
              <w:t>159,720.00</w:t>
            </w:r>
            <w:r>
              <w:rPr>
                <w:rFonts w:ascii="Times New Roman"/>
                <w:sz w:val="22"/>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132"/>
              <w:jc w:val="both"/>
              <w:rPr>
                <w:rFonts w:ascii="宋体" w:hAnsi="宋体" w:cs="宋体" w:eastAsia="宋体" w:hint="default"/>
                <w:sz w:val="22"/>
                <w:szCs w:val="22"/>
              </w:rPr>
            </w:pPr>
            <w:r>
              <w:rPr>
                <w:rFonts w:ascii="宋体" w:hAnsi="宋体" w:cs="宋体" w:eastAsia="宋体" w:hint="default"/>
                <w:sz w:val="22"/>
                <w:szCs w:val="22"/>
              </w:rPr>
              <w:t>双方达</w:t>
            </w:r>
            <w:r>
              <w:rPr>
                <w:rFonts w:ascii="宋体" w:hAnsi="宋体" w:cs="宋体" w:eastAsia="宋体" w:hint="default"/>
                <w:w w:val="99"/>
                <w:sz w:val="22"/>
                <w:szCs w:val="22"/>
              </w:rPr>
              <w:t> </w:t>
            </w:r>
            <w:r>
              <w:rPr>
                <w:rFonts w:ascii="宋体" w:hAnsi="宋体" w:cs="宋体" w:eastAsia="宋体" w:hint="default"/>
                <w:sz w:val="22"/>
                <w:szCs w:val="22"/>
              </w:rPr>
              <w:t>成民事</w:t>
            </w:r>
            <w:r>
              <w:rPr>
                <w:rFonts w:ascii="宋体" w:hAnsi="宋体" w:cs="宋体" w:eastAsia="宋体" w:hint="default"/>
                <w:w w:val="99"/>
                <w:sz w:val="22"/>
                <w:szCs w:val="22"/>
              </w:rPr>
              <w:t> </w:t>
            </w:r>
            <w:r>
              <w:rPr>
                <w:rFonts w:ascii="宋体" w:hAnsi="宋体" w:cs="宋体" w:eastAsia="宋体" w:hint="default"/>
                <w:sz w:val="22"/>
                <w:szCs w:val="22"/>
              </w:rPr>
              <w:t>调解书</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执行中</w:t>
            </w:r>
          </w:p>
        </w:tc>
      </w:tr>
      <w:tr>
        <w:trPr>
          <w:trHeight w:val="972" w:hRule="exact"/>
        </w:trPr>
        <w:tc>
          <w:tcPr>
            <w:tcW w:w="1336" w:type="dxa"/>
            <w:tcBorders>
              <w:top w:val="single" w:sz="6" w:space="0" w:color="000000"/>
              <w:left w:val="nil" w:sz="6" w:space="0" w:color="auto"/>
              <w:bottom w:val="single" w:sz="6" w:space="0" w:color="000000"/>
              <w:right w:val="single" w:sz="6" w:space="0" w:color="000000"/>
            </w:tcBorders>
          </w:tcPr>
          <w:p>
            <w:pPr>
              <w:pStyle w:val="TableParagraph"/>
              <w:spacing w:line="276" w:lineRule="exact"/>
              <w:ind w:left="24" w:right="0"/>
              <w:jc w:val="left"/>
              <w:rPr>
                <w:rFonts w:ascii="宋体" w:hAnsi="宋体" w:cs="宋体" w:eastAsia="宋体" w:hint="default"/>
                <w:sz w:val="22"/>
                <w:szCs w:val="22"/>
              </w:rPr>
            </w:pPr>
            <w:r>
              <w:rPr>
                <w:rFonts w:ascii="宋体" w:hAnsi="宋体" w:cs="宋体" w:eastAsia="宋体" w:hint="default"/>
                <w:sz w:val="22"/>
                <w:szCs w:val="22"/>
              </w:rPr>
              <w:t>银川卧龙</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3"/>
              <w:jc w:val="both"/>
              <w:rPr>
                <w:rFonts w:ascii="宋体" w:hAnsi="宋体" w:cs="宋体" w:eastAsia="宋体" w:hint="default"/>
                <w:sz w:val="22"/>
                <w:szCs w:val="22"/>
              </w:rPr>
            </w:pPr>
            <w:r>
              <w:rPr>
                <w:rFonts w:ascii="宋体" w:hAnsi="宋体" w:cs="宋体" w:eastAsia="宋体" w:hint="default"/>
                <w:spacing w:val="9"/>
                <w:sz w:val="22"/>
                <w:szCs w:val="22"/>
              </w:rPr>
              <w:t>榆林环能煤</w:t>
            </w:r>
            <w:r>
              <w:rPr>
                <w:rFonts w:ascii="宋体" w:hAnsi="宋体" w:cs="宋体" w:eastAsia="宋体" w:hint="default"/>
                <w:w w:val="99"/>
                <w:sz w:val="22"/>
                <w:szCs w:val="22"/>
              </w:rPr>
              <w:t> </w:t>
            </w:r>
            <w:r>
              <w:rPr>
                <w:rFonts w:ascii="宋体" w:hAnsi="宋体" w:cs="宋体" w:eastAsia="宋体" w:hint="default"/>
                <w:spacing w:val="9"/>
                <w:sz w:val="22"/>
                <w:szCs w:val="22"/>
              </w:rPr>
              <w:t>化科技有限</w:t>
            </w:r>
            <w:r>
              <w:rPr>
                <w:rFonts w:ascii="宋体" w:hAnsi="宋体" w:cs="宋体" w:eastAsia="宋体" w:hint="default"/>
                <w:w w:val="99"/>
                <w:sz w:val="22"/>
                <w:szCs w:val="22"/>
              </w:rPr>
              <w:t> </w:t>
            </w:r>
            <w:r>
              <w:rPr>
                <w:rFonts w:ascii="宋体" w:hAnsi="宋体" w:cs="宋体" w:eastAsia="宋体" w:hint="default"/>
                <w:sz w:val="22"/>
                <w:szCs w:val="22"/>
              </w:rPr>
              <w:t>公司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p>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1"/>
              <w:jc w:val="left"/>
              <w:rPr>
                <w:rFonts w:ascii="宋体" w:hAnsi="宋体" w:cs="宋体" w:eastAsia="宋体" w:hint="default"/>
                <w:sz w:val="22"/>
                <w:szCs w:val="22"/>
              </w:rPr>
            </w:pPr>
            <w:r>
              <w:rPr>
                <w:rFonts w:ascii="宋体" w:hAnsi="宋体" w:cs="宋体" w:eastAsia="宋体" w:hint="default"/>
                <w:sz w:val="22"/>
                <w:szCs w:val="22"/>
              </w:rPr>
              <w:t>合同欠款</w:t>
            </w:r>
            <w:r>
              <w:rPr>
                <w:rFonts w:ascii="宋体" w:hAnsi="宋体" w:cs="宋体" w:eastAsia="宋体" w:hint="default"/>
                <w:w w:val="99"/>
                <w:sz w:val="22"/>
                <w:szCs w:val="22"/>
              </w:rPr>
              <w:t> </w:t>
            </w:r>
            <w:r>
              <w:rPr>
                <w:rFonts w:ascii="宋体" w:hAnsi="宋体" w:cs="宋体" w:eastAsia="宋体" w:hint="default"/>
                <w:sz w:val="22"/>
                <w:szCs w:val="22"/>
              </w:rPr>
              <w:t>纠纷</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423,800.00</w:t>
            </w:r>
            <w:r>
              <w:rPr>
                <w:rFonts w:ascii="Times New Roman"/>
                <w:sz w:val="22"/>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1"/>
              <w:jc w:val="right"/>
              <w:rPr>
                <w:rFonts w:ascii="Times New Roman" w:hAnsi="Times New Roman" w:cs="Times New Roman" w:eastAsia="Times New Roman" w:hint="default"/>
                <w:sz w:val="22"/>
                <w:szCs w:val="22"/>
              </w:rPr>
            </w:pPr>
            <w:r>
              <w:rPr>
                <w:rFonts w:ascii="Times New Roman"/>
                <w:w w:val="95"/>
                <w:sz w:val="22"/>
              </w:rPr>
              <w:t>127,140.00</w:t>
            </w:r>
            <w:r>
              <w:rPr>
                <w:rFonts w:ascii="Times New Roman"/>
                <w:sz w:val="22"/>
              </w:rPr>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132"/>
              <w:jc w:val="left"/>
              <w:rPr>
                <w:rFonts w:ascii="宋体" w:hAnsi="宋体" w:cs="宋体" w:eastAsia="宋体" w:hint="default"/>
                <w:sz w:val="22"/>
                <w:szCs w:val="22"/>
              </w:rPr>
            </w:pPr>
            <w:r>
              <w:rPr>
                <w:rFonts w:ascii="宋体" w:hAnsi="宋体" w:cs="宋体" w:eastAsia="宋体" w:hint="default"/>
                <w:sz w:val="22"/>
                <w:szCs w:val="22"/>
              </w:rPr>
              <w:t>已开庭</w:t>
            </w:r>
            <w:r>
              <w:rPr>
                <w:rFonts w:ascii="宋体" w:hAnsi="宋体" w:cs="宋体" w:eastAsia="宋体" w:hint="default"/>
                <w:w w:val="99"/>
                <w:sz w:val="22"/>
                <w:szCs w:val="22"/>
              </w:rPr>
              <w:t> </w:t>
            </w:r>
            <w:r>
              <w:rPr>
                <w:rFonts w:ascii="宋体" w:hAnsi="宋体" w:cs="宋体" w:eastAsia="宋体" w:hint="default"/>
                <w:sz w:val="22"/>
                <w:szCs w:val="22"/>
              </w:rPr>
              <w:t>未判决</w:t>
            </w:r>
          </w:p>
        </w:tc>
        <w:tc>
          <w:tcPr>
            <w:tcW w:w="9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8"/>
        <w:ind w:left="1134" w:right="0"/>
        <w:jc w:val="left"/>
      </w:pPr>
      <w:r>
        <w:rPr/>
        <w:t>除上述已披露的事项外，本集团不存在其他应披露的未决诉讼、对外担保等或有事项。</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before="35"/>
        <w:ind w:left="1133" w:right="0" w:firstLine="0"/>
        <w:jc w:val="left"/>
        <w:rPr>
          <w:rFonts w:ascii="宋体" w:hAnsi="宋体" w:cs="宋体" w:eastAsia="宋体" w:hint="default"/>
          <w:sz w:val="21"/>
          <w:szCs w:val="21"/>
        </w:rPr>
      </w:pPr>
      <w:bookmarkStart w:name="（2）公司没有需要披露的重要或有事项，也应予以说明"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3、其他" w:id="413"/>
      <w:bookmarkEnd w:id="4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14"/>
      <w:bookmarkEnd w:id="41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15"/>
      <w:bookmarkEnd w:id="41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0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本公司拟非公开发行股票不 超过 </w:t>
            </w:r>
            <w:r>
              <w:rPr>
                <w:rFonts w:ascii="Times New Roman" w:hAnsi="Times New Roman" w:cs="Times New Roman" w:eastAsia="Times New Roman" w:hint="default"/>
                <w:sz w:val="18"/>
                <w:szCs w:val="18"/>
              </w:rPr>
              <w:t>70,517,357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股（含</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70,517,357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，募集资金不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超过 </w:t>
            </w:r>
            <w:r>
              <w:rPr>
                <w:rFonts w:ascii="Times New Roman" w:hAnsi="Times New Roman" w:cs="Times New Roman" w:eastAsia="Times New Roman" w:hint="default"/>
                <w:sz w:val="18"/>
                <w:szCs w:val="18"/>
              </w:rPr>
              <w:t>128,000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万元（含</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128,000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对于上述非公</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开发行股票，本公司于 </w:t>
            </w:r>
            <w:r>
              <w:rPr>
                <w:rFonts w:ascii="Times New Roman" w:hAnsi="Times New Roman" w:cs="Times New Roman" w:eastAsia="Times New Roman" w:hint="default"/>
                <w:sz w:val="18"/>
                <w:szCs w:val="18"/>
              </w:rPr>
              <w:t>2018</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日收到中国证券 监督管理委员会出具的《中国 证监会行政许可项目审查一 </w:t>
            </w:r>
            <w:r>
              <w:rPr>
                <w:rFonts w:ascii="宋体" w:hAnsi="宋体" w:cs="宋体" w:eastAsia="宋体" w:hint="default"/>
                <w:spacing w:val="-6"/>
                <w:sz w:val="18"/>
                <w:szCs w:val="18"/>
              </w:rPr>
              <w:t>次反馈意见通知书》（</w:t>
            </w:r>
            <w:r>
              <w:rPr>
                <w:rFonts w:ascii="Times New Roman" w:hAnsi="Times New Roman" w:cs="Times New Roman" w:eastAsia="Times New Roman" w:hint="default"/>
                <w:spacing w:val="-6"/>
                <w:sz w:val="18"/>
                <w:szCs w:val="18"/>
              </w:rPr>
              <w:t>172510</w:t>
            </w:r>
            <w:r>
              <w:rPr>
                <w:rFonts w:ascii="Times New Roman" w:hAnsi="Times New Roman" w:cs="Times New Roman" w:eastAsia="Times New Roman" w:hint="default"/>
                <w:spacing w:val="-39"/>
                <w:sz w:val="18"/>
                <w:szCs w:val="18"/>
              </w:rPr>
              <w:t> </w:t>
            </w:r>
            <w:r>
              <w:rPr>
                <w:rFonts w:ascii="宋体" w:hAnsi="宋体" w:cs="宋体" w:eastAsia="宋体" w:hint="default"/>
                <w:spacing w:val="-23"/>
                <w:sz w:val="18"/>
                <w:szCs w:val="18"/>
              </w:rPr>
              <w:t>号）（以</w:t>
            </w:r>
            <w:r>
              <w:rPr>
                <w:rFonts w:ascii="宋体" w:hAnsi="宋体" w:cs="宋体" w:eastAsia="宋体" w:hint="default"/>
                <w:spacing w:val="6"/>
                <w:sz w:val="18"/>
                <w:szCs w:val="18"/>
              </w:rPr>
              <w:t> </w:t>
            </w:r>
            <w:r>
              <w:rPr>
                <w:rFonts w:ascii="宋体" w:hAnsi="宋体" w:cs="宋体" w:eastAsia="宋体" w:hint="default"/>
                <w:spacing w:val="-17"/>
                <w:w w:val="100"/>
                <w:sz w:val="18"/>
                <w:szCs w:val="18"/>
              </w:rPr>
              <w:t>下简称</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反馈意见</w:t>
            </w:r>
            <w:r>
              <w:rPr>
                <w:rFonts w:ascii="Times New Roman" w:hAnsi="Times New Roman" w:cs="Times New Roman" w:eastAsia="Times New Roman" w:hint="default"/>
                <w:spacing w:val="-17"/>
                <w:w w:val="100"/>
                <w:sz w:val="18"/>
                <w:szCs w:val="18"/>
              </w:rPr>
              <w:t>”</w:t>
            </w:r>
            <w:r>
              <w:rPr>
                <w:rFonts w:ascii="宋体" w:hAnsi="宋体" w:cs="宋体" w:eastAsia="宋体" w:hint="default"/>
                <w:spacing w:val="-17"/>
                <w:w w:val="100"/>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日在中国证监会 指定的创业板信息披露网站 巨潮资讯网公开披露《关于红 相股份有限公司创业板非公 开发行股票申请文件反馈意 </w:t>
            </w:r>
            <w:r>
              <w:rPr>
                <w:rFonts w:ascii="宋体" w:hAnsi="宋体" w:cs="宋体" w:eastAsia="宋体" w:hint="default"/>
                <w:spacing w:val="-15"/>
                <w:sz w:val="18"/>
                <w:szCs w:val="18"/>
              </w:rPr>
              <w:t>见之回复》。</w:t>
            </w:r>
          </w:p>
        </w:tc>
      </w:tr>
      <w:tr>
        <w:trPr>
          <w:trHeight w:val="393"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250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185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收购志良电子少数股权</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日召开第四届董事会第五次 会议审议通过《关于收购上海 志良电子科技有限公司少数 </w:t>
            </w:r>
            <w:r>
              <w:rPr>
                <w:rFonts w:ascii="宋体" w:hAnsi="宋体" w:cs="宋体" w:eastAsia="宋体" w:hint="default"/>
                <w:spacing w:val="-7"/>
                <w:sz w:val="18"/>
                <w:szCs w:val="18"/>
              </w:rPr>
              <w:t>股权的议案》，并与上海志良</w:t>
            </w:r>
            <w:r>
              <w:rPr>
                <w:rFonts w:ascii="宋体" w:hAnsi="宋体" w:cs="宋体" w:eastAsia="宋体" w:hint="default"/>
                <w:sz w:val="18"/>
                <w:szCs w:val="18"/>
              </w:rPr>
              <w:t> 电子科技有限公司（以下简称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志良电子</w:t>
            </w:r>
            <w:r>
              <w:rPr>
                <w:rFonts w:ascii="Times New Roman" w:hAnsi="Times New Roman" w:cs="Times New Roman" w:eastAsia="Times New Roman" w:hint="default"/>
                <w:sz w:val="18"/>
                <w:szCs w:val="18"/>
              </w:rPr>
              <w:t>”</w:t>
            </w:r>
            <w:r>
              <w:rPr>
                <w:rFonts w:ascii="宋体" w:hAnsi="宋体" w:cs="宋体" w:eastAsia="宋体" w:hint="default"/>
                <w:sz w:val="18"/>
                <w:szCs w:val="18"/>
              </w:rPr>
              <w:t>）股东签署《股权 </w:t>
            </w:r>
            <w:r>
              <w:rPr>
                <w:rFonts w:ascii="宋体" w:hAnsi="宋体" w:cs="宋体" w:eastAsia="宋体" w:hint="default"/>
                <w:spacing w:val="-7"/>
                <w:sz w:val="18"/>
                <w:szCs w:val="18"/>
              </w:rPr>
              <w:t>转让协议》，经各方一致确认</w:t>
            </w:r>
            <w:r>
              <w:rPr>
                <w:rFonts w:ascii="宋体" w:hAnsi="宋体" w:cs="宋体" w:eastAsia="宋体" w:hint="default"/>
                <w:sz w:val="18"/>
                <w:szCs w:val="18"/>
              </w:rPr>
              <w:t> 本次交易中对志良电子的估 值为人民币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亿元，公司拟</w:t>
            </w:r>
          </w:p>
          <w:p>
            <w:pPr>
              <w:pStyle w:val="TableParagraph"/>
              <w:spacing w:line="300" w:lineRule="auto" w:before="1"/>
              <w:ind w:left="22" w:right="14"/>
              <w:jc w:val="both"/>
              <w:rPr>
                <w:rFonts w:ascii="宋体" w:hAnsi="宋体" w:cs="宋体" w:eastAsia="宋体" w:hint="default"/>
                <w:sz w:val="18"/>
                <w:szCs w:val="18"/>
              </w:rPr>
            </w:pPr>
            <w:r>
              <w:rPr>
                <w:rFonts w:ascii="宋体" w:hAnsi="宋体" w:cs="宋体" w:eastAsia="宋体" w:hint="default"/>
                <w:sz w:val="18"/>
                <w:szCs w:val="18"/>
              </w:rPr>
              <w:t>以自有资金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万元收购志 良电子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股权。本次对外投 资金额在董事会审批权限内，</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858"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3"/>
        <w:gridCol w:w="2295"/>
        <w:gridCol w:w="2391"/>
        <w:gridCol w:w="2389"/>
      </w:tblGrid>
      <w:tr>
        <w:trPr>
          <w:trHeight w:val="36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自董事会审议通过后生效。</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利润分配情况" w:id="416"/>
      <w:bookmarkEnd w:id="4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25,738,835.38</w:t>
            </w:r>
          </w:p>
        </w:tc>
      </w:tr>
    </w:tbl>
    <w:p>
      <w:pPr>
        <w:spacing w:line="240" w:lineRule="auto" w:before="2"/>
        <w:rPr>
          <w:rFonts w:ascii="宋体" w:hAnsi="宋体" w:cs="宋体" w:eastAsia="宋体" w:hint="default"/>
          <w:sz w:val="19"/>
          <w:szCs w:val="19"/>
        </w:rPr>
      </w:pPr>
    </w:p>
    <w:p>
      <w:pPr>
        <w:spacing w:before="35"/>
        <w:ind w:left="1134" w:right="0" w:firstLine="0"/>
        <w:jc w:val="both"/>
        <w:rPr>
          <w:rFonts w:ascii="宋体" w:hAnsi="宋体" w:cs="宋体" w:eastAsia="宋体" w:hint="default"/>
          <w:sz w:val="21"/>
          <w:szCs w:val="21"/>
        </w:rPr>
      </w:pPr>
      <w:bookmarkStart w:name="3、销售退回" w:id="417"/>
      <w:bookmarkEnd w:id="4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日，本集团不存在重要销售退回。</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5"/>
        <w:ind w:left="1133" w:right="0" w:firstLine="0"/>
        <w:jc w:val="both"/>
        <w:rPr>
          <w:rFonts w:ascii="宋体" w:hAnsi="宋体" w:cs="宋体" w:eastAsia="宋体" w:hint="default"/>
          <w:sz w:val="21"/>
          <w:szCs w:val="21"/>
        </w:rPr>
      </w:pPr>
      <w:bookmarkStart w:name="4、其他资产负债表日后事项说明" w:id="418"/>
      <w:bookmarkEnd w:id="41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）支付重大资产重组现金对价</w:t>
      </w:r>
    </w:p>
    <w:p>
      <w:pPr>
        <w:pStyle w:val="BodyText"/>
        <w:spacing w:line="312" w:lineRule="exact" w:before="130"/>
        <w:ind w:right="1131"/>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月，经本公司与银行最终签订合同约定，本公司以银川卧龙及星波通信股权质押的方</w:t>
      </w:r>
      <w:r>
        <w:rPr>
          <w:spacing w:val="-116"/>
        </w:rPr>
        <w:t> </w:t>
      </w:r>
      <w:r>
        <w:rPr>
          <w:spacing w:val="-116"/>
        </w:rPr>
      </w:r>
      <w:r>
        <w:rPr>
          <w:spacing w:val="-4"/>
        </w:rPr>
        <w:t>式为并购贷款提供担保，取得银行</w:t>
      </w:r>
      <w:r>
        <w:rPr>
          <w:rFonts w:ascii="Times New Roman" w:hAnsi="Times New Roman" w:cs="Times New Roman" w:eastAsia="Times New Roman" w:hint="default"/>
          <w:spacing w:val="-4"/>
        </w:rPr>
        <w:t>3</w:t>
      </w:r>
      <w:r>
        <w:rPr>
          <w:spacing w:val="-4"/>
        </w:rPr>
        <w:t>亿元人民币的并购贷款，用于支付公司购买银川卧龙</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53"/>
        </w:rPr>
        <w:t> </w:t>
      </w:r>
      <w:r>
        <w:rPr/>
        <w:t>股权、星波通信 </w:t>
      </w:r>
      <w:r>
        <w:rPr>
          <w:rFonts w:ascii="Times New Roman" w:hAnsi="Times New Roman" w:cs="Times New Roman" w:eastAsia="Times New Roman" w:hint="default"/>
        </w:rPr>
        <w:t>67.5411%</w:t>
      </w:r>
      <w:r>
        <w:rPr/>
        <w:t>股权的部分现金对价。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日，本公司已向上述交易对手</w:t>
      </w:r>
      <w:r>
        <w:rPr>
          <w:spacing w:val="-115"/>
        </w:rPr>
        <w:t> </w:t>
      </w:r>
      <w:r>
        <w:rPr/>
        <w:t>方支付本次重大资产重组的全部现金对价金额共计</w:t>
      </w:r>
      <w:r>
        <w:rPr>
          <w:spacing w:val="-15"/>
        </w:rPr>
        <w:t> </w:t>
      </w:r>
      <w:r>
        <w:rPr>
          <w:rFonts w:ascii="Times New Roman" w:hAnsi="Times New Roman" w:cs="Times New Roman" w:eastAsia="Times New Roman" w:hint="default"/>
          <w:spacing w:val="-3"/>
        </w:rPr>
        <w:t>53,414.39</w:t>
      </w:r>
      <w:r>
        <w:rPr>
          <w:spacing w:val="-3"/>
        </w:rPr>
        <w:t>万元人民币，其中银行并购贷款</w:t>
      </w:r>
      <w:r>
        <w:rPr/>
        <w:t> 支付</w:t>
      </w:r>
      <w:r>
        <w:rPr>
          <w:rFonts w:ascii="Times New Roman" w:hAnsi="Times New Roman" w:cs="Times New Roman" w:eastAsia="Times New Roman" w:hint="default"/>
        </w:rPr>
        <w:t>3</w:t>
      </w:r>
      <w:r>
        <w:rPr/>
        <w:t>亿元人民币，本公司自有资金支付</w:t>
      </w:r>
      <w:r>
        <w:rPr>
          <w:spacing w:val="-24"/>
        </w:rPr>
        <w:t> </w:t>
      </w:r>
      <w:r>
        <w:rPr>
          <w:rFonts w:ascii="Times New Roman" w:hAnsi="Times New Roman" w:cs="Times New Roman" w:eastAsia="Times New Roman" w:hint="default"/>
        </w:rPr>
        <w:t>23,414.39</w:t>
      </w:r>
      <w:r>
        <w:rPr/>
        <w:t>万元人民币。</w:t>
      </w:r>
    </w:p>
    <w:p>
      <w:pPr>
        <w:spacing w:line="240" w:lineRule="auto" w:before="7"/>
        <w:rPr>
          <w:rFonts w:ascii="宋体" w:hAnsi="宋体" w:cs="宋体" w:eastAsia="宋体" w:hint="default"/>
          <w:sz w:val="16"/>
          <w:szCs w:val="16"/>
        </w:rPr>
      </w:pPr>
    </w:p>
    <w:p>
      <w:pPr>
        <w:pStyle w:val="BodyText"/>
        <w:spacing w:line="312" w:lineRule="exact"/>
        <w:ind w:right="100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日，子公司银川卧龙公司与青铜峡市华秦太阳能发电有限公司（以下简称 青铜峡华秦）、盐池县华秦太阳能发电有限公司（以下简称盐池华秦）、宁夏中赢正源发电 有限公司（以下简称中赢正源）签署补充协议，经各方协商一致，就银川卧龙公司总包的盐 池华秦</w:t>
      </w:r>
      <w:r>
        <w:rPr>
          <w:rFonts w:ascii="Times New Roman" w:hAnsi="Times New Roman" w:cs="Times New Roman" w:eastAsia="Times New Roman" w:hint="default"/>
        </w:rPr>
        <w:t>20MWp</w:t>
      </w:r>
      <w:r>
        <w:rPr/>
        <w:t>光伏电站并网发电项目，针对盐池华秦延期支付的货款</w:t>
      </w:r>
      <w:r>
        <w:rPr>
          <w:rFonts w:ascii="Times New Roman" w:hAnsi="Times New Roman" w:cs="Times New Roman" w:eastAsia="Times New Roman" w:hint="default"/>
        </w:rPr>
        <w:t>11,820.05</w:t>
      </w:r>
      <w:r>
        <w:rPr/>
        <w:t>万元，青铜峡 华秦将盐池华秦的</w:t>
      </w:r>
      <w:r>
        <w:rPr>
          <w:rFonts w:ascii="Times New Roman" w:hAnsi="Times New Roman" w:cs="Times New Roman" w:eastAsia="Times New Roman" w:hint="default"/>
        </w:rPr>
        <w:t>100%</w:t>
      </w:r>
      <w:r>
        <w:rPr/>
        <w:t>股权过户给银川卧龙公司作为担保，银川卧龙公司对于上述股权过户 </w:t>
      </w:r>
      <w:r>
        <w:rPr>
          <w:spacing w:val="-2"/>
        </w:rPr>
        <w:t>行为在协议中做出明确承诺，在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日延期截止日到期前，股权过户只是担保方式，</w:t>
      </w:r>
      <w:r>
        <w:rPr>
          <w:spacing w:val="-112"/>
        </w:rPr>
        <w:t> </w:t>
      </w:r>
      <w:r>
        <w:rPr>
          <w:spacing w:val="-112"/>
        </w:rPr>
      </w:r>
      <w:r>
        <w:rPr/>
        <w:t>除协议中约定的内容外，银川卧龙公司不享有实际上的其他股东权益。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日，盐池 华秦股权变更登记完成。</w:t>
      </w:r>
    </w:p>
    <w:p>
      <w:pPr>
        <w:pStyle w:val="BodyText"/>
        <w:spacing w:line="240" w:lineRule="auto" w:before="89"/>
        <w:ind w:right="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日，本集团不存在其他应披露的资产负债表日后事项。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82"/>
        <w:ind w:right="0"/>
        <w:jc w:val="both"/>
        <w:rPr>
          <w:b w:val="0"/>
          <w:bCs w:val="0"/>
        </w:rPr>
      </w:pPr>
      <w:bookmarkStart w:name="十六、其他重要事项" w:id="419"/>
      <w:bookmarkEnd w:id="41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分部信息" w:id="420"/>
      <w:bookmarkEnd w:id="4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报告分部的确定依据与会计政策"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jc w:val="both"/>
      </w:pPr>
      <w:r>
        <w:rPr>
          <w:spacing w:val="-2"/>
        </w:rPr>
        <w:t>根据本集团的内部组织结构、管理要求及内部报告制度，本集团的经营业务划分为</w:t>
      </w:r>
      <w:r>
        <w:rPr>
          <w:rFonts w:ascii="Times New Roman" w:hAnsi="Times New Roman" w:cs="Times New Roman" w:eastAsia="Times New Roman" w:hint="default"/>
          <w:spacing w:val="-2"/>
        </w:rPr>
        <w:t>3</w:t>
      </w:r>
      <w:r>
        <w:rPr>
          <w:spacing w:val="-2"/>
        </w:rPr>
        <w:t>个报告分</w:t>
      </w:r>
      <w:r>
        <w:rPr/>
        <w:t> 部。这些报告分部是以公司日常内部管理要求的财务信息为基础确定的。集团的管理层定期 评价这些报告分部的经营成果，以决定向其分配资源及评价其业绩。</w:t>
      </w:r>
    </w:p>
    <w:p>
      <w:pPr>
        <w:spacing w:after="0" w:line="312" w:lineRule="exact"/>
        <w:jc w:val="both"/>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本集团报告分部包括：</w:t>
      </w:r>
    </w:p>
    <w:p>
      <w:pPr>
        <w:pStyle w:val="BodyText"/>
        <w:spacing w:line="240" w:lineRule="auto" w:before="214"/>
        <w:ind w:right="0"/>
        <w:jc w:val="both"/>
      </w:pPr>
      <w:r>
        <w:rPr/>
        <w:t>（</w:t>
      </w:r>
      <w:r>
        <w:rPr>
          <w:rFonts w:ascii="Times New Roman" w:hAnsi="Times New Roman" w:cs="Times New Roman" w:eastAsia="Times New Roman" w:hint="default"/>
        </w:rPr>
        <w:t>1</w:t>
      </w:r>
      <w:r>
        <w:rPr/>
        <w:t>）电力分部：合并范围内除银川卧龙和星波通信公司，生产及销售电力设备相关产品；</w:t>
      </w:r>
    </w:p>
    <w:p>
      <w:pPr>
        <w:spacing w:line="240" w:lineRule="auto" w:before="4"/>
        <w:rPr>
          <w:rFonts w:ascii="宋体" w:hAnsi="宋体" w:cs="宋体" w:eastAsia="宋体" w:hint="default"/>
          <w:sz w:val="17"/>
          <w:szCs w:val="17"/>
        </w:rPr>
      </w:pPr>
    </w:p>
    <w:p>
      <w:pPr>
        <w:pStyle w:val="BodyText"/>
        <w:spacing w:line="312" w:lineRule="exact"/>
        <w:ind w:left="1134" w:right="1133"/>
        <w:jc w:val="both"/>
      </w:pPr>
      <w:r>
        <w:rPr>
          <w:spacing w:val="-3"/>
        </w:rPr>
        <w:t>（</w:t>
      </w:r>
      <w:r>
        <w:rPr>
          <w:rFonts w:ascii="Times New Roman" w:hAnsi="Times New Roman" w:cs="Times New Roman" w:eastAsia="Times New Roman" w:hint="default"/>
          <w:spacing w:val="-3"/>
        </w:rPr>
        <w:t>2</w:t>
      </w:r>
      <w:r>
        <w:rPr>
          <w:spacing w:val="-3"/>
        </w:rPr>
        <w:t>）铁路与轨道交通分部：银川卧龙公司，生产及销售铁路变压器及电力变压器、新能源等</w:t>
      </w:r>
      <w:r>
        <w:rPr>
          <w:spacing w:val="-81"/>
        </w:rPr>
        <w:t> </w:t>
      </w:r>
      <w:r>
        <w:rPr>
          <w:spacing w:val="-81"/>
        </w:rPr>
      </w:r>
      <w:r>
        <w:rPr/>
        <w:t>相关产品；</w:t>
      </w:r>
    </w:p>
    <w:p>
      <w:pPr>
        <w:pStyle w:val="BodyText"/>
        <w:spacing w:line="240" w:lineRule="auto" w:before="185"/>
        <w:ind w:right="0"/>
        <w:jc w:val="both"/>
      </w:pPr>
      <w:r>
        <w:rPr/>
        <w:t>（</w:t>
      </w:r>
      <w:r>
        <w:rPr>
          <w:rFonts w:ascii="Times New Roman" w:hAnsi="Times New Roman" w:cs="Times New Roman" w:eastAsia="Times New Roman" w:hint="default"/>
        </w:rPr>
        <w:t>3</w:t>
      </w:r>
      <w:r>
        <w:rPr/>
        <w:t>）军工分部：星波通信公司，生产及销售射频</w:t>
      </w:r>
      <w:r>
        <w:rPr>
          <w:rFonts w:ascii="Times New Roman" w:hAnsi="Times New Roman" w:cs="Times New Roman" w:eastAsia="Times New Roman" w:hint="default"/>
        </w:rPr>
        <w:t>/</w:t>
      </w:r>
      <w:r>
        <w:rPr/>
        <w:t>微波部件等相关产品；</w:t>
      </w:r>
    </w:p>
    <w:p>
      <w:pPr>
        <w:spacing w:line="240" w:lineRule="auto" w:before="4"/>
        <w:rPr>
          <w:rFonts w:ascii="宋体" w:hAnsi="宋体" w:cs="宋体" w:eastAsia="宋体" w:hint="default"/>
          <w:sz w:val="17"/>
          <w:szCs w:val="17"/>
        </w:rPr>
      </w:pPr>
    </w:p>
    <w:p>
      <w:pPr>
        <w:pStyle w:val="BodyText"/>
        <w:spacing w:line="312" w:lineRule="exact"/>
        <w:ind w:right="1135"/>
        <w:jc w:val="both"/>
      </w:pPr>
      <w:r>
        <w:rPr/>
        <w:t>除本节之</w:t>
      </w:r>
      <w:r>
        <w:rPr>
          <w:rFonts w:ascii="Times New Roman" w:hAnsi="Times New Roman" w:cs="Times New Roman" w:eastAsia="Times New Roman" w:hint="default"/>
        </w:rPr>
        <w:t>“</w:t>
      </w:r>
      <w:r>
        <w:rPr/>
        <w:t>五、重要会计政策及会计估计之</w:t>
      </w:r>
      <w:r>
        <w:rPr>
          <w:rFonts w:ascii="Times New Roman" w:hAnsi="Times New Roman" w:cs="Times New Roman" w:eastAsia="Times New Roman" w:hint="default"/>
        </w:rPr>
        <w:t>11</w:t>
      </w:r>
      <w:r>
        <w:rPr/>
        <w:t>、</w:t>
      </w:r>
      <w:r>
        <w:rPr>
          <w:rFonts w:ascii="Times New Roman" w:hAnsi="Times New Roman" w:cs="Times New Roman" w:eastAsia="Times New Roman" w:hint="default"/>
        </w:rPr>
        <w:t>25”</w:t>
      </w:r>
      <w:r>
        <w:rPr/>
        <w:t>按照报告分部列示的会计政策差异外，分</w:t>
      </w:r>
      <w:r>
        <w:rPr>
          <w:spacing w:val="-81"/>
        </w:rPr>
        <w:t> </w:t>
      </w:r>
      <w:r>
        <w:rPr>
          <w:spacing w:val="-81"/>
        </w:rPr>
      </w:r>
      <w:r>
        <w:rPr/>
        <w:t>部报告信息根据各分部向管理层报告时采用的会计政策及计量标准披露，这些会计政策及计</w:t>
      </w:r>
      <w:r>
        <w:rPr>
          <w:w w:val="100"/>
        </w:rPr>
        <w:t> </w:t>
      </w:r>
      <w:r>
        <w:rPr/>
        <w:t>量基础与编制财务报表时的会计政策及计量基础保持一致。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both"/>
        <w:rPr>
          <w:rFonts w:ascii="宋体" w:hAnsi="宋体" w:cs="宋体" w:eastAsia="宋体" w:hint="default"/>
          <w:sz w:val="21"/>
          <w:szCs w:val="21"/>
        </w:rPr>
      </w:pPr>
      <w:bookmarkStart w:name="（2）报告分部的财务信息" w:id="422"/>
      <w:bookmarkEnd w:id="4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71"/>
        <w:gridCol w:w="1606"/>
        <w:gridCol w:w="1594"/>
        <w:gridCol w:w="1594"/>
        <w:gridCol w:w="1595"/>
        <w:gridCol w:w="1594"/>
      </w:tblGrid>
      <w:tr>
        <w:trPr>
          <w:trHeight w:val="162" w:hRule="exact"/>
        </w:trPr>
        <w:tc>
          <w:tcPr>
            <w:tcW w:w="1571" w:type="dxa"/>
            <w:vMerge w:val="restart"/>
            <w:tcBorders>
              <w:top w:val="single" w:sz="4" w:space="0" w:color="000000"/>
              <w:left w:val="single" w:sz="4" w:space="0" w:color="000000"/>
              <w:right w:val="single" w:sz="10" w:space="0" w:color="E0FFFF"/>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nil" w:sz="6" w:space="0" w:color="auto"/>
              <w:right w:val="single" w:sz="4" w:space="0" w:color="000000"/>
            </w:tcBorders>
            <w:shd w:val="clear" w:color="auto" w:fill="E0FFFF"/>
          </w:tcPr>
          <w:p>
            <w:pPr/>
          </w:p>
        </w:tc>
        <w:tc>
          <w:tcPr>
            <w:tcW w:w="159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02" w:right="70" w:hanging="631"/>
              <w:jc w:val="left"/>
              <w:rPr>
                <w:rFonts w:ascii="宋体" w:hAnsi="宋体" w:cs="宋体" w:eastAsia="宋体" w:hint="default"/>
                <w:sz w:val="18"/>
                <w:szCs w:val="18"/>
              </w:rPr>
            </w:pPr>
            <w:r>
              <w:rPr>
                <w:rFonts w:ascii="宋体" w:hAnsi="宋体" w:cs="宋体" w:eastAsia="宋体" w:hint="default"/>
                <w:sz w:val="18"/>
                <w:szCs w:val="18"/>
              </w:rPr>
              <w:t>铁路与轨道交通分 部</w:t>
            </w:r>
          </w:p>
        </w:tc>
        <w:tc>
          <w:tcPr>
            <w:tcW w:w="1594" w:type="dxa"/>
            <w:tcBorders>
              <w:top w:val="single" w:sz="4" w:space="0" w:color="000000"/>
              <w:left w:val="single" w:sz="4" w:space="0" w:color="000000"/>
              <w:bottom w:val="nil" w:sz="6" w:space="0" w:color="auto"/>
              <w:right w:val="single" w:sz="4" w:space="0" w:color="000000"/>
            </w:tcBorders>
            <w:shd w:val="clear" w:color="auto" w:fill="E0FFFF"/>
          </w:tcPr>
          <w:p>
            <w:pPr/>
          </w:p>
        </w:tc>
        <w:tc>
          <w:tcPr>
            <w:tcW w:w="1595" w:type="dxa"/>
            <w:vMerge w:val="restart"/>
            <w:tcBorders>
              <w:top w:val="single" w:sz="4" w:space="0" w:color="000000"/>
              <w:left w:val="single" w:sz="9" w:space="0" w:color="E0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571" w:type="dxa"/>
            <w:vMerge/>
            <w:tcBorders>
              <w:left w:val="single" w:sz="4" w:space="0" w:color="000000"/>
              <w:right w:val="single" w:sz="10" w:space="0" w:color="E0FFFF"/>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电力分部</w:t>
            </w:r>
          </w:p>
        </w:tc>
        <w:tc>
          <w:tcPr>
            <w:tcW w:w="1594" w:type="dxa"/>
            <w:vMerge/>
            <w:tcBorders>
              <w:left w:val="single" w:sz="4" w:space="0" w:color="000000"/>
              <w:right w:val="single" w:sz="4" w:space="0" w:color="000000"/>
            </w:tcBorders>
            <w:shd w:val="clear" w:color="auto" w:fill="E0FFFF"/>
          </w:tcPr>
          <w:p>
            <w:pPr/>
          </w:p>
        </w:tc>
        <w:tc>
          <w:tcPr>
            <w:tcW w:w="1594"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军工分部</w:t>
            </w:r>
          </w:p>
        </w:tc>
        <w:tc>
          <w:tcPr>
            <w:tcW w:w="1595" w:type="dxa"/>
            <w:vMerge/>
            <w:tcBorders>
              <w:left w:val="single" w:sz="9" w:space="0" w:color="E0FFFF"/>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71" w:type="dxa"/>
            <w:vMerge/>
            <w:tcBorders>
              <w:left w:val="single" w:sz="4" w:space="0" w:color="000000"/>
              <w:bottom w:val="single" w:sz="4" w:space="0" w:color="000000"/>
              <w:right w:val="single" w:sz="10" w:space="0" w:color="E0FFFF"/>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E0FFFF"/>
          </w:tcPr>
          <w:p>
            <w:pPr/>
          </w:p>
        </w:tc>
        <w:tc>
          <w:tcPr>
            <w:tcW w:w="1594" w:type="dxa"/>
            <w:vMerge/>
            <w:tcBorders>
              <w:left w:val="single" w:sz="4" w:space="0" w:color="000000"/>
              <w:bottom w:val="single" w:sz="4" w:space="0" w:color="000000"/>
              <w:right w:val="single" w:sz="4" w:space="0" w:color="000000"/>
            </w:tcBorders>
            <w:shd w:val="clear" w:color="auto" w:fill="E0FFFF"/>
          </w:tcPr>
          <w:p>
            <w:pPr/>
          </w:p>
        </w:tc>
        <w:tc>
          <w:tcPr>
            <w:tcW w:w="1594" w:type="dxa"/>
            <w:tcBorders>
              <w:top w:val="nil" w:sz="6" w:space="0" w:color="auto"/>
              <w:left w:val="single" w:sz="4" w:space="0" w:color="000000"/>
              <w:bottom w:val="single" w:sz="4" w:space="0" w:color="000000"/>
              <w:right w:val="single" w:sz="4" w:space="0" w:color="000000"/>
            </w:tcBorders>
            <w:shd w:val="clear" w:color="auto" w:fill="E0FFFF"/>
          </w:tcPr>
          <w:p>
            <w:pPr/>
          </w:p>
        </w:tc>
        <w:tc>
          <w:tcPr>
            <w:tcW w:w="1595" w:type="dxa"/>
            <w:vMerge/>
            <w:tcBorders>
              <w:left w:val="single" w:sz="9" w:space="0" w:color="E0FFFF"/>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381,629,994.25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317,593,431.49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73,125,221.02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-28,487,179.49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743,861,467.27</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353,142,814.76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317,593,431.49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73,125,221.02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743,861,467.27</w:t>
            </w: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28,487,179.49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-28,487,179.49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349,473,081.16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306,685,988.74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72,829,084.25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728,988,154.15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173,089,836.43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212,111,513.53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37,450,967.67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422,652,317.63</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171,022,167.50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212,111,513.87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37,183,035.95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420,316,717.32</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112,639,112.11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34,755,883.42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17,892,542.03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165,287,537.56</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74,557,852.95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66,552,649.93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16,424,187.22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157,534,690.10</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1,841,504,358.61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1,087,394,202.98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264,176,500.78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3,193,075,062.37</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折旧和摊销费用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9,660,222.90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5,400,726.98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1,936,401.00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16,997,350.88</w:t>
            </w: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折旧和摊销以外 的非现金费用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6,268,969.12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6,268,969.12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-239,915.44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3,286,989.92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3,208,380.57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6,255,455.05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公司无报告分部的，或者不能披露各报告分部的资产总额和负债总额的，应说明原因"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4）其他说明"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left"/>
      </w:pPr>
      <w:r>
        <w:rPr/>
        <w:t>①地区信息</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04" w:type="dxa"/>
        <w:tblLayout w:type="fixed"/>
        <w:tblCellMar>
          <w:top w:w="0" w:type="dxa"/>
          <w:left w:w="0" w:type="dxa"/>
          <w:bottom w:w="0" w:type="dxa"/>
          <w:right w:w="0" w:type="dxa"/>
        </w:tblCellMar>
        <w:tblLook w:val="01E0"/>
      </w:tblPr>
      <w:tblGrid>
        <w:gridCol w:w="1833"/>
        <w:gridCol w:w="1963"/>
        <w:gridCol w:w="1972"/>
        <w:gridCol w:w="1673"/>
        <w:gridCol w:w="1655"/>
      </w:tblGrid>
      <w:tr>
        <w:trPr>
          <w:trHeight w:val="670" w:hRule="exact"/>
        </w:trPr>
        <w:tc>
          <w:tcPr>
            <w:tcW w:w="183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9" w:right="0"/>
              <w:jc w:val="left"/>
              <w:rPr>
                <w:rFonts w:ascii="宋体" w:hAnsi="宋体" w:cs="宋体" w:eastAsia="宋体" w:hint="default"/>
                <w:sz w:val="21"/>
                <w:szCs w:val="21"/>
              </w:rPr>
            </w:pPr>
            <w:r>
              <w:rPr>
                <w:rFonts w:ascii="宋体" w:hAnsi="宋体" w:cs="宋体" w:eastAsia="宋体" w:hint="default"/>
                <w:b/>
                <w:bCs/>
                <w:sz w:val="21"/>
                <w:szCs w:val="21"/>
              </w:rPr>
              <w:t>本期或本期期末</w:t>
            </w:r>
            <w:r>
              <w:rPr>
                <w:rFonts w:ascii="宋体" w:hAnsi="宋体" w:cs="宋体" w:eastAsia="宋体" w:hint="default"/>
                <w:sz w:val="21"/>
                <w:szCs w:val="21"/>
              </w:rPr>
            </w:r>
          </w:p>
        </w:tc>
        <w:tc>
          <w:tcPr>
            <w:tcW w:w="196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21"/>
                <w:szCs w:val="21"/>
              </w:rPr>
            </w:pPr>
            <w:r>
              <w:rPr>
                <w:rFonts w:ascii="宋体" w:hAnsi="宋体" w:cs="宋体" w:eastAsia="宋体" w:hint="default"/>
                <w:b/>
                <w:bCs/>
                <w:sz w:val="21"/>
                <w:szCs w:val="21"/>
              </w:rPr>
              <w:t>中国境内</w:t>
            </w:r>
            <w:r>
              <w:rPr>
                <w:rFonts w:ascii="宋体" w:hAnsi="宋体" w:cs="宋体" w:eastAsia="宋体" w:hint="default"/>
                <w:sz w:val="21"/>
                <w:szCs w:val="21"/>
              </w:rPr>
            </w:r>
          </w:p>
        </w:tc>
        <w:tc>
          <w:tcPr>
            <w:tcW w:w="197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23"/>
              <w:jc w:val="right"/>
              <w:rPr>
                <w:rFonts w:ascii="宋体" w:hAnsi="宋体" w:cs="宋体" w:eastAsia="宋体" w:hint="default"/>
                <w:sz w:val="21"/>
                <w:szCs w:val="21"/>
              </w:rPr>
            </w:pPr>
            <w:r>
              <w:rPr>
                <w:rFonts w:ascii="宋体" w:hAnsi="宋体" w:cs="宋体" w:eastAsia="宋体" w:hint="default"/>
                <w:b/>
                <w:bCs/>
                <w:w w:val="95"/>
                <w:sz w:val="21"/>
                <w:szCs w:val="21"/>
              </w:rPr>
              <w:t>其他国家或地区</w:t>
            </w:r>
            <w:r>
              <w:rPr>
                <w:rFonts w:ascii="宋体" w:hAnsi="宋体" w:cs="宋体" w:eastAsia="宋体" w:hint="default"/>
                <w:sz w:val="21"/>
                <w:szCs w:val="21"/>
              </w:rPr>
            </w:r>
          </w:p>
        </w:tc>
        <w:tc>
          <w:tcPr>
            <w:tcW w:w="167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21"/>
                <w:szCs w:val="21"/>
              </w:rPr>
            </w:pPr>
            <w:r>
              <w:rPr>
                <w:rFonts w:ascii="宋体" w:hAnsi="宋体" w:cs="宋体" w:eastAsia="宋体" w:hint="default"/>
                <w:b/>
                <w:bCs/>
                <w:sz w:val="21"/>
                <w:szCs w:val="21"/>
              </w:rPr>
              <w:t>抵销</w:t>
            </w:r>
            <w:r>
              <w:rPr>
                <w:rFonts w:ascii="宋体" w:hAnsi="宋体" w:cs="宋体" w:eastAsia="宋体" w:hint="default"/>
                <w:sz w:val="21"/>
                <w:szCs w:val="21"/>
              </w:rPr>
            </w:r>
          </w:p>
        </w:tc>
        <w:tc>
          <w:tcPr>
            <w:tcW w:w="1655"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42" w:hRule="exact"/>
        </w:trPr>
        <w:tc>
          <w:tcPr>
            <w:tcW w:w="1833"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39" w:right="0"/>
              <w:jc w:val="left"/>
              <w:rPr>
                <w:rFonts w:ascii="宋体" w:hAnsi="宋体" w:cs="宋体" w:eastAsia="宋体" w:hint="default"/>
                <w:sz w:val="21"/>
                <w:szCs w:val="21"/>
              </w:rPr>
            </w:pPr>
            <w:r>
              <w:rPr>
                <w:rFonts w:ascii="宋体" w:hAnsi="宋体" w:cs="宋体" w:eastAsia="宋体" w:hint="default"/>
                <w:sz w:val="21"/>
                <w:szCs w:val="21"/>
              </w:rPr>
              <w:t>对外交易收入</w:t>
            </w:r>
          </w:p>
        </w:tc>
        <w:tc>
          <w:tcPr>
            <w:tcW w:w="196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71"/>
              <w:jc w:val="right"/>
              <w:rPr>
                <w:rFonts w:ascii="Times New Roman" w:hAnsi="Times New Roman" w:cs="Times New Roman" w:eastAsia="Times New Roman" w:hint="default"/>
                <w:sz w:val="21"/>
                <w:szCs w:val="21"/>
              </w:rPr>
            </w:pPr>
            <w:r>
              <w:rPr>
                <w:rFonts w:ascii="Times New Roman"/>
                <w:spacing w:val="-1"/>
                <w:sz w:val="21"/>
              </w:rPr>
              <w:t>737,625,282.12</w:t>
            </w:r>
          </w:p>
        </w:tc>
        <w:tc>
          <w:tcPr>
            <w:tcW w:w="197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22"/>
              <w:jc w:val="right"/>
              <w:rPr>
                <w:rFonts w:ascii="Times New Roman" w:hAnsi="Times New Roman" w:cs="Times New Roman" w:eastAsia="Times New Roman" w:hint="default"/>
                <w:sz w:val="21"/>
                <w:szCs w:val="21"/>
              </w:rPr>
            </w:pPr>
            <w:r>
              <w:rPr>
                <w:rFonts w:ascii="Times New Roman"/>
                <w:spacing w:val="-1"/>
                <w:sz w:val="21"/>
              </w:rPr>
              <w:t>6,236,185.15</w:t>
            </w:r>
          </w:p>
        </w:tc>
        <w:tc>
          <w:tcPr>
            <w:tcW w:w="1673" w:type="dxa"/>
            <w:tcBorders>
              <w:top w:val="single" w:sz="8" w:space="0" w:color="000000"/>
              <w:left w:val="nil" w:sz="6" w:space="0" w:color="auto"/>
              <w:bottom w:val="single" w:sz="8" w:space="0" w:color="000000"/>
              <w:right w:val="nil" w:sz="6" w:space="0" w:color="auto"/>
            </w:tcBorders>
          </w:tcPr>
          <w:p>
            <w:pPr/>
          </w:p>
        </w:tc>
        <w:tc>
          <w:tcPr>
            <w:tcW w:w="165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743,861,467.27</w:t>
            </w:r>
          </w:p>
        </w:tc>
      </w:tr>
      <w:tr>
        <w:trPr>
          <w:trHeight w:val="342" w:hRule="exact"/>
        </w:trPr>
        <w:tc>
          <w:tcPr>
            <w:tcW w:w="1833" w:type="dxa"/>
            <w:tcBorders>
              <w:top w:val="single" w:sz="8" w:space="0" w:color="000000"/>
              <w:left w:val="nil" w:sz="6" w:space="0" w:color="auto"/>
              <w:bottom w:val="single" w:sz="8" w:space="0" w:color="000000"/>
              <w:right w:val="nil" w:sz="6" w:space="0" w:color="auto"/>
            </w:tcBorders>
          </w:tcPr>
          <w:p>
            <w:pPr>
              <w:pStyle w:val="TableParagraph"/>
              <w:spacing w:line="260" w:lineRule="exact"/>
              <w:ind w:left="39"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6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72"/>
              <w:jc w:val="right"/>
              <w:rPr>
                <w:rFonts w:ascii="Times New Roman" w:hAnsi="Times New Roman" w:cs="Times New Roman" w:eastAsia="Times New Roman" w:hint="default"/>
                <w:sz w:val="21"/>
                <w:szCs w:val="21"/>
              </w:rPr>
            </w:pPr>
            <w:r>
              <w:rPr>
                <w:rFonts w:ascii="Times New Roman"/>
                <w:spacing w:val="-1"/>
                <w:sz w:val="21"/>
              </w:rPr>
              <w:t>1,517,600,961.41</w:t>
            </w:r>
          </w:p>
        </w:tc>
        <w:tc>
          <w:tcPr>
            <w:tcW w:w="197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23"/>
              <w:jc w:val="right"/>
              <w:rPr>
                <w:rFonts w:ascii="Times New Roman" w:hAnsi="Times New Roman" w:cs="Times New Roman" w:eastAsia="Times New Roman" w:hint="default"/>
                <w:sz w:val="21"/>
                <w:szCs w:val="21"/>
              </w:rPr>
            </w:pPr>
            <w:r>
              <w:rPr>
                <w:rFonts w:ascii="Times New Roman"/>
                <w:spacing w:val="-1"/>
                <w:sz w:val="21"/>
              </w:rPr>
              <w:t>1,610,633.62</w:t>
            </w:r>
          </w:p>
        </w:tc>
        <w:tc>
          <w:tcPr>
            <w:tcW w:w="167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73"/>
              <w:jc w:val="right"/>
              <w:rPr>
                <w:rFonts w:ascii="Times New Roman" w:hAnsi="Times New Roman" w:cs="Times New Roman" w:eastAsia="Times New Roman" w:hint="default"/>
                <w:sz w:val="21"/>
                <w:szCs w:val="21"/>
              </w:rPr>
            </w:pPr>
            <w:r>
              <w:rPr>
                <w:rFonts w:ascii="Times New Roman"/>
                <w:spacing w:val="-1"/>
                <w:sz w:val="21"/>
              </w:rPr>
              <w:t>-1,437,734.43</w:t>
            </w:r>
          </w:p>
        </w:tc>
        <w:tc>
          <w:tcPr>
            <w:tcW w:w="165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1,517,233,476.71</w:t>
            </w:r>
          </w:p>
        </w:tc>
      </w:tr>
    </w:tbl>
    <w:p>
      <w:pPr>
        <w:pStyle w:val="BodyText"/>
        <w:spacing w:line="403" w:lineRule="auto" w:before="81"/>
        <w:ind w:right="2333" w:firstLine="96"/>
        <w:jc w:val="left"/>
      </w:pPr>
      <w:r>
        <w:rPr/>
        <w:pict>
          <v:group style="position:absolute;margin-left:55.200001pt;margin-top:-68.174377pt;width:485pt;height:.1pt;mso-position-horizontal-relative:page;mso-position-vertical-relative:paragraph;z-index:-1459264" coordorigin="1104,-1363" coordsize="9700,2">
            <v:shape style="position:absolute;left:1104;top:-1363;width:9700;height:2" coordorigin="1104,-1363" coordsize="9700,0" path="m1104,-1363l10804,-1363e" filled="false" stroked="true" strokeweight=".72pt" strokecolor="#000000">
              <v:path arrowok="t"/>
            </v:shape>
            <w10:wrap type="none"/>
          </v:group>
        </w:pict>
      </w:r>
      <w:r>
        <w:rPr/>
        <w:t>②对主要客户的依赖程度 从铁路与轨道交通分部的某一客户处，所获得的收入占本集团总收入的</w:t>
      </w:r>
      <w:r>
        <w:rPr>
          <w:rFonts w:ascii="Times New Roman" w:hAnsi="Times New Roman" w:cs="Times New Roman" w:eastAsia="Times New Roman" w:hint="default"/>
        </w:rPr>
        <w:t>10.52%</w:t>
      </w:r>
      <w:r>
        <w:rPr/>
        <w:t>。</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其他对投资者决策有影响的重要交易和事项" w:id="425"/>
      <w:bookmarkEnd w:id="4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3、其他" w:id="426"/>
      <w:bookmarkEnd w:id="4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7"/>
        <w:jc w:val="both"/>
      </w:pPr>
      <w:r>
        <w:rPr/>
        <w:t>（</w:t>
      </w:r>
      <w:r>
        <w:rPr>
          <w:rFonts w:ascii="Times New Roman" w:hAnsi="Times New Roman" w:cs="Times New Roman" w:eastAsia="Times New Roman" w:hint="default"/>
        </w:rPr>
        <w:t>1</w:t>
      </w:r>
      <w:r>
        <w:rPr/>
        <w:t>）涵普电力公司</w:t>
      </w:r>
      <w:r>
        <w:rPr>
          <w:rFonts w:ascii="Times New Roman" w:hAnsi="Times New Roman" w:cs="Times New Roman" w:eastAsia="Times New Roman" w:hint="default"/>
        </w:rPr>
        <w:t>“2017</w:t>
      </w:r>
      <w:r>
        <w:rPr/>
        <w:t>年董事会</w:t>
      </w:r>
      <w:r>
        <w:rPr>
          <w:rFonts w:ascii="Times New Roman" w:hAnsi="Times New Roman" w:cs="Times New Roman" w:eastAsia="Times New Roman" w:hint="default"/>
        </w:rPr>
        <w:t>1</w:t>
      </w:r>
      <w:r>
        <w:rPr/>
        <w:t>号决议</w:t>
      </w:r>
      <w:r>
        <w:rPr>
          <w:rFonts w:ascii="Times New Roman" w:hAnsi="Times New Roman" w:cs="Times New Roman" w:eastAsia="Times New Roman" w:hint="default"/>
        </w:rPr>
        <w:t>”</w:t>
      </w:r>
      <w:r>
        <w:rPr/>
        <w:t>审议并通过《关于向海盐县城市开发有限公司出</w:t>
      </w:r>
      <w:r>
        <w:rPr>
          <w:spacing w:val="-81"/>
        </w:rPr>
        <w:t> </w:t>
      </w:r>
      <w:r>
        <w:rPr>
          <w:spacing w:val="-81"/>
        </w:rPr>
      </w:r>
      <w:r>
        <w:rPr/>
        <w:t>售浙江涵普电力科技有限公司厂区房产、土地及其地面附属物的议案》，涵普电力公司董事 会同意管理层提出的以不低于</w:t>
      </w:r>
      <w:r>
        <w:rPr>
          <w:rFonts w:ascii="Times New Roman" w:hAnsi="Times New Roman" w:cs="Times New Roman" w:eastAsia="Times New Roman" w:hint="default"/>
        </w:rPr>
        <w:t>1400</w:t>
      </w:r>
      <w:r>
        <w:rPr/>
        <w:t>万元人民币的价格向海盐县城市开发有限公司出售涵普电</w:t>
      </w:r>
      <w:r>
        <w:rPr>
          <w:spacing w:val="-115"/>
        </w:rPr>
        <w:t> </w:t>
      </w:r>
      <w:r>
        <w:rPr>
          <w:spacing w:val="-115"/>
        </w:rPr>
      </w:r>
      <w:r>
        <w:rPr/>
        <w:t>力科技有限公司厂区房产、土地及其地面附属物的申请。本次出售厂区房产、土地及其他地 面附属物等资产所筹措的资金将用于公司购地建新厂房等事项。</w:t>
      </w:r>
    </w:p>
    <w:p>
      <w:pPr>
        <w:pStyle w:val="BodyText"/>
        <w:spacing w:line="312" w:lineRule="exact" w:before="216"/>
        <w:ind w:right="1139"/>
        <w:jc w:val="both"/>
      </w:pPr>
      <w:r>
        <w:rPr/>
        <w:t>上述房产、土地及其地面附属物不能立即出售且尚无明确的处置计划，因此不调整至持有待 售的非流动资产列报。</w:t>
      </w:r>
    </w:p>
    <w:p>
      <w:pPr>
        <w:pStyle w:val="BodyText"/>
        <w:spacing w:line="312" w:lineRule="exact" w:before="216"/>
        <w:ind w:right="1131"/>
        <w:jc w:val="both"/>
      </w:pPr>
      <w:r>
        <w:rPr/>
        <w:t>（</w:t>
      </w:r>
      <w:r>
        <w:rPr>
          <w:rFonts w:ascii="Times New Roman" w:hAnsi="Times New Roman" w:cs="Times New Roman" w:eastAsia="Times New Roman" w:hint="default"/>
        </w:rPr>
        <w:t>2</w:t>
      </w:r>
      <w:r>
        <w:rPr/>
        <w:t>）涵普电力公司</w:t>
      </w:r>
      <w:r>
        <w:rPr>
          <w:rFonts w:ascii="Times New Roman" w:hAnsi="Times New Roman" w:cs="Times New Roman" w:eastAsia="Times New Roman" w:hint="default"/>
        </w:rPr>
        <w:t>“</w:t>
      </w:r>
      <w:r>
        <w:rPr/>
        <w:t>第一届董事会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号决议</w:t>
      </w:r>
      <w:r>
        <w:rPr>
          <w:rFonts w:ascii="Times New Roman" w:hAnsi="Times New Roman" w:cs="Times New Roman" w:eastAsia="Times New Roman" w:hint="default"/>
        </w:rPr>
        <w:t>”</w:t>
      </w:r>
      <w:r>
        <w:rPr/>
        <w:t>审议并通过了《关于申请购地建设新厂区</w:t>
      </w:r>
      <w:r>
        <w:rPr>
          <w:spacing w:val="-79"/>
        </w:rPr>
        <w:t> </w:t>
      </w:r>
      <w:r>
        <w:rPr>
          <w:spacing w:val="-79"/>
        </w:rPr>
      </w:r>
      <w:r>
        <w:rPr/>
        <w:t>的议案》， 公司拟使用不超过</w:t>
      </w:r>
      <w:r>
        <w:rPr>
          <w:rFonts w:ascii="Times New Roman" w:hAnsi="Times New Roman" w:cs="Times New Roman" w:eastAsia="Times New Roman" w:hint="default"/>
        </w:rPr>
        <w:t>800</w:t>
      </w:r>
      <w:r>
        <w:rPr/>
        <w:t>万元人民币的自筹资金向海盐县人民政府武原街道办事处</w:t>
      </w:r>
      <w:r>
        <w:rPr>
          <w:spacing w:val="-114"/>
        </w:rPr>
        <w:t> </w:t>
      </w:r>
      <w:r>
        <w:rPr>
          <w:spacing w:val="-114"/>
        </w:rPr>
      </w:r>
      <w:r>
        <w:rPr/>
        <w:t>购买不超过</w:t>
      </w:r>
      <w:r>
        <w:rPr>
          <w:rFonts w:ascii="Times New Roman" w:hAnsi="Times New Roman" w:cs="Times New Roman" w:eastAsia="Times New Roman" w:hint="default"/>
        </w:rPr>
        <w:t>25</w:t>
      </w:r>
      <w:r>
        <w:rPr/>
        <w:t>亩土地用于新建厂房。</w:t>
      </w:r>
    </w:p>
    <w:p>
      <w:pPr>
        <w:pStyle w:val="BodyText"/>
        <w:spacing w:line="312" w:lineRule="exact" w:before="216"/>
        <w:ind w:right="1131"/>
        <w:jc w:val="both"/>
      </w:pPr>
      <w:r>
        <w:rPr>
          <w:spacing w:val="-2"/>
        </w:rPr>
        <w:t>涵普电力公司已于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日向海盐县财政局财政专户支付</w:t>
      </w:r>
      <w:r>
        <w:rPr>
          <w:rFonts w:ascii="Times New Roman" w:hAnsi="Times New Roman" w:cs="Times New Roman" w:eastAsia="Times New Roman" w:hint="default"/>
          <w:spacing w:val="-2"/>
        </w:rPr>
        <w:t>610</w:t>
      </w:r>
      <w:r>
        <w:rPr>
          <w:spacing w:val="-2"/>
        </w:rPr>
        <w:t>万元人民币交易保证金，用</w:t>
      </w:r>
      <w:r>
        <w:rPr>
          <w:spacing w:val="-112"/>
        </w:rPr>
        <w:t> </w:t>
      </w:r>
      <w:r>
        <w:rPr>
          <w:spacing w:val="-112"/>
        </w:rPr>
      </w:r>
      <w:r>
        <w:rPr/>
        <w:t>于竞买</w:t>
      </w:r>
      <w:r>
        <w:rPr>
          <w:rFonts w:ascii="Times New Roman" w:hAnsi="Times New Roman" w:cs="Times New Roman" w:eastAsia="Times New Roman" w:hint="default"/>
        </w:rPr>
        <w:t>“</w:t>
      </w:r>
      <w:r>
        <w:rPr/>
        <w:t>海盐县</w:t>
      </w:r>
      <w:r>
        <w:rPr>
          <w:rFonts w:ascii="Times New Roman" w:hAnsi="Times New Roman" w:cs="Times New Roman" w:eastAsia="Times New Roman" w:hint="default"/>
        </w:rPr>
        <w:t>2018-006</w:t>
      </w:r>
      <w:r>
        <w:rPr/>
        <w:t>号</w:t>
      </w:r>
      <w:r>
        <w:rPr>
          <w:rFonts w:ascii="Times New Roman" w:hAnsi="Times New Roman" w:cs="Times New Roman" w:eastAsia="Times New Roman" w:hint="default"/>
        </w:rPr>
        <w:t>”</w:t>
      </w:r>
      <w:r>
        <w:rPr/>
        <w:t>地块。根据浙江省土地使用权网上交易系统显示，本公司已成功</w:t>
      </w:r>
      <w:r>
        <w:rPr>
          <w:spacing w:val="-33"/>
        </w:rPr>
        <w:t> </w:t>
      </w:r>
      <w:r>
        <w:rPr>
          <w:spacing w:val="-33"/>
        </w:rPr>
      </w:r>
      <w:r>
        <w:rPr/>
        <w:t>竟得</w:t>
      </w:r>
      <w:r>
        <w:rPr>
          <w:rFonts w:ascii="Times New Roman" w:hAnsi="Times New Roman" w:cs="Times New Roman" w:eastAsia="Times New Roman" w:hint="default"/>
        </w:rPr>
        <w:t>“</w:t>
      </w:r>
      <w:r>
        <w:rPr/>
        <w:t>海盐县</w:t>
      </w:r>
      <w:r>
        <w:rPr>
          <w:rFonts w:ascii="Times New Roman" w:hAnsi="Times New Roman" w:cs="Times New Roman" w:eastAsia="Times New Roman" w:hint="default"/>
        </w:rPr>
        <w:t>2018-006</w:t>
      </w:r>
      <w:r>
        <w:rPr/>
        <w:t>号</w:t>
      </w:r>
      <w:r>
        <w:rPr>
          <w:rFonts w:ascii="Times New Roman" w:hAnsi="Times New Roman" w:cs="Times New Roman" w:eastAsia="Times New Roman" w:hint="default"/>
        </w:rPr>
        <w:t>”</w:t>
      </w:r>
      <w:r>
        <w:rPr/>
        <w:t>地块，成交价为</w:t>
      </w:r>
      <w:r>
        <w:rPr>
          <w:rFonts w:ascii="Times New Roman" w:hAnsi="Times New Roman" w:cs="Times New Roman" w:eastAsia="Times New Roman" w:hint="default"/>
        </w:rPr>
        <w:t>788</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71"/>
        <w:ind w:right="0"/>
        <w:jc w:val="both"/>
        <w:rPr>
          <w:b w:val="0"/>
          <w:bCs w:val="0"/>
        </w:rPr>
      </w:pPr>
      <w:bookmarkStart w:name="十七、母公司财务报表主要项目注释" w:id="427"/>
      <w:bookmarkEnd w:id="427"/>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应收账款" w:id="428"/>
      <w:bookmarkEnd w:id="4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应收账款分类披露"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74"/>
        <w:gridCol w:w="739"/>
        <w:gridCol w:w="812"/>
        <w:gridCol w:w="643"/>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158,675,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22,391,2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14.11%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136,284,3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239,340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24,696,22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10.32%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214,644,73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552.90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44.84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08.06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,960.14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8.38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1.76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158,675,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552.90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22,391,2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14.11%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136,284,3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08.06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239,340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,960.14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24,696,22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214,644,73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74,843,067.59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3,742,153.38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22,329,777.13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2,232,977.71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24,553,555.53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4,910,711.11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13,153,863.58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3,946,159.07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8,894,139.00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4,447,069.50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3,112,174.07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3,112,174.07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146,886,576.90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22,391,244.84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left="1134" w:right="0"/>
        <w:jc w:val="left"/>
      </w:pPr>
      <w:r>
        <w:rPr/>
        <w:t>确定该等应收账款组合的依据是各个明细项目的账龄。</w:t>
      </w:r>
    </w:p>
    <w:p>
      <w:pPr>
        <w:spacing w:before="88"/>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324" w:lineRule="exact"/>
        <w:ind w:right="0"/>
        <w:jc w:val="left"/>
      </w:pPr>
      <w:r>
        <w:rPr/>
        <w:t>公司对于应收账款之组合</w:t>
      </w:r>
      <w:r>
        <w:rPr>
          <w:rFonts w:ascii="Times New Roman" w:hAnsi="Times New Roman" w:cs="Times New Roman" w:eastAsia="Times New Roman" w:hint="default"/>
        </w:rPr>
        <w:t>2</w:t>
      </w:r>
      <w:r>
        <w:rPr/>
        <w:t>：合并范围内的关联方应收款不计提坏账。</w:t>
      </w:r>
    </w:p>
    <w:p>
      <w:pPr>
        <w:spacing w:line="240" w:lineRule="auto" w:before="4"/>
        <w:rPr>
          <w:rFonts w:ascii="宋体" w:hAnsi="宋体" w:cs="宋体" w:eastAsia="宋体" w:hint="default"/>
          <w:sz w:val="23"/>
          <w:szCs w:val="23"/>
        </w:rPr>
      </w:pPr>
    </w:p>
    <w:p>
      <w:pPr>
        <w:spacing w:before="0"/>
        <w:ind w:left="1133" w:right="0" w:firstLine="0"/>
        <w:jc w:val="left"/>
        <w:rPr>
          <w:rFonts w:ascii="宋体" w:hAnsi="宋体" w:cs="宋体" w:eastAsia="宋体" w:hint="default"/>
          <w:sz w:val="21"/>
          <w:szCs w:val="21"/>
        </w:rPr>
      </w:pPr>
      <w:bookmarkStart w:name="（2）本期计提、收回或转回的坏账准备情况"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spacing w:line="340" w:lineRule="auto" w:before="44"/>
        <w:ind w:left="113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2,304,983.54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本期实际核销的应收账款情况" w:id="431"/>
      <w:bookmarkEnd w:id="4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按欠款方归集的期末余额前五名的应收账款情况"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0"/>
        <w:jc w:val="left"/>
      </w:pPr>
      <w:r>
        <w:rPr>
          <w:spacing w:val="-1"/>
        </w:rPr>
        <w:t>本期按欠款方归集的期末余额前五名应收账款汇总金额</w:t>
      </w:r>
      <w:r>
        <w:rPr>
          <w:rFonts w:ascii="Times New Roman" w:hAnsi="Times New Roman" w:cs="Times New Roman" w:eastAsia="Times New Roman" w:hint="default"/>
          <w:spacing w:val="-1"/>
        </w:rPr>
        <w:t>4008.32</w:t>
      </w:r>
      <w:r>
        <w:rPr>
          <w:spacing w:val="-1"/>
        </w:rPr>
        <w:t>万元，占应收账款期末余额合</w:t>
      </w:r>
      <w:r>
        <w:rPr>
          <w:spacing w:val="-98"/>
        </w:rPr>
        <w:t> </w:t>
      </w:r>
      <w:r>
        <w:rPr>
          <w:spacing w:val="-98"/>
        </w:rPr>
      </w:r>
      <w:r>
        <w:rPr/>
        <w:t>计数的比例</w:t>
      </w:r>
      <w:r>
        <w:rPr>
          <w:rFonts w:ascii="Times New Roman" w:hAnsi="Times New Roman" w:cs="Times New Roman" w:eastAsia="Times New Roman" w:hint="default"/>
        </w:rPr>
        <w:t>25.26%</w:t>
      </w:r>
      <w:r>
        <w:rPr/>
        <w:t>，相应计提的坏账准备期末余额汇总金额</w:t>
      </w:r>
      <w:r>
        <w:rPr>
          <w:rFonts w:ascii="Times New Roman" w:hAnsi="Times New Roman" w:cs="Times New Roman" w:eastAsia="Times New Roman" w:hint="default"/>
        </w:rPr>
        <w:t>400.10</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4"/>
        <w:ind w:left="1133" w:right="0" w:firstLine="0"/>
        <w:jc w:val="left"/>
        <w:rPr>
          <w:rFonts w:ascii="宋体" w:hAnsi="宋体" w:cs="宋体" w:eastAsia="宋体" w:hint="default"/>
          <w:sz w:val="21"/>
          <w:szCs w:val="21"/>
        </w:rPr>
      </w:pPr>
      <w:bookmarkStart w:name="（5）因金融资产转移而终止确认的应收账款"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6）转移应收账款且继续涉入形成的资产、负债金额"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其他应收款" w:id="435"/>
      <w:bookmarkEnd w:id="43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其他应收款分类披露"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7,540,81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183,795.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7,357,019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7,886,4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7,763,998.7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7,540,81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183,795.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7,357,019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7,886,4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7,763,998.7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2" w:right="0"/>
              <w:jc w:val="left"/>
              <w:rPr>
                <w:rFonts w:ascii="Times New Roman" w:hAnsi="Times New Roman" w:cs="Times New Roman" w:eastAsia="Times New Roman" w:hint="default"/>
                <w:sz w:val="18"/>
                <w:szCs w:val="18"/>
              </w:rPr>
            </w:pPr>
            <w:r>
              <w:rPr>
                <w:rFonts w:ascii="Times New Roman"/>
                <w:sz w:val="18"/>
              </w:rPr>
              <w:t>275,903.90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13,795.20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595,903.90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183,795.20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left="1134" w:right="0"/>
        <w:jc w:val="left"/>
      </w:pPr>
      <w:r>
        <w:rPr/>
        <w:t>确定该等其他应收账款组合的依据是各个明细项目的账龄。</w:t>
      </w:r>
    </w:p>
    <w:p>
      <w:pPr>
        <w:spacing w:before="88"/>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2" w:lineRule="exact" w:before="83"/>
        <w:ind w:right="1153"/>
        <w:jc w:val="left"/>
      </w:pPr>
      <w:r>
        <w:rPr/>
        <w:t>采用其他方法计提坏账准备的其他应收款包括组合</w:t>
      </w:r>
      <w:r>
        <w:rPr>
          <w:rFonts w:ascii="Times New Roman" w:hAnsi="Times New Roman" w:cs="Times New Roman" w:eastAsia="Times New Roman" w:hint="default"/>
        </w:rPr>
        <w:t>3</w:t>
      </w:r>
      <w:r>
        <w:rPr/>
        <w:t>其他应收款之应收备用金、组合</w:t>
      </w:r>
      <w:r>
        <w:rPr>
          <w:rFonts w:ascii="Times New Roman" w:hAnsi="Times New Roman" w:cs="Times New Roman" w:eastAsia="Times New Roman" w:hint="default"/>
        </w:rPr>
        <w:t>4</w:t>
      </w:r>
      <w:r>
        <w:rPr/>
        <w:t>其他应 收款之应收保证金，按个别认定法根据具体情况确定坏账计提比例，具体的明细如下：</w:t>
      </w:r>
    </w:p>
    <w:tbl>
      <w:tblPr>
        <w:tblW w:w="0" w:type="auto"/>
        <w:jc w:val="left"/>
        <w:tblInd w:w="1119" w:type="dxa"/>
        <w:tblLayout w:type="fixed"/>
        <w:tblCellMar>
          <w:top w:w="0" w:type="dxa"/>
          <w:left w:w="0" w:type="dxa"/>
          <w:bottom w:w="0" w:type="dxa"/>
          <w:right w:w="0" w:type="dxa"/>
        </w:tblCellMar>
        <w:tblLook w:val="01E0"/>
      </w:tblPr>
      <w:tblGrid>
        <w:gridCol w:w="1650"/>
        <w:gridCol w:w="1603"/>
        <w:gridCol w:w="1654"/>
        <w:gridCol w:w="2303"/>
        <w:gridCol w:w="1979"/>
      </w:tblGrid>
      <w:tr>
        <w:trPr>
          <w:trHeight w:val="347" w:hRule="exact"/>
        </w:trPr>
        <w:tc>
          <w:tcPr>
            <w:tcW w:w="1650"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603"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21"/>
              <w:jc w:val="center"/>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1654"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85" w:lineRule="exact"/>
              <w:ind w:left="53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711" w:right="0"/>
              <w:jc w:val="left"/>
              <w:rPr>
                <w:rFonts w:ascii="宋体" w:hAnsi="宋体" w:cs="宋体" w:eastAsia="宋体" w:hint="default"/>
                <w:sz w:val="21"/>
                <w:szCs w:val="21"/>
              </w:rPr>
            </w:pPr>
            <w:r>
              <w:rPr>
                <w:rFonts w:ascii="宋体" w:hAnsi="宋体" w:cs="宋体" w:eastAsia="宋体" w:hint="default"/>
                <w:b/>
                <w:bCs/>
                <w:sz w:val="21"/>
                <w:szCs w:val="21"/>
              </w:rPr>
              <w:t>净额</w:t>
            </w:r>
            <w:r>
              <w:rPr>
                <w:rFonts w:ascii="宋体" w:hAnsi="宋体" w:cs="宋体" w:eastAsia="宋体" w:hint="default"/>
                <w:sz w:val="21"/>
                <w:szCs w:val="21"/>
              </w:rPr>
            </w:r>
          </w:p>
        </w:tc>
      </w:tr>
      <w:tr>
        <w:trPr>
          <w:trHeight w:val="659" w:hRule="exact"/>
        </w:trPr>
        <w:tc>
          <w:tcPr>
            <w:tcW w:w="1650"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4" w:right="226"/>
              <w:jc w:val="left"/>
              <w:rPr>
                <w:rFonts w:ascii="宋体" w:hAnsi="宋体" w:cs="宋体" w:eastAsia="宋体" w:hint="default"/>
                <w:sz w:val="21"/>
                <w:szCs w:val="21"/>
              </w:rPr>
            </w:pPr>
            <w:r>
              <w:rPr>
                <w:rFonts w:ascii="宋体" w:hAnsi="宋体" w:cs="宋体" w:eastAsia="宋体" w:hint="default"/>
                <w:spacing w:val="4"/>
                <w:sz w:val="21"/>
                <w:szCs w:val="21"/>
              </w:rPr>
              <w:t>组合</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：应收员</w:t>
            </w:r>
            <w:r>
              <w:rPr>
                <w:rFonts w:ascii="宋体" w:hAnsi="宋体" w:cs="宋体" w:eastAsia="宋体" w:hint="default"/>
                <w:sz w:val="21"/>
                <w:szCs w:val="21"/>
              </w:rPr>
              <w:t> 工备用金等</w:t>
            </w:r>
          </w:p>
        </w:tc>
        <w:tc>
          <w:tcPr>
            <w:tcW w:w="1603" w:type="dxa"/>
            <w:tcBorders>
              <w:top w:val="single" w:sz="6" w:space="0" w:color="000000"/>
              <w:left w:val="nil" w:sz="6" w:space="0" w:color="auto"/>
              <w:bottom w:val="single" w:sz="6" w:space="0" w:color="000000"/>
              <w:right w:val="nil" w:sz="6" w:space="0" w:color="auto"/>
            </w:tcBorders>
          </w:tcPr>
          <w:p>
            <w:pPr/>
          </w:p>
        </w:tc>
        <w:tc>
          <w:tcPr>
            <w:tcW w:w="1654" w:type="dxa"/>
            <w:tcBorders>
              <w:top w:val="single" w:sz="6" w:space="0" w:color="000000"/>
              <w:left w:val="nil" w:sz="6" w:space="0" w:color="auto"/>
              <w:bottom w:val="single" w:sz="6" w:space="0" w:color="000000"/>
              <w:right w:val="nil" w:sz="6" w:space="0" w:color="auto"/>
            </w:tcBorders>
          </w:tcPr>
          <w:p>
            <w:pPr/>
          </w:p>
        </w:tc>
        <w:tc>
          <w:tcPr>
            <w:tcW w:w="2303"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
        </w:tc>
      </w:tr>
      <w:tr>
        <w:trPr>
          <w:trHeight w:val="659" w:hRule="exact"/>
        </w:trPr>
        <w:tc>
          <w:tcPr>
            <w:tcW w:w="1650"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4" w:right="226"/>
              <w:jc w:val="left"/>
              <w:rPr>
                <w:rFonts w:ascii="宋体" w:hAnsi="宋体" w:cs="宋体" w:eastAsia="宋体" w:hint="default"/>
                <w:sz w:val="21"/>
                <w:szCs w:val="21"/>
              </w:rPr>
            </w:pPr>
            <w:r>
              <w:rPr>
                <w:rFonts w:ascii="宋体" w:hAnsi="宋体" w:cs="宋体" w:eastAsia="宋体" w:hint="default"/>
                <w:spacing w:val="4"/>
                <w:sz w:val="21"/>
                <w:szCs w:val="21"/>
              </w:rPr>
              <w:t>组合</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：应收保</w:t>
            </w:r>
            <w:r>
              <w:rPr>
                <w:rFonts w:ascii="宋体" w:hAnsi="宋体" w:cs="宋体" w:eastAsia="宋体" w:hint="default"/>
                <w:sz w:val="21"/>
                <w:szCs w:val="21"/>
              </w:rPr>
              <w:t> 证金</w:t>
            </w:r>
          </w:p>
        </w:tc>
        <w:tc>
          <w:tcPr>
            <w:tcW w:w="1603"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right="42"/>
              <w:jc w:val="center"/>
              <w:rPr>
                <w:rFonts w:ascii="Times New Roman" w:hAnsi="Times New Roman" w:cs="Times New Roman" w:eastAsia="Times New Roman" w:hint="default"/>
                <w:sz w:val="21"/>
                <w:szCs w:val="21"/>
              </w:rPr>
            </w:pPr>
            <w:r>
              <w:rPr>
                <w:rFonts w:ascii="Times New Roman"/>
                <w:sz w:val="21"/>
              </w:rPr>
              <w:t>6,944,911.24</w:t>
            </w:r>
          </w:p>
        </w:tc>
        <w:tc>
          <w:tcPr>
            <w:tcW w:w="1654" w:type="dxa"/>
            <w:tcBorders>
              <w:top w:val="single" w:sz="6" w:space="0" w:color="000000"/>
              <w:left w:val="nil" w:sz="6" w:space="0" w:color="auto"/>
              <w:bottom w:val="single" w:sz="6" w:space="0" w:color="000000"/>
              <w:right w:val="nil" w:sz="6" w:space="0" w:color="auto"/>
            </w:tcBorders>
          </w:tcPr>
          <w:p>
            <w:pPr/>
          </w:p>
        </w:tc>
        <w:tc>
          <w:tcPr>
            <w:tcW w:w="2303"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5"/>
              <w:ind w:left="757" w:right="0"/>
              <w:jc w:val="left"/>
              <w:rPr>
                <w:rFonts w:ascii="Times New Roman" w:hAnsi="Times New Roman" w:cs="Times New Roman" w:eastAsia="Times New Roman" w:hint="default"/>
                <w:sz w:val="21"/>
                <w:szCs w:val="21"/>
              </w:rPr>
            </w:pPr>
            <w:r>
              <w:rPr>
                <w:rFonts w:ascii="Times New Roman"/>
                <w:sz w:val="21"/>
              </w:rPr>
              <w:t>6,944,911.24</w:t>
            </w:r>
          </w:p>
        </w:tc>
      </w:tr>
      <w:tr>
        <w:trPr>
          <w:trHeight w:val="348" w:hRule="exact"/>
        </w:trPr>
        <w:tc>
          <w:tcPr>
            <w:tcW w:w="1650"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603" w:type="dxa"/>
            <w:tcBorders>
              <w:top w:val="single" w:sz="6" w:space="0" w:color="000000"/>
              <w:left w:val="nil" w:sz="6" w:space="0" w:color="auto"/>
              <w:bottom w:val="single" w:sz="6" w:space="0" w:color="000000"/>
              <w:right w:val="nil" w:sz="6" w:space="0" w:color="auto"/>
            </w:tcBorders>
          </w:tcPr>
          <w:p>
            <w:pPr>
              <w:pStyle w:val="TableParagraph"/>
              <w:spacing w:line="240" w:lineRule="auto" w:before="47"/>
              <w:ind w:right="42"/>
              <w:jc w:val="center"/>
              <w:rPr>
                <w:rFonts w:ascii="Times New Roman" w:hAnsi="Times New Roman" w:cs="Times New Roman" w:eastAsia="Times New Roman" w:hint="default"/>
                <w:sz w:val="21"/>
                <w:szCs w:val="21"/>
              </w:rPr>
            </w:pPr>
            <w:r>
              <w:rPr>
                <w:rFonts w:ascii="Times New Roman"/>
                <w:b/>
                <w:sz w:val="21"/>
              </w:rPr>
              <w:t>6,944,911.24</w:t>
            </w:r>
            <w:r>
              <w:rPr>
                <w:rFonts w:ascii="Times New Roman"/>
                <w:sz w:val="21"/>
              </w:rPr>
            </w:r>
          </w:p>
        </w:tc>
        <w:tc>
          <w:tcPr>
            <w:tcW w:w="1654" w:type="dxa"/>
            <w:tcBorders>
              <w:top w:val="single" w:sz="6" w:space="0" w:color="000000"/>
              <w:left w:val="nil" w:sz="6" w:space="0" w:color="auto"/>
              <w:bottom w:val="single" w:sz="6" w:space="0" w:color="000000"/>
              <w:right w:val="nil" w:sz="6" w:space="0" w:color="auto"/>
            </w:tcBorders>
          </w:tcPr>
          <w:p>
            <w:pPr/>
          </w:p>
        </w:tc>
        <w:tc>
          <w:tcPr>
            <w:tcW w:w="2303" w:type="dxa"/>
            <w:tcBorders>
              <w:top w:val="single" w:sz="6" w:space="0" w:color="000000"/>
              <w:left w:val="nil" w:sz="6" w:space="0" w:color="auto"/>
              <w:bottom w:val="single" w:sz="6" w:space="0" w:color="000000"/>
              <w:right w:val="nil" w:sz="6" w:space="0" w:color="auto"/>
            </w:tcBorders>
          </w:tcPr>
          <w:p>
            <w:pPr/>
          </w:p>
        </w:tc>
        <w:tc>
          <w:tcPr>
            <w:tcW w:w="1979" w:type="dxa"/>
            <w:tcBorders>
              <w:top w:val="single" w:sz="6" w:space="0" w:color="000000"/>
              <w:left w:val="nil" w:sz="6" w:space="0" w:color="auto"/>
              <w:bottom w:val="single" w:sz="6" w:space="0" w:color="000000"/>
              <w:right w:val="nil" w:sz="6" w:space="0" w:color="auto"/>
            </w:tcBorders>
          </w:tcPr>
          <w:p>
            <w:pPr>
              <w:pStyle w:val="TableParagraph"/>
              <w:spacing w:line="240" w:lineRule="auto" w:before="47"/>
              <w:ind w:left="758" w:right="0"/>
              <w:jc w:val="left"/>
              <w:rPr>
                <w:rFonts w:ascii="Times New Roman" w:hAnsi="Times New Roman" w:cs="Times New Roman" w:eastAsia="Times New Roman" w:hint="default"/>
                <w:sz w:val="21"/>
                <w:szCs w:val="21"/>
              </w:rPr>
            </w:pPr>
            <w:r>
              <w:rPr>
                <w:rFonts w:ascii="Times New Roman"/>
                <w:b/>
                <w:sz w:val="21"/>
              </w:rPr>
              <w:t>6,944,911.24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2）本期计提、收回或转回的坏账准备情况"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61,358.96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7210" w:space="162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本期实际核销的其他应收款情况"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其他应收款按款项性质分类情况"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6,944,911.24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7,117,710.10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595,903.90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768,724.90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7,540,815.14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7,886,435.00</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按欠款方归集的期末余额前五名的其他应收款情况"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4,686,200.00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涉及政府补助的应收款项"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7）因金融资产转移而终止确认的其他应收款"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8）转移其他应收款且继续涉入形成的资产、负债金额"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长期股权投资" w:id="444"/>
      <w:bookmarkEnd w:id="4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73,628,064.26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73,628,064.26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1,769,998,574.53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73,628,064.26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73,628,064.26</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1）对子公司投资" w:id="445"/>
      <w:bookmarkEnd w:id="4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3"/>
              <w:jc w:val="both"/>
              <w:rPr>
                <w:rFonts w:ascii="Times New Roman" w:hAnsi="Times New Roman" w:cs="Times New Roman" w:eastAsia="Times New Roman" w:hint="default"/>
                <w:sz w:val="18"/>
                <w:szCs w:val="18"/>
              </w:rPr>
            </w:pPr>
            <w:r>
              <w:rPr>
                <w:rFonts w:ascii="Times New Roman"/>
                <w:sz w:val="18"/>
              </w:rPr>
              <w:t>REDPHASEINST RUMENTSAUST </w:t>
            </w:r>
            <w:r>
              <w:rPr>
                <w:rFonts w:ascii="Times New Roman"/>
                <w:spacing w:val="-4"/>
                <w:sz w:val="18"/>
              </w:rPr>
              <w:t>RALIAPTY.LTD.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5,019,865.00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5,019,865.00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红相电力（上海）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10,682,609.74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10,682,609.74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厦门红相信息科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浙江涵普电力科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54,925,589.52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54,925,589.52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卧龙电气银川变 压器有限公司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合肥星波通信技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526,370,510.27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526,370,510.27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73,628,064.26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1,696,370,510.27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1,769,998,574.53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营业收入和营业成本" w:id="446"/>
      <w:bookmarkEnd w:id="44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231,204,542.69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144,143,705.30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280,745,588.70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148,868,696.55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1,854,866.23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944,981.64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196,342.61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6,416.33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233,059,408.92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145,088,686.94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280,941,931.31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148,875,112.88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投资收益" w:id="447"/>
      <w:bookmarkEnd w:id="44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子公司现金分红</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9,977,949.21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8,677,121.04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411,802.30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9,977,949.21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9,088,923.34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6、其他" w:id="448"/>
      <w:bookmarkEnd w:id="44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49"/>
      <w:bookmarkEnd w:id="44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当期非经常性损益明细表" w:id="450"/>
      <w:bookmarkEnd w:id="45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-586,819.59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4,142,431.57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5,566,723.32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97,827.16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-6,268,969.12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主要为星波通信的股份支付</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-162,725.09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-1,413,200.48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4,527,118.91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净资产收益率及每股收益" w:id="451"/>
      <w:bookmarkEnd w:id="4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r>
    </w:tbl>
    <w:p>
      <w:pPr>
        <w:spacing w:line="240" w:lineRule="auto" w:before="3"/>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3、境内外会计准则下会计数据差异" w:id="452"/>
      <w:bookmarkEnd w:id="45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before="35"/>
        <w:ind w:left="1133"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454"/>
      <w:bookmarkEnd w:id="4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259" w:lineRule="auto" w:before="0"/>
        <w:ind w:left="1133" w:right="0" w:firstLine="0"/>
        <w:jc w:val="left"/>
        <w:rPr>
          <w:rFonts w:ascii="宋体" w:hAnsi="宋体" w:cs="宋体" w:eastAsia="宋体" w:hint="default"/>
          <w:sz w:val="21"/>
          <w:szCs w:val="21"/>
        </w:rPr>
      </w:pPr>
      <w:bookmarkStart w:name="（3）境内外会计准则下会计数据差异原因说明，对已经境外审计机构审计的数据进行差异"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4、其他" w:id="456"/>
      <w:bookmarkEnd w:id="45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4089" w:right="4090"/>
        <w:jc w:val="center"/>
        <w:rPr>
          <w:b w:val="0"/>
          <w:bCs w:val="0"/>
        </w:rPr>
      </w:pPr>
      <w:bookmarkStart w:name="第十二节 备查文件目录" w:id="457"/>
      <w:bookmarkEnd w:id="457"/>
      <w:r>
        <w:rPr>
          <w:b w:val="0"/>
          <w:bCs w:val="0"/>
        </w:rPr>
      </w:r>
      <w:bookmarkStart w:name="_bookmark11" w:id="458"/>
      <w:bookmarkEnd w:id="458"/>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BodyText"/>
        <w:spacing w:line="350" w:lineRule="auto"/>
        <w:ind w:right="999"/>
        <w:jc w:val="left"/>
      </w:pPr>
      <w:r>
        <w:rPr>
          <w:spacing w:val="-2"/>
        </w:rPr>
        <w:t>一、载有法定代表人、主管会计工作负责人、会计机构负责人签名并盖章的</w:t>
      </w:r>
      <w:r>
        <w:rPr>
          <w:rFonts w:ascii="Times New Roman" w:hAnsi="Times New Roman" w:cs="Times New Roman" w:eastAsia="Times New Roman" w:hint="default"/>
          <w:spacing w:val="-2"/>
        </w:rPr>
        <w:t>2017</w:t>
      </w:r>
      <w:r>
        <w:rPr>
          <w:spacing w:val="-2"/>
        </w:rPr>
        <w:t>年财务报表。</w:t>
      </w:r>
      <w:r>
        <w:rPr>
          <w:spacing w:val="-117"/>
        </w:rPr>
        <w:t> </w:t>
      </w:r>
      <w:r>
        <w:rPr/>
        <w:t>二、载有会计师事务所盖章、注册会计师签名并盖章的审计报告原件。 三、报告期内在中国证监会指定网站上公告披露过的所有公司文件的正本及公告原稿。 四、载有董事长签名的</w:t>
      </w:r>
      <w:r>
        <w:rPr>
          <w:rFonts w:ascii="Times New Roman" w:hAnsi="Times New Roman" w:cs="Times New Roman" w:eastAsia="Times New Roman" w:hint="default"/>
        </w:rPr>
        <w:t>2017</w:t>
      </w:r>
      <w:r>
        <w:rPr/>
        <w:t>年度报告文本原件。</w:t>
      </w:r>
    </w:p>
    <w:p>
      <w:pPr>
        <w:pStyle w:val="BodyText"/>
        <w:spacing w:line="357" w:lineRule="auto" w:before="13"/>
        <w:ind w:left="1134" w:right="6432"/>
        <w:jc w:val="left"/>
      </w:pPr>
      <w:r>
        <w:rPr/>
        <w:t>五、其他备查文件。 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5"/>
          <w:szCs w:val="25"/>
        </w:rPr>
      </w:pPr>
    </w:p>
    <w:p>
      <w:pPr>
        <w:pStyle w:val="BodyText"/>
        <w:spacing w:line="357" w:lineRule="auto"/>
        <w:ind w:left="7316" w:right="1130"/>
        <w:jc w:val="right"/>
      </w:pPr>
      <w:r>
        <w:rPr/>
        <w:t>红相股份有限公司 法定代表人：杨成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256" type="#_x0000_t75" stroked="false">
          <v:imagedata r:id="rId1" o:title=""/>
        </v:shape>
      </w:pict>
    </w:r>
    <w:r>
      <w:rPr/>
      <w:pict>
        <v:shape style="position:absolute;margin-left:533.179993pt;margin-top:795.517944pt;width:6.5pt;height:11pt;mso-position-horizontal-relative:page;mso-position-vertical-relative:page;z-index:-1461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208" type="#_x0000_t75" stroked="false">
          <v:imagedata r:id="rId1" o:title=""/>
        </v:shape>
      </w:pict>
    </w:r>
    <w:r>
      <w:rPr/>
      <w:pict>
        <v:shape style="position:absolute;margin-left:527.679993pt;margin-top:781.957947pt;width:13pt;height:11pt;mso-position-horizontal-relative:page;mso-position-vertical-relative:page;z-index:-1461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160" type="#_x0000_t75" stroked="false">
          <v:imagedata r:id="rId1" o:title=""/>
        </v:shape>
      </w:pict>
    </w:r>
    <w:r>
      <w:rPr/>
      <w:pict>
        <v:shape style="position:absolute;margin-left:524.179993pt;margin-top:781.957947pt;width:15.5pt;height:11pt;mso-position-horizontal-relative:page;mso-position-vertical-relative:page;z-index:-1461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112" type="#_x0000_t75" stroked="false">
          <v:imagedata r:id="rId1" o:title=""/>
        </v:shape>
      </w:pict>
    </w:r>
    <w:r>
      <w:rPr/>
      <w:pict>
        <v:shape style="position:absolute;margin-left:523.179993pt;margin-top:781.957947pt;width:17.5pt;height:11pt;mso-position-horizontal-relative:page;mso-position-vertical-relative:page;z-index:-146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064" type="#_x0000_t75" stroked="false">
          <v:imagedata r:id="rId1" o:title=""/>
        </v:shape>
      </w:pict>
    </w:r>
    <w:r>
      <w:rPr/>
      <w:pict>
        <v:shape style="position:absolute;margin-left:524.179993pt;margin-top:781.957947pt;width:15.5pt;height:11pt;mso-position-horizontal-relative:page;mso-position-vertical-relative:page;z-index:-1461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461016" type="#_x0000_t75" stroked="false">
          <v:imagedata r:id="rId1" o:title=""/>
        </v:shape>
      </w:pict>
    </w:r>
    <w:r>
      <w:rPr/>
      <w:pict>
        <v:shape style="position:absolute;margin-left:523.179993pt;margin-top:781.957947pt;width:17.5pt;height:11pt;mso-position-horizontal-relative:page;mso-position-vertical-relative:page;z-index:-146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461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红相股份有限公司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133"/>
    </w:pPr>
    <w:rPr>
      <w:rFonts w:ascii="宋体" w:hAnsi="宋体" w:eastAsia="宋体"/>
      <w:b/>
      <w:bCs/>
      <w:sz w:val="28"/>
      <w:szCs w:val="28"/>
    </w:rPr>
  </w:style>
  <w:style w:styleId="BodyText" w:type="paragraph">
    <w:name w:val="Body Text"/>
    <w:basedOn w:val="Normal"/>
    <w:uiPriority w:val="1"/>
    <w:qFormat/>
    <w:pPr>
      <w:ind w:left="1133"/>
    </w:pPr>
    <w:rPr>
      <w:rFonts w:ascii="宋体" w:hAnsi="宋体" w:eastAsia="宋体"/>
      <w:sz w:val="24"/>
      <w:szCs w:val="24"/>
    </w:rPr>
  </w:style>
  <w:style w:styleId="Heading1" w:type="paragraph">
    <w:name w:val="Heading 1"/>
    <w:basedOn w:val="Normal"/>
    <w:uiPriority w:val="1"/>
    <w:qFormat/>
    <w:pPr>
      <w:spacing w:before="1"/>
      <w:ind w:left="4090"/>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edphase.com.cn/" TargetMode="External"/><Relationship Id="rId10" Type="http://schemas.openxmlformats.org/officeDocument/2006/relationships/hyperlink" Target="mailto:securities@redphase.com.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红相股份有限公司</dc:creator>
  <dc:title>红相股份有限公司2017年年度报告全文</dc:title>
  <dcterms:created xsi:type="dcterms:W3CDTF">2020-05-03T00:46:38Z</dcterms:created>
  <dcterms:modified xsi:type="dcterms:W3CDTF">2020-05-03T00:46:38Z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