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700"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23" w:right="1400" w:firstLine="0"/>
        <w:jc w:val="center"/>
        <w:rPr>
          <w:rFonts w:ascii="宋体" w:hAnsi="宋体" w:cs="宋体" w:eastAsia="宋体" w:hint="default"/>
          <w:sz w:val="36"/>
          <w:szCs w:val="36"/>
        </w:rPr>
      </w:pPr>
      <w:r>
        <w:rPr>
          <w:rFonts w:ascii="宋体" w:hAnsi="宋体" w:cs="宋体" w:eastAsia="宋体" w:hint="default"/>
          <w:b/>
          <w:bCs/>
          <w:sz w:val="36"/>
          <w:szCs w:val="36"/>
        </w:rPr>
        <w:t>红相股份有限公司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23" w:right="1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423" w:right="1399" w:firstLine="0"/>
        <w:jc w:val="center"/>
        <w:rPr>
          <w:rFonts w:ascii="Times New Roman" w:hAnsi="Times New Roman" w:cs="Times New Roman" w:eastAsia="Times New Roman" w:hint="default"/>
          <w:sz w:val="22"/>
          <w:szCs w:val="22"/>
        </w:rPr>
      </w:pPr>
      <w:r>
        <w:rPr>
          <w:rFonts w:ascii="Times New Roman"/>
          <w:b/>
          <w:sz w:val="22"/>
        </w:rPr>
        <w:t>2019-033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423" w:right="1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81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公司负责人杨成、主管会计工作负责人廖雪林及会计机构负责人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黄雅琼声明：保证年度报告中财务报告的真实、准确、完整。</w:t>
      </w:r>
      <w:r>
        <w:rPr>
          <w:rFonts w:ascii="宋体" w:hAnsi="宋体" w:cs="宋体" w:eastAsia="宋体" w:hint="default"/>
          <w:sz w:val="28"/>
          <w:szCs w:val="28"/>
        </w:rPr>
      </w:r>
    </w:p>
    <w:p>
      <w:pPr>
        <w:spacing w:line="460" w:lineRule="auto" w:before="147"/>
        <w:ind w:left="716" w:right="81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、未来电力、军工、铁路与轨道交通产业投资可能存在低于预期的风险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公司主要业务一定程度上依赖于国家对电力、军工、铁路与轨道交通的投</w:t>
      </w:r>
      <w:r>
        <w:rPr>
          <w:rFonts w:ascii="宋体" w:hAnsi="宋体" w:cs="宋体" w:eastAsia="宋体" w:hint="default"/>
          <w:spacing w:val="3"/>
          <w:sz w:val="28"/>
          <w:szCs w:val="28"/>
        </w:rPr>
      </w:r>
    </w:p>
    <w:p>
      <w:pPr>
        <w:spacing w:line="408"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资建设力度，并较大程度依赖于国家电网、南方电网、铁路总公司、军工科研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院所等直接客户的经营战略和采购政策。如果以上产业受宏观环境、国家产业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政策等因素影响而发生不利变化，或上述客户单位的经营战略和采购政策发生</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重大不利变化，则会对公司产生不利的影响。</w:t>
      </w:r>
      <w:r>
        <w:rPr>
          <w:rFonts w:ascii="宋体" w:hAnsi="宋体" w:cs="宋体" w:eastAsia="宋体" w:hint="default"/>
          <w:sz w:val="28"/>
          <w:szCs w:val="28"/>
        </w:rPr>
      </w:r>
    </w:p>
    <w:p>
      <w:pPr>
        <w:spacing w:line="446" w:lineRule="auto" w:before="161"/>
        <w:ind w:left="716"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、备货生产增加导致期末库存无法及时结转销售收入的风险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公司主要通过招投标方式取得销售合同，并主要采取</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以销定产</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的模式组</w:t>
      </w:r>
      <w:r>
        <w:rPr>
          <w:rFonts w:ascii="宋体" w:hAnsi="宋体" w:cs="宋体" w:eastAsia="宋体" w:hint="default"/>
          <w:spacing w:val="3"/>
          <w:sz w:val="28"/>
          <w:szCs w:val="28"/>
        </w:rPr>
      </w:r>
    </w:p>
    <w:p>
      <w:pPr>
        <w:spacing w:line="336" w:lineRule="exact" w:before="0"/>
        <w:ind w:left="154"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织生产。但随着市场需求的增加，公司为确保如期交货，根据市场潜在需求以</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408"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及预期中标成功率情况，提前安排销售把握较大产品的生产。公司库存商品与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发出商品期末余额的高低主要取决于生产交货、客户验收确认速度的快慢以及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预先备货生产项目的增减变动。公司报告期期末存货的总体金额不大，但随着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备货生产的增加，公司存在因客户项目取消、变更以及未能成功中标等情况而</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3"/>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无法及时结转销售收入的风险。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48" w:lineRule="auto" w:before="0"/>
        <w:ind w:left="716"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、应收账款无法及时收回的风险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公司主要客户来自电力、军工、铁路等国有大型企业和部分海外客户，受</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到其结算惯例的影响，公司应收账款收款周期相对较长，导致期末应收账款相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对较高。随着公司经营规模的不断扩大，应收账款的规模可能会持续增长，如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果国内外经济环境、客户信用状况等发生变化，公司存在应收账款不能够及时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回收，从而影响公司资金流动性和利用效率的风险。</w:t>
      </w:r>
      <w:r>
        <w:rPr>
          <w:rFonts w:ascii="宋体" w:hAnsi="宋体" w:cs="宋体" w:eastAsia="宋体" w:hint="default"/>
          <w:sz w:val="28"/>
          <w:szCs w:val="28"/>
        </w:rPr>
      </w:r>
    </w:p>
    <w:p>
      <w:pPr>
        <w:spacing w:line="446" w:lineRule="auto" w:before="161"/>
        <w:ind w:left="716"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、技术跟不上行业发展的风险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公司在电力、军工、铁路与轨道交通三大板块的主营业务均属于技术密集</w:t>
      </w:r>
      <w:r>
        <w:rPr>
          <w:rFonts w:ascii="宋体" w:hAnsi="宋体" w:cs="宋体" w:eastAsia="宋体" w:hint="default"/>
          <w:spacing w:val="3"/>
          <w:sz w:val="28"/>
          <w:szCs w:val="28"/>
        </w:rPr>
      </w:r>
    </w:p>
    <w:p>
      <w:pPr>
        <w:spacing w:line="408" w:lineRule="auto" w:before="16"/>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型产品，不仅涉及电力电子技术、信号处理技术、通信技术、控制技术、计算</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机技术等前沿学科，自身存在多学科交叉、融合的技术特征，而且所面向的客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户对象均属于对科学技术发展动向有迫切跟踪、追赶、超越需求的重大行业，</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pacing w:val="3"/>
          <w:w w:val="95"/>
          <w:sz w:val="28"/>
          <w:szCs w:val="28"/>
        </w:rPr>
        <w:t>产品的自我技术更迭周期较短。如果公司未来在研发的基础平台、研发的人员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数量、研发人员的知识结构更新无法跟上上述相关领域技术发展的趋势或者公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司研发项目储备、研发投入不足，则可能导致公司的技术研发能力无法跟上整</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个行业发展步伐，从而给公司的可持续发展带来不利影响。</w:t>
      </w:r>
      <w:r>
        <w:rPr>
          <w:rFonts w:ascii="宋体" w:hAnsi="宋体" w:cs="宋体" w:eastAsia="宋体" w:hint="default"/>
          <w:sz w:val="28"/>
          <w:szCs w:val="28"/>
        </w:rPr>
      </w:r>
    </w:p>
    <w:p>
      <w:pPr>
        <w:spacing w:line="446" w:lineRule="auto" w:before="162"/>
        <w:ind w:left="716"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、规模快速扩张引致的风险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随着公司战略发展规划的实施，公司的组织架构、业务种类、资产规模和</w:t>
      </w:r>
      <w:r>
        <w:rPr>
          <w:rFonts w:ascii="宋体" w:hAnsi="宋体" w:cs="宋体" w:eastAsia="宋体" w:hint="default"/>
          <w:spacing w:val="3"/>
          <w:sz w:val="28"/>
          <w:szCs w:val="28"/>
        </w:rPr>
      </w:r>
    </w:p>
    <w:p>
      <w:pPr>
        <w:spacing w:line="408" w:lineRule="auto" w:before="16"/>
        <w:ind w:left="154"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人员数量等都快速扩张，这将对公司现有的战略规划、制度建设、组织设置、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营运管理、财务管理、内部控制等方面带来较大挑战。如果公司管理层不能及</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时调整公司管理体制，未能良好把握调整时机或者选任相关职位的管理人员决</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60" w:lineRule="auto" w:before="13"/>
        <w:ind w:left="716" w:right="817" w:hanging="562"/>
        <w:jc w:val="left"/>
        <w:rPr>
          <w:rFonts w:ascii="宋体" w:hAnsi="宋体" w:cs="宋体" w:eastAsia="宋体" w:hint="default"/>
          <w:sz w:val="28"/>
          <w:szCs w:val="28"/>
        </w:rPr>
      </w:pPr>
      <w:r>
        <w:rPr>
          <w:rFonts w:ascii="宋体" w:hAnsi="宋体" w:cs="宋体" w:eastAsia="宋体" w:hint="default"/>
          <w:b/>
          <w:bCs/>
          <w:sz w:val="28"/>
          <w:szCs w:val="28"/>
        </w:rPr>
        <w:t>策不当，都可能阻碍公司业务的正常开展或者错失发展良机。</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、人才流失的风险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人才是企业发展的基石。公司之前的发展与公司建立起的高管团队、营销</w:t>
      </w:r>
      <w:r>
        <w:rPr>
          <w:rFonts w:ascii="宋体" w:hAnsi="宋体" w:cs="宋体" w:eastAsia="宋体" w:hint="default"/>
          <w:spacing w:val="3"/>
          <w:sz w:val="28"/>
          <w:szCs w:val="28"/>
        </w:rPr>
      </w:r>
    </w:p>
    <w:p>
      <w:pPr>
        <w:spacing w:line="408" w:lineRule="auto" w:before="0"/>
        <w:ind w:left="154" w:right="817"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团队及研发团队有着密切的关系。随着公司发展战略的逐步实施，公司对生产、</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3"/>
          <w:sz w:val="28"/>
          <w:szCs w:val="28"/>
        </w:rPr>
        <w:t>管理、技术、研发、销售等方面的人才的需求将会逐步增加。如果公司无法制</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定行之有效的人力资源管理制度来留住人才、吸引人才，那么，公司将会面临</w:t>
      </w:r>
      <w:r>
        <w:rPr>
          <w:rFonts w:ascii="宋体" w:hAnsi="宋体" w:cs="宋体" w:eastAsia="宋体" w:hint="default"/>
          <w:b/>
          <w:bCs/>
          <w:w w:val="99"/>
          <w:sz w:val="28"/>
          <w:szCs w:val="28"/>
        </w:rPr>
        <w:t> </w:t>
      </w:r>
      <w:r>
        <w:rPr>
          <w:rFonts w:ascii="宋体" w:hAnsi="宋体" w:cs="宋体" w:eastAsia="宋体" w:hint="default"/>
          <w:b/>
          <w:bCs/>
          <w:sz w:val="28"/>
          <w:szCs w:val="28"/>
        </w:rPr>
        <w:t>人才流失的风险和无法引进优秀人才的风险，从而影响公司的长远发展。</w:t>
      </w:r>
      <w:r>
        <w:rPr>
          <w:rFonts w:ascii="宋体" w:hAnsi="宋体" w:cs="宋体" w:eastAsia="宋体" w:hint="default"/>
          <w:sz w:val="28"/>
          <w:szCs w:val="28"/>
        </w:rPr>
      </w:r>
    </w:p>
    <w:p>
      <w:pPr>
        <w:spacing w:before="161"/>
        <w:ind w:left="716" w:right="81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、商誉减值的风险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3" w:lineRule="auto" w:before="0"/>
        <w:ind w:left="154" w:right="817" w:firstLine="562"/>
        <w:jc w:val="left"/>
        <w:rPr>
          <w:rFonts w:ascii="宋体" w:hAnsi="宋体" w:cs="宋体" w:eastAsia="宋体" w:hint="default"/>
          <w:sz w:val="28"/>
          <w:szCs w:val="28"/>
        </w:rPr>
      </w:pPr>
      <w:r>
        <w:rPr>
          <w:rFonts w:ascii="宋体" w:hAnsi="宋体" w:cs="宋体" w:eastAsia="宋体" w:hint="default"/>
          <w:b/>
          <w:bCs/>
          <w:w w:val="99"/>
          <w:sz w:val="28"/>
          <w:szCs w:val="28"/>
        </w:rPr>
        <w:t>公司于</w:t>
      </w:r>
      <w:r>
        <w:rPr>
          <w:rFonts w:ascii="宋体" w:hAnsi="宋体" w:cs="宋体" w:eastAsia="宋体" w:hint="default"/>
          <w:b/>
          <w:bCs/>
          <w:spacing w:val="-89"/>
          <w:w w:val="99"/>
          <w:sz w:val="28"/>
          <w:szCs w:val="28"/>
        </w:rPr>
        <w:t> </w:t>
      </w:r>
      <w:r>
        <w:rPr>
          <w:rFonts w:ascii="Times New Roman" w:hAnsi="Times New Roman" w:cs="Times New Roman" w:eastAsia="Times New Roman" w:hint="default"/>
          <w:b/>
          <w:bCs/>
          <w:w w:val="99"/>
          <w:sz w:val="28"/>
          <w:szCs w:val="28"/>
        </w:rPr>
        <w:t>2017</w:t>
      </w:r>
      <w:r>
        <w:rPr>
          <w:rFonts w:ascii="Times New Roman" w:hAnsi="Times New Roman" w:cs="Times New Roman" w:eastAsia="Times New Roman" w:hint="default"/>
          <w:b/>
          <w:bCs/>
          <w:spacing w:val="-18"/>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89"/>
          <w:w w:val="99"/>
          <w:sz w:val="28"/>
          <w:szCs w:val="28"/>
        </w:rPr>
        <w:t> </w:t>
      </w:r>
      <w:r>
        <w:rPr>
          <w:rFonts w:ascii="Times New Roman" w:hAnsi="Times New Roman" w:cs="Times New Roman" w:eastAsia="Times New Roman" w:hint="default"/>
          <w:b/>
          <w:bCs/>
          <w:w w:val="99"/>
          <w:sz w:val="28"/>
          <w:szCs w:val="28"/>
        </w:rPr>
        <w:t>9</w:t>
      </w:r>
      <w:r>
        <w:rPr>
          <w:rFonts w:ascii="Times New Roman" w:hAnsi="Times New Roman" w:cs="Times New Roman" w:eastAsia="Times New Roman" w:hint="default"/>
          <w:b/>
          <w:bCs/>
          <w:spacing w:val="-18"/>
          <w:w w:val="99"/>
          <w:sz w:val="28"/>
          <w:szCs w:val="28"/>
        </w:rPr>
        <w:t> </w:t>
      </w:r>
      <w:r>
        <w:rPr>
          <w:rFonts w:ascii="宋体" w:hAnsi="宋体" w:cs="宋体" w:eastAsia="宋体" w:hint="default"/>
          <w:b/>
          <w:bCs/>
          <w:spacing w:val="-14"/>
          <w:w w:val="99"/>
          <w:sz w:val="28"/>
          <w:szCs w:val="28"/>
        </w:rPr>
        <w:t>月，完成收购银川卧龙</w:t>
      </w:r>
      <w:r>
        <w:rPr>
          <w:rFonts w:ascii="宋体" w:hAnsi="宋体" w:cs="宋体" w:eastAsia="宋体" w:hint="default"/>
          <w:b/>
          <w:bCs/>
          <w:spacing w:val="-86"/>
          <w:w w:val="99"/>
          <w:sz w:val="28"/>
          <w:szCs w:val="28"/>
        </w:rPr>
        <w:t> </w:t>
      </w:r>
      <w:r>
        <w:rPr>
          <w:rFonts w:ascii="Times New Roman" w:hAnsi="Times New Roman" w:cs="Times New Roman" w:eastAsia="Times New Roman" w:hint="default"/>
          <w:b/>
          <w:bCs/>
          <w:w w:val="99"/>
          <w:sz w:val="28"/>
          <w:szCs w:val="28"/>
        </w:rPr>
        <w:t>100%</w:t>
      </w:r>
      <w:r>
        <w:rPr>
          <w:rFonts w:ascii="宋体" w:hAnsi="宋体" w:cs="宋体" w:eastAsia="宋体" w:hint="default"/>
          <w:b/>
          <w:bCs/>
          <w:w w:val="99"/>
          <w:sz w:val="28"/>
          <w:szCs w:val="28"/>
        </w:rPr>
        <w:t>股权和星波通信</w:t>
      </w:r>
      <w:r>
        <w:rPr>
          <w:rFonts w:ascii="宋体" w:hAnsi="宋体" w:cs="宋体" w:eastAsia="宋体" w:hint="default"/>
          <w:b/>
          <w:bCs/>
          <w:spacing w:val="-87"/>
          <w:w w:val="99"/>
          <w:sz w:val="28"/>
          <w:szCs w:val="28"/>
        </w:rPr>
        <w:t> </w:t>
      </w:r>
      <w:r>
        <w:rPr>
          <w:rFonts w:ascii="Times New Roman" w:hAnsi="Times New Roman" w:cs="Times New Roman" w:eastAsia="Times New Roman" w:hint="default"/>
          <w:b/>
          <w:bCs/>
          <w:w w:val="99"/>
          <w:sz w:val="28"/>
          <w:szCs w:val="28"/>
        </w:rPr>
        <w:t>67.54%</w:t>
      </w:r>
      <w:r>
        <w:rPr>
          <w:rFonts w:ascii="宋体" w:hAnsi="宋体" w:cs="宋体" w:eastAsia="宋体" w:hint="default"/>
          <w:b/>
          <w:bCs/>
          <w:w w:val="99"/>
          <w:sz w:val="28"/>
          <w:szCs w:val="28"/>
        </w:rPr>
        <w:t>股权，</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在并购过程中形成较大商誉，根据《企业会计准则》规定，本次交易形成的商</w:t>
      </w:r>
      <w:r>
        <w:rPr>
          <w:rFonts w:ascii="宋体" w:hAnsi="宋体" w:cs="宋体" w:eastAsia="宋体" w:hint="default"/>
          <w:b/>
          <w:bCs/>
          <w:w w:val="99"/>
          <w:sz w:val="28"/>
          <w:szCs w:val="28"/>
        </w:rPr>
        <w:t> </w:t>
      </w:r>
      <w:r>
        <w:rPr>
          <w:rFonts w:ascii="宋体" w:hAnsi="宋体" w:cs="宋体" w:eastAsia="宋体" w:hint="default"/>
          <w:b/>
          <w:bCs/>
          <w:spacing w:val="3"/>
          <w:sz w:val="28"/>
          <w:szCs w:val="28"/>
        </w:rPr>
        <w:t>誉不作摊销处理，但需在每年年末进行减值测试。若被并购公司所处行业、金</w:t>
      </w:r>
      <w:r>
        <w:rPr>
          <w:rFonts w:ascii="宋体" w:hAnsi="宋体" w:cs="宋体" w:eastAsia="宋体" w:hint="default"/>
          <w:b/>
          <w:bCs/>
          <w:w w:val="99"/>
          <w:sz w:val="28"/>
          <w:szCs w:val="28"/>
        </w:rPr>
        <w:t> </w:t>
      </w:r>
      <w:r>
        <w:rPr>
          <w:rFonts w:ascii="宋体" w:hAnsi="宋体" w:cs="宋体" w:eastAsia="宋体" w:hint="default"/>
          <w:b/>
          <w:bCs/>
          <w:spacing w:val="3"/>
          <w:sz w:val="28"/>
          <w:szCs w:val="28"/>
        </w:rPr>
        <w:t>融政策、宏观经济环境等发生重大不利变化，导致盈利不及预期，继而面临潜</w:t>
      </w:r>
      <w:r>
        <w:rPr>
          <w:rFonts w:ascii="宋体" w:hAnsi="宋体" w:cs="宋体" w:eastAsia="宋体" w:hint="default"/>
          <w:b/>
          <w:bCs/>
          <w:w w:val="99"/>
          <w:sz w:val="28"/>
          <w:szCs w:val="28"/>
        </w:rPr>
        <w:t> </w:t>
      </w:r>
      <w:r>
        <w:rPr>
          <w:rFonts w:ascii="宋体" w:hAnsi="宋体" w:cs="宋体" w:eastAsia="宋体" w:hint="default"/>
          <w:b/>
          <w:bCs/>
          <w:sz w:val="28"/>
          <w:szCs w:val="28"/>
        </w:rPr>
        <w:t>在的商誉减值风险，将对公司未来的经营业绩造成不利影响。</w:t>
      </w:r>
      <w:r>
        <w:rPr>
          <w:rFonts w:ascii="宋体" w:hAnsi="宋体" w:cs="宋体" w:eastAsia="宋体" w:hint="default"/>
          <w:sz w:val="28"/>
          <w:szCs w:val="28"/>
        </w:rPr>
      </w:r>
    </w:p>
    <w:p>
      <w:pPr>
        <w:spacing w:before="166"/>
        <w:ind w:left="716" w:right="81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358,340,754</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817"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1.29</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817"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423" w:right="1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8</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44</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80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95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96</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103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108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109</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235</w:t>
            </w:r>
          </w:hyperlink>
        </w:p>
        <w:p>
          <w:pPr/>
          <w:r>
            <w:fldChar w:fldCharType="end"/>
          </w:r>
        </w:p>
      </w:sdtContent>
    </w:sdt>
    <w:p>
      <w:pPr>
        <w:spacing w:after="0"/>
        <w:sectPr>
          <w:pgSz w:w="11910" w:h="16840"/>
          <w:pgMar w:header="747" w:footer="979" w:top="1060" w:bottom="1160" w:left="980" w:right="0"/>
        </w:sectPr>
      </w:pPr>
    </w:p>
    <w:p>
      <w:pPr>
        <w:spacing w:before="946"/>
        <w:ind w:left="423" w:right="1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红相股份、公司、本公司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厦门红相电力设备进出口有限公司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Red Phase Instruments Australia Pty</w:t>
            </w:r>
            <w:r>
              <w:rPr>
                <w:rFonts w:ascii="Times New Roman"/>
                <w:spacing w:val="-19"/>
                <w:sz w:val="18"/>
              </w:rPr>
              <w:t> </w:t>
            </w:r>
            <w:r>
              <w:rPr>
                <w:rFonts w:ascii="Times New Roman"/>
                <w:sz w:val="18"/>
              </w:rPr>
              <w:t>Ltd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涵普电力、浙江涵普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浙江涵普三维电力科技有限公司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星波通信、合肥星波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合肥星波电子有限公司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宁夏银变新能源有限公司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中宁县银变新能源有限公司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宁夏银相、银相工程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宁夏银相电力工程技术有限公司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红寺堡新能源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吴忠市红寺堡区银变新能源有限公司</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状态检修（</w:t>
            </w:r>
            <w:r>
              <w:rPr>
                <w:rFonts w:ascii="Times New Roman" w:hAnsi="Times New Roman" w:cs="Times New Roman" w:eastAsia="Times New Roman" w:hint="default"/>
                <w:sz w:val="18"/>
                <w:szCs w:val="18"/>
              </w:rPr>
              <w:t>CBM</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Condition Based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Maintenance</w:t>
            </w:r>
            <w:r>
              <w:rPr>
                <w:rFonts w:ascii="宋体" w:hAnsi="宋体" w:cs="宋体" w:eastAsia="宋体" w:hint="default"/>
                <w:sz w:val="18"/>
                <w:szCs w:val="18"/>
              </w:rPr>
              <w:t>，一种以设备状态为基础的预防性检修， 它是企业以安全、可靠、环境、成本为基础，通过设备的状态评价、 风险评估、检修决策等手段开展设备检修工作，达到设备运行安全可 靠，检修成本合理的一种检修策略。</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利用电磁感应原理能够将电力系统中一个电压等级下的电压和电流 转换为另一个电压等级下的电压和电流的电力设备。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铁路牵引变压器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牵引供电系统的关键设备，主要功能是将电力系统供给的高压交流电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变换成适合电力机车使用的单相交流电。</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40"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互感器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Instrument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Transformer</w:t>
            </w:r>
            <w:r>
              <w:rPr>
                <w:rFonts w:ascii="宋体" w:hAnsi="宋体" w:cs="宋体" w:eastAsia="宋体" w:hint="default"/>
                <w:sz w:val="18"/>
                <w:szCs w:val="18"/>
              </w:rPr>
              <w:t>，是指按比例变换电压或电流的设备。其功能</w:t>
            </w:r>
            <w:r>
              <w:rPr>
                <w:rFonts w:ascii="宋体" w:hAnsi="宋体" w:cs="宋体" w:eastAsia="宋体" w:hint="default"/>
                <w:w w:val="99"/>
                <w:sz w:val="18"/>
                <w:szCs w:val="18"/>
              </w:rPr>
              <w:t> </w:t>
            </w:r>
            <w:r>
              <w:rPr>
                <w:rFonts w:ascii="宋体" w:hAnsi="宋体" w:cs="宋体" w:eastAsia="宋体" w:hint="default"/>
                <w:spacing w:val="-2"/>
                <w:sz w:val="18"/>
                <w:szCs w:val="18"/>
              </w:rPr>
              <w:t>主要是将高电压或大电流按比例变换成标准低电压或标准小电流，以</w:t>
            </w:r>
          </w:p>
        </w:tc>
      </w:tr>
      <w:tr>
        <w:trPr>
          <w:trHeight w:val="392" w:hRule="exact"/>
        </w:trPr>
        <w:tc>
          <w:tcPr>
            <w:tcW w:w="3536" w:type="dxa"/>
            <w:vMerge/>
            <w:tcBorders>
              <w:left w:val="single" w:sz="4" w:space="0" w:color="000000"/>
              <w:right w:val="single" w:sz="13"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3"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便实现测量仪表、保护设备及自动控制设备的标准化、小型化，同时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互感器还可用来隔开高电压系统，以保证人身和设备的安全。互感器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可分电流互感器（简称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CT</w:t>
            </w:r>
            <w:r>
              <w:rPr>
                <w:rFonts w:ascii="宋体" w:hAnsi="宋体" w:cs="宋体" w:eastAsia="宋体" w:hint="default"/>
                <w:sz w:val="18"/>
                <w:szCs w:val="18"/>
              </w:rPr>
              <w:t>）和电压互感器（简称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PT</w:t>
            </w:r>
            <w:r>
              <w:rPr>
                <w:rFonts w:ascii="宋体" w:hAnsi="宋体" w:cs="宋体" w:eastAsia="宋体" w:hint="default"/>
                <w:sz w:val="18"/>
                <w:szCs w:val="18"/>
              </w:rPr>
              <w:t>）两类。</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一次设备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在电网中直接承担电力输送及电压转换的输配电设备，如发电机、变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压器、断路器、隔离开关、电压及电流互感器等。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以物理电网为基础，将现代先进的传感测量技术、通讯技术、信息技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术、计算机技术和控制技术与物理电网高度集成而形成的具备智能判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断与自适应调节能力的多种能源兼容、分布式管理的安全、可靠、经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济、节能、环保、高效的互动式智能化网络。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高频交流变化电磁波，频率范围在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300KHz</w:t>
            </w:r>
            <w:r>
              <w:rPr>
                <w:rFonts w:ascii="宋体" w:hAnsi="宋体" w:cs="宋体" w:eastAsia="宋体" w:hint="default"/>
                <w:sz w:val="18"/>
                <w:szCs w:val="18"/>
              </w:rPr>
              <w:t>～</w:t>
            </w:r>
            <w:r>
              <w:rPr>
                <w:rFonts w:ascii="Times New Roman" w:hAnsi="Times New Roman" w:cs="Times New Roman" w:eastAsia="Times New Roman" w:hint="default"/>
                <w:sz w:val="18"/>
                <w:szCs w:val="18"/>
              </w:rPr>
              <w:t>300GHz</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之间。</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频率为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300MHz~300GHz</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的电磁波，是无线电波中一个有限频带的简 称，即波长在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毫米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米之间的电磁波。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毫米波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波长为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10 </w:t>
            </w:r>
            <w:r>
              <w:rPr>
                <w:rFonts w:ascii="宋体" w:hAnsi="宋体" w:cs="宋体" w:eastAsia="宋体" w:hint="default"/>
                <w:sz w:val="18"/>
                <w:szCs w:val="18"/>
              </w:rPr>
              <w:t>毫米的电磁波。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千伏（</w:t>
            </w:r>
            <w:r>
              <w:rPr>
                <w:rFonts w:ascii="Times New Roman" w:hAnsi="Times New Roman" w:cs="Times New Roman" w:eastAsia="Times New Roman" w:hint="default"/>
                <w:sz w:val="18"/>
                <w:szCs w:val="18"/>
              </w:rPr>
              <w:t>Kilo</w:t>
            </w:r>
            <w:r>
              <w:rPr>
                <w:rFonts w:ascii="Times New Roman" w:hAnsi="Times New Roman" w:cs="Times New Roman" w:eastAsia="Times New Roman" w:hint="default"/>
                <w:spacing w:val="-23"/>
                <w:w w:val="99"/>
                <w:sz w:val="18"/>
                <w:szCs w:val="18"/>
              </w:rPr>
              <w:t>V</w:t>
            </w:r>
            <w:r>
              <w:rPr>
                <w:rFonts w:ascii="Times New Roman" w:hAnsi="Times New Roman" w:cs="Times New Roman" w:eastAsia="Times New Roman" w:hint="default"/>
                <w:sz w:val="18"/>
                <w:szCs w:val="18"/>
              </w:rPr>
              <w:t>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的缩写</w:t>
            </w:r>
            <w:r>
              <w:rPr>
                <w:rFonts w:ascii="宋体" w:hAnsi="宋体" w:cs="宋体" w:eastAsia="宋体" w:hint="default"/>
                <w:spacing w:val="-90"/>
                <w:sz w:val="18"/>
                <w:szCs w:val="18"/>
              </w:rPr>
              <w:t>）</w:t>
            </w:r>
            <w:r>
              <w:rPr>
                <w:rFonts w:ascii="宋体" w:hAnsi="宋体" w:cs="宋体" w:eastAsia="宋体" w:hint="default"/>
                <w:sz w:val="18"/>
                <w:szCs w:val="18"/>
              </w:rPr>
              <w:t>，计量电压的单位。</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8"/>
                <w:sz w:val="18"/>
              </w:rPr>
              <w:t>kVA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pacing w:val="-2"/>
                <w:w w:val="99"/>
                <w:sz w:val="18"/>
                <w:szCs w:val="18"/>
              </w:rPr>
              <w:t>千伏安（</w:t>
            </w:r>
            <w:r>
              <w:rPr>
                <w:rFonts w:ascii="Times New Roman" w:hAnsi="Times New Roman" w:cs="Times New Roman" w:eastAsia="Times New Roman" w:hint="default"/>
                <w:spacing w:val="-2"/>
                <w:w w:val="99"/>
                <w:sz w:val="18"/>
                <w:szCs w:val="18"/>
              </w:rPr>
              <w:t>KiloVolt-Ampere</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5"/>
                <w:w w:val="99"/>
                <w:sz w:val="18"/>
                <w:szCs w:val="18"/>
              </w:rPr>
              <w:t>的缩写），变压器在额定状态下的输出能力</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的保证值，即通常所指的变压器的容量。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红相股份有限公司及其子公司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81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r>
        <w:rPr/>
        <w:pict>
          <v:group style="position:absolute;margin-left:172.339996pt;margin-top:114.735596pt;width:361.5pt;height:19.6pt;mso-position-horizontal-relative:page;mso-position-vertical-relative:paragraph;z-index:-126551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红相股份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300427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红相股份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Red phase</w:t>
            </w:r>
            <w:r>
              <w:rPr>
                <w:rFonts w:ascii="Times New Roman"/>
                <w:spacing w:val="-1"/>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Red phase</w:t>
            </w:r>
            <w:r>
              <w:rPr>
                <w:rFonts w:ascii="Times New Roman"/>
                <w:spacing w:val="-1"/>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杨成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单元之一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单元之一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http://www.redphase.com.cn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单元之一</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0592-8126108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0592-2107581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张凌雯、巫宝才</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号凯 恒中心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王万里、罗贵均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号凯 恒中心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王万里、罗贵均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上海市浦东新区世纪大道</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号世纪汇一座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蒋庆华、邹莎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817"/>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1,311,493,532.52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743,861,467.27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410,557,480.80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229,398,154.36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117,949,954.85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73,815,900.71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213,285,753.51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113,422,835.94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68,586,922.11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37,257,450.10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297,028,816.69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130,539,761.30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3,655,014,496.02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3,193,075,062.37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894,116,361.80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2,076,353,502.04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1,872,649,302.13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620,940,854.00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81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249,305,004.72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380,193,160.32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253,170,838.61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428,824,528.87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59,385,847.88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61,838,695.53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47,822,535.27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60,351,075.68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58,602,722.59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58,167,677.85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45,060,215.47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51,455,137.60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-49,980,083.53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-33,073,365.82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-20,377,979.26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140,688,878.71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81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817"/>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-132,466.56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-586,819.59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104,406.86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2,838,175.13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4,142,431.57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76,838.08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15,588,063.36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5,566,723.32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4,741,601.67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903,740.00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883,331.17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97,827.16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130,862.42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-6,268,969.12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517,952.98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2,553,068.75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-162,725.09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971,806.43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511,633.50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-1,413,200.48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567,416.98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16,112,400.85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4,527,118.91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5,228,978.60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01"/>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57" w:lineRule="auto" w:before="80"/>
        <w:ind w:left="57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公司主营业务、主要产品、服务及其用途</w:t>
      </w:r>
      <w:r>
        <w:rPr>
          <w:rFonts w:ascii="宋体" w:hAnsi="宋体" w:cs="宋体" w:eastAsia="宋体" w:hint="default"/>
          <w:b/>
          <w:bCs/>
          <w:w w:val="99"/>
          <w:sz w:val="21"/>
          <w:szCs w:val="21"/>
        </w:rPr>
        <w:t> </w:t>
      </w:r>
      <w:r>
        <w:rPr>
          <w:rFonts w:ascii="宋体" w:hAnsi="宋体" w:cs="宋体" w:eastAsia="宋体" w:hint="default"/>
          <w:sz w:val="21"/>
          <w:szCs w:val="21"/>
        </w:rPr>
        <w:t>公司主要从事电力检测及电力设备、铁路与轨道交通牵引供电装备、军工电子等产品的研发、生产、</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销售以及相关技术服务，新能源项目。目前公司已形成电力、军工、铁路与轨道交通三大业务板块协同发</w:t>
      </w:r>
    </w:p>
    <w:p>
      <w:pPr>
        <w:spacing w:line="376" w:lineRule="auto" w:before="37"/>
        <w:ind w:left="574" w:right="9282" w:hanging="420"/>
        <w:jc w:val="left"/>
        <w:rPr>
          <w:rFonts w:ascii="宋体" w:hAnsi="宋体" w:cs="宋体" w:eastAsia="宋体" w:hint="default"/>
          <w:sz w:val="21"/>
          <w:szCs w:val="21"/>
        </w:rPr>
      </w:pPr>
      <w:r>
        <w:rPr>
          <w:rFonts w:ascii="宋体" w:hAnsi="宋体" w:cs="宋体" w:eastAsia="宋体" w:hint="default"/>
          <w:sz w:val="21"/>
          <w:szCs w:val="21"/>
        </w:rPr>
        <w:t>展的业务格局。 电力领域</w:t>
      </w:r>
    </w:p>
    <w:p>
      <w:pPr>
        <w:spacing w:line="273" w:lineRule="auto" w:before="37"/>
        <w:ind w:left="154" w:right="1110" w:firstLine="420"/>
        <w:jc w:val="both"/>
        <w:rPr>
          <w:rFonts w:ascii="宋体" w:hAnsi="宋体" w:cs="宋体" w:eastAsia="宋体" w:hint="default"/>
          <w:sz w:val="21"/>
          <w:szCs w:val="21"/>
        </w:rPr>
      </w:pPr>
      <w:r>
        <w:rPr>
          <w:rFonts w:ascii="宋体" w:hAnsi="宋体" w:cs="宋体" w:eastAsia="宋体" w:hint="default"/>
          <w:sz w:val="21"/>
          <w:szCs w:val="21"/>
        </w:rPr>
        <w:t>公司在电力领域的主要业务包括电力状态检测、监测产品、电测产品、智能配网及其他电力设备等， </w:t>
      </w:r>
      <w:r>
        <w:rPr>
          <w:rFonts w:ascii="宋体" w:hAnsi="宋体" w:cs="宋体" w:eastAsia="宋体" w:hint="default"/>
          <w:spacing w:val="-1"/>
          <w:sz w:val="21"/>
          <w:szCs w:val="21"/>
        </w:rPr>
        <w:t>涵盖电力领域中发电、输电、变电、配电、用电的各个环节。公司是国内较早开展电力设备状态检修技术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研究、应用及推广的企业之一，经过多年的技术沉淀和市场积累，公司已经形成了基础学科覆盖较广、产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品形态相对齐全、业务种类相对完善的电力设备状态检修体系。在基础学科覆盖方面，公司建立了基于声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学、光学、电磁学、化学、电力电子等学科在电力设备安全检测方面的技术体系；在产品形态方面，公司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具备了电力检测传感器、手持式终端设备、便携式终端设备、在线安装式检测设备、电力分析软件、大数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据云平台等软硬件产品；在业务种类方面，公司提供了设备销售、有偿技术服务、故障分析与诊断评估、 整站解决方案等多样化的业务类型。</w:t>
      </w:r>
    </w:p>
    <w:p>
      <w:pPr>
        <w:spacing w:line="271" w:lineRule="auto" w:before="127"/>
        <w:ind w:left="154" w:right="1023" w:firstLine="420"/>
        <w:jc w:val="left"/>
        <w:rPr>
          <w:rFonts w:ascii="宋体" w:hAnsi="宋体" w:cs="宋体" w:eastAsia="宋体" w:hint="default"/>
          <w:sz w:val="21"/>
          <w:szCs w:val="21"/>
        </w:rPr>
      </w:pPr>
      <w:r>
        <w:rPr>
          <w:rFonts w:ascii="宋体" w:hAnsi="宋体" w:cs="宋体" w:eastAsia="宋体" w:hint="default"/>
          <w:sz w:val="21"/>
          <w:szCs w:val="21"/>
        </w:rPr>
        <w:t>公司的电力状态检测、监测、电测产品是感知、分析和判断各类电力设备运行参数、健康状态的主要 </w:t>
      </w:r>
      <w:r>
        <w:rPr>
          <w:rFonts w:ascii="宋体" w:hAnsi="宋体" w:cs="宋体" w:eastAsia="宋体" w:hint="default"/>
          <w:spacing w:val="-3"/>
          <w:sz w:val="21"/>
          <w:szCs w:val="21"/>
        </w:rPr>
        <w:t>设备，广泛应用于特高压、超高压、高压、中低压等各电压等级变电设备、输配电线路的安全检测和监测。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是保障电网安全、稳定、可靠运行，建设智能坚强电网和实施状态检修的重要设备。公司的智能配网产品</w:t>
      </w:r>
      <w:r>
        <w:rPr>
          <w:rFonts w:ascii="宋体" w:hAnsi="宋体" w:cs="宋体" w:eastAsia="宋体" w:hint="default"/>
          <w:sz w:val="21"/>
          <w:szCs w:val="21"/>
        </w:rPr>
        <w:t> 包括站所终端（</w:t>
      </w:r>
      <w:r>
        <w:rPr>
          <w:rFonts w:ascii="Times New Roman" w:hAnsi="Times New Roman" w:cs="Times New Roman" w:eastAsia="Times New Roman" w:hint="default"/>
          <w:sz w:val="21"/>
          <w:szCs w:val="21"/>
        </w:rPr>
        <w:t>DTU</w:t>
      </w:r>
      <w:r>
        <w:rPr>
          <w:rFonts w:ascii="宋体" w:hAnsi="宋体" w:cs="宋体" w:eastAsia="宋体" w:hint="default"/>
          <w:sz w:val="21"/>
          <w:szCs w:val="21"/>
        </w:rPr>
        <w:t>）、馈线终端（</w:t>
      </w:r>
      <w:r>
        <w:rPr>
          <w:rFonts w:ascii="Times New Roman" w:hAnsi="Times New Roman" w:cs="Times New Roman" w:eastAsia="Times New Roman" w:hint="default"/>
          <w:sz w:val="21"/>
          <w:szCs w:val="21"/>
        </w:rPr>
        <w:t>FTU</w:t>
      </w:r>
      <w:r>
        <w:rPr>
          <w:rFonts w:ascii="宋体" w:hAnsi="宋体" w:cs="宋体" w:eastAsia="宋体" w:hint="default"/>
          <w:sz w:val="21"/>
          <w:szCs w:val="21"/>
        </w:rPr>
        <w:t>）、配变终端（</w:t>
      </w:r>
      <w:r>
        <w:rPr>
          <w:rFonts w:ascii="Times New Roman" w:hAnsi="Times New Roman" w:cs="Times New Roman" w:eastAsia="Times New Roman" w:hint="default"/>
          <w:sz w:val="21"/>
          <w:szCs w:val="21"/>
        </w:rPr>
        <w:t>TTU</w:t>
      </w:r>
      <w:r>
        <w:rPr>
          <w:rFonts w:ascii="宋体" w:hAnsi="宋体" w:cs="宋体" w:eastAsia="宋体" w:hint="default"/>
          <w:sz w:val="21"/>
          <w:szCs w:val="21"/>
        </w:rPr>
        <w:t>）等，主要用于配电网中开关设备和配电线 路的数据采集、分析、控制，是建设自动化、智能化配电网的重要组成设备。公司的其他电力设备指变压 器等电力设备，其中变压器是电力生产和变送等各个环节的必备和重要设备。目前，公司在电力领域的主 要客户为国家电网公司及其下属公司、南方电网公司及其下属公司、发电集团旗下企业、铁路供电系统、 石油石化等大型电力用户。公司的电力检测及电力设备是建设坚强智能电网和泛在电力物联网的重要组成 部分。</w:t>
      </w:r>
    </w:p>
    <w:p>
      <w:pPr>
        <w:spacing w:line="432" w:lineRule="exact" w:before="29"/>
        <w:ind w:left="574" w:right="1124" w:firstLine="0"/>
        <w:jc w:val="left"/>
        <w:rPr>
          <w:rFonts w:ascii="宋体" w:hAnsi="宋体" w:cs="宋体" w:eastAsia="宋体" w:hint="default"/>
          <w:sz w:val="21"/>
          <w:szCs w:val="21"/>
        </w:rPr>
      </w:pPr>
      <w:r>
        <w:rPr>
          <w:rFonts w:ascii="宋体" w:hAnsi="宋体" w:cs="宋体" w:eastAsia="宋体" w:hint="default"/>
          <w:sz w:val="21"/>
          <w:szCs w:val="21"/>
        </w:rPr>
        <w:t>军工领域 </w:t>
      </w:r>
      <w:r>
        <w:rPr>
          <w:rFonts w:ascii="宋体" w:hAnsi="宋体" w:cs="宋体" w:eastAsia="宋体" w:hint="default"/>
          <w:spacing w:val="-2"/>
          <w:sz w:val="21"/>
          <w:szCs w:val="21"/>
        </w:rPr>
        <w:t>子公司星波通信专业从事射频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微波器件、组件、子系统及其混合集成电路模块的研发、生产、销售和</w:t>
      </w:r>
    </w:p>
    <w:p>
      <w:pPr>
        <w:spacing w:line="255"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服务。微波混合集成电路广泛应用于军用通信、雷达、电子对抗系统中，是国防信息化、数字化、现代化</w:t>
      </w:r>
    </w:p>
    <w:p>
      <w:pPr>
        <w:spacing w:line="264" w:lineRule="auto" w:before="37"/>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建设的重要基础。星波通信一直致力于微波混合集成电路相关技术在机载、弹载、舰载等多种武器平台上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的应用，产品主要为雷达、通信和电子对抗系统提供配套。经过十多年的技术沉淀，星波通信已经具备了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技术研发能力强、产品工艺可靠性高、客户需求响应快的综合实力，其微波产品频率范围覆盖了从</w:t>
      </w:r>
      <w:r>
        <w:rPr>
          <w:rFonts w:ascii="Times New Roman" w:hAnsi="Times New Roman" w:cs="Times New Roman" w:eastAsia="Times New Roman" w:hint="default"/>
          <w:sz w:val="21"/>
          <w:szCs w:val="21"/>
        </w:rPr>
        <w:t>DC</w:t>
      </w:r>
      <w:r>
        <w:rPr>
          <w:rFonts w:ascii="宋体" w:hAnsi="宋体" w:cs="宋体" w:eastAsia="宋体" w:hint="default"/>
          <w:sz w:val="21"/>
          <w:szCs w:val="21"/>
        </w:rPr>
        <w:t>至</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40GHz</w:t>
      </w:r>
      <w:r>
        <w:rPr>
          <w:rFonts w:ascii="宋体" w:hAnsi="宋体" w:cs="宋体" w:eastAsia="宋体" w:hint="default"/>
          <w:sz w:val="21"/>
          <w:szCs w:val="21"/>
        </w:rPr>
        <w:t>的频段，是一家军工资质齐全，且为多种高、精、尖重点武器系统及军用通信系统进行定向研制和 配套生产的民营军工企业。目前，星波通信的主要客户为军工科研院所和军事装备生产企业。</w:t>
      </w:r>
    </w:p>
    <w:p>
      <w:pPr>
        <w:spacing w:line="376" w:lineRule="auto" w:before="136"/>
        <w:ind w:left="574" w:right="817" w:firstLine="0"/>
        <w:jc w:val="left"/>
        <w:rPr>
          <w:rFonts w:ascii="宋体" w:hAnsi="宋体" w:cs="宋体" w:eastAsia="宋体" w:hint="default"/>
          <w:sz w:val="21"/>
          <w:szCs w:val="21"/>
        </w:rPr>
      </w:pPr>
      <w:r>
        <w:rPr>
          <w:rFonts w:ascii="宋体" w:hAnsi="宋体" w:cs="宋体" w:eastAsia="宋体" w:hint="default"/>
          <w:sz w:val="21"/>
          <w:szCs w:val="21"/>
        </w:rPr>
        <w:t>铁路与轨道交通领域 </w:t>
      </w:r>
      <w:r>
        <w:rPr>
          <w:rFonts w:ascii="宋体" w:hAnsi="宋体" w:cs="宋体" w:eastAsia="宋体" w:hint="default"/>
          <w:spacing w:val="-1"/>
          <w:sz w:val="21"/>
          <w:szCs w:val="21"/>
        </w:rPr>
        <w:t>子公司银川卧龙是国内最早承接铁路牵引变压器国产化项目的企业之一，也是原铁道部牵引变压器科</w:t>
      </w:r>
    </w:p>
    <w:p>
      <w:pPr>
        <w:spacing w:after="0" w:line="37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1" w:lineRule="auto" w:before="35"/>
        <w:ind w:left="154" w:right="1110" w:firstLine="0"/>
        <w:jc w:val="both"/>
        <w:rPr>
          <w:rFonts w:ascii="宋体" w:hAnsi="宋体" w:cs="宋体" w:eastAsia="宋体" w:hint="default"/>
          <w:sz w:val="21"/>
          <w:szCs w:val="21"/>
        </w:rPr>
      </w:pPr>
      <w:r>
        <w:rPr>
          <w:rFonts w:ascii="宋体" w:hAnsi="宋体" w:cs="宋体" w:eastAsia="宋体" w:hint="default"/>
          <w:spacing w:val="-1"/>
          <w:sz w:val="21"/>
          <w:szCs w:val="21"/>
        </w:rPr>
        <w:t>技创新的重要合作单位之一，在国内铁路牵引变压器市场拥有较高且稳定的市场份额。铁路牵引变压器是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一种安装于电气化铁路沿线，承担着从电网获取电能，并向铁路接触网进行供电的电力设备，是电气化铁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路的主要动力来源。铁路在新建、电气化改造、提速扩容、自然更换等方面均对牵引变压器有采购需求。 </w:t>
      </w:r>
      <w:r>
        <w:rPr>
          <w:rFonts w:ascii="宋体" w:hAnsi="宋体" w:cs="宋体" w:eastAsia="宋体" w:hint="default"/>
          <w:spacing w:val="-1"/>
          <w:sz w:val="21"/>
          <w:szCs w:val="21"/>
        </w:rPr>
        <w:t>由于铁路供电系统特有的技术特性和安全特性，铁路牵引变压器在技术指标、安全性和稳定性方面有别于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一般变压器，参与企业相对较少，竞争程度相对较小。银川卧龙的铁路牵引变压器覆盖了我国电气化铁路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上</w:t>
      </w:r>
      <w:r>
        <w:rPr>
          <w:rFonts w:ascii="Times New Roman" w:hAnsi="Times New Roman" w:cs="Times New Roman" w:eastAsia="Times New Roman" w:hint="default"/>
          <w:sz w:val="21"/>
          <w:szCs w:val="21"/>
        </w:rPr>
        <w:t>27.5kV</w:t>
      </w:r>
      <w:r>
        <w:rPr>
          <w:rFonts w:ascii="宋体" w:hAnsi="宋体" w:cs="宋体" w:eastAsia="宋体" w:hint="default"/>
          <w:sz w:val="21"/>
          <w:szCs w:val="21"/>
        </w:rPr>
        <w:t>至</w:t>
      </w:r>
      <w:r>
        <w:rPr>
          <w:rFonts w:ascii="Times New Roman" w:hAnsi="Times New Roman" w:cs="Times New Roman" w:eastAsia="Times New Roman" w:hint="default"/>
          <w:sz w:val="21"/>
          <w:szCs w:val="21"/>
        </w:rPr>
        <w:t>330kV</w:t>
      </w:r>
      <w:r>
        <w:rPr>
          <w:rFonts w:ascii="宋体" w:hAnsi="宋体" w:cs="宋体" w:eastAsia="宋体" w:hint="default"/>
          <w:sz w:val="21"/>
          <w:szCs w:val="21"/>
        </w:rPr>
        <w:t>的全部电压等级，具备多个铁路局的运行业绩证明，主要客户包括铁路总公司及其下属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的多个铁路局、中国铁建、中国中铁、阿尔斯通等铁路建设单位。</w:t>
      </w:r>
    </w:p>
    <w:p>
      <w:pPr>
        <w:spacing w:before="130"/>
        <w:ind w:left="576" w:right="817" w:firstLine="0"/>
        <w:jc w:val="left"/>
        <w:rPr>
          <w:rFonts w:ascii="宋体" w:hAnsi="宋体" w:cs="宋体" w:eastAsia="宋体" w:hint="default"/>
          <w:sz w:val="21"/>
          <w:szCs w:val="21"/>
        </w:rPr>
      </w:pPr>
      <w:r>
        <w:rPr>
          <w:rFonts w:ascii="宋体" w:hAnsi="宋体" w:cs="宋体" w:eastAsia="宋体" w:hint="default"/>
          <w:b/>
          <w:bCs/>
          <w:sz w:val="21"/>
          <w:szCs w:val="21"/>
        </w:rPr>
        <w:t>（二）经营模式</w:t>
      </w:r>
      <w:r>
        <w:rPr>
          <w:rFonts w:ascii="宋体" w:hAnsi="宋体" w:cs="宋体" w:eastAsia="宋体" w:hint="default"/>
          <w:sz w:val="21"/>
          <w:szCs w:val="21"/>
        </w:rPr>
      </w:r>
    </w:p>
    <w:p>
      <w:pPr>
        <w:spacing w:line="290" w:lineRule="auto" w:before="158"/>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、采购模式 </w:t>
      </w:r>
      <w:r>
        <w:rPr>
          <w:rFonts w:ascii="宋体" w:hAnsi="宋体" w:cs="宋体" w:eastAsia="宋体" w:hint="default"/>
          <w:spacing w:val="-1"/>
          <w:sz w:val="21"/>
          <w:szCs w:val="21"/>
        </w:rPr>
        <w:t>公司根据生产计划确定采购原材料的品名、规格、数量等，并进行供应商评估与选择，采取批量采购</w:t>
      </w:r>
    </w:p>
    <w:p>
      <w:pPr>
        <w:spacing w:line="273" w:lineRule="auto" w:before="0"/>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和按需即时采购相结合的模式，进行定制化零部件采购和标准化零部件采购。为了有效控制产品质量和成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本，公司建立了一套严格的采购管理制度，以规范原材料采购环节的质量控制和审批流程。</w:t>
      </w:r>
    </w:p>
    <w:p>
      <w:pPr>
        <w:spacing w:line="290" w:lineRule="auto" w:before="48"/>
        <w:ind w:left="574" w:right="11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、生产模式 公司生产组织方式主要根据客户需求进行相应产品的生产，采取</w:t>
      </w:r>
      <w:r>
        <w:rPr>
          <w:rFonts w:ascii="Times New Roman" w:hAnsi="Times New Roman" w:cs="Times New Roman" w:eastAsia="Times New Roman" w:hint="default"/>
          <w:sz w:val="21"/>
          <w:szCs w:val="21"/>
        </w:rPr>
        <w:t>“</w:t>
      </w:r>
      <w:r>
        <w:rPr>
          <w:rFonts w:ascii="宋体" w:hAnsi="宋体" w:cs="宋体" w:eastAsia="宋体" w:hint="default"/>
          <w:sz w:val="21"/>
          <w:szCs w:val="21"/>
        </w:rPr>
        <w:t>以销定产</w:t>
      </w:r>
      <w:r>
        <w:rPr>
          <w:rFonts w:ascii="Times New Roman" w:hAnsi="Times New Roman" w:cs="Times New Roman" w:eastAsia="Times New Roman" w:hint="default"/>
          <w:sz w:val="21"/>
          <w:szCs w:val="21"/>
        </w:rPr>
        <w:t>”</w:t>
      </w:r>
      <w:r>
        <w:rPr>
          <w:rFonts w:ascii="宋体" w:hAnsi="宋体" w:cs="宋体" w:eastAsia="宋体" w:hint="default"/>
          <w:sz w:val="21"/>
          <w:szCs w:val="21"/>
        </w:rPr>
        <w:t>为主的生产模式，包括在</w:t>
      </w:r>
    </w:p>
    <w:p>
      <w:pPr>
        <w:spacing w:line="247"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签订合同、获取客户中标通知书或备产通知书后才进行的订单生产；根据对客户的需求以及预期中标成功</w:t>
      </w:r>
    </w:p>
    <w:p>
      <w:pPr>
        <w:spacing w:before="38"/>
        <w:ind w:left="154" w:right="0" w:firstLine="0"/>
        <w:jc w:val="both"/>
        <w:rPr>
          <w:rFonts w:ascii="宋体" w:hAnsi="宋体" w:cs="宋体" w:eastAsia="宋体" w:hint="default"/>
          <w:sz w:val="21"/>
          <w:szCs w:val="21"/>
        </w:rPr>
      </w:pPr>
      <w:r>
        <w:rPr>
          <w:rFonts w:ascii="宋体" w:hAnsi="宋体" w:cs="宋体" w:eastAsia="宋体" w:hint="default"/>
          <w:sz w:val="21"/>
          <w:szCs w:val="21"/>
        </w:rPr>
        <w:t>率预测，提前安排销售把握程度较高的产品的备货生产等。</w:t>
      </w:r>
    </w:p>
    <w:p>
      <w:pPr>
        <w:spacing w:line="290" w:lineRule="auto" w:before="76"/>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、销售模式 </w:t>
      </w:r>
      <w:r>
        <w:rPr>
          <w:rFonts w:ascii="宋体" w:hAnsi="宋体" w:cs="宋体" w:eastAsia="宋体" w:hint="default"/>
          <w:spacing w:val="-1"/>
          <w:sz w:val="21"/>
          <w:szCs w:val="21"/>
        </w:rPr>
        <w:t>公司客户以电力、军工、铁路与轨道交通行业中的国有大中型企业、海外企业为主。公司根据客户公</w:t>
      </w:r>
    </w:p>
    <w:p>
      <w:pPr>
        <w:spacing w:line="273" w:lineRule="auto" w:before="0"/>
        <w:ind w:left="154" w:right="1133" w:firstLine="0"/>
        <w:jc w:val="both"/>
        <w:rPr>
          <w:rFonts w:ascii="宋体" w:hAnsi="宋体" w:cs="宋体" w:eastAsia="宋体" w:hint="default"/>
          <w:sz w:val="21"/>
          <w:szCs w:val="21"/>
        </w:rPr>
      </w:pPr>
      <w:r>
        <w:rPr>
          <w:rFonts w:ascii="宋体" w:hAnsi="宋体" w:cs="宋体" w:eastAsia="宋体" w:hint="default"/>
          <w:spacing w:val="-1"/>
          <w:sz w:val="21"/>
          <w:szCs w:val="21"/>
        </w:rPr>
        <w:t>布的招标采购需求、定制化开发需求等为电力、军工、铁路与轨道交通客户提供商品和服务，公司的销售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订单主要通过投标方式获得，采用直销的方式销售。</w:t>
      </w:r>
    </w:p>
    <w:p>
      <w:pPr>
        <w:spacing w:line="290" w:lineRule="auto" w:before="4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、研发模式 </w:t>
      </w:r>
      <w:r>
        <w:rPr>
          <w:rFonts w:ascii="宋体" w:hAnsi="宋体" w:cs="宋体" w:eastAsia="宋体" w:hint="default"/>
          <w:spacing w:val="-1"/>
          <w:sz w:val="21"/>
          <w:szCs w:val="21"/>
        </w:rPr>
        <w:t>根据公司的既定发展战略，加强重点项目研发跟进，将公司的传统技术优势和高端智能技术有机地结</w:t>
      </w:r>
    </w:p>
    <w:p>
      <w:pPr>
        <w:spacing w:line="268" w:lineRule="auto" w:before="0"/>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合起来，根据市场特点持续进行各个技术领域的创新和开发，满足细分技术领域的个性化产品需求。推进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产品平台化、数字化、智能化、信息化的升级改造，引领电力设备状态检测监测的技术革新，完善配套的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运维管理技术解决方案。提升电力设备的智能化装配技术，建立电力变、牵引变等大型电力设备全寿命周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期管理的服务体系。持续进行射频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微波技术领域军品的技术开发。同时推进整合公司与子公司之间的研发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技术资源，提升技术协同效应，达成有效创新技术流转机制。</w:t>
      </w:r>
    </w:p>
    <w:p>
      <w:pPr>
        <w:spacing w:before="132"/>
        <w:ind w:left="576" w:right="817" w:firstLine="0"/>
        <w:jc w:val="left"/>
        <w:rPr>
          <w:rFonts w:ascii="宋体" w:hAnsi="宋体" w:cs="宋体" w:eastAsia="宋体" w:hint="default"/>
          <w:sz w:val="21"/>
          <w:szCs w:val="21"/>
        </w:rPr>
      </w:pPr>
      <w:r>
        <w:rPr>
          <w:rFonts w:ascii="宋体" w:hAnsi="宋体" w:cs="宋体" w:eastAsia="宋体" w:hint="default"/>
          <w:b/>
          <w:bCs/>
          <w:sz w:val="21"/>
          <w:szCs w:val="21"/>
        </w:rPr>
        <w:t>（三）公司所属行业的基本情况</w:t>
      </w:r>
      <w:r>
        <w:rPr>
          <w:rFonts w:ascii="宋体" w:hAnsi="宋体" w:cs="宋体" w:eastAsia="宋体" w:hint="default"/>
          <w:sz w:val="21"/>
          <w:szCs w:val="21"/>
        </w:rPr>
      </w:r>
    </w:p>
    <w:p>
      <w:pPr>
        <w:spacing w:line="357" w:lineRule="auto" w:before="156"/>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、电力行业 </w:t>
      </w:r>
      <w:r>
        <w:rPr>
          <w:rFonts w:ascii="宋体" w:hAnsi="宋体" w:cs="宋体" w:eastAsia="宋体" w:hint="default"/>
          <w:spacing w:val="-1"/>
          <w:sz w:val="21"/>
          <w:szCs w:val="21"/>
        </w:rPr>
        <w:t>公司的电力状态检测、监测产品、智能配网等业务面向电力行业，电力行业是关系国民经济命脉和国</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家能源安全的基础能源产业，随着社会经济的发展，各行业对电力的依赖性显著增强，对供电安全性、可</w:t>
      </w:r>
    </w:p>
    <w:p>
      <w:pPr>
        <w:spacing w:line="376" w:lineRule="auto" w:before="37"/>
        <w:ind w:left="574" w:right="1302" w:hanging="420"/>
        <w:jc w:val="left"/>
        <w:rPr>
          <w:rFonts w:ascii="宋体" w:hAnsi="宋体" w:cs="宋体" w:eastAsia="宋体" w:hint="default"/>
          <w:sz w:val="21"/>
          <w:szCs w:val="21"/>
        </w:rPr>
      </w:pPr>
      <w:r>
        <w:rPr>
          <w:rFonts w:ascii="宋体" w:hAnsi="宋体" w:cs="宋体" w:eastAsia="宋体" w:hint="default"/>
          <w:sz w:val="21"/>
          <w:szCs w:val="21"/>
        </w:rPr>
        <w:t>靠性和稳定性的要求日益提高。 经过多年的高速发展和持续完善，当前我国电力行业与公司业务相关的领域正呈现以下几个特征：</w:t>
      </w:r>
    </w:p>
    <w:p>
      <w:pPr>
        <w:spacing w:line="357" w:lineRule="auto" w:before="37"/>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）我国电力资产保有量庞大、增长依然迅速，且正经历由传统检修模式到状态检修模式的变革。 </w:t>
      </w:r>
      <w:r>
        <w:rPr>
          <w:rFonts w:ascii="宋体" w:hAnsi="宋体" w:cs="宋体" w:eastAsia="宋体" w:hint="default"/>
          <w:spacing w:val="-1"/>
          <w:sz w:val="21"/>
          <w:szCs w:val="21"/>
        </w:rPr>
        <w:t>在经历了十一五、十二五、十三五前三年的电网高位投资以及国家快速城镇化建设之后，我国的电网</w:t>
      </w:r>
    </w:p>
    <w:p>
      <w:pPr>
        <w:spacing w:line="225"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资产保有量处在一个较高的水平并持续快速增长。以国家电网为例，根据《国家电网有限公司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社会责</w:t>
      </w:r>
    </w:p>
    <w:p>
      <w:pPr>
        <w:spacing w:line="261" w:lineRule="auto" w:before="21"/>
        <w:ind w:left="154" w:right="817" w:firstLine="0"/>
        <w:jc w:val="left"/>
        <w:rPr>
          <w:rFonts w:ascii="宋体" w:hAnsi="宋体" w:cs="宋体" w:eastAsia="宋体" w:hint="default"/>
          <w:sz w:val="21"/>
          <w:szCs w:val="21"/>
        </w:rPr>
      </w:pPr>
      <w:r>
        <w:rPr>
          <w:rFonts w:ascii="宋体" w:hAnsi="宋体" w:cs="宋体" w:eastAsia="宋体" w:hint="default"/>
          <w:sz w:val="21"/>
          <w:szCs w:val="21"/>
        </w:rPr>
        <w:t>任报告》，</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年国家电网公司资产总额为</w:t>
      </w:r>
      <w:r>
        <w:rPr>
          <w:rFonts w:ascii="Times New Roman" w:hAnsi="Times New Roman" w:cs="Times New Roman" w:eastAsia="Times New Roman" w:hint="default"/>
          <w:sz w:val="21"/>
          <w:szCs w:val="21"/>
        </w:rPr>
        <w:t>39325.2</w:t>
      </w:r>
      <w:r>
        <w:rPr>
          <w:rFonts w:ascii="宋体" w:hAnsi="宋体" w:cs="宋体" w:eastAsia="宋体" w:hint="default"/>
          <w:sz w:val="21"/>
          <w:szCs w:val="21"/>
        </w:rPr>
        <w:t>亿元，截至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日拥有</w:t>
      </w:r>
      <w:r>
        <w:rPr>
          <w:rFonts w:ascii="Times New Roman" w:hAnsi="Times New Roman" w:cs="Times New Roman" w:eastAsia="Times New Roman" w:hint="default"/>
          <w:sz w:val="21"/>
          <w:szCs w:val="21"/>
        </w:rPr>
        <w:t>110</w:t>
      </w:r>
      <w:r>
        <w:rPr>
          <w:rFonts w:ascii="宋体" w:hAnsi="宋体" w:cs="宋体" w:eastAsia="宋体" w:hint="default"/>
          <w:sz w:val="21"/>
          <w:szCs w:val="21"/>
        </w:rPr>
        <w:t>（</w:t>
      </w:r>
      <w:r>
        <w:rPr>
          <w:rFonts w:ascii="Times New Roman" w:hAnsi="Times New Roman" w:cs="Times New Roman" w:eastAsia="Times New Roman" w:hint="default"/>
          <w:sz w:val="21"/>
          <w:szCs w:val="21"/>
        </w:rPr>
        <w:t>66</w:t>
      </w:r>
      <w:r>
        <w:rPr>
          <w:rFonts w:ascii="宋体" w:hAnsi="宋体" w:cs="宋体" w:eastAsia="宋体" w:hint="default"/>
          <w:sz w:val="21"/>
          <w:szCs w:val="21"/>
        </w:rPr>
        <w:t>）千伏及以上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输电线路</w:t>
      </w:r>
      <w:r>
        <w:rPr>
          <w:rFonts w:ascii="Times New Roman" w:hAnsi="Times New Roman" w:cs="Times New Roman" w:eastAsia="Times New Roman" w:hint="default"/>
          <w:spacing w:val="-1"/>
          <w:sz w:val="21"/>
          <w:szCs w:val="21"/>
        </w:rPr>
        <w:t>103.34</w:t>
      </w:r>
      <w:r>
        <w:rPr>
          <w:rFonts w:ascii="宋体" w:hAnsi="宋体" w:cs="宋体" w:eastAsia="宋体" w:hint="default"/>
          <w:spacing w:val="-1"/>
          <w:sz w:val="21"/>
          <w:szCs w:val="21"/>
        </w:rPr>
        <w:t>万千米，拥有</w:t>
      </w:r>
      <w:r>
        <w:rPr>
          <w:rFonts w:ascii="Times New Roman" w:hAnsi="Times New Roman" w:cs="Times New Roman" w:eastAsia="Times New Roman" w:hint="default"/>
          <w:spacing w:val="-1"/>
          <w:sz w:val="21"/>
          <w:szCs w:val="21"/>
        </w:rPr>
        <w:t>110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66</w:t>
      </w:r>
      <w:r>
        <w:rPr>
          <w:rFonts w:ascii="宋体" w:hAnsi="宋体" w:cs="宋体" w:eastAsia="宋体" w:hint="default"/>
          <w:spacing w:val="-1"/>
          <w:sz w:val="21"/>
          <w:szCs w:val="21"/>
        </w:rPr>
        <w:t>）千伏及以上变电（换流）容量</w:t>
      </w:r>
      <w:r>
        <w:rPr>
          <w:rFonts w:ascii="Times New Roman" w:hAnsi="Times New Roman" w:cs="Times New Roman" w:eastAsia="Times New Roman" w:hint="default"/>
          <w:spacing w:val="-1"/>
          <w:sz w:val="21"/>
          <w:szCs w:val="21"/>
        </w:rPr>
        <w:t>46.2</w:t>
      </w:r>
      <w:r>
        <w:rPr>
          <w:rFonts w:ascii="宋体" w:hAnsi="宋体" w:cs="宋体" w:eastAsia="宋体" w:hint="default"/>
          <w:spacing w:val="-1"/>
          <w:sz w:val="21"/>
          <w:szCs w:val="21"/>
        </w:rPr>
        <w:t>亿千瓦，售电量</w:t>
      </w:r>
      <w:r>
        <w:rPr>
          <w:rFonts w:ascii="Times New Roman" w:hAnsi="Times New Roman" w:cs="Times New Roman" w:eastAsia="Times New Roman" w:hint="default"/>
          <w:spacing w:val="-1"/>
          <w:sz w:val="21"/>
          <w:szCs w:val="21"/>
        </w:rPr>
        <w:t>42361</w:t>
      </w:r>
      <w:r>
        <w:rPr>
          <w:rFonts w:ascii="宋体" w:hAnsi="宋体" w:cs="宋体" w:eastAsia="宋体" w:hint="default"/>
          <w:spacing w:val="-1"/>
          <w:sz w:val="21"/>
          <w:szCs w:val="21"/>
        </w:rPr>
        <w:t>亿千瓦时。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规模庞大的电力资产催生巨大的检修、运维和检测市场。此外，我国电力设备检修模式正处在由传统的周</w:t>
      </w:r>
      <w:r>
        <w:rPr>
          <w:rFonts w:ascii="宋体" w:hAnsi="宋体" w:cs="宋体" w:eastAsia="宋体" w:hint="default"/>
          <w:sz w:val="21"/>
          <w:szCs w:val="21"/>
        </w:rPr>
        <w:t> 期性检修向更加先进的状态检修过渡的阶段，各类检测、监测设备在各级电网公司的配置率正处于逐步上</w:t>
      </w:r>
    </w:p>
    <w:p>
      <w:pPr>
        <w:spacing w:after="0" w:line="261"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升阶段。</w:t>
      </w:r>
    </w:p>
    <w:p>
      <w:pPr>
        <w:spacing w:line="430" w:lineRule="atLeast" w:before="18"/>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）电网投资结构正在发生变化，配电网建设投资比重正在提升。 </w:t>
      </w:r>
      <w:r>
        <w:rPr>
          <w:rFonts w:ascii="宋体" w:hAnsi="宋体" w:cs="宋体" w:eastAsia="宋体" w:hint="default"/>
          <w:spacing w:val="-1"/>
          <w:sz w:val="21"/>
          <w:szCs w:val="21"/>
        </w:rPr>
        <w:t>我国电力投资经历了几个不同的阶段：在</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年之前，电力投资以解决用电需求为目标的电源建设为</w:t>
      </w:r>
    </w:p>
    <w:p>
      <w:pPr>
        <w:spacing w:line="256" w:lineRule="auto" w:before="21"/>
        <w:ind w:left="154" w:right="1130" w:firstLine="0"/>
        <w:jc w:val="both"/>
        <w:rPr>
          <w:rFonts w:ascii="宋体" w:hAnsi="宋体" w:cs="宋体" w:eastAsia="宋体" w:hint="default"/>
          <w:sz w:val="21"/>
          <w:szCs w:val="21"/>
        </w:rPr>
      </w:pPr>
      <w:r>
        <w:rPr>
          <w:rFonts w:ascii="宋体" w:hAnsi="宋体" w:cs="宋体" w:eastAsia="宋体" w:hint="default"/>
          <w:spacing w:val="-2"/>
          <w:sz w:val="21"/>
          <w:szCs w:val="21"/>
        </w:rPr>
        <w:t>主；</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年，电力投资以解决电力输送的主干网建设为主；当前，电网输电环节的网架结构基本建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成，电网投资进入与用电侧密切相关的配电网建设和电网智能化建设阶段。根据国家能源局、发改委</w:t>
      </w:r>
      <w:r>
        <w:rPr>
          <w:rFonts w:ascii="Times New Roman" w:hAnsi="Times New Roman" w:cs="Times New Roman" w:eastAsia="Times New Roman" w:hint="default"/>
          <w:spacing w:val="-1"/>
          <w:sz w:val="21"/>
          <w:szCs w:val="21"/>
        </w:rPr>
        <w:t>2015</w:t>
      </w:r>
      <w:r>
        <w:rPr>
          <w:rFonts w:ascii="Times New Roman" w:hAnsi="Times New Roman" w:cs="Times New Roman" w:eastAsia="Times New Roman" w:hint="default"/>
          <w:spacing w:val="-28"/>
          <w:sz w:val="21"/>
          <w:szCs w:val="21"/>
        </w:rPr>
        <w:t> </w:t>
      </w:r>
      <w:r>
        <w:rPr>
          <w:rFonts w:ascii="宋体" w:hAnsi="宋体" w:cs="宋体" w:eastAsia="宋体" w:hint="default"/>
          <w:spacing w:val="-2"/>
          <w:sz w:val="21"/>
          <w:szCs w:val="21"/>
        </w:rPr>
        <w:t>年发布的《配电网建设改造行动计划（</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十三五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期间我国配电网建设改造投资不低于</w:t>
      </w:r>
      <w:r>
        <w:rPr>
          <w:rFonts w:ascii="Times New Roman" w:hAnsi="Times New Roman" w:cs="Times New Roman" w:eastAsia="Times New Roman" w:hint="default"/>
          <w:spacing w:val="-2"/>
          <w:sz w:val="21"/>
          <w:szCs w:val="21"/>
        </w:rPr>
        <w:t>1.7</w:t>
      </w:r>
      <w:r>
        <w:rPr>
          <w:rFonts w:ascii="Times New Roman" w:hAnsi="Times New Roman" w:cs="Times New Roman" w:eastAsia="Times New Roman" w:hint="default"/>
          <w:sz w:val="21"/>
          <w:szCs w:val="21"/>
        </w:rPr>
        <w:t> </w:t>
      </w:r>
      <w:r>
        <w:rPr>
          <w:rFonts w:ascii="宋体" w:hAnsi="宋体" w:cs="宋体" w:eastAsia="宋体" w:hint="default"/>
          <w:sz w:val="21"/>
          <w:szCs w:val="21"/>
        </w:rPr>
        <w:t>万亿元，至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年，我国配电自动化覆盖率达到</w:t>
      </w:r>
      <w:r>
        <w:rPr>
          <w:rFonts w:ascii="Times New Roman" w:hAnsi="Times New Roman" w:cs="Times New Roman" w:eastAsia="Times New Roman" w:hint="default"/>
          <w:sz w:val="21"/>
          <w:szCs w:val="21"/>
        </w:rPr>
        <w:t>90%</w:t>
      </w:r>
      <w:r>
        <w:rPr>
          <w:rFonts w:ascii="宋体" w:hAnsi="宋体" w:cs="宋体" w:eastAsia="宋体" w:hint="default"/>
          <w:sz w:val="21"/>
          <w:szCs w:val="21"/>
        </w:rPr>
        <w:t>以上。目前，我国配电自动化覆盖率和</w:t>
      </w:r>
      <w:r>
        <w:rPr>
          <w:rFonts w:ascii="Times New Roman" w:hAnsi="Times New Roman" w:cs="Times New Roman" w:eastAsia="Times New Roman" w:hint="default"/>
          <w:sz w:val="21"/>
          <w:szCs w:val="21"/>
        </w:rPr>
        <w:t>2020</w:t>
      </w:r>
      <w:r>
        <w:rPr>
          <w:rFonts w:ascii="宋体" w:hAnsi="宋体" w:cs="宋体" w:eastAsia="宋体" w:hint="default"/>
          <w:sz w:val="21"/>
          <w:szCs w:val="21"/>
        </w:rPr>
        <w:t>年目标相</w:t>
      </w:r>
      <w:r>
        <w:rPr>
          <w:rFonts w:ascii="宋体" w:hAnsi="宋体" w:cs="宋体" w:eastAsia="宋体" w:hint="default"/>
          <w:spacing w:val="-99"/>
          <w:sz w:val="21"/>
          <w:szCs w:val="21"/>
        </w:rPr>
        <w:t> </w:t>
      </w:r>
      <w:r>
        <w:rPr>
          <w:rFonts w:ascii="宋体" w:hAnsi="宋体" w:cs="宋体" w:eastAsia="宋体" w:hint="default"/>
          <w:sz w:val="21"/>
          <w:szCs w:val="21"/>
        </w:rPr>
        <w:t>比仍有很大的提升空间，配电自动化覆盖率的提升将直接带动公司智能配电产品的市场需求。</w:t>
      </w:r>
    </w:p>
    <w:p>
      <w:pPr>
        <w:spacing w:line="430" w:lineRule="atLeast" w:before="3"/>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）电网智能化体系建设逐步推进，坚强智能电网</w:t>
      </w:r>
      <w:r>
        <w:rPr>
          <w:rFonts w:ascii="Times New Roman" w:hAnsi="Times New Roman" w:cs="Times New Roman" w:eastAsia="Times New Roman" w:hint="default"/>
          <w:sz w:val="21"/>
          <w:szCs w:val="21"/>
        </w:rPr>
        <w:t>+</w:t>
      </w:r>
      <w:r>
        <w:rPr>
          <w:rFonts w:ascii="宋体" w:hAnsi="宋体" w:cs="宋体" w:eastAsia="宋体" w:hint="default"/>
          <w:sz w:val="21"/>
          <w:szCs w:val="21"/>
        </w:rPr>
        <w:t>泛在电力物联网在正形成。 根据国网公司</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月发布的《国家电网智能化规划总报告（修订稿）》，</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年国家电</w:t>
      </w:r>
    </w:p>
    <w:p>
      <w:pPr>
        <w:spacing w:line="264" w:lineRule="auto" w:before="21"/>
        <w:ind w:left="154" w:right="1027" w:firstLine="0"/>
        <w:jc w:val="both"/>
        <w:rPr>
          <w:rFonts w:ascii="宋体" w:hAnsi="宋体" w:cs="宋体" w:eastAsia="宋体" w:hint="default"/>
          <w:sz w:val="21"/>
          <w:szCs w:val="21"/>
        </w:rPr>
      </w:pPr>
      <w:r>
        <w:rPr>
          <w:rFonts w:ascii="宋体" w:hAnsi="宋体" w:cs="宋体" w:eastAsia="宋体" w:hint="default"/>
          <w:sz w:val="21"/>
          <w:szCs w:val="21"/>
        </w:rPr>
        <w:t>网计划智能化投资</w:t>
      </w:r>
      <w:r>
        <w:rPr>
          <w:rFonts w:ascii="Times New Roman" w:hAnsi="Times New Roman" w:cs="Times New Roman" w:eastAsia="Times New Roman" w:hint="default"/>
          <w:sz w:val="21"/>
          <w:szCs w:val="21"/>
        </w:rPr>
        <w:t>3841</w:t>
      </w:r>
      <w:r>
        <w:rPr>
          <w:rFonts w:ascii="宋体" w:hAnsi="宋体" w:cs="宋体" w:eastAsia="宋体" w:hint="default"/>
          <w:sz w:val="21"/>
          <w:szCs w:val="21"/>
        </w:rPr>
        <w:t>亿元，将</w:t>
      </w:r>
      <w:r>
        <w:rPr>
          <w:rFonts w:ascii="Times New Roman" w:hAnsi="Times New Roman" w:cs="Times New Roman" w:eastAsia="Times New Roman" w:hint="default"/>
          <w:sz w:val="21"/>
          <w:szCs w:val="21"/>
        </w:rPr>
        <w:t>“</w:t>
      </w:r>
      <w:r>
        <w:rPr>
          <w:rFonts w:ascii="宋体" w:hAnsi="宋体" w:cs="宋体" w:eastAsia="宋体" w:hint="default"/>
          <w:sz w:val="21"/>
          <w:szCs w:val="21"/>
        </w:rPr>
        <w:t>坚强智能电网</w:t>
      </w:r>
      <w:r>
        <w:rPr>
          <w:rFonts w:ascii="Times New Roman" w:hAnsi="Times New Roman" w:cs="Times New Roman" w:eastAsia="Times New Roman" w:hint="default"/>
          <w:sz w:val="21"/>
          <w:szCs w:val="21"/>
        </w:rPr>
        <w:t>”</w:t>
      </w:r>
      <w:r>
        <w:rPr>
          <w:rFonts w:ascii="宋体" w:hAnsi="宋体" w:cs="宋体" w:eastAsia="宋体" w:hint="default"/>
          <w:sz w:val="21"/>
          <w:szCs w:val="21"/>
        </w:rPr>
        <w:t>的建设计划划分为三个阶段，其中</w:t>
      </w:r>
      <w:r>
        <w:rPr>
          <w:rFonts w:ascii="Times New Roman" w:hAnsi="Times New Roman" w:cs="Times New Roman" w:eastAsia="Times New Roman" w:hint="default"/>
          <w:sz w:val="21"/>
          <w:szCs w:val="21"/>
        </w:rPr>
        <w:t>2016</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年为引领 提升阶段。报告对电网各个环节的智能化建设目标提出了要求，其中包括全面实施变电设备、输电线路的 </w:t>
      </w:r>
      <w:r>
        <w:rPr>
          <w:rFonts w:ascii="宋体" w:hAnsi="宋体" w:cs="宋体" w:eastAsia="宋体" w:hint="default"/>
          <w:spacing w:val="-3"/>
          <w:sz w:val="21"/>
          <w:szCs w:val="21"/>
        </w:rPr>
        <w:t>状态检修和全寿命周期管理，建设状态监测系统、建设配电自动化与配网调控一体化智能技术支持系统等。</w:t>
      </w:r>
    </w:p>
    <w:p>
      <w:pPr>
        <w:spacing w:line="256" w:lineRule="auto" w:before="136"/>
        <w:ind w:left="154"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月，南方电网公司印发《智能技术在生产技术领域应用路线方案》，规划了智能技术</w:t>
      </w:r>
      <w:r>
        <w:rPr>
          <w:rFonts w:ascii="Times New Roman" w:hAnsi="Times New Roman" w:cs="Times New Roman" w:eastAsia="Times New Roman" w:hint="default"/>
          <w:sz w:val="21"/>
          <w:szCs w:val="21"/>
        </w:rPr>
        <w:t>(</w:t>
      </w:r>
      <w:r>
        <w:rPr>
          <w:rFonts w:ascii="宋体" w:hAnsi="宋体" w:cs="宋体" w:eastAsia="宋体" w:hint="default"/>
          <w:sz w:val="21"/>
          <w:szCs w:val="21"/>
        </w:rPr>
        <w:t>包括云 </w:t>
      </w:r>
      <w:r>
        <w:rPr>
          <w:rFonts w:ascii="宋体" w:hAnsi="宋体" w:cs="宋体" w:eastAsia="宋体" w:hint="default"/>
          <w:spacing w:val="-3"/>
          <w:sz w:val="21"/>
          <w:szCs w:val="21"/>
        </w:rPr>
        <w:t>计算、大数据、物联网、移动互联网、人工智能等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在南方电网公司生产领域的智能装备、现场作业、状态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监测、态势感知和智慧运行五个领域的应用前景。</w:t>
      </w:r>
    </w:p>
    <w:p>
      <w:pPr>
        <w:spacing w:line="266" w:lineRule="auto" w:before="142"/>
        <w:ind w:left="154" w:right="11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月，国家电网公司召开工作会议，提出建设枢纽型、平台型、共享型企业，在坚强智能电网 基础上建设泛在电力物联网。泛在电力物联网指围绕电力系统各环节，充分应用</w:t>
      </w:r>
      <w:r>
        <w:rPr>
          <w:rFonts w:ascii="Times New Roman" w:hAnsi="Times New Roman" w:cs="Times New Roman" w:eastAsia="Times New Roman" w:hint="default"/>
          <w:sz w:val="21"/>
          <w:szCs w:val="21"/>
        </w:rPr>
        <w:t>“</w:t>
      </w:r>
      <w:r>
        <w:rPr>
          <w:rFonts w:ascii="宋体" w:hAnsi="宋体" w:cs="宋体" w:eastAsia="宋体" w:hint="default"/>
          <w:sz w:val="21"/>
          <w:szCs w:val="21"/>
        </w:rPr>
        <w:t>大数据、云计算、物联</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网、移动互联、人工智能、区块链、边缘计算</w:t>
      </w:r>
      <w:r>
        <w:rPr>
          <w:rFonts w:ascii="Times New Roman" w:hAnsi="Times New Roman" w:cs="Times New Roman" w:eastAsia="Times New Roman" w:hint="default"/>
          <w:sz w:val="21"/>
          <w:szCs w:val="21"/>
        </w:rPr>
        <w:t>”</w:t>
      </w:r>
      <w:r>
        <w:rPr>
          <w:rFonts w:ascii="宋体" w:hAnsi="宋体" w:cs="宋体" w:eastAsia="宋体" w:hint="default"/>
          <w:sz w:val="21"/>
          <w:szCs w:val="21"/>
        </w:rPr>
        <w:t>等信息技术和智能技术，打造状态全面感知、信息高效处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理、应用便捷灵活的泛在电力物联网。泛在电力物联网包含感知层、网络层、平台层、应用层四层结构。 </w:t>
      </w:r>
      <w:r>
        <w:rPr>
          <w:rFonts w:ascii="宋体" w:hAnsi="宋体" w:cs="宋体" w:eastAsia="宋体" w:hint="default"/>
          <w:spacing w:val="-1"/>
          <w:sz w:val="21"/>
          <w:szCs w:val="21"/>
        </w:rPr>
        <w:t>其中，感知层承担电力系统中各类信息的数据采集、分析和控制功能，为泛在电力物联网平台的大数据分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析提供数据源。与感知层相关的设备和技术包括各种传感器（数据采集）、检测监测系统（数据采集、分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析、诊断）、智能终端（数据采集、分析、控制）等。网络层为数据传输提供通道，并进行加密，与网络</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层相关的业务包括各种内网、外网通信网络，加密芯片，各种中继器、服务器等网络通信支撑设备等。平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台层包括数据中心、云平台等，承担各类数据的存储、管理、调用等功能。应用层包括对内业务和对外业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务管理系统，如企业管理系统、客户服务系统、综合能源服务、虚拟电厂等。</w:t>
      </w:r>
    </w:p>
    <w:p>
      <w:pPr>
        <w:spacing w:line="261" w:lineRule="auto" w:before="134"/>
        <w:ind w:left="154" w:right="1017" w:firstLine="420"/>
        <w:jc w:val="left"/>
        <w:rPr>
          <w:rFonts w:ascii="宋体" w:hAnsi="宋体" w:cs="宋体" w:eastAsia="宋体" w:hint="default"/>
          <w:sz w:val="21"/>
          <w:szCs w:val="21"/>
        </w:rPr>
      </w:pPr>
      <w:r>
        <w:rPr>
          <w:rFonts w:ascii="宋体" w:hAnsi="宋体" w:cs="宋体" w:eastAsia="宋体" w:hint="default"/>
          <w:spacing w:val="-3"/>
          <w:sz w:val="21"/>
          <w:szCs w:val="21"/>
        </w:rPr>
        <w:t>公司的电力检测监测业务本质为针对电力传输各个环节中所涉及设备的数据传感、分析、诊断和管理。</w:t>
      </w:r>
      <w:r>
        <w:rPr>
          <w:rFonts w:ascii="宋体" w:hAnsi="宋体" w:cs="宋体" w:eastAsia="宋体" w:hint="default"/>
          <w:sz w:val="21"/>
          <w:szCs w:val="21"/>
        </w:rPr>
        <w:t> 为此，公司建立了完善的具备自主知识产权的电力检测监测技术体系，截至本报告期末，公司已获得包括 </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以云平台共享特高压直流避雷器状态在线检测数据的方法</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以非接触传感器对特高压直流避雷器泄漏电</w:t>
      </w:r>
      <w:r>
        <w:rPr>
          <w:rFonts w:ascii="宋体" w:hAnsi="宋体" w:cs="宋体" w:eastAsia="宋体" w:hint="default"/>
          <w:spacing w:val="-103"/>
          <w:w w:val="100"/>
          <w:sz w:val="21"/>
          <w:szCs w:val="21"/>
        </w:rPr>
        <w:t> </w:t>
      </w:r>
      <w:r>
        <w:rPr>
          <w:rFonts w:ascii="宋体" w:hAnsi="宋体" w:cs="宋体" w:eastAsia="宋体" w:hint="default"/>
          <w:spacing w:val="-2"/>
          <w:sz w:val="21"/>
          <w:szCs w:val="21"/>
        </w:rPr>
        <w:t>流的检测装置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以软磁片为核心对非接触式微弱泄漏电流信号的采集单元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等与电力传感、大数据、云平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台相关的发明专利</w:t>
      </w:r>
      <w:r>
        <w:rPr>
          <w:rFonts w:ascii="Times New Roman" w:hAnsi="Times New Roman" w:cs="Times New Roman" w:eastAsia="Times New Roman" w:hint="default"/>
          <w:sz w:val="21"/>
          <w:szCs w:val="21"/>
        </w:rPr>
        <w:t>55</w:t>
      </w:r>
      <w:r>
        <w:rPr>
          <w:rFonts w:ascii="宋体" w:hAnsi="宋体" w:cs="宋体" w:eastAsia="宋体" w:hint="default"/>
          <w:sz w:val="21"/>
          <w:szCs w:val="21"/>
        </w:rPr>
        <w:t>项，包括</w:t>
      </w:r>
      <w:r>
        <w:rPr>
          <w:rFonts w:ascii="Times New Roman" w:hAnsi="Times New Roman" w:cs="Times New Roman" w:eastAsia="Times New Roman" w:hint="default"/>
          <w:sz w:val="21"/>
          <w:szCs w:val="21"/>
        </w:rPr>
        <w:t>“</w:t>
      </w:r>
      <w:r>
        <w:rPr>
          <w:rFonts w:ascii="宋体" w:hAnsi="宋体" w:cs="宋体" w:eastAsia="宋体" w:hint="default"/>
          <w:sz w:val="21"/>
          <w:szCs w:val="21"/>
        </w:rPr>
        <w:t>一种用于接地网分流相移测量的</w:t>
      </w:r>
      <w:r>
        <w:rPr>
          <w:rFonts w:ascii="Times New Roman" w:hAnsi="Times New Roman" w:cs="Times New Roman" w:eastAsia="Times New Roman" w:hint="default"/>
          <w:sz w:val="21"/>
          <w:szCs w:val="21"/>
        </w:rPr>
        <w:t>GPS</w:t>
      </w:r>
      <w:r>
        <w:rPr>
          <w:rFonts w:ascii="宋体" w:hAnsi="宋体" w:cs="宋体" w:eastAsia="宋体" w:hint="default"/>
          <w:sz w:val="21"/>
          <w:szCs w:val="21"/>
        </w:rPr>
        <w:t>同步接收装置</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一种多功能电气设备 </w:t>
      </w:r>
      <w:r>
        <w:rPr>
          <w:rFonts w:ascii="宋体" w:hAnsi="宋体" w:cs="宋体" w:eastAsia="宋体" w:hint="default"/>
          <w:spacing w:val="-2"/>
          <w:sz w:val="21"/>
          <w:szCs w:val="21"/>
        </w:rPr>
        <w:t>在线测温系统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以特高压直流避雷器状态检测数据为构架的大数据平台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等与电力传感、大数据、云平台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相关的实用新型专利</w:t>
      </w:r>
      <w:r>
        <w:rPr>
          <w:rFonts w:ascii="Times New Roman" w:hAnsi="Times New Roman" w:cs="Times New Roman" w:eastAsia="Times New Roman" w:hint="default"/>
          <w:sz w:val="21"/>
          <w:szCs w:val="21"/>
        </w:rPr>
        <w:t>151</w:t>
      </w:r>
      <w:r>
        <w:rPr>
          <w:rFonts w:ascii="宋体" w:hAnsi="宋体" w:cs="宋体" w:eastAsia="宋体" w:hint="default"/>
          <w:sz w:val="21"/>
          <w:szCs w:val="21"/>
        </w:rPr>
        <w:t>项，各类电力设备数据分析软件相关的软件著作权</w:t>
      </w:r>
      <w:r>
        <w:rPr>
          <w:rFonts w:ascii="Times New Roman" w:hAnsi="Times New Roman" w:cs="Times New Roman" w:eastAsia="Times New Roman" w:hint="default"/>
          <w:sz w:val="21"/>
          <w:szCs w:val="21"/>
        </w:rPr>
        <w:t>85</w:t>
      </w:r>
      <w:r>
        <w:rPr>
          <w:rFonts w:ascii="宋体" w:hAnsi="宋体" w:cs="宋体" w:eastAsia="宋体" w:hint="default"/>
          <w:sz w:val="21"/>
          <w:szCs w:val="21"/>
        </w:rPr>
        <w:t>项。</w:t>
      </w:r>
    </w:p>
    <w:p>
      <w:pPr>
        <w:spacing w:line="256" w:lineRule="auto" w:before="120"/>
        <w:ind w:left="154" w:right="1136" w:firstLine="420"/>
        <w:jc w:val="both"/>
        <w:rPr>
          <w:rFonts w:ascii="宋体" w:hAnsi="宋体" w:cs="宋体" w:eastAsia="宋体" w:hint="default"/>
          <w:sz w:val="21"/>
          <w:szCs w:val="21"/>
        </w:rPr>
      </w:pPr>
      <w:r>
        <w:rPr>
          <w:rFonts w:ascii="宋体" w:hAnsi="宋体" w:cs="宋体" w:eastAsia="宋体" w:hint="default"/>
          <w:sz w:val="21"/>
          <w:szCs w:val="21"/>
        </w:rPr>
        <w:t>电网公司全面、大力推广坚强智能电网</w:t>
      </w:r>
      <w:r>
        <w:rPr>
          <w:rFonts w:ascii="Times New Roman" w:hAnsi="Times New Roman" w:cs="Times New Roman" w:eastAsia="Times New Roman" w:hint="default"/>
          <w:sz w:val="21"/>
          <w:szCs w:val="21"/>
        </w:rPr>
        <w:t>+</w:t>
      </w:r>
      <w:r>
        <w:rPr>
          <w:rFonts w:ascii="宋体" w:hAnsi="宋体" w:cs="宋体" w:eastAsia="宋体" w:hint="default"/>
          <w:sz w:val="21"/>
          <w:szCs w:val="21"/>
        </w:rPr>
        <w:t>泛在电力物联网建设为公司的电力传感、检测、监测业务带 来了发展机遇。</w:t>
      </w:r>
    </w:p>
    <w:p>
      <w:pPr>
        <w:spacing w:line="357" w:lineRule="auto" w:before="142"/>
        <w:ind w:left="658" w:right="817" w:hanging="8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、军工行业 微波混合集成电路相关技术作为新一代信息技术产业的重要组成部分，广泛应用于雷达、通信、制</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导、电子对抗等国防军事领域，是国防信息化、数字化、现代化建设的重要基础。</w:t>
      </w:r>
    </w:p>
    <w:p>
      <w:pPr>
        <w:spacing w:line="273" w:lineRule="auto" w:before="15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我国国家经济实力不断增强，国防投入持续加大并有进一步提升空间。现代信息化战争的实质就是对</w:t>
      </w:r>
      <w:r>
        <w:rPr>
          <w:rFonts w:ascii="宋体" w:hAnsi="宋体" w:cs="宋体" w:eastAsia="宋体" w:hint="default"/>
          <w:sz w:val="21"/>
          <w:szCs w:val="21"/>
        </w:rPr>
        <w:t> </w:t>
      </w:r>
      <w:r>
        <w:rPr>
          <w:rFonts w:ascii="宋体" w:hAnsi="宋体" w:cs="宋体" w:eastAsia="宋体" w:hint="default"/>
          <w:spacing w:val="-1"/>
          <w:sz w:val="21"/>
          <w:szCs w:val="21"/>
        </w:rPr>
        <w:t>信息优势的争夺和控制，国防信息化建设已经成为国防建设中增长最迅猛的领域之一。在国防信息化系统</w:t>
      </w:r>
    </w:p>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中，各种波段的主被动雷达、通信传输以及数据链设备是国防信息化系统的核心组成，射频微波等基础技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术是国防信息化发展的基石。</w:t>
      </w:r>
    </w:p>
    <w:p>
      <w:pPr>
        <w:spacing w:line="268" w:lineRule="auto" w:before="127"/>
        <w:ind w:left="154" w:right="1131" w:firstLine="420"/>
        <w:jc w:val="both"/>
        <w:rPr>
          <w:rFonts w:ascii="宋体" w:hAnsi="宋体" w:cs="宋体" w:eastAsia="宋体" w:hint="default"/>
          <w:sz w:val="21"/>
          <w:szCs w:val="21"/>
        </w:rPr>
      </w:pPr>
      <w:r>
        <w:rPr>
          <w:rFonts w:ascii="宋体" w:hAnsi="宋体" w:cs="宋体" w:eastAsia="宋体" w:hint="default"/>
          <w:spacing w:val="-2"/>
          <w:sz w:val="21"/>
          <w:szCs w:val="21"/>
        </w:rPr>
        <w:t>根据《国防科技工业中长期科学和技术发展规划纲要（</w:t>
      </w:r>
      <w:r>
        <w:rPr>
          <w:rFonts w:ascii="Times New Roman" w:hAnsi="Times New Roman" w:cs="Times New Roman" w:eastAsia="Times New Roman" w:hint="default"/>
          <w:spacing w:val="-2"/>
          <w:sz w:val="21"/>
          <w:szCs w:val="21"/>
        </w:rPr>
        <w:t>2006-2020</w:t>
      </w:r>
      <w:r>
        <w:rPr>
          <w:rFonts w:ascii="宋体" w:hAnsi="宋体" w:cs="宋体" w:eastAsia="宋体" w:hint="default"/>
          <w:spacing w:val="-2"/>
          <w:sz w:val="21"/>
          <w:szCs w:val="21"/>
        </w:rPr>
        <w:t>）》，未来国防科技工业将把增强自</w:t>
      </w:r>
      <w:r>
        <w:rPr>
          <w:rFonts w:ascii="宋体" w:hAnsi="宋体" w:cs="宋体" w:eastAsia="宋体" w:hint="default"/>
          <w:sz w:val="21"/>
          <w:szCs w:val="21"/>
        </w:rPr>
        <w:t> </w:t>
      </w:r>
      <w:r>
        <w:rPr>
          <w:rFonts w:ascii="宋体" w:hAnsi="宋体" w:cs="宋体" w:eastAsia="宋体" w:hint="default"/>
          <w:spacing w:val="-1"/>
          <w:sz w:val="21"/>
          <w:szCs w:val="21"/>
        </w:rPr>
        <w:t>主创新能力作为发展国防科技的战略基点，加快转型升级，实现高新技术武器装备研制能力等国防科技重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大跨越，提升高新技术武器装备的自主研发和快速供给能力，满足军队智能化、机械化、信息化复合发展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的战略需求。因此，微波混合集成电路产品作为提升我国武器装备信息化水平的重要产业，仍将会保持持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续稳步增长。</w:t>
      </w:r>
    </w:p>
    <w:p>
      <w:pPr>
        <w:spacing w:line="264" w:lineRule="auto" w:before="132"/>
        <w:ind w:left="154" w:right="1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月，中央军委引发《关于提高军事训练实战化水平的意见》，系统提出当前和今后一个时期 </w:t>
      </w:r>
      <w:r>
        <w:rPr>
          <w:rFonts w:ascii="宋体" w:hAnsi="宋体" w:cs="宋体" w:eastAsia="宋体" w:hint="default"/>
          <w:spacing w:val="-1"/>
          <w:sz w:val="21"/>
          <w:szCs w:val="21"/>
        </w:rPr>
        <w:t>提高军事训练实战化水平的指导思想、总体思路、主要任务和措施要求。各军种实战化训练强度和频率不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断提高，武器装备尤其是导弹的消耗量明显增多，直接促进了导弹、通信等装备的市场需求。</w:t>
      </w:r>
    </w:p>
    <w:p>
      <w:pPr>
        <w:spacing w:line="273" w:lineRule="auto" w:before="136"/>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此外，军民融合式发展已成为顺应世界新军事变革发展的大趋势，我国的军民融合正处于由发展初期</w:t>
      </w:r>
      <w:r>
        <w:rPr>
          <w:rFonts w:ascii="宋体" w:hAnsi="宋体" w:cs="宋体" w:eastAsia="宋体" w:hint="default"/>
          <w:sz w:val="21"/>
          <w:szCs w:val="21"/>
        </w:rPr>
        <w:t> </w:t>
      </w:r>
      <w:r>
        <w:rPr>
          <w:rFonts w:ascii="宋体" w:hAnsi="宋体" w:cs="宋体" w:eastAsia="宋体" w:hint="default"/>
          <w:spacing w:val="-1"/>
          <w:sz w:val="21"/>
          <w:szCs w:val="21"/>
        </w:rPr>
        <w:t>向中期迈进的阶段，处于由初步融合向深度融合推进的阶段。未来，随着军民融资的深度推进，具有强大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研发实力、优秀管理团队、良好市场声誉的民营企业将迎来巨大的成长空间。</w:t>
      </w:r>
    </w:p>
    <w:p>
      <w:pPr>
        <w:spacing w:line="357" w:lineRule="auto" w:before="1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、铁路与轨道交通板块 </w:t>
      </w:r>
      <w:r>
        <w:rPr>
          <w:rFonts w:ascii="宋体" w:hAnsi="宋体" w:cs="宋体" w:eastAsia="宋体" w:hint="default"/>
          <w:spacing w:val="-1"/>
          <w:sz w:val="21"/>
          <w:szCs w:val="21"/>
        </w:rPr>
        <w:t>铁路是关系国计民生的交通大动脉，对促进国民经济的发展和社会进步都起到了重要作用，是国家大</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力扶植的产业。经过多年的发展，当前我国铁路行业存在以下几个特征：</w:t>
      </w:r>
    </w:p>
    <w:p>
      <w:pPr>
        <w:spacing w:line="430" w:lineRule="atLeast" w:before="18"/>
        <w:ind w:left="574" w:right="101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）铁路固定资产投资维持在一个相当高的水平。 根据国家《铁路</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规划》，到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年全国铁路营业里程达到</w:t>
      </w:r>
      <w:r>
        <w:rPr>
          <w:rFonts w:ascii="Times New Roman" w:hAnsi="Times New Roman" w:cs="Times New Roman" w:eastAsia="Times New Roman" w:hint="default"/>
          <w:sz w:val="21"/>
          <w:szCs w:val="21"/>
        </w:rPr>
        <w:t>15</w:t>
      </w:r>
      <w:r>
        <w:rPr>
          <w:rFonts w:ascii="宋体" w:hAnsi="宋体" w:cs="宋体" w:eastAsia="宋体" w:hint="default"/>
          <w:sz w:val="21"/>
          <w:szCs w:val="21"/>
        </w:rPr>
        <w:t>万公里，其中高速铁路</w:t>
      </w:r>
      <w:r>
        <w:rPr>
          <w:rFonts w:ascii="Times New Roman" w:hAnsi="Times New Roman" w:cs="Times New Roman" w:eastAsia="Times New Roman" w:hint="default"/>
          <w:sz w:val="21"/>
          <w:szCs w:val="21"/>
        </w:rPr>
        <w:t>3</w:t>
      </w:r>
      <w:r>
        <w:rPr>
          <w:rFonts w:ascii="宋体" w:hAnsi="宋体" w:cs="宋体" w:eastAsia="宋体" w:hint="default"/>
          <w:sz w:val="21"/>
          <w:szCs w:val="21"/>
        </w:rPr>
        <w:t>万公里，</w:t>
      </w:r>
    </w:p>
    <w:p>
      <w:pPr>
        <w:spacing w:line="256" w:lineRule="auto" w:before="21"/>
        <w:ind w:left="154" w:right="1109" w:firstLine="0"/>
        <w:jc w:val="both"/>
        <w:rPr>
          <w:rFonts w:ascii="宋体" w:hAnsi="宋体" w:cs="宋体" w:eastAsia="宋体" w:hint="default"/>
          <w:sz w:val="21"/>
          <w:szCs w:val="21"/>
        </w:rPr>
      </w:pPr>
      <w:r>
        <w:rPr>
          <w:rFonts w:ascii="宋体" w:hAnsi="宋体" w:cs="宋体" w:eastAsia="宋体" w:hint="default"/>
          <w:sz w:val="21"/>
          <w:szCs w:val="21"/>
        </w:rPr>
        <w:t>覆盖</w:t>
      </w:r>
      <w:r>
        <w:rPr>
          <w:rFonts w:ascii="Times New Roman" w:hAnsi="Times New Roman" w:cs="Times New Roman" w:eastAsia="Times New Roman" w:hint="default"/>
          <w:sz w:val="21"/>
          <w:szCs w:val="21"/>
        </w:rPr>
        <w:t>80%</w:t>
      </w:r>
      <w:r>
        <w:rPr>
          <w:rFonts w:ascii="宋体" w:hAnsi="宋体" w:cs="宋体" w:eastAsia="宋体" w:hint="default"/>
          <w:sz w:val="21"/>
          <w:szCs w:val="21"/>
        </w:rPr>
        <w:t>以上的大城市，基本形成布局合理、覆盖广泛、层次分明、安全高效的铁路网络。到</w:t>
      </w:r>
      <w:r>
        <w:rPr>
          <w:rFonts w:ascii="Times New Roman" w:hAnsi="Times New Roman" w:cs="Times New Roman" w:eastAsia="Times New Roman" w:hint="default"/>
          <w:sz w:val="21"/>
          <w:szCs w:val="21"/>
        </w:rPr>
        <w:t>2025</w:t>
      </w:r>
      <w:r>
        <w:rPr>
          <w:rFonts w:ascii="宋体" w:hAnsi="宋体" w:cs="宋体" w:eastAsia="宋体" w:hint="default"/>
          <w:sz w:val="21"/>
          <w:szCs w:val="21"/>
        </w:rPr>
        <w:t>年，铁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路网规模达到</w:t>
      </w:r>
      <w:r>
        <w:rPr>
          <w:rFonts w:ascii="Times New Roman" w:hAnsi="Times New Roman" w:cs="Times New Roman" w:eastAsia="Times New Roman" w:hint="default"/>
          <w:sz w:val="21"/>
          <w:szCs w:val="21"/>
        </w:rPr>
        <w:t>17.5</w:t>
      </w:r>
      <w:r>
        <w:rPr>
          <w:rFonts w:ascii="宋体" w:hAnsi="宋体" w:cs="宋体" w:eastAsia="宋体" w:hint="default"/>
          <w:sz w:val="21"/>
          <w:szCs w:val="21"/>
        </w:rPr>
        <w:t>万公里左右，其中高速铁路</w:t>
      </w:r>
      <w:r>
        <w:rPr>
          <w:rFonts w:ascii="Times New Roman" w:hAnsi="Times New Roman" w:cs="Times New Roman" w:eastAsia="Times New Roman" w:hint="default"/>
          <w:sz w:val="21"/>
          <w:szCs w:val="21"/>
        </w:rPr>
        <w:t>3.8</w:t>
      </w:r>
      <w:r>
        <w:rPr>
          <w:rFonts w:ascii="宋体" w:hAnsi="宋体" w:cs="宋体" w:eastAsia="宋体" w:hint="default"/>
          <w:sz w:val="21"/>
          <w:szCs w:val="21"/>
        </w:rPr>
        <w:t>万公里左右，网络覆盖进一步扩大，路网结构更加优化， 骨干作用更加显著，更好发挥铁路对经济社会发展的保障作用。</w:t>
      </w:r>
    </w:p>
    <w:p>
      <w:pPr>
        <w:spacing w:line="256" w:lineRule="auto" w:before="142"/>
        <w:ind w:left="154" w:right="817" w:firstLine="420"/>
        <w:jc w:val="left"/>
        <w:rPr>
          <w:rFonts w:ascii="宋体" w:hAnsi="宋体" w:cs="宋体" w:eastAsia="宋体" w:hint="default"/>
          <w:sz w:val="21"/>
          <w:szCs w:val="21"/>
        </w:rPr>
      </w:pPr>
      <w:r>
        <w:rPr>
          <w:rFonts w:ascii="宋体" w:hAnsi="宋体" w:cs="宋体" w:eastAsia="宋体" w:hint="default"/>
          <w:spacing w:val="-3"/>
          <w:sz w:val="21"/>
          <w:szCs w:val="21"/>
        </w:rPr>
        <w:t>根据交通部的数据，</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年我国铁路投资完成额为</w:t>
      </w:r>
      <w:r>
        <w:rPr>
          <w:rFonts w:ascii="Times New Roman" w:hAnsi="Times New Roman" w:cs="Times New Roman" w:eastAsia="Times New Roman" w:hint="default"/>
          <w:spacing w:val="-3"/>
          <w:sz w:val="21"/>
          <w:szCs w:val="21"/>
        </w:rPr>
        <w:t>8010</w:t>
      </w:r>
      <w:r>
        <w:rPr>
          <w:rFonts w:ascii="宋体" w:hAnsi="宋体" w:cs="宋体" w:eastAsia="宋体" w:hint="default"/>
          <w:spacing w:val="-3"/>
          <w:sz w:val="21"/>
          <w:szCs w:val="21"/>
        </w:rPr>
        <w:t>亿元，</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年我国铁路投资完成额为</w:t>
      </w:r>
      <w:r>
        <w:rPr>
          <w:rFonts w:ascii="Times New Roman" w:hAnsi="Times New Roman" w:cs="Times New Roman" w:eastAsia="Times New Roman" w:hint="default"/>
          <w:spacing w:val="-3"/>
          <w:sz w:val="21"/>
          <w:szCs w:val="21"/>
        </w:rPr>
        <w:t>8028</w:t>
      </w:r>
      <w:r>
        <w:rPr>
          <w:rFonts w:ascii="宋体" w:hAnsi="宋体" w:cs="宋体" w:eastAsia="宋体" w:hint="default"/>
          <w:spacing w:val="-3"/>
          <w:sz w:val="21"/>
          <w:szCs w:val="21"/>
        </w:rPr>
        <w:t>亿元。</w:t>
      </w:r>
      <w:r>
        <w:rPr>
          <w:rFonts w:ascii="宋体" w:hAnsi="宋体" w:cs="宋体" w:eastAsia="宋体" w:hint="default"/>
          <w:sz w:val="21"/>
          <w:szCs w:val="21"/>
        </w:rPr>
        <w:t> 根据中国铁路总公司出台的年度建设计划，</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年全国铁路固定资产投资保持强度规模，新开工铁路里程 预计达到</w:t>
      </w:r>
      <w:r>
        <w:rPr>
          <w:rFonts w:ascii="Times New Roman" w:hAnsi="Times New Roman" w:cs="Times New Roman" w:eastAsia="Times New Roman" w:hint="default"/>
          <w:sz w:val="21"/>
          <w:szCs w:val="21"/>
        </w:rPr>
        <w:t>6800</w:t>
      </w:r>
      <w:r>
        <w:rPr>
          <w:rFonts w:ascii="宋体" w:hAnsi="宋体" w:cs="宋体" w:eastAsia="宋体" w:hint="default"/>
          <w:sz w:val="21"/>
          <w:szCs w:val="21"/>
        </w:rPr>
        <w:t>公里，比上一年增加</w:t>
      </w:r>
      <w:r>
        <w:rPr>
          <w:rFonts w:ascii="Times New Roman" w:hAnsi="Times New Roman" w:cs="Times New Roman" w:eastAsia="Times New Roman" w:hint="default"/>
          <w:sz w:val="21"/>
          <w:szCs w:val="21"/>
        </w:rPr>
        <w:t>45%</w:t>
      </w:r>
      <w:r>
        <w:rPr>
          <w:rFonts w:ascii="宋体" w:hAnsi="宋体" w:cs="宋体" w:eastAsia="宋体" w:hint="default"/>
          <w:sz w:val="21"/>
          <w:szCs w:val="21"/>
        </w:rPr>
        <w:t>。</w:t>
      </w:r>
    </w:p>
    <w:p>
      <w:pPr>
        <w:spacing w:line="357" w:lineRule="auto" w:before="125"/>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）铁路复线率、电气化率逐步提高。 </w:t>
      </w:r>
      <w:r>
        <w:rPr>
          <w:rFonts w:ascii="宋体" w:hAnsi="宋体" w:cs="宋体" w:eastAsia="宋体" w:hint="default"/>
          <w:spacing w:val="-1"/>
          <w:sz w:val="21"/>
          <w:szCs w:val="21"/>
        </w:rPr>
        <w:t>我国国土面积辽阔，人口分布和经济发展不均衡。一方面，人口密集和经济发达地区对铁路复线率存</w:t>
      </w:r>
    </w:p>
    <w:p>
      <w:pPr>
        <w:spacing w:line="225"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在显著需求；另一方面，铁路电气化率还有较大的提升空间。根据国家《铁路</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规划》，到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p>
    <w:p>
      <w:pPr>
        <w:spacing w:before="21"/>
        <w:ind w:left="154" w:right="0" w:firstLine="0"/>
        <w:jc w:val="both"/>
        <w:rPr>
          <w:rFonts w:ascii="宋体" w:hAnsi="宋体" w:cs="宋体" w:eastAsia="宋体" w:hint="default"/>
          <w:sz w:val="21"/>
          <w:szCs w:val="21"/>
        </w:rPr>
      </w:pPr>
      <w:r>
        <w:rPr>
          <w:rFonts w:ascii="宋体" w:hAnsi="宋体" w:cs="宋体" w:eastAsia="宋体" w:hint="default"/>
          <w:sz w:val="21"/>
          <w:szCs w:val="21"/>
        </w:rPr>
        <w:t>全国铁路复线率和电气化率将分别达到</w:t>
      </w:r>
      <w:r>
        <w:rPr>
          <w:rFonts w:ascii="Times New Roman" w:hAnsi="Times New Roman" w:cs="Times New Roman" w:eastAsia="Times New Roman" w:hint="default"/>
          <w:sz w:val="21"/>
          <w:szCs w:val="21"/>
        </w:rPr>
        <w:t>60%</w:t>
      </w:r>
      <w:r>
        <w:rPr>
          <w:rFonts w:ascii="宋体" w:hAnsi="宋体" w:cs="宋体" w:eastAsia="宋体" w:hint="default"/>
          <w:sz w:val="21"/>
          <w:szCs w:val="21"/>
        </w:rPr>
        <w:t>和</w:t>
      </w:r>
      <w:r>
        <w:rPr>
          <w:rFonts w:ascii="Times New Roman" w:hAnsi="Times New Roman" w:cs="Times New Roman" w:eastAsia="Times New Roman" w:hint="default"/>
          <w:sz w:val="21"/>
          <w:szCs w:val="21"/>
        </w:rPr>
        <w:t>70%</w:t>
      </w:r>
      <w:r>
        <w:rPr>
          <w:rFonts w:ascii="宋体" w:hAnsi="宋体" w:cs="宋体" w:eastAsia="宋体" w:hint="default"/>
          <w:sz w:val="21"/>
          <w:szCs w:val="21"/>
        </w:rPr>
        <w:t>左右。</w:t>
      </w:r>
    </w:p>
    <w:p>
      <w:pPr>
        <w:spacing w:line="430" w:lineRule="atLeast" w:before="2"/>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）中国铁路海外竞争力显著增强。 随着国家</w:t>
      </w:r>
      <w:r>
        <w:rPr>
          <w:rFonts w:ascii="Times New Roman" w:hAnsi="Times New Roman" w:cs="Times New Roman" w:eastAsia="Times New Roman" w:hint="default"/>
          <w:sz w:val="21"/>
          <w:szCs w:val="21"/>
        </w:rPr>
        <w:t>“</w:t>
      </w:r>
      <w:r>
        <w:rPr>
          <w:rFonts w:ascii="宋体" w:hAnsi="宋体" w:cs="宋体" w:eastAsia="宋体" w:hint="default"/>
          <w:sz w:val="21"/>
          <w:szCs w:val="21"/>
        </w:rPr>
        <w:t>一带一路</w:t>
      </w:r>
      <w:r>
        <w:rPr>
          <w:rFonts w:ascii="Times New Roman" w:hAnsi="Times New Roman" w:cs="Times New Roman" w:eastAsia="Times New Roman" w:hint="default"/>
          <w:sz w:val="21"/>
          <w:szCs w:val="21"/>
        </w:rPr>
        <w:t>”</w:t>
      </w:r>
      <w:r>
        <w:rPr>
          <w:rFonts w:ascii="宋体" w:hAnsi="宋体" w:cs="宋体" w:eastAsia="宋体" w:hint="default"/>
          <w:sz w:val="21"/>
          <w:szCs w:val="21"/>
        </w:rPr>
        <w:t>战略的逐步实施，高铁作为</w:t>
      </w:r>
      <w:r>
        <w:rPr>
          <w:rFonts w:ascii="Times New Roman" w:hAnsi="Times New Roman" w:cs="Times New Roman" w:eastAsia="Times New Roman" w:hint="default"/>
          <w:sz w:val="21"/>
          <w:szCs w:val="21"/>
        </w:rPr>
        <w:t>“</w:t>
      </w:r>
      <w:r>
        <w:rPr>
          <w:rFonts w:ascii="宋体" w:hAnsi="宋体" w:cs="宋体" w:eastAsia="宋体" w:hint="default"/>
          <w:sz w:val="21"/>
          <w:szCs w:val="21"/>
        </w:rPr>
        <w:t>一带一路</w:t>
      </w:r>
      <w:r>
        <w:rPr>
          <w:rFonts w:ascii="Times New Roman" w:hAnsi="Times New Roman" w:cs="Times New Roman" w:eastAsia="Times New Roman" w:hint="default"/>
          <w:sz w:val="21"/>
          <w:szCs w:val="21"/>
        </w:rPr>
        <w:t>”</w:t>
      </w:r>
      <w:r>
        <w:rPr>
          <w:rFonts w:ascii="宋体" w:hAnsi="宋体" w:cs="宋体" w:eastAsia="宋体" w:hint="default"/>
          <w:sz w:val="21"/>
          <w:szCs w:val="21"/>
        </w:rPr>
        <w:t>中互联互通的重要纽带，将获得良好的发</w:t>
      </w:r>
    </w:p>
    <w:p>
      <w:pPr>
        <w:spacing w:line="268" w:lineRule="auto" w:before="21"/>
        <w:ind w:left="154" w:right="1110" w:firstLine="0"/>
        <w:jc w:val="both"/>
        <w:rPr>
          <w:rFonts w:ascii="宋体" w:hAnsi="宋体" w:cs="宋体" w:eastAsia="宋体" w:hint="default"/>
          <w:sz w:val="21"/>
          <w:szCs w:val="21"/>
        </w:rPr>
      </w:pPr>
      <w:r>
        <w:rPr>
          <w:rFonts w:ascii="宋体" w:hAnsi="宋体" w:cs="宋体" w:eastAsia="宋体" w:hint="default"/>
          <w:spacing w:val="-1"/>
          <w:sz w:val="21"/>
          <w:szCs w:val="21"/>
        </w:rPr>
        <w:t>展机遇。我国拥有先进的高铁建设能力和丰富的管理经验。高铁运行里程世界最长，地质构造、气候最为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复杂。近年来，</w:t>
      </w:r>
      <w:r>
        <w:rPr>
          <w:rFonts w:ascii="Times New Roman" w:hAnsi="Times New Roman" w:cs="Times New Roman" w:eastAsia="Times New Roman" w:hint="default"/>
          <w:sz w:val="21"/>
          <w:szCs w:val="21"/>
        </w:rPr>
        <w:t>“</w:t>
      </w:r>
      <w:r>
        <w:rPr>
          <w:rFonts w:ascii="宋体" w:hAnsi="宋体" w:cs="宋体" w:eastAsia="宋体" w:hint="default"/>
          <w:sz w:val="21"/>
          <w:szCs w:val="21"/>
        </w:rPr>
        <w:t>中国高铁</w:t>
      </w:r>
      <w:r>
        <w:rPr>
          <w:rFonts w:ascii="Times New Roman" w:hAnsi="Times New Roman" w:cs="Times New Roman" w:eastAsia="Times New Roman" w:hint="default"/>
          <w:sz w:val="21"/>
          <w:szCs w:val="21"/>
        </w:rPr>
        <w:t>”</w:t>
      </w:r>
      <w:r>
        <w:rPr>
          <w:rFonts w:ascii="宋体" w:hAnsi="宋体" w:cs="宋体" w:eastAsia="宋体" w:hint="default"/>
          <w:sz w:val="21"/>
          <w:szCs w:val="21"/>
        </w:rPr>
        <w:t>已是国家领导人出访的新外交名片，在</w:t>
      </w:r>
      <w:r>
        <w:rPr>
          <w:rFonts w:ascii="Times New Roman" w:hAnsi="Times New Roman" w:cs="Times New Roman" w:eastAsia="Times New Roman" w:hint="default"/>
          <w:sz w:val="21"/>
          <w:szCs w:val="21"/>
        </w:rPr>
        <w:t>“</w:t>
      </w:r>
      <w:r>
        <w:rPr>
          <w:rFonts w:ascii="宋体" w:hAnsi="宋体" w:cs="宋体" w:eastAsia="宋体" w:hint="default"/>
          <w:sz w:val="21"/>
          <w:szCs w:val="21"/>
        </w:rPr>
        <w:t>高铁外交</w:t>
      </w:r>
      <w:r>
        <w:rPr>
          <w:rFonts w:ascii="Times New Roman" w:hAnsi="Times New Roman" w:cs="Times New Roman" w:eastAsia="Times New Roman" w:hint="default"/>
          <w:sz w:val="21"/>
          <w:szCs w:val="21"/>
        </w:rPr>
        <w:t>”</w:t>
      </w:r>
      <w:r>
        <w:rPr>
          <w:rFonts w:ascii="宋体" w:hAnsi="宋体" w:cs="宋体" w:eastAsia="宋体" w:hint="default"/>
          <w:sz w:val="21"/>
          <w:szCs w:val="21"/>
        </w:rPr>
        <w:t>的带动下，经过多年积淀的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中国铁路技术，正加快走出去的步伐，展现了高层对我国高铁技术的自信，基于政府主导下的高铁外交， </w:t>
      </w:r>
      <w:r>
        <w:rPr>
          <w:rFonts w:ascii="宋体" w:hAnsi="宋体" w:cs="宋体" w:eastAsia="宋体" w:hint="default"/>
          <w:spacing w:val="-1"/>
          <w:sz w:val="21"/>
          <w:szCs w:val="21"/>
        </w:rPr>
        <w:t>在国际场合持续推荐中国的高铁技术和设备，对于我国的高铁行业积极走出国门，开拓海外市场具有非常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强的促进作用，并已取得丰硕的成果，中国企业中标海外高铁建设项目数量和规模逐步增多。</w:t>
      </w:r>
    </w:p>
    <w:p>
      <w:pPr>
        <w:spacing w:before="132"/>
        <w:ind w:left="576" w:right="817" w:firstLine="0"/>
        <w:jc w:val="left"/>
        <w:rPr>
          <w:rFonts w:ascii="宋体" w:hAnsi="宋体" w:cs="宋体" w:eastAsia="宋体" w:hint="default"/>
          <w:sz w:val="21"/>
          <w:szCs w:val="21"/>
        </w:rPr>
      </w:pPr>
      <w:r>
        <w:rPr>
          <w:rFonts w:ascii="宋体" w:hAnsi="宋体" w:cs="宋体" w:eastAsia="宋体" w:hint="default"/>
          <w:b/>
          <w:bCs/>
          <w:sz w:val="21"/>
          <w:szCs w:val="21"/>
        </w:rPr>
        <w:t>（四）公司所处的行业地位</w:t>
      </w:r>
      <w:r>
        <w:rPr>
          <w:rFonts w:ascii="宋体" w:hAnsi="宋体" w:cs="宋体" w:eastAsia="宋体" w:hint="default"/>
          <w:sz w:val="21"/>
          <w:szCs w:val="21"/>
        </w:rPr>
      </w:r>
    </w:p>
    <w:p>
      <w:pPr>
        <w:spacing w:line="264" w:lineRule="auto" w:before="157"/>
        <w:ind w:left="154" w:right="113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、公司是国内较早开展电力设备状态检修技术研究、应用及推广的企业之一，经过多年的技术沉淀 </w:t>
      </w:r>
      <w:r>
        <w:rPr>
          <w:rFonts w:ascii="宋体" w:hAnsi="宋体" w:cs="宋体" w:eastAsia="宋体" w:hint="default"/>
          <w:spacing w:val="-1"/>
          <w:sz w:val="21"/>
          <w:szCs w:val="21"/>
        </w:rPr>
        <w:t>和市场积累，公司已经形成了基础学科覆盖较广、产品形态相对齐全、业务种类相对完善的电力设备状态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检修体系，在行业中具有先发优势，并积极参与了一些行业标准和电网公司企业标准的制定，目前是厦门</w:t>
      </w:r>
    </w:p>
    <w:p>
      <w:pPr>
        <w:spacing w:after="0" w:line="264"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r>
        <w:rPr>
          <w:rFonts w:ascii="宋体" w:hAnsi="宋体" w:cs="宋体" w:eastAsia="宋体" w:hint="default"/>
          <w:sz w:val="21"/>
          <w:szCs w:val="21"/>
        </w:rPr>
        <w:t>市认定的企业技术中心。</w:t>
      </w:r>
    </w:p>
    <w:p>
      <w:pPr>
        <w:spacing w:line="268" w:lineRule="auto" w:before="157"/>
        <w:ind w:left="154" w:right="113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、子公司星波通信一直致力于微波混合集成电路相关技术在机载、弹载、舰载等多种武器平台上的 </w:t>
      </w:r>
      <w:r>
        <w:rPr>
          <w:rFonts w:ascii="宋体" w:hAnsi="宋体" w:cs="宋体" w:eastAsia="宋体" w:hint="default"/>
          <w:spacing w:val="-1"/>
          <w:sz w:val="21"/>
          <w:szCs w:val="21"/>
        </w:rPr>
        <w:t>应用，在该类型军工产品上保持高质量的水平。目前，星波通信的射频、微波、毫米波产品已广泛配套在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空军、海军、火箭军等军种的机载、舰载、弹载等平台和装备上面，是武器型号数量覆盖较多、重点装备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型号覆盖较多的民营军工企业之一。</w:t>
      </w:r>
    </w:p>
    <w:p>
      <w:pPr>
        <w:spacing w:line="264" w:lineRule="auto" w:before="132"/>
        <w:ind w:left="154" w:right="113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、子公司银川卧龙是国内最早承接铁路牵引变压器国产化项目的企业之一，也是原铁道部牵引变压 </w:t>
      </w:r>
      <w:r>
        <w:rPr>
          <w:rFonts w:ascii="宋体" w:hAnsi="宋体" w:cs="宋体" w:eastAsia="宋体" w:hint="default"/>
          <w:spacing w:val="-1"/>
          <w:sz w:val="21"/>
          <w:szCs w:val="21"/>
        </w:rPr>
        <w:t>器科技创新的重要合作单位之一，在国内铁路牵引变压器市场拥有较高且稳定的市场份额，目前是国家认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定的企业技术中心。</w:t>
      </w:r>
    </w:p>
    <w:p>
      <w:pPr>
        <w:spacing w:line="432" w:lineRule="exact" w:before="36"/>
        <w:ind w:left="574" w:right="817" w:firstLine="2"/>
        <w:jc w:val="left"/>
        <w:rPr>
          <w:rFonts w:ascii="宋体" w:hAnsi="宋体" w:cs="宋体" w:eastAsia="宋体" w:hint="default"/>
          <w:sz w:val="21"/>
          <w:szCs w:val="21"/>
        </w:rPr>
      </w:pPr>
      <w:r>
        <w:rPr>
          <w:rFonts w:ascii="宋体" w:hAnsi="宋体" w:cs="宋体" w:eastAsia="宋体" w:hint="default"/>
          <w:b/>
          <w:bCs/>
          <w:sz w:val="21"/>
          <w:szCs w:val="21"/>
        </w:rPr>
        <w:t>（五）主要的业绩驱动因素</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报告期内，公司继续专注于主营业务、巩固经营成果、稳步发展。公司充分利用在电网市场深厚的积</w:t>
      </w:r>
    </w:p>
    <w:p>
      <w:pPr>
        <w:spacing w:line="255"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淀以及丰富的业务经验，积极发展主营业务，同时做好主营业务在发电、铁路与轨道交通、军工等领域的</w:t>
      </w:r>
    </w:p>
    <w:p>
      <w:pPr>
        <w:spacing w:before="37"/>
        <w:ind w:left="154" w:right="817" w:firstLine="0"/>
        <w:jc w:val="left"/>
        <w:rPr>
          <w:rFonts w:ascii="宋体" w:hAnsi="宋体" w:cs="宋体" w:eastAsia="宋体" w:hint="default"/>
          <w:sz w:val="21"/>
          <w:szCs w:val="21"/>
        </w:rPr>
      </w:pPr>
      <w:r>
        <w:rPr>
          <w:rFonts w:ascii="宋体" w:hAnsi="宋体" w:cs="宋体" w:eastAsia="宋体" w:hint="default"/>
          <w:sz w:val="21"/>
          <w:szCs w:val="21"/>
        </w:rPr>
        <w:t>业务布局和市场开拓，增强公司的抗风险能力，进一步提升公司的经营效益。</w:t>
      </w:r>
    </w:p>
    <w:p>
      <w:pPr>
        <w:spacing w:line="273" w:lineRule="auto" w:before="15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在电力领域，公司的业绩驱动因素主要来自于电网公司继续推进状态检修的设备管理模式、坚强智能</w:t>
      </w:r>
      <w:r>
        <w:rPr>
          <w:rFonts w:ascii="宋体" w:hAnsi="宋体" w:cs="宋体" w:eastAsia="宋体" w:hint="default"/>
          <w:sz w:val="21"/>
          <w:szCs w:val="21"/>
        </w:rPr>
        <w:t> 电网</w:t>
      </w:r>
      <w:r>
        <w:rPr>
          <w:rFonts w:ascii="Times New Roman" w:hAnsi="Times New Roman" w:cs="Times New Roman" w:eastAsia="Times New Roman" w:hint="default"/>
          <w:sz w:val="21"/>
          <w:szCs w:val="21"/>
        </w:rPr>
        <w:t>+</w:t>
      </w:r>
      <w:r>
        <w:rPr>
          <w:rFonts w:ascii="宋体" w:hAnsi="宋体" w:cs="宋体" w:eastAsia="宋体" w:hint="default"/>
          <w:sz w:val="21"/>
          <w:szCs w:val="21"/>
        </w:rPr>
        <w:t>泛在电力物联网建设和配网建设。</w:t>
      </w:r>
    </w:p>
    <w:p>
      <w:pPr>
        <w:spacing w:line="273" w:lineRule="auto" w:before="108"/>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在军工领域，公司的业绩驱动因素主要来自于各军兵种各类信息化、数字化武器装备的列装，以及持</w:t>
      </w:r>
      <w:r>
        <w:rPr>
          <w:rFonts w:ascii="宋体" w:hAnsi="宋体" w:cs="宋体" w:eastAsia="宋体" w:hint="default"/>
          <w:sz w:val="21"/>
          <w:szCs w:val="21"/>
        </w:rPr>
        <w:t> 续加强的实战化训练所带来的导弹等装备的消耗等。</w:t>
      </w:r>
    </w:p>
    <w:p>
      <w:pPr>
        <w:spacing w:line="264" w:lineRule="auto" w:before="12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在铁路领域，公司的业绩驱动因素主要来自于我国持续投入的铁路基础设施建设，包括我国中西部地</w:t>
      </w:r>
      <w:r>
        <w:rPr>
          <w:rFonts w:ascii="宋体" w:hAnsi="宋体" w:cs="宋体" w:eastAsia="宋体" w:hint="default"/>
          <w:sz w:val="21"/>
          <w:szCs w:val="21"/>
        </w:rPr>
        <w:t> </w:t>
      </w:r>
      <w:r>
        <w:rPr>
          <w:rFonts w:ascii="宋体" w:hAnsi="宋体" w:cs="宋体" w:eastAsia="宋体" w:hint="default"/>
          <w:spacing w:val="-1"/>
          <w:sz w:val="21"/>
          <w:szCs w:val="21"/>
        </w:rPr>
        <w:t>区的主干线，中东部地区的复线、支线、联络线铁路建设，旧线的电气化改造，以及运行年限在</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年以上</w:t>
      </w:r>
      <w:r>
        <w:rPr>
          <w:rFonts w:ascii="宋体" w:hAnsi="宋体" w:cs="宋体" w:eastAsia="宋体" w:hint="default"/>
          <w:spacing w:val="-82"/>
          <w:sz w:val="21"/>
          <w:szCs w:val="21"/>
        </w:rPr>
        <w:t> </w:t>
      </w:r>
      <w:r>
        <w:rPr>
          <w:rFonts w:ascii="宋体" w:hAnsi="宋体" w:cs="宋体" w:eastAsia="宋体" w:hint="default"/>
          <w:sz w:val="21"/>
          <w:szCs w:val="21"/>
        </w:rPr>
        <w:t>线路的自然更换等。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ind w:right="817"/>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报告期末，股本未发生变动。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报告期末，固定资产较年初下降了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7.38%</w:t>
            </w:r>
            <w:r>
              <w:rPr>
                <w:rFonts w:ascii="宋体" w:hAnsi="宋体" w:cs="宋体" w:eastAsia="宋体" w:hint="default"/>
                <w:sz w:val="18"/>
                <w:szCs w:val="18"/>
              </w:rPr>
              <w:t>，未发生重大变化。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报告期末，无形资产较年初增加了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w:t>
            </w:r>
            <w:r>
              <w:rPr>
                <w:rFonts w:ascii="宋体" w:hAnsi="宋体" w:cs="宋体" w:eastAsia="宋体" w:hint="default"/>
                <w:sz w:val="18"/>
                <w:szCs w:val="18"/>
              </w:rPr>
              <w:t>，未发生重大变化。</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3"/>
              <w:jc w:val="left"/>
              <w:rPr>
                <w:rFonts w:ascii="宋体" w:hAnsi="宋体" w:cs="宋体" w:eastAsia="宋体" w:hint="default"/>
                <w:sz w:val="18"/>
                <w:szCs w:val="18"/>
              </w:rPr>
            </w:pPr>
            <w:r>
              <w:rPr>
                <w:rFonts w:ascii="宋体" w:hAnsi="宋体" w:cs="宋体" w:eastAsia="宋体" w:hint="default"/>
                <w:sz w:val="18"/>
                <w:szCs w:val="18"/>
              </w:rPr>
              <w:t>报告期末，在建工程较年初增加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24,022.57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万元，其增加主要是中宁新能源的风电 项目。</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
              <w:jc w:val="left"/>
              <w:rPr>
                <w:rFonts w:ascii="宋体" w:hAnsi="宋体" w:cs="宋体" w:eastAsia="宋体" w:hint="default"/>
                <w:sz w:val="18"/>
                <w:szCs w:val="18"/>
              </w:rPr>
            </w:pPr>
            <w:r>
              <w:rPr>
                <w:rFonts w:ascii="宋体" w:hAnsi="宋体" w:cs="宋体" w:eastAsia="宋体" w:hint="default"/>
                <w:spacing w:val="-3"/>
                <w:sz w:val="18"/>
                <w:szCs w:val="18"/>
              </w:rPr>
              <w:t>报告期末，货币资金较年初下降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42.34%</w:t>
            </w:r>
            <w:r>
              <w:rPr>
                <w:rFonts w:ascii="宋体" w:hAnsi="宋体" w:cs="宋体" w:eastAsia="宋体" w:hint="default"/>
                <w:sz w:val="18"/>
                <w:szCs w:val="18"/>
              </w:rPr>
              <w:t>，主要是报告期公司支付了收购银川卧龙和 星波通信的现金对价款以及报告期公司通过自筹资金开始投资建设中宁风电项目。</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报告期末，预付款项较年初增长了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305.74%</w:t>
            </w: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万元，主要是报告期 末因在手订单较年初增加，为生产备货支付的采购预付款增加导致的。</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报告期末，其他应收款较年初增加了</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78.32%</w:t>
            </w:r>
            <w:r>
              <w:rPr>
                <w:rFonts w:ascii="宋体" w:hAnsi="宋体" w:cs="宋体" w:eastAsia="宋体" w:hint="default"/>
                <w:sz w:val="18"/>
                <w:szCs w:val="18"/>
              </w:rPr>
              <w:t>，其增加的主要是应收的保证金及其他 单位往来。</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报告期末，存货较年初增长了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37.57%</w:t>
            </w:r>
            <w:r>
              <w:rPr>
                <w:rFonts w:ascii="宋体" w:hAnsi="宋体" w:cs="宋体" w:eastAsia="宋体" w:hint="default"/>
                <w:sz w:val="18"/>
                <w:szCs w:val="18"/>
              </w:rPr>
              <w:t>，增加了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6391.89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万元。主要是报告期末母公 司红相股份已发货未验收的发出商品增加导致的。</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报告期末，其他流动资产较年初增加了</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1,468.08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万元，其主要是中宁新能源风电项 目的留抵进项税额。</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报告期末，投资性房地产较年初增长了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107.46%</w:t>
            </w:r>
            <w:r>
              <w:rPr>
                <w:rFonts w:ascii="宋体" w:hAnsi="宋体" w:cs="宋体" w:eastAsia="宋体" w:hint="default"/>
                <w:sz w:val="18"/>
                <w:szCs w:val="18"/>
              </w:rPr>
              <w:t>，增加了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1,502.80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万元，主要是由 于报告期公司部分闲置的房产已用于出租，因此从固定资产中转为投资性房地产。</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报告期末，其他非流动资产较年初增加了</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6,394.24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万元；其他非流动资产主要系母 公司红相股份购置生产及研发设备的预付款以及子公司浙江涵普新厂房建设的工 程预付款。</w:t>
            </w:r>
          </w:p>
        </w:tc>
      </w:tr>
    </w:tbl>
    <w:p>
      <w:pPr>
        <w:spacing w:line="240" w:lineRule="auto" w:before="2"/>
        <w:rPr>
          <w:rFonts w:ascii="宋体" w:hAnsi="宋体" w:cs="宋体" w:eastAsia="宋体" w:hint="default"/>
          <w:b/>
          <w:bCs/>
          <w:sz w:val="19"/>
          <w:szCs w:val="19"/>
        </w:rPr>
      </w:pPr>
    </w:p>
    <w:p>
      <w:pPr>
        <w:spacing w:before="35"/>
        <w:ind w:left="154" w:right="0" w:firstLine="0"/>
        <w:jc w:val="both"/>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57" w:lineRule="auto" w:before="80"/>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、技术和研发优势</w:t>
      </w:r>
      <w:r>
        <w:rPr>
          <w:rFonts w:ascii="宋体" w:hAnsi="宋体" w:cs="宋体" w:eastAsia="宋体" w:hint="default"/>
          <w:b/>
          <w:bCs/>
          <w:w w:val="99"/>
          <w:sz w:val="21"/>
          <w:szCs w:val="21"/>
        </w:rPr>
        <w:t> </w:t>
      </w:r>
      <w:r>
        <w:rPr>
          <w:rFonts w:ascii="宋体" w:hAnsi="宋体" w:cs="宋体" w:eastAsia="宋体" w:hint="default"/>
          <w:spacing w:val="-1"/>
          <w:sz w:val="21"/>
          <w:szCs w:val="21"/>
        </w:rPr>
        <w:t>作为国内最早推广电力设备状态检测、监测业务的少数几家企业之一，经过多年的技术沉淀和市场积</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pacing w:val="-3"/>
          <w:sz w:val="21"/>
          <w:szCs w:val="21"/>
        </w:rPr>
        <w:t>累，公司已经形成了基础学科覆盖较广、产品形态相对齐全、业务种类相对完善的电力设备状态检修体系，</w:t>
      </w:r>
    </w:p>
    <w:p>
      <w:pPr>
        <w:spacing w:line="273" w:lineRule="auto" w:before="37"/>
        <w:ind w:left="154" w:right="1110" w:firstLine="0"/>
        <w:jc w:val="both"/>
        <w:rPr>
          <w:rFonts w:ascii="宋体" w:hAnsi="宋体" w:cs="宋体" w:eastAsia="宋体" w:hint="default"/>
          <w:sz w:val="21"/>
          <w:szCs w:val="21"/>
        </w:rPr>
      </w:pPr>
      <w:r>
        <w:rPr>
          <w:rFonts w:ascii="宋体" w:hAnsi="宋体" w:cs="宋体" w:eastAsia="宋体" w:hint="default"/>
          <w:spacing w:val="-1"/>
          <w:sz w:val="21"/>
          <w:szCs w:val="21"/>
        </w:rPr>
        <w:t>拥有专业化的研发团队和相对完备的研发平台并形成了一系列的先进技术成果，公司是经福建省认定的福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建省科技小巨人领军企业和经厦门市认定的企业技术中心。在基础学科覆盖方面，公司建立了基于声学、 </w:t>
      </w:r>
      <w:r>
        <w:rPr>
          <w:rFonts w:ascii="宋体" w:hAnsi="宋体" w:cs="宋体" w:eastAsia="宋体" w:hint="default"/>
          <w:spacing w:val="-1"/>
          <w:sz w:val="21"/>
          <w:szCs w:val="21"/>
        </w:rPr>
        <w:t>光学、电磁学、化学、电力电子等学科在电力设备安全检测方面的技术体系；在产品形态方面，公司具备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了电力检测传感器、手持式终端设备、便携式终端设备、在线安装式检测设备、电力分析软件、大数据云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平台等软硬件产品；在业务种类方面，公司提供了设备销售、有偿技术服务、故障分析与诊断评估、整站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解决方案等多样化的业务类型。因此，公司能够根据客户的不同需求进行灵活的产品配置和快速的需求响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应。</w:t>
      </w:r>
    </w:p>
    <w:p>
      <w:pPr>
        <w:spacing w:line="266" w:lineRule="auto" w:before="127"/>
        <w:ind w:left="154" w:right="1131" w:firstLine="420"/>
        <w:jc w:val="both"/>
        <w:rPr>
          <w:rFonts w:ascii="宋体" w:hAnsi="宋体" w:cs="宋体" w:eastAsia="宋体" w:hint="default"/>
          <w:sz w:val="21"/>
          <w:szCs w:val="21"/>
        </w:rPr>
      </w:pPr>
      <w:r>
        <w:rPr>
          <w:rFonts w:ascii="宋体" w:hAnsi="宋体" w:cs="宋体" w:eastAsia="宋体" w:hint="default"/>
          <w:spacing w:val="-2"/>
          <w:sz w:val="21"/>
          <w:szCs w:val="21"/>
        </w:rPr>
        <w:t>子公司星波通信主要工程技术人员在射频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微波领域拥有十年以上设计开发经验，在射频滤波技术、频</w:t>
      </w:r>
      <w:r>
        <w:rPr>
          <w:rFonts w:ascii="宋体" w:hAnsi="宋体" w:cs="宋体" w:eastAsia="宋体" w:hint="default"/>
          <w:sz w:val="21"/>
          <w:szCs w:val="21"/>
        </w:rPr>
        <w:t> </w:t>
      </w:r>
      <w:r>
        <w:rPr>
          <w:rFonts w:ascii="宋体" w:hAnsi="宋体" w:cs="宋体" w:eastAsia="宋体" w:hint="default"/>
          <w:spacing w:val="-1"/>
          <w:sz w:val="21"/>
          <w:szCs w:val="21"/>
        </w:rPr>
        <w:t>率综合技术、多芯片微组装技术等方面积累了丰富的经验和知识，在微波电路与机械结构一体化设计方面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具备优良的综合能力。凭借十余年来的技术应用积累，星波通信具备了将研发技术成果转化为产品并规模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化生产的能力，产品受到客户的高度认可。</w:t>
      </w:r>
    </w:p>
    <w:p>
      <w:pPr>
        <w:spacing w:line="266" w:lineRule="auto" w:before="134"/>
        <w:ind w:left="154" w:right="1110" w:firstLine="420"/>
        <w:jc w:val="both"/>
        <w:rPr>
          <w:rFonts w:ascii="宋体" w:hAnsi="宋体" w:cs="宋体" w:eastAsia="宋体" w:hint="default"/>
          <w:sz w:val="21"/>
          <w:szCs w:val="21"/>
        </w:rPr>
      </w:pPr>
      <w:r>
        <w:rPr>
          <w:rFonts w:ascii="宋体" w:hAnsi="宋体" w:cs="宋体" w:eastAsia="宋体" w:hint="default"/>
          <w:sz w:val="21"/>
          <w:szCs w:val="21"/>
        </w:rPr>
        <w:t>子公司银川卧龙是国内最早承接铁路牵引变压器国产化项目的企业之一，国家认定的企业技术中心， </w:t>
      </w:r>
      <w:r>
        <w:rPr>
          <w:rFonts w:ascii="宋体" w:hAnsi="宋体" w:cs="宋体" w:eastAsia="宋体" w:hint="default"/>
          <w:spacing w:val="-1"/>
          <w:sz w:val="21"/>
          <w:szCs w:val="21"/>
        </w:rPr>
        <w:t>在铁路牵引变压器方面拥有丰富的研发设计经验，配备了经验丰富且年龄结构层次合理的研发团队，掌握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了多项铁路牵引变压器相关核心技术，研发、生产技术处于行业内领先水平。银川卧龙注重新产品的研究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和开发，长期同西南交大等院校和国内多名工程院院士进行科技创新合作，也是原铁道部牵引变压器科技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创新的重要合作单位之一，参与了原铁道部</w:t>
      </w:r>
      <w:r>
        <w:rPr>
          <w:rFonts w:ascii="Times New Roman" w:hAnsi="Times New Roman" w:cs="Times New Roman" w:eastAsia="Times New Roman" w:hint="default"/>
          <w:sz w:val="21"/>
          <w:szCs w:val="21"/>
        </w:rPr>
        <w:t>110kV</w:t>
      </w:r>
      <w:r>
        <w:rPr>
          <w:rFonts w:ascii="宋体" w:hAnsi="宋体" w:cs="宋体" w:eastAsia="宋体" w:hint="default"/>
          <w:sz w:val="21"/>
          <w:szCs w:val="21"/>
        </w:rPr>
        <w:t>平衡牵引变压器项目、胶济线</w:t>
      </w:r>
      <w:r>
        <w:rPr>
          <w:rFonts w:ascii="Times New Roman" w:hAnsi="Times New Roman" w:cs="Times New Roman" w:eastAsia="Times New Roman" w:hint="default"/>
          <w:sz w:val="21"/>
          <w:szCs w:val="21"/>
        </w:rPr>
        <w:t>220kV</w:t>
      </w:r>
      <w:r>
        <w:rPr>
          <w:rFonts w:ascii="宋体" w:hAnsi="宋体" w:cs="宋体" w:eastAsia="宋体" w:hint="default"/>
          <w:sz w:val="21"/>
          <w:szCs w:val="21"/>
        </w:rPr>
        <w:t>单相牵引变压器项</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目、浙赣线</w:t>
      </w:r>
      <w:r>
        <w:rPr>
          <w:rFonts w:ascii="Times New Roman" w:hAnsi="Times New Roman" w:cs="Times New Roman" w:eastAsia="Times New Roman" w:hint="default"/>
          <w:sz w:val="21"/>
          <w:szCs w:val="21"/>
        </w:rPr>
        <w:t>220kV</w:t>
      </w:r>
      <w:r>
        <w:rPr>
          <w:rFonts w:ascii="宋体" w:hAnsi="宋体" w:cs="宋体" w:eastAsia="宋体" w:hint="default"/>
          <w:sz w:val="21"/>
          <w:szCs w:val="21"/>
        </w:rPr>
        <w:t>的</w:t>
      </w:r>
      <w:r>
        <w:rPr>
          <w:rFonts w:ascii="Times New Roman" w:hAnsi="Times New Roman" w:cs="Times New Roman" w:eastAsia="Times New Roman" w:hint="default"/>
          <w:sz w:val="21"/>
          <w:szCs w:val="21"/>
        </w:rPr>
        <w:t>V/V</w:t>
      </w:r>
      <w:r>
        <w:rPr>
          <w:rFonts w:ascii="宋体" w:hAnsi="宋体" w:cs="宋体" w:eastAsia="宋体" w:hint="default"/>
          <w:sz w:val="21"/>
          <w:szCs w:val="21"/>
        </w:rPr>
        <w:t>牵引变压器项目、移动式牵引变电站项目、武广高铁牵引变压器项目等多项重点</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科技项目。</w:t>
      </w:r>
    </w:p>
    <w:p>
      <w:pPr>
        <w:spacing w:before="134"/>
        <w:ind w:left="574" w:right="817" w:firstLine="0"/>
        <w:jc w:val="left"/>
        <w:rPr>
          <w:rFonts w:ascii="宋体" w:hAnsi="宋体" w:cs="宋体" w:eastAsia="宋体" w:hint="default"/>
          <w:sz w:val="21"/>
          <w:szCs w:val="21"/>
        </w:rPr>
      </w:pPr>
      <w:r>
        <w:rPr>
          <w:rFonts w:ascii="宋体" w:hAnsi="宋体" w:cs="宋体" w:eastAsia="宋体" w:hint="default"/>
          <w:sz w:val="21"/>
          <w:szCs w:val="21"/>
        </w:rPr>
        <w:t>截至本报告期末，公司已获得</w:t>
      </w:r>
      <w:r>
        <w:rPr>
          <w:rFonts w:ascii="Times New Roman" w:hAnsi="Times New Roman" w:cs="Times New Roman" w:eastAsia="Times New Roman" w:hint="default"/>
          <w:sz w:val="21"/>
          <w:szCs w:val="21"/>
        </w:rPr>
        <w:t>55</w:t>
      </w:r>
      <w:r>
        <w:rPr>
          <w:rFonts w:ascii="宋体" w:hAnsi="宋体" w:cs="宋体" w:eastAsia="宋体" w:hint="default"/>
          <w:sz w:val="21"/>
          <w:szCs w:val="21"/>
        </w:rPr>
        <w:t>项发明专利，</w:t>
      </w:r>
      <w:r>
        <w:rPr>
          <w:rFonts w:ascii="Times New Roman" w:hAnsi="Times New Roman" w:cs="Times New Roman" w:eastAsia="Times New Roman" w:hint="default"/>
          <w:sz w:val="21"/>
          <w:szCs w:val="21"/>
        </w:rPr>
        <w:t>151</w:t>
      </w:r>
      <w:r>
        <w:rPr>
          <w:rFonts w:ascii="宋体" w:hAnsi="宋体" w:cs="宋体" w:eastAsia="宋体" w:hint="default"/>
          <w:sz w:val="21"/>
          <w:szCs w:val="21"/>
        </w:rPr>
        <w:t>项实用新型专利</w:t>
      </w:r>
      <w:r>
        <w:rPr>
          <w:rFonts w:ascii="Times New Roman" w:hAnsi="Times New Roman" w:cs="Times New Roman" w:eastAsia="Times New Roman" w:hint="default"/>
          <w:sz w:val="21"/>
          <w:szCs w:val="21"/>
        </w:rPr>
        <w:t>,85</w:t>
      </w:r>
      <w:r>
        <w:rPr>
          <w:rFonts w:ascii="宋体" w:hAnsi="宋体" w:cs="宋体" w:eastAsia="宋体" w:hint="default"/>
          <w:sz w:val="21"/>
          <w:szCs w:val="21"/>
        </w:rPr>
        <w:t>项软件著作权。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p>
      <w:pPr>
        <w:spacing w:before="21"/>
        <w:ind w:left="15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年公司被认定为</w:t>
      </w:r>
      <w:r>
        <w:rPr>
          <w:rFonts w:ascii="Times New Roman" w:hAnsi="Times New Roman" w:cs="Times New Roman" w:eastAsia="Times New Roman" w:hint="default"/>
          <w:sz w:val="21"/>
          <w:szCs w:val="21"/>
        </w:rPr>
        <w:t>“</w:t>
      </w:r>
      <w:r>
        <w:rPr>
          <w:rFonts w:ascii="宋体" w:hAnsi="宋体" w:cs="宋体" w:eastAsia="宋体" w:hint="default"/>
          <w:sz w:val="21"/>
          <w:szCs w:val="21"/>
        </w:rPr>
        <w:t>高新技术企业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357" w:lineRule="auto" w:before="35"/>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、营销优势</w:t>
      </w:r>
      <w:r>
        <w:rPr>
          <w:rFonts w:ascii="宋体" w:hAnsi="宋体" w:cs="宋体" w:eastAsia="宋体" w:hint="default"/>
          <w:b/>
          <w:bCs/>
          <w:w w:val="99"/>
          <w:sz w:val="21"/>
          <w:szCs w:val="21"/>
        </w:rPr>
        <w:t> </w:t>
      </w:r>
      <w:r>
        <w:rPr>
          <w:rFonts w:ascii="宋体" w:hAnsi="宋体" w:cs="宋体" w:eastAsia="宋体" w:hint="default"/>
          <w:spacing w:val="-1"/>
          <w:sz w:val="21"/>
          <w:szCs w:val="21"/>
        </w:rPr>
        <w:t>公司拥有一支经验丰富、业务能力较强、忠诚度较高的营销团队，建立了完善、高效、灵活的营销管</w:t>
      </w:r>
    </w:p>
    <w:p>
      <w:pPr>
        <w:spacing w:line="209"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理体系，设立了覆盖电力、军工、铁路与轨道交通行业内各级用户的营销服务网络。</w:t>
      </w:r>
    </w:p>
    <w:p>
      <w:pPr>
        <w:spacing w:before="157"/>
        <w:ind w:left="574" w:right="817" w:firstLine="0"/>
        <w:jc w:val="left"/>
        <w:rPr>
          <w:rFonts w:ascii="宋体" w:hAnsi="宋体" w:cs="宋体" w:eastAsia="宋体" w:hint="default"/>
          <w:sz w:val="21"/>
          <w:szCs w:val="21"/>
        </w:rPr>
      </w:pPr>
      <w:r>
        <w:rPr>
          <w:rFonts w:ascii="宋体" w:hAnsi="宋体" w:cs="宋体" w:eastAsia="宋体" w:hint="default"/>
          <w:sz w:val="21"/>
          <w:szCs w:val="21"/>
        </w:rPr>
        <w:t>公司及各重要子公司均具有深厚的历史沉淀和良好的市场口碑，其中：</w:t>
      </w:r>
    </w:p>
    <w:p>
      <w:pPr>
        <w:spacing w:line="266" w:lineRule="auto" w:before="157"/>
        <w:ind w:left="154" w:right="102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）作为国内最早推广电力设备状态检测、监测业务的少数几家企业之一，公司在国内电力行业对 状态检测、监测尚处于探索和萌芽阶段的时候，就进行了大量的技术宣贯和推广应用工作，为推动行业的 </w:t>
      </w:r>
      <w:r>
        <w:rPr>
          <w:rFonts w:ascii="宋体" w:hAnsi="宋体" w:cs="宋体" w:eastAsia="宋体" w:hint="default"/>
          <w:spacing w:val="-3"/>
          <w:sz w:val="21"/>
          <w:szCs w:val="21"/>
        </w:rPr>
        <w:t>发展做出了贡献，并在用户中树立了良好的形象。公司受邀参与上海世博会、广州亚运会、博鳌亚洲论坛、</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厦门金砖国家领导人会晤等国家重大事项的保供电任务，树立起了</w:t>
      </w:r>
      <w:r>
        <w:rPr>
          <w:rFonts w:ascii="Times New Roman" w:hAnsi="Times New Roman" w:cs="Times New Roman" w:eastAsia="Times New Roman" w:hint="default"/>
          <w:sz w:val="21"/>
          <w:szCs w:val="21"/>
        </w:rPr>
        <w:t>“</w:t>
      </w:r>
      <w:r>
        <w:rPr>
          <w:rFonts w:ascii="宋体" w:hAnsi="宋体" w:cs="宋体" w:eastAsia="宋体" w:hint="default"/>
          <w:sz w:val="21"/>
          <w:szCs w:val="21"/>
        </w:rPr>
        <w:t>红相</w:t>
      </w:r>
      <w:r>
        <w:rPr>
          <w:rFonts w:ascii="Times New Roman" w:hAnsi="Times New Roman" w:cs="Times New Roman" w:eastAsia="Times New Roman" w:hint="default"/>
          <w:sz w:val="21"/>
          <w:szCs w:val="21"/>
        </w:rPr>
        <w:t>”</w:t>
      </w:r>
      <w:r>
        <w:rPr>
          <w:rFonts w:ascii="宋体" w:hAnsi="宋体" w:cs="宋体" w:eastAsia="宋体" w:hint="default"/>
          <w:sz w:val="21"/>
          <w:szCs w:val="21"/>
        </w:rPr>
        <w:t>品牌的良好市场形象。</w:t>
      </w:r>
    </w:p>
    <w:p>
      <w:pPr>
        <w:spacing w:line="256" w:lineRule="auto" w:before="115"/>
        <w:ind w:left="154" w:right="81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）涵普电力的品牌创办已有</w:t>
      </w:r>
      <w:r>
        <w:rPr>
          <w:rFonts w:ascii="Times New Roman" w:hAnsi="Times New Roman" w:cs="Times New Roman" w:eastAsia="Times New Roman" w:hint="default"/>
          <w:sz w:val="21"/>
          <w:szCs w:val="21"/>
        </w:rPr>
        <w:t>20</w:t>
      </w:r>
      <w:r>
        <w:rPr>
          <w:rFonts w:ascii="宋体" w:hAnsi="宋体" w:cs="宋体" w:eastAsia="宋体" w:hint="default"/>
          <w:sz w:val="21"/>
          <w:szCs w:val="21"/>
        </w:rPr>
        <w:t>多年的历史，其产品已广泛应用于国内三分之二的发电企业，其产 品在国内发电领域的细分市场具有较高的市场份额和优质的客户资源。</w:t>
      </w:r>
    </w:p>
    <w:p>
      <w:pPr>
        <w:spacing w:line="264" w:lineRule="auto" w:before="142"/>
        <w:ind w:left="154" w:right="113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）银川卧龙的牵引变压器是保障铁路运输的主要动力来源，多年来银川卧龙提供的产品一直保持 </w:t>
      </w:r>
      <w:r>
        <w:rPr>
          <w:rFonts w:ascii="宋体" w:hAnsi="宋体" w:cs="宋体" w:eastAsia="宋体" w:hint="default"/>
          <w:spacing w:val="-1"/>
          <w:sz w:val="21"/>
          <w:szCs w:val="21"/>
        </w:rPr>
        <w:t>着较高的产品可靠性和稳定性，运行记录良好，且参与了多项牵引变压器的重点科技创新项目，在业内享</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有较高的声誉。</w:t>
      </w:r>
    </w:p>
    <w:p>
      <w:pPr>
        <w:spacing w:line="256" w:lineRule="auto" w:before="136"/>
        <w:ind w:left="154" w:right="1126"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）星波通信是国内民营军工企业中从事射频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微波专业的知名企业，其射频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微波产品自交付部队以</w:t>
      </w:r>
      <w:r>
        <w:rPr>
          <w:rFonts w:ascii="宋体" w:hAnsi="宋体" w:cs="宋体" w:eastAsia="宋体" w:hint="default"/>
          <w:sz w:val="21"/>
          <w:szCs w:val="21"/>
        </w:rPr>
        <w:t> 来一直保持着优秀的历史运行业绩和良好的品牌效应，在客户中树立了良好的市场知名度和美誉度。</w:t>
      </w:r>
    </w:p>
    <w:p>
      <w:pPr>
        <w:spacing w:line="357" w:lineRule="auto" w:before="142"/>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、人才优势</w:t>
      </w:r>
      <w:r>
        <w:rPr>
          <w:rFonts w:ascii="宋体" w:hAnsi="宋体" w:cs="宋体" w:eastAsia="宋体" w:hint="default"/>
          <w:b/>
          <w:bCs/>
          <w:w w:val="99"/>
          <w:sz w:val="21"/>
          <w:szCs w:val="21"/>
        </w:rPr>
        <w:t> </w:t>
      </w:r>
      <w:r>
        <w:rPr>
          <w:rFonts w:ascii="宋体" w:hAnsi="宋体" w:cs="宋体" w:eastAsia="宋体" w:hint="default"/>
          <w:spacing w:val="-1"/>
          <w:sz w:val="21"/>
          <w:szCs w:val="21"/>
        </w:rPr>
        <w:t>人才是企业发展的基石，公司一直以来都非常重视人才队伍的建设。经过多年的发展，公司已建立起</w:t>
      </w:r>
    </w:p>
    <w:p>
      <w:pPr>
        <w:spacing w:line="209"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一支稳定且富有创新精神的人才队伍。公司的经营管理层除依托自身敏锐的市场洞察力外，还不断的寻求</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和建立外部决策咨询机制，与众多高校、行业专家保持着密切的沟通和交流机制，及时获取行业前沿资讯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和人才信息，从而确保公司实时跟进市场发展动向和源源不断的人才输入。</w:t>
      </w:r>
    </w:p>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817"/>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spacing w:line="259" w:lineRule="auto" w:before="0"/>
        <w:ind w:left="154" w:right="1131" w:firstLine="420"/>
        <w:jc w:val="both"/>
        <w:rPr>
          <w:rFonts w:ascii="宋体" w:hAnsi="宋体" w:cs="宋体" w:eastAsia="宋体" w:hint="default"/>
          <w:sz w:val="21"/>
          <w:szCs w:val="21"/>
        </w:rPr>
      </w:pPr>
      <w:r>
        <w:rPr>
          <w:rFonts w:ascii="宋体" w:hAnsi="宋体" w:cs="宋体" w:eastAsia="宋体" w:hint="default"/>
          <w:spacing w:val="-3"/>
          <w:sz w:val="21"/>
          <w:szCs w:val="21"/>
        </w:rPr>
        <w:t>报告期内，公司在合并报表范围内实现营业收入</w:t>
      </w:r>
      <w:r>
        <w:rPr>
          <w:rFonts w:ascii="Times New Roman" w:hAnsi="Times New Roman" w:cs="Times New Roman" w:eastAsia="Times New Roman" w:hint="default"/>
          <w:spacing w:val="-3"/>
          <w:sz w:val="21"/>
          <w:szCs w:val="21"/>
        </w:rPr>
        <w:t>131,149.35</w:t>
      </w:r>
      <w:r>
        <w:rPr>
          <w:rFonts w:ascii="宋体" w:hAnsi="宋体" w:cs="宋体" w:eastAsia="宋体" w:hint="default"/>
          <w:spacing w:val="-3"/>
          <w:sz w:val="21"/>
          <w:szCs w:val="21"/>
        </w:rPr>
        <w:t>万元，同比增长</w:t>
      </w:r>
      <w:r>
        <w:rPr>
          <w:rFonts w:ascii="Times New Roman" w:hAnsi="Times New Roman" w:cs="Times New Roman" w:eastAsia="Times New Roman" w:hint="default"/>
          <w:spacing w:val="-3"/>
          <w:sz w:val="21"/>
          <w:szCs w:val="21"/>
        </w:rPr>
        <w:t>76.31%</w:t>
      </w:r>
      <w:r>
        <w:rPr>
          <w:rFonts w:ascii="宋体" w:hAnsi="宋体" w:cs="宋体" w:eastAsia="宋体" w:hint="default"/>
          <w:spacing w:val="-3"/>
          <w:sz w:val="21"/>
          <w:szCs w:val="21"/>
        </w:rPr>
        <w:t>；营业利润</w:t>
      </w:r>
      <w:r>
        <w:rPr>
          <w:rFonts w:ascii="Times New Roman" w:hAnsi="Times New Roman" w:cs="Times New Roman" w:eastAsia="Times New Roman" w:hint="default"/>
          <w:spacing w:val="-3"/>
          <w:sz w:val="21"/>
          <w:szCs w:val="21"/>
        </w:rPr>
        <w:t>30,147.10</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万元，同比增长</w:t>
      </w:r>
      <w:r>
        <w:rPr>
          <w:rFonts w:ascii="Times New Roman" w:hAnsi="Times New Roman" w:cs="Times New Roman" w:eastAsia="Times New Roman" w:hint="default"/>
          <w:spacing w:val="-2"/>
          <w:sz w:val="21"/>
          <w:szCs w:val="21"/>
        </w:rPr>
        <w:t>91.37%</w:t>
      </w:r>
      <w:r>
        <w:rPr>
          <w:rFonts w:ascii="宋体" w:hAnsi="宋体" w:cs="宋体" w:eastAsia="宋体" w:hint="default"/>
          <w:spacing w:val="-2"/>
          <w:sz w:val="21"/>
          <w:szCs w:val="21"/>
        </w:rPr>
        <w:t>；利润总额</w:t>
      </w:r>
      <w:r>
        <w:rPr>
          <w:rFonts w:ascii="Times New Roman" w:hAnsi="Times New Roman" w:cs="Times New Roman" w:eastAsia="Times New Roman" w:hint="default"/>
          <w:spacing w:val="-2"/>
          <w:sz w:val="21"/>
          <w:szCs w:val="21"/>
        </w:rPr>
        <w:t>30,224.14</w:t>
      </w:r>
      <w:r>
        <w:rPr>
          <w:rFonts w:ascii="宋体" w:hAnsi="宋体" w:cs="宋体" w:eastAsia="宋体" w:hint="default"/>
          <w:spacing w:val="-2"/>
          <w:sz w:val="21"/>
          <w:szCs w:val="21"/>
        </w:rPr>
        <w:t>万元，同比增长</w:t>
      </w:r>
      <w:r>
        <w:rPr>
          <w:rFonts w:ascii="Times New Roman" w:hAnsi="Times New Roman" w:cs="Times New Roman" w:eastAsia="Times New Roman" w:hint="default"/>
          <w:spacing w:val="-2"/>
          <w:sz w:val="21"/>
          <w:szCs w:val="21"/>
        </w:rPr>
        <w:t>92.45%</w:t>
      </w:r>
      <w:r>
        <w:rPr>
          <w:rFonts w:ascii="宋体" w:hAnsi="宋体" w:cs="宋体" w:eastAsia="宋体" w:hint="default"/>
          <w:spacing w:val="-2"/>
          <w:sz w:val="21"/>
          <w:szCs w:val="21"/>
        </w:rPr>
        <w:t>，归属于上市公司普通股股东的净利润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Times New Roman" w:hAnsi="Times New Roman" w:cs="Times New Roman" w:eastAsia="Times New Roman" w:hint="default"/>
          <w:sz w:val="21"/>
          <w:szCs w:val="21"/>
        </w:rPr>
        <w:t>22,939.82</w:t>
      </w:r>
      <w:r>
        <w:rPr>
          <w:rFonts w:ascii="宋体" w:hAnsi="宋体" w:cs="宋体" w:eastAsia="宋体" w:hint="default"/>
          <w:sz w:val="21"/>
          <w:szCs w:val="21"/>
        </w:rPr>
        <w:t>万元，同比增长</w:t>
      </w:r>
      <w:r>
        <w:rPr>
          <w:rFonts w:ascii="Times New Roman" w:hAnsi="Times New Roman" w:cs="Times New Roman" w:eastAsia="Times New Roman" w:hint="default"/>
          <w:sz w:val="21"/>
          <w:szCs w:val="21"/>
        </w:rPr>
        <w:t>94.49%</w:t>
      </w:r>
      <w:r>
        <w:rPr>
          <w:rFonts w:ascii="宋体" w:hAnsi="宋体" w:cs="宋体" w:eastAsia="宋体" w:hint="default"/>
          <w:sz w:val="21"/>
          <w:szCs w:val="21"/>
        </w:rPr>
        <w:t>。</w:t>
      </w:r>
    </w:p>
    <w:p>
      <w:pPr>
        <w:spacing w:before="42"/>
        <w:ind w:left="574" w:right="817" w:firstLine="0"/>
        <w:jc w:val="left"/>
        <w:rPr>
          <w:rFonts w:ascii="宋体" w:hAnsi="宋体" w:cs="宋体" w:eastAsia="宋体" w:hint="default"/>
          <w:sz w:val="21"/>
          <w:szCs w:val="21"/>
        </w:rPr>
      </w:pPr>
      <w:r>
        <w:rPr>
          <w:rFonts w:ascii="宋体" w:hAnsi="宋体" w:cs="宋体" w:eastAsia="宋体" w:hint="default"/>
          <w:sz w:val="21"/>
          <w:szCs w:val="21"/>
        </w:rPr>
        <w:t>报告期内，公司主要开展了以下工作：</w:t>
      </w:r>
    </w:p>
    <w:p>
      <w:pPr>
        <w:spacing w:line="290" w:lineRule="auto" w:before="76"/>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、推进非公开发行股票事项，支持公司外延式发展</w:t>
      </w:r>
      <w:r>
        <w:rPr>
          <w:rFonts w:ascii="宋体" w:hAnsi="宋体" w:cs="宋体" w:eastAsia="宋体" w:hint="default"/>
          <w:b/>
          <w:bCs/>
          <w:w w:val="99"/>
          <w:sz w:val="21"/>
          <w:szCs w:val="21"/>
        </w:rPr>
        <w:t> </w:t>
      </w:r>
      <w:r>
        <w:rPr>
          <w:rFonts w:ascii="宋体" w:hAnsi="宋体" w:cs="宋体" w:eastAsia="宋体" w:hint="default"/>
          <w:sz w:val="21"/>
          <w:szCs w:val="21"/>
        </w:rPr>
        <w:t>报告期内，公司非公开发行股票申请获得中国证监会发行审核委员会审核通过，并于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月取得</w:t>
      </w:r>
    </w:p>
    <w:p>
      <w:pPr>
        <w:spacing w:line="248"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证监会发行核准批复。</w:t>
      </w:r>
    </w:p>
    <w:p>
      <w:pPr>
        <w:spacing w:line="259" w:lineRule="auto" w:before="75"/>
        <w:ind w:left="154"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月，公司本次非公开发行股票项目实际募集资金为</w:t>
      </w:r>
      <w:r>
        <w:rPr>
          <w:rFonts w:ascii="Times New Roman" w:hAnsi="Times New Roman" w:cs="Times New Roman" w:eastAsia="Times New Roman" w:hint="default"/>
          <w:spacing w:val="-2"/>
          <w:sz w:val="21"/>
          <w:szCs w:val="21"/>
        </w:rPr>
        <w:t>57,999,997.44</w:t>
      </w:r>
      <w:r>
        <w:rPr>
          <w:rFonts w:ascii="宋体" w:hAnsi="宋体" w:cs="宋体" w:eastAsia="宋体" w:hint="default"/>
          <w:spacing w:val="-2"/>
          <w:sz w:val="21"/>
          <w:szCs w:val="21"/>
        </w:rPr>
        <w:t>元；发行股份</w:t>
      </w:r>
      <w:r>
        <w:rPr>
          <w:rFonts w:ascii="Times New Roman" w:hAnsi="Times New Roman" w:cs="Times New Roman" w:eastAsia="Times New Roman" w:hint="default"/>
          <w:spacing w:val="-2"/>
          <w:sz w:val="21"/>
          <w:szCs w:val="21"/>
        </w:rPr>
        <w:t>5,753,968</w:t>
      </w:r>
      <w:r>
        <w:rPr>
          <w:rFonts w:ascii="宋体" w:hAnsi="宋体" w:cs="宋体" w:eastAsia="宋体" w:hint="default"/>
          <w:spacing w:val="-2"/>
          <w:sz w:val="21"/>
          <w:szCs w:val="21"/>
        </w:rPr>
        <w:t>股，该</w:t>
      </w:r>
      <w:r>
        <w:rPr>
          <w:rFonts w:ascii="宋体" w:hAnsi="宋体" w:cs="宋体" w:eastAsia="宋体" w:hint="default"/>
          <w:sz w:val="21"/>
          <w:szCs w:val="21"/>
        </w:rPr>
        <w:t> </w:t>
      </w:r>
      <w:r>
        <w:rPr>
          <w:rFonts w:ascii="宋体" w:hAnsi="宋体" w:cs="宋体" w:eastAsia="宋体" w:hint="default"/>
          <w:spacing w:val="-1"/>
          <w:sz w:val="21"/>
          <w:szCs w:val="21"/>
        </w:rPr>
        <w:t>部分股份</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日于深圳证券交易所创业板挂牌上市，公司总股本由</w:t>
      </w:r>
      <w:r>
        <w:rPr>
          <w:rFonts w:ascii="Times New Roman" w:hAnsi="Times New Roman" w:cs="Times New Roman" w:eastAsia="Times New Roman" w:hint="default"/>
          <w:spacing w:val="-1"/>
          <w:sz w:val="21"/>
          <w:szCs w:val="21"/>
        </w:rPr>
        <w:t>352,586,786</w:t>
      </w:r>
      <w:r>
        <w:rPr>
          <w:rFonts w:ascii="宋体" w:hAnsi="宋体" w:cs="宋体" w:eastAsia="宋体" w:hint="default"/>
          <w:spacing w:val="-1"/>
          <w:sz w:val="21"/>
          <w:szCs w:val="21"/>
        </w:rPr>
        <w:t>股扩增至</w:t>
      </w:r>
      <w:r>
        <w:rPr>
          <w:rFonts w:ascii="Times New Roman" w:hAnsi="Times New Roman" w:cs="Times New Roman" w:eastAsia="Times New Roman" w:hint="default"/>
          <w:spacing w:val="-1"/>
          <w:sz w:val="21"/>
          <w:szCs w:val="21"/>
        </w:rPr>
        <w:t>358,340,754</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股。</w:t>
      </w:r>
    </w:p>
    <w:p>
      <w:pPr>
        <w:spacing w:line="259" w:lineRule="auto" w:before="58"/>
        <w:ind w:left="154" w:right="1132" w:firstLine="420"/>
        <w:jc w:val="both"/>
        <w:rPr>
          <w:rFonts w:ascii="宋体" w:hAnsi="宋体" w:cs="宋体" w:eastAsia="宋体" w:hint="default"/>
          <w:sz w:val="21"/>
          <w:szCs w:val="21"/>
        </w:rPr>
      </w:pPr>
      <w:r>
        <w:rPr>
          <w:rFonts w:ascii="宋体" w:hAnsi="宋体" w:cs="宋体" w:eastAsia="宋体" w:hint="default"/>
          <w:spacing w:val="-1"/>
          <w:sz w:val="21"/>
          <w:szCs w:val="21"/>
        </w:rPr>
        <w:t>本次非公开发行股票实际募集的资金共投向两个募投项目，一个用于支付收购星波通信</w:t>
      </w:r>
      <w:r>
        <w:rPr>
          <w:rFonts w:ascii="Times New Roman" w:hAnsi="Times New Roman" w:cs="Times New Roman" w:eastAsia="Times New Roman" w:hint="default"/>
          <w:spacing w:val="-1"/>
          <w:sz w:val="21"/>
          <w:szCs w:val="21"/>
        </w:rPr>
        <w:t>32.46%</w:t>
      </w:r>
      <w:r>
        <w:rPr>
          <w:rFonts w:ascii="宋体" w:hAnsi="宋体" w:cs="宋体" w:eastAsia="宋体" w:hint="default"/>
          <w:spacing w:val="-1"/>
          <w:sz w:val="21"/>
          <w:szCs w:val="21"/>
        </w:rPr>
        <w:t>股权的</w:t>
      </w:r>
      <w:r>
        <w:rPr>
          <w:rFonts w:ascii="宋体" w:hAnsi="宋体" w:cs="宋体" w:eastAsia="宋体" w:hint="default"/>
          <w:sz w:val="21"/>
          <w:szCs w:val="21"/>
        </w:rPr>
        <w:t> 部分现金对价，一个用于置换先期投入的支付购买银川卧龙</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股权和星波通信</w:t>
      </w:r>
      <w:r>
        <w:rPr>
          <w:rFonts w:ascii="Times New Roman" w:hAnsi="Times New Roman" w:cs="Times New Roman" w:eastAsia="Times New Roman" w:hint="default"/>
          <w:sz w:val="21"/>
          <w:szCs w:val="21"/>
        </w:rPr>
        <w:t>67.54%</w:t>
      </w:r>
      <w:r>
        <w:rPr>
          <w:rFonts w:ascii="宋体" w:hAnsi="宋体" w:cs="宋体" w:eastAsia="宋体" w:hint="default"/>
          <w:sz w:val="21"/>
          <w:szCs w:val="21"/>
        </w:rPr>
        <w:t>股权的部分现金</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对价。</w:t>
      </w:r>
    </w:p>
    <w:p>
      <w:pPr>
        <w:spacing w:line="290" w:lineRule="auto" w:before="61"/>
        <w:ind w:left="576" w:right="8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、加强销售渠道建设，积极布局新市场领域</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报告期内，公司通过企业间产业协同整合、自主销售渠道建设等多种手段，持续加大在电力、铁路与</w:t>
      </w:r>
    </w:p>
    <w:p>
      <w:pPr>
        <w:spacing w:line="273" w:lineRule="auto" w:before="0"/>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轨道交通、军工等领域的渠道建设，公司业务在三大板块的产品覆盖率和渗透率进一步提高，产品线持续</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延长，业务领域进一步扩大。</w:t>
      </w:r>
    </w:p>
    <w:p>
      <w:pPr>
        <w:spacing w:line="367" w:lineRule="auto" w:before="47"/>
        <w:ind w:left="574" w:right="817" w:firstLine="2"/>
        <w:jc w:val="left"/>
        <w:rPr>
          <w:rFonts w:ascii="宋体" w:hAnsi="宋体" w:cs="宋体" w:eastAsia="宋体" w:hint="default"/>
          <w:sz w:val="21"/>
          <w:szCs w:val="21"/>
        </w:rPr>
      </w:pPr>
      <w:r>
        <w:rPr>
          <w:rFonts w:ascii="宋体" w:hAnsi="宋体" w:cs="宋体" w:eastAsia="宋体" w:hint="default"/>
          <w:sz w:val="21"/>
          <w:szCs w:val="21"/>
        </w:rPr>
        <w:t>报告期内，公司在电力、铁路与轨道交通、军工三个领域的订单均实现了较大幅度的增长。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、敏锐洞察市场变化，适时强化技术服务团队建设</w:t>
      </w:r>
      <w:r>
        <w:rPr>
          <w:rFonts w:ascii="宋体" w:hAnsi="宋体" w:cs="宋体" w:eastAsia="宋体" w:hint="default"/>
          <w:b/>
          <w:bCs/>
          <w:w w:val="99"/>
          <w:sz w:val="21"/>
          <w:szCs w:val="21"/>
        </w:rPr>
        <w:t> </w:t>
      </w:r>
      <w:r>
        <w:rPr>
          <w:rFonts w:ascii="宋体" w:hAnsi="宋体" w:cs="宋体" w:eastAsia="宋体" w:hint="default"/>
          <w:spacing w:val="-1"/>
          <w:sz w:val="21"/>
          <w:szCs w:val="21"/>
        </w:rPr>
        <w:t>公司始终坚持紧跟市场发展动态并遵循市场发展规律，从客户需求出发，不断加强产品技术革新，积</w:t>
      </w:r>
    </w:p>
    <w:p>
      <w:pPr>
        <w:spacing w:line="201"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极完善技术服务团队和资质建设，使公司整体技术服务能力和水平更上一个台阶。</w:t>
      </w:r>
    </w:p>
    <w:p>
      <w:pPr>
        <w:spacing w:line="266" w:lineRule="auto" w:before="15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报告期内，公司根据电网公司客户技术服务类招标量持续增加及公司技术服务类订单增加等特点，依</w:t>
      </w:r>
      <w:r>
        <w:rPr>
          <w:rFonts w:ascii="宋体" w:hAnsi="宋体" w:cs="宋体" w:eastAsia="宋体" w:hint="default"/>
          <w:sz w:val="21"/>
          <w:szCs w:val="21"/>
        </w:rPr>
        <w:t> </w:t>
      </w:r>
      <w:r>
        <w:rPr>
          <w:rFonts w:ascii="宋体" w:hAnsi="宋体" w:cs="宋体" w:eastAsia="宋体" w:hint="default"/>
          <w:spacing w:val="-1"/>
          <w:sz w:val="21"/>
          <w:szCs w:val="21"/>
        </w:rPr>
        <w:t>托母公司、涵普电力、银川卧龙等公司现有电力专业技术人员，继续加大技术服务队伍建设，发挥企业专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业协同和地域分工，提升客户服务能力。同时，子公司星波通信</w:t>
      </w:r>
      <w:r>
        <w:rPr>
          <w:rFonts w:ascii="Times New Roman" w:hAnsi="Times New Roman" w:cs="Times New Roman" w:eastAsia="Times New Roman" w:hint="default"/>
          <w:sz w:val="21"/>
          <w:szCs w:val="21"/>
        </w:rPr>
        <w:t>“</w:t>
      </w:r>
      <w:r>
        <w:rPr>
          <w:rFonts w:ascii="宋体" w:hAnsi="宋体" w:cs="宋体" w:eastAsia="宋体" w:hint="default"/>
          <w:sz w:val="21"/>
          <w:szCs w:val="21"/>
        </w:rPr>
        <w:t>微波毫米波技术中心及环境试验与测试</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中心</w:t>
      </w:r>
      <w:r>
        <w:rPr>
          <w:rFonts w:ascii="Times New Roman" w:hAnsi="Times New Roman" w:cs="Times New Roman" w:eastAsia="Times New Roman" w:hint="default"/>
          <w:sz w:val="21"/>
          <w:szCs w:val="21"/>
        </w:rPr>
        <w:t>”</w:t>
      </w:r>
      <w:r>
        <w:rPr>
          <w:rFonts w:ascii="宋体" w:hAnsi="宋体" w:cs="宋体" w:eastAsia="宋体" w:hint="default"/>
          <w:sz w:val="21"/>
          <w:szCs w:val="21"/>
        </w:rPr>
        <w:t>完成主体建设，为后续军工板块的技术研发、工艺改进和产能扩充奠定了良好的基础。</w:t>
      </w:r>
    </w:p>
    <w:p>
      <w:pPr>
        <w:spacing w:line="432" w:lineRule="exact" w:before="15"/>
        <w:ind w:left="574" w:right="817" w:firstLine="9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、加大研发投入，促进技术持续创新</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报告期内，公司继续加大研发投入，</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年公司及子公司根据市场需求开展产品研发共计投入研发费</w:t>
      </w:r>
    </w:p>
    <w:p>
      <w:pPr>
        <w:spacing w:line="271"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用</w:t>
      </w:r>
      <w:r>
        <w:rPr>
          <w:rFonts w:ascii="Times New Roman" w:hAnsi="Times New Roman" w:cs="Times New Roman" w:eastAsia="Times New Roman" w:hint="default"/>
          <w:sz w:val="21"/>
          <w:szCs w:val="21"/>
        </w:rPr>
        <w:t>65,932,160.45</w:t>
      </w:r>
      <w:r>
        <w:rPr>
          <w:rFonts w:ascii="宋体" w:hAnsi="宋体" w:cs="宋体" w:eastAsia="宋体" w:hint="default"/>
          <w:sz w:val="21"/>
          <w:szCs w:val="21"/>
        </w:rPr>
        <w:t>元，较去年同期增加</w:t>
      </w:r>
      <w:r>
        <w:rPr>
          <w:rFonts w:ascii="Times New Roman" w:hAnsi="Times New Roman" w:cs="Times New Roman" w:eastAsia="Times New Roman" w:hint="default"/>
          <w:sz w:val="21"/>
          <w:szCs w:val="21"/>
        </w:rPr>
        <w:t>40.93%</w:t>
      </w:r>
      <w:r>
        <w:rPr>
          <w:rFonts w:ascii="宋体" w:hAnsi="宋体" w:cs="宋体" w:eastAsia="宋体" w:hint="default"/>
          <w:sz w:val="21"/>
          <w:szCs w:val="21"/>
        </w:rPr>
        <w:t>，丰富了公司现有产品线，扩大了公司产品的市场覆盖率，市</w:t>
      </w:r>
    </w:p>
    <w:p>
      <w:pPr>
        <w:spacing w:line="273" w:lineRule="auto" w:before="21"/>
        <w:ind w:left="154" w:right="1023" w:firstLine="0"/>
        <w:jc w:val="left"/>
        <w:rPr>
          <w:rFonts w:ascii="宋体" w:hAnsi="宋体" w:cs="宋体" w:eastAsia="宋体" w:hint="default"/>
          <w:sz w:val="21"/>
          <w:szCs w:val="21"/>
        </w:rPr>
      </w:pPr>
      <w:r>
        <w:rPr>
          <w:rFonts w:ascii="宋体" w:hAnsi="宋体" w:cs="宋体" w:eastAsia="宋体" w:hint="default"/>
          <w:sz w:val="21"/>
          <w:szCs w:val="21"/>
        </w:rPr>
        <w:t>场竞争力进一步提升。公司持续性的研发投入促使产品持续创新并缩短了迭代周期，进一步巩固了公司在 </w:t>
      </w:r>
      <w:r>
        <w:rPr>
          <w:rFonts w:ascii="宋体" w:hAnsi="宋体" w:cs="宋体" w:eastAsia="宋体" w:hint="default"/>
          <w:spacing w:val="-3"/>
          <w:sz w:val="21"/>
          <w:szCs w:val="21"/>
        </w:rPr>
        <w:t>各个细分行业的领先地位。例如，在电力检测、监测领域，通过在产品智能化、互联网应用、分布式运算、</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大数据应用等方面的研究，使产品保持较高的市场热度和技术壁垒；在铁路与轨道交通领域，通过研发节</w:t>
      </w:r>
      <w:r>
        <w:rPr>
          <w:rFonts w:ascii="宋体" w:hAnsi="宋体" w:cs="宋体" w:eastAsia="宋体" w:hint="default"/>
          <w:sz w:val="21"/>
          <w:szCs w:val="21"/>
        </w:rPr>
        <w:t> 能型牵引变压器，为未来市场需求做好产品技术储备；在军工领域，通过开发小型化系统，实现从当前的 器件、组件、子系统等配套型业务向具备完整功能的整机型业务挺进。</w:t>
      </w:r>
    </w:p>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817"/>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4" w:right="817"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6972"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139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11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38" w:lineRule="auto" w:before="40"/>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line="338" w:lineRule="auto" w:before="43"/>
        <w:ind w:left="154" w:right="166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否</w:t>
      </w:r>
    </w:p>
    <w:p>
      <w:pPr>
        <w:spacing w:before="42"/>
        <w:ind w:left="154" w:right="817"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1,311,493,532.52</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743,861,467.27</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502,139,103.55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353,142,814.76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铁路与轨道交通板 块</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689,201,619.82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317,593,431.49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120,152,809.15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73,125,221.02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电力检测及电力设 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767,603,452.86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484,498,980.14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铁路与轨道交通牵 引供电装备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233,825,537.95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77,935,844.30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169,335,645.99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93,724,245.46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116,542,464.44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72,829,084.25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24,186,431.28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14,873,313.12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1,239,427,072.40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737,625,282.12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72,066,460.12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6,236,185.15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1,055.62%</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一、电力板块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502,139,103.55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229,315,852.41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二、铁路与轨道 交通板块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689,201,619.82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452,242,779.93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一、电力检测及 电力设备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767,603,452.86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390,350,763.65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二、铁路与轨道 交通牵引供电装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233,825,537.95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157,821,332.77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三、电力工程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169,335,645.99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131,300,431.11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301,853,028.65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157,610,756.23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349,048,418.77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174,008,785.68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300,615,573.76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184,593,900.59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-23.07%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铁路与轨道交通板 块</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8"/>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136.89%</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8"/>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8"/>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141.15%</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358.88%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4" w:right="12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铁路与轨道交通板块和军工板块的销售量较去年同期分别增长了</w:t>
      </w:r>
      <w:r>
        <w:rPr>
          <w:rFonts w:ascii="Times New Roman" w:hAnsi="Times New Roman" w:cs="Times New Roman" w:eastAsia="Times New Roman" w:hint="default"/>
          <w:sz w:val="18"/>
          <w:szCs w:val="18"/>
        </w:rPr>
        <w:t>136.89%</w:t>
      </w:r>
      <w:r>
        <w:rPr>
          <w:rFonts w:ascii="宋体" w:hAnsi="宋体" w:cs="宋体" w:eastAsia="宋体" w:hint="default"/>
          <w:sz w:val="18"/>
          <w:szCs w:val="18"/>
        </w:rPr>
        <w:t>和</w:t>
      </w:r>
      <w:r>
        <w:rPr>
          <w:rFonts w:ascii="Times New Roman" w:hAnsi="Times New Roman" w:cs="Times New Roman" w:eastAsia="Times New Roman" w:hint="default"/>
          <w:sz w:val="18"/>
          <w:szCs w:val="18"/>
        </w:rPr>
        <w:t>141.15%</w:t>
      </w:r>
      <w:r>
        <w:rPr>
          <w:rFonts w:ascii="宋体" w:hAnsi="宋体" w:cs="宋体" w:eastAsia="宋体" w:hint="default"/>
          <w:sz w:val="18"/>
          <w:szCs w:val="18"/>
        </w:rPr>
        <w:t>，主要是</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年合并了银川卧龙和星波 通信全年的业绩，而</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年仅是</w:t>
      </w:r>
      <w:r>
        <w:rPr>
          <w:rFonts w:ascii="Times New Roman" w:hAnsi="Times New Roman" w:cs="Times New Roman" w:eastAsia="Times New Roman" w:hint="default"/>
          <w:sz w:val="18"/>
          <w:szCs w:val="18"/>
        </w:rPr>
        <w:t>9-12</w:t>
      </w:r>
      <w:r>
        <w:rPr>
          <w:rFonts w:ascii="宋体" w:hAnsi="宋体" w:cs="宋体" w:eastAsia="宋体" w:hint="default"/>
          <w:sz w:val="18"/>
          <w:szCs w:val="18"/>
        </w:rPr>
        <w:t>月的业绩。</w:t>
      </w:r>
    </w:p>
    <w:p>
      <w:pPr>
        <w:spacing w:line="240" w:lineRule="auto" w:before="11"/>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186,041,480.87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141,831,923.40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人工及制造费用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43,274,371.54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31,257,913.03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铁路与轨道交通 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396,481,353.78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196,073,581.26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铁路与轨道交通 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人工及制造费用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55,761,426.15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16,037,932.27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24,210,956.83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24,018,098.20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人工及制造费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21,536,156.55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13,432,869.47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19" w:lineRule="auto" w:before="0"/>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报告期，子公司涵普电力公司于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月份成立全资子公司涵普新能源公司，纳入本年度合并范围。子公司银川卧龙公司 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月份分别设立全资子公司宁夏新能源公司、宁夏银相公司，纳入本年度合并范围。</w:t>
      </w:r>
    </w:p>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412,605,940.57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132,217,701.51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103,774,356.58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66,912,509.06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62,966,943.16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46,734,430.26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412,605,940.57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19" w:lineRule="auto" w:before="116"/>
        <w:ind w:left="154"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公司前五名客户与公司不存在关联关系；公司董事、监事、高级管理人员、核心技术人员以及持股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 人和其他关联方在主要客户中未直接或间接拥于权益。</w:t>
      </w:r>
    </w:p>
    <w:p>
      <w:pPr>
        <w:spacing w:before="58"/>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374,842,446.16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164,170,937.31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58,867,984.12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54,962,068.97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52,378,989.94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44,462,465.82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374,842,446.16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38.59%</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19" w:lineRule="auto" w:before="44"/>
        <w:ind w:left="154" w:right="1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公司前五名供应商与公司不存在关联关系；公司董事、监事、高级管理人员、核心技术人员以及持股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 制人和其他关联方在主要供应商中未直接或间接用于权益。</w:t>
      </w:r>
    </w:p>
    <w:p>
      <w:pPr>
        <w:spacing w:line="240" w:lineRule="auto" w:before="5"/>
        <w:rPr>
          <w:rFonts w:ascii="宋体" w:hAnsi="宋体" w:cs="宋体" w:eastAsia="宋体" w:hint="default"/>
          <w:sz w:val="22"/>
          <w:szCs w:val="22"/>
        </w:rPr>
      </w:pPr>
    </w:p>
    <w:p>
      <w:pPr>
        <w:spacing w:before="0"/>
        <w:ind w:left="154" w:right="817"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94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110,381,751.81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67,176,944.96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64.31%</w:t>
            </w:r>
          </w:p>
        </w:tc>
        <w:tc>
          <w:tcPr>
            <w:tcW w:w="2918" w:type="dxa"/>
            <w:vMerge w:val="restart"/>
            <w:tcBorders>
              <w:top w:val="single" w:sz="4" w:space="0" w:color="000000"/>
              <w:left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报告期内，销售费用较上年同期增长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64.31%,</w:t>
            </w:r>
            <w:r>
              <w:rPr>
                <w:rFonts w:ascii="宋体" w:hAnsi="宋体" w:cs="宋体" w:eastAsia="宋体" w:hint="default"/>
                <w:sz w:val="18"/>
                <w:szCs w:val="18"/>
              </w:rPr>
              <w:t>主要是受银川卧龙和星波 </w:t>
            </w:r>
            <w:r>
              <w:rPr>
                <w:rFonts w:ascii="宋体" w:hAnsi="宋体" w:cs="宋体" w:eastAsia="宋体" w:hint="default"/>
                <w:spacing w:val="-5"/>
                <w:sz w:val="18"/>
                <w:szCs w:val="18"/>
              </w:rPr>
              <w:t>通信合并因素的影响。</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年仅合并 了银川卧龙和合肥星波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 </w:t>
            </w:r>
            <w:r>
              <w:rPr>
                <w:rFonts w:ascii="宋体" w:hAnsi="宋体" w:cs="宋体" w:eastAsia="宋体" w:hint="default"/>
                <w:sz w:val="18"/>
                <w:szCs w:val="18"/>
              </w:rPr>
              <w:t>月销售</w:t>
            </w:r>
          </w:p>
          <w:p>
            <w:pPr>
              <w:pStyle w:val="TableParagraph"/>
              <w:spacing w:line="309"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费用，而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年合并了两家子公司 </w:t>
            </w:r>
            <w:r>
              <w:rPr>
                <w:rFonts w:ascii="宋体" w:hAnsi="宋体" w:cs="宋体" w:eastAsia="宋体" w:hint="default"/>
                <w:spacing w:val="-2"/>
                <w:sz w:val="18"/>
                <w:szCs w:val="18"/>
              </w:rPr>
              <w:t>全年的销售费用。扣除银川卧龙和星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波通信的影响，未发生重大变动。</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64,784,664.12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55,112,144.21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17.55%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19,600,208.61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-949,536.54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2,164.19%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主要是报告期公司金融机构贷款增 加导致。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9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61,832,661.97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43,947,984.93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Times New Roman" w:hAnsi="Times New Roman" w:cs="Times New Roman" w:eastAsia="Times New Roman" w:hint="default"/>
                <w:sz w:val="18"/>
                <w:szCs w:val="18"/>
              </w:rPr>
            </w:pPr>
            <w:r>
              <w:rPr>
                <w:rFonts w:ascii="Times New Roman"/>
                <w:sz w:val="18"/>
              </w:rPr>
              <w:t>40.70%</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报告期内，研发费用较上年同期增长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40.70%,</w:t>
            </w:r>
            <w:r>
              <w:rPr>
                <w:rFonts w:ascii="宋体" w:hAnsi="宋体" w:cs="宋体" w:eastAsia="宋体" w:hint="default"/>
                <w:sz w:val="18"/>
                <w:szCs w:val="18"/>
              </w:rPr>
              <w:t>主要是受银川卧龙和星波 </w:t>
            </w:r>
            <w:r>
              <w:rPr>
                <w:rFonts w:ascii="宋体" w:hAnsi="宋体" w:cs="宋体" w:eastAsia="宋体" w:hint="default"/>
                <w:spacing w:val="-5"/>
                <w:sz w:val="18"/>
                <w:szCs w:val="18"/>
              </w:rPr>
              <w:t>通信合并因素的影响。</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年仅合并 了银川卧龙和合肥星波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 </w:t>
            </w:r>
            <w:r>
              <w:rPr>
                <w:rFonts w:ascii="宋体" w:hAnsi="宋体" w:cs="宋体" w:eastAsia="宋体" w:hint="default"/>
                <w:sz w:val="18"/>
                <w:szCs w:val="18"/>
              </w:rPr>
              <w:t>月销售</w:t>
            </w:r>
          </w:p>
          <w:p>
            <w:pPr>
              <w:pStyle w:val="TableParagraph"/>
              <w:spacing w:line="312" w:lineRule="auto" w:before="7"/>
              <w:ind w:left="22" w:right="21"/>
              <w:jc w:val="left"/>
              <w:rPr>
                <w:rFonts w:ascii="宋体" w:hAnsi="宋体" w:cs="宋体" w:eastAsia="宋体" w:hint="default"/>
                <w:sz w:val="18"/>
                <w:szCs w:val="18"/>
              </w:rPr>
            </w:pPr>
            <w:r>
              <w:rPr>
                <w:rFonts w:ascii="宋体" w:hAnsi="宋体" w:cs="宋体" w:eastAsia="宋体" w:hint="default"/>
                <w:sz w:val="18"/>
                <w:szCs w:val="18"/>
              </w:rPr>
              <w:t>费用，而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年合并了两家子公司 </w:t>
            </w:r>
            <w:r>
              <w:rPr>
                <w:rFonts w:ascii="宋体" w:hAnsi="宋体" w:cs="宋体" w:eastAsia="宋体" w:hint="default"/>
                <w:spacing w:val="-2"/>
                <w:sz w:val="18"/>
                <w:szCs w:val="18"/>
              </w:rPr>
              <w:t>全年的销售费用。扣除银川卧龙和星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波通信的影响，原合并主体加大了研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发的投入，研发费用增加。</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09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75"/>
        <w:ind w:left="154" w:right="1130"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报告期内，公司保持一贯重视研发投入的经营理念，始终坚持自主创新，</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年度公司及其子公司围</w:t>
      </w:r>
      <w:r>
        <w:rPr>
          <w:rFonts w:ascii="宋体" w:hAnsi="宋体" w:cs="宋体" w:eastAsia="宋体" w:hint="default"/>
          <w:sz w:val="21"/>
          <w:szCs w:val="21"/>
        </w:rPr>
        <w:t> 绕目前市场进行产品开发或升级的直接项目研发项目共计</w:t>
      </w:r>
      <w:r>
        <w:rPr>
          <w:rFonts w:ascii="Times New Roman" w:hAnsi="Times New Roman" w:cs="Times New Roman" w:eastAsia="Times New Roman" w:hint="default"/>
          <w:sz w:val="21"/>
          <w:szCs w:val="21"/>
        </w:rPr>
        <w:t>40</w:t>
      </w:r>
      <w:r>
        <w:rPr>
          <w:rFonts w:ascii="宋体" w:hAnsi="宋体" w:cs="宋体" w:eastAsia="宋体" w:hint="default"/>
          <w:sz w:val="21"/>
          <w:szCs w:val="21"/>
        </w:rPr>
        <w:t>个，研发费用</w:t>
      </w:r>
      <w:r>
        <w:rPr>
          <w:rFonts w:ascii="Times New Roman" w:hAnsi="Times New Roman" w:cs="Times New Roman" w:eastAsia="Times New Roman" w:hint="default"/>
          <w:sz w:val="21"/>
          <w:szCs w:val="21"/>
        </w:rPr>
        <w:t>65,932,160.45</w:t>
      </w:r>
      <w:r>
        <w:rPr>
          <w:rFonts w:ascii="宋体" w:hAnsi="宋体" w:cs="宋体" w:eastAsia="宋体" w:hint="default"/>
          <w:sz w:val="21"/>
          <w:szCs w:val="21"/>
        </w:rPr>
        <w:t>元，较去年同期增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加</w:t>
      </w:r>
      <w:r>
        <w:rPr>
          <w:rFonts w:ascii="Times New Roman" w:hAnsi="Times New Roman" w:cs="Times New Roman" w:eastAsia="Times New Roman" w:hint="default"/>
          <w:sz w:val="21"/>
          <w:szCs w:val="21"/>
        </w:rPr>
        <w:t>40.93%</w:t>
      </w:r>
      <w:r>
        <w:rPr>
          <w:rFonts w:ascii="宋体" w:hAnsi="宋体" w:cs="宋体" w:eastAsia="宋体" w:hint="default"/>
          <w:sz w:val="21"/>
          <w:szCs w:val="21"/>
        </w:rPr>
        <w:t>。</w:t>
      </w: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660"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6" w:right="0"/>
              <w:jc w:val="left"/>
              <w:rPr>
                <w:rFonts w:ascii="宋体" w:hAnsi="宋体" w:cs="宋体" w:eastAsia="宋体" w:hint="default"/>
                <w:sz w:val="21"/>
                <w:szCs w:val="21"/>
              </w:rPr>
            </w:pPr>
            <w:r>
              <w:rPr>
                <w:rFonts w:ascii="宋体" w:hAnsi="宋体" w:cs="宋体" w:eastAsia="宋体" w:hint="default"/>
                <w:b/>
                <w:bCs/>
                <w:sz w:val="21"/>
                <w:szCs w:val="21"/>
              </w:rPr>
              <w:t>研发项目的目的</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项目进展情况</w:t>
            </w:r>
            <w:r>
              <w:rPr>
                <w:rFonts w:ascii="宋体" w:hAnsi="宋体" w:cs="宋体" w:eastAsia="宋体" w:hint="default"/>
                <w:sz w:val="21"/>
                <w:szCs w:val="21"/>
              </w:rPr>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09" w:right="0"/>
              <w:jc w:val="left"/>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12" w:right="80" w:hanging="633"/>
              <w:jc w:val="left"/>
              <w:rPr>
                <w:rFonts w:ascii="宋体" w:hAnsi="宋体" w:cs="宋体" w:eastAsia="宋体" w:hint="default"/>
                <w:sz w:val="21"/>
                <w:szCs w:val="21"/>
              </w:rPr>
            </w:pPr>
            <w:r>
              <w:rPr>
                <w:rFonts w:ascii="宋体" w:hAnsi="宋体" w:cs="宋体" w:eastAsia="宋体" w:hint="default"/>
                <w:b/>
                <w:bCs/>
                <w:sz w:val="21"/>
                <w:szCs w:val="21"/>
              </w:rPr>
              <w:t>对公司未来的影</w:t>
            </w:r>
            <w:r>
              <w:rPr>
                <w:rFonts w:ascii="宋体" w:hAnsi="宋体" w:cs="宋体" w:eastAsia="宋体" w:hint="default"/>
                <w:b/>
                <w:bCs/>
                <w:w w:val="99"/>
                <w:sz w:val="21"/>
                <w:szCs w:val="21"/>
              </w:rPr>
              <w:t> </w:t>
            </w:r>
            <w:r>
              <w:rPr>
                <w:rFonts w:ascii="宋体" w:hAnsi="宋体" w:cs="宋体" w:eastAsia="宋体" w:hint="default"/>
                <w:b/>
                <w:bCs/>
                <w:sz w:val="21"/>
                <w:szCs w:val="21"/>
              </w:rPr>
              <w:t>响</w:t>
            </w:r>
            <w:r>
              <w:rPr>
                <w:rFonts w:ascii="宋体" w:hAnsi="宋体" w:cs="宋体" w:eastAsia="宋体" w:hint="default"/>
                <w:sz w:val="21"/>
                <w:szCs w:val="21"/>
              </w:rPr>
            </w:r>
          </w:p>
        </w:tc>
      </w:tr>
      <w:tr>
        <w:trPr>
          <w:trHeight w:val="2219"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both"/>
              <w:rPr>
                <w:rFonts w:ascii="宋体" w:hAnsi="宋体" w:cs="宋体" w:eastAsia="宋体" w:hint="default"/>
                <w:sz w:val="21"/>
                <w:szCs w:val="21"/>
              </w:rPr>
            </w:pPr>
            <w:r>
              <w:rPr>
                <w:rFonts w:ascii="宋体" w:hAnsi="宋体" w:cs="宋体" w:eastAsia="宋体" w:hint="default"/>
                <w:spacing w:val="12"/>
                <w:sz w:val="21"/>
                <w:szCs w:val="21"/>
              </w:rPr>
              <w:t>小型化、传感器 无线化的综合型</w:t>
            </w:r>
            <w:r>
              <w:rPr>
                <w:rFonts w:ascii="宋体" w:hAnsi="宋体" w:cs="宋体" w:eastAsia="宋体" w:hint="default"/>
                <w:sz w:val="21"/>
                <w:szCs w:val="21"/>
              </w:rPr>
            </w:r>
          </w:p>
          <w:p>
            <w:pPr>
              <w:pStyle w:val="TableParagraph"/>
              <w:spacing w:line="273" w:lineRule="auto" w:before="7"/>
              <w:ind w:left="2" w:right="-9"/>
              <w:jc w:val="both"/>
              <w:rPr>
                <w:rFonts w:ascii="宋体" w:hAnsi="宋体" w:cs="宋体" w:eastAsia="宋体" w:hint="default"/>
                <w:sz w:val="21"/>
                <w:szCs w:val="21"/>
              </w:rPr>
            </w:pPr>
            <w:r>
              <w:rPr>
                <w:rFonts w:ascii="宋体" w:hAnsi="宋体" w:cs="宋体" w:eastAsia="宋体" w:hint="default"/>
                <w:spacing w:val="12"/>
                <w:sz w:val="21"/>
                <w:szCs w:val="21"/>
              </w:rPr>
              <w:t>（五种传感器） 局部放电检测产 </w:t>
            </w:r>
            <w:r>
              <w:rPr>
                <w:rFonts w:ascii="宋体" w:hAnsi="宋体" w:cs="宋体" w:eastAsia="宋体" w:hint="default"/>
                <w:sz w:val="21"/>
                <w:szCs w:val="21"/>
              </w:rPr>
              <w:t>品开发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spacing w:val="17"/>
                <w:sz w:val="21"/>
                <w:szCs w:val="21"/>
              </w:rPr>
              <w:t>满足国网智能运检</w:t>
            </w:r>
            <w:r>
              <w:rPr>
                <w:rFonts w:ascii="宋体" w:hAnsi="宋体" w:cs="宋体" w:eastAsia="宋体" w:hint="default"/>
                <w:spacing w:val="-101"/>
                <w:sz w:val="21"/>
                <w:szCs w:val="21"/>
              </w:rPr>
              <w:t> </w:t>
            </w:r>
            <w:r>
              <w:rPr>
                <w:rFonts w:ascii="宋体" w:hAnsi="宋体" w:cs="宋体" w:eastAsia="宋体" w:hint="default"/>
                <w:spacing w:val="17"/>
                <w:sz w:val="21"/>
                <w:szCs w:val="21"/>
              </w:rPr>
              <w:t>体系对带电巡检设</w:t>
            </w:r>
            <w:r>
              <w:rPr>
                <w:rFonts w:ascii="宋体" w:hAnsi="宋体" w:cs="宋体" w:eastAsia="宋体" w:hint="default"/>
                <w:spacing w:val="-101"/>
                <w:sz w:val="21"/>
                <w:szCs w:val="21"/>
              </w:rPr>
              <w:t> </w:t>
            </w:r>
            <w:r>
              <w:rPr>
                <w:rFonts w:ascii="宋体" w:hAnsi="宋体" w:cs="宋体" w:eastAsia="宋体" w:hint="default"/>
                <w:spacing w:val="17"/>
                <w:sz w:val="21"/>
                <w:szCs w:val="21"/>
              </w:rPr>
              <w:t>备的功能和技术要</w:t>
            </w:r>
            <w:r>
              <w:rPr>
                <w:rFonts w:ascii="宋体" w:hAnsi="宋体" w:cs="宋体" w:eastAsia="宋体" w:hint="default"/>
                <w:spacing w:val="-101"/>
                <w:sz w:val="21"/>
                <w:szCs w:val="21"/>
              </w:rPr>
              <w:t> </w:t>
            </w:r>
            <w:r>
              <w:rPr>
                <w:rFonts w:ascii="宋体" w:hAnsi="宋体" w:cs="宋体" w:eastAsia="宋体" w:hint="default"/>
                <w:sz w:val="21"/>
                <w:szCs w:val="21"/>
              </w:rPr>
              <w:t>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8"/>
                <w:sz w:val="21"/>
                <w:szCs w:val="21"/>
              </w:rPr>
              <w:t>完成开发并投入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市场。</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满足国网和南网的 招标要求，符合新 条件下带电巡检业 务的开展。</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9"/>
                <w:sz w:val="21"/>
                <w:szCs w:val="21"/>
              </w:rPr>
              <w:t> </w:t>
            </w:r>
            <w:r>
              <w:rPr>
                <w:rFonts w:ascii="宋体" w:hAnsi="宋体" w:cs="宋体" w:eastAsia="宋体" w:hint="default"/>
                <w:sz w:val="21"/>
                <w:szCs w:val="21"/>
              </w:rPr>
              <w:t>新</w:t>
            </w:r>
            <w:r>
              <w:rPr>
                <w:rFonts w:ascii="宋体" w:hAnsi="宋体" w:cs="宋体" w:eastAsia="宋体" w:hint="default"/>
                <w:spacing w:val="-78"/>
                <w:sz w:val="21"/>
                <w:szCs w:val="21"/>
              </w:rPr>
              <w:t> </w:t>
            </w:r>
            <w:r>
              <w:rPr>
                <w:rFonts w:ascii="宋体" w:hAnsi="宋体" w:cs="宋体" w:eastAsia="宋体" w:hint="default"/>
                <w:sz w:val="21"/>
                <w:szCs w:val="21"/>
              </w:rPr>
              <w:t>技</w:t>
            </w:r>
            <w:r>
              <w:rPr>
                <w:rFonts w:ascii="宋体" w:hAnsi="宋体" w:cs="宋体" w:eastAsia="宋体" w:hint="default"/>
                <w:spacing w:val="-78"/>
                <w:sz w:val="21"/>
                <w:szCs w:val="21"/>
              </w:rPr>
              <w:t> </w:t>
            </w:r>
            <w:r>
              <w:rPr>
                <w:rFonts w:ascii="宋体" w:hAnsi="宋体" w:cs="宋体" w:eastAsia="宋体" w:hint="default"/>
                <w:spacing w:val="12"/>
                <w:sz w:val="21"/>
                <w:szCs w:val="21"/>
              </w:rPr>
              <w:t>术的</w:t>
            </w:r>
            <w:r>
              <w:rPr>
                <w:rFonts w:ascii="宋体" w:hAnsi="宋体" w:cs="宋体" w:eastAsia="宋体" w:hint="default"/>
                <w:spacing w:val="-79"/>
                <w:sz w:val="21"/>
                <w:szCs w:val="21"/>
              </w:rPr>
              <w:t> </w:t>
            </w:r>
            <w:r>
              <w:rPr>
                <w:rFonts w:ascii="宋体" w:hAnsi="宋体" w:cs="宋体" w:eastAsia="宋体" w:hint="default"/>
                <w:sz w:val="21"/>
                <w:szCs w:val="21"/>
              </w:rPr>
              <w:t>巡</w:t>
            </w:r>
            <w:r>
              <w:rPr>
                <w:rFonts w:ascii="宋体" w:hAnsi="宋体" w:cs="宋体" w:eastAsia="宋体" w:hint="default"/>
                <w:sz w:val="21"/>
                <w:szCs w:val="21"/>
              </w:rPr>
              <w:t> 检</w:t>
            </w:r>
            <w:r>
              <w:rPr>
                <w:rFonts w:ascii="宋体" w:hAnsi="宋体" w:cs="宋体" w:eastAsia="宋体" w:hint="default"/>
                <w:spacing w:val="-78"/>
                <w:sz w:val="21"/>
                <w:szCs w:val="21"/>
              </w:rPr>
              <w:t> </w:t>
            </w:r>
            <w:r>
              <w:rPr>
                <w:rFonts w:ascii="宋体" w:hAnsi="宋体" w:cs="宋体" w:eastAsia="宋体" w:hint="default"/>
                <w:sz w:val="21"/>
                <w:szCs w:val="21"/>
              </w:rPr>
              <w:t>设</w:t>
            </w:r>
            <w:r>
              <w:rPr>
                <w:rFonts w:ascii="宋体" w:hAnsi="宋体" w:cs="宋体" w:eastAsia="宋体" w:hint="default"/>
                <w:spacing w:val="-79"/>
                <w:sz w:val="21"/>
                <w:szCs w:val="21"/>
              </w:rPr>
              <w:t> </w:t>
            </w:r>
            <w:r>
              <w:rPr>
                <w:rFonts w:ascii="宋体" w:hAnsi="宋体" w:cs="宋体" w:eastAsia="宋体" w:hint="default"/>
                <w:sz w:val="21"/>
                <w:szCs w:val="21"/>
              </w:rPr>
              <w:t>备</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pacing w:val="12"/>
                <w:sz w:val="21"/>
                <w:szCs w:val="21"/>
              </w:rPr>
              <w:t>利于</w:t>
            </w:r>
            <w:r>
              <w:rPr>
                <w:rFonts w:ascii="宋体" w:hAnsi="宋体" w:cs="宋体" w:eastAsia="宋体" w:hint="default"/>
                <w:spacing w:val="-79"/>
                <w:sz w:val="21"/>
                <w:szCs w:val="21"/>
              </w:rPr>
              <w:t> </w:t>
            </w:r>
            <w:r>
              <w:rPr>
                <w:rFonts w:ascii="宋体" w:hAnsi="宋体" w:cs="宋体" w:eastAsia="宋体" w:hint="default"/>
                <w:sz w:val="21"/>
                <w:szCs w:val="21"/>
              </w:rPr>
              <w:t>后</w:t>
            </w:r>
            <w:r>
              <w:rPr>
                <w:rFonts w:ascii="宋体" w:hAnsi="宋体" w:cs="宋体" w:eastAsia="宋体" w:hint="default"/>
                <w:sz w:val="21"/>
                <w:szCs w:val="21"/>
              </w:rPr>
              <w:t> 续</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在</w:t>
            </w:r>
            <w:r>
              <w:rPr>
                <w:rFonts w:ascii="宋体" w:hAnsi="宋体" w:cs="宋体" w:eastAsia="宋体" w:hint="default"/>
                <w:spacing w:val="-78"/>
                <w:sz w:val="21"/>
                <w:szCs w:val="21"/>
              </w:rPr>
              <w:t> </w:t>
            </w:r>
            <w:r>
              <w:rPr>
                <w:rFonts w:ascii="宋体" w:hAnsi="宋体" w:cs="宋体" w:eastAsia="宋体" w:hint="default"/>
                <w:spacing w:val="12"/>
                <w:sz w:val="21"/>
                <w:szCs w:val="21"/>
              </w:rPr>
              <w:t>发展</w:t>
            </w:r>
            <w:r>
              <w:rPr>
                <w:rFonts w:ascii="宋体" w:hAnsi="宋体" w:cs="宋体" w:eastAsia="宋体" w:hint="default"/>
                <w:spacing w:val="-79"/>
                <w:sz w:val="21"/>
                <w:szCs w:val="21"/>
              </w:rPr>
              <w:t> </w:t>
            </w:r>
            <w:r>
              <w:rPr>
                <w:rFonts w:ascii="宋体" w:hAnsi="宋体" w:cs="宋体" w:eastAsia="宋体" w:hint="default"/>
                <w:sz w:val="21"/>
                <w:szCs w:val="21"/>
              </w:rPr>
              <w:t>基</w:t>
            </w:r>
            <w:r>
              <w:rPr>
                <w:rFonts w:ascii="宋体" w:hAnsi="宋体" w:cs="宋体" w:eastAsia="宋体" w:hint="default"/>
                <w:sz w:val="21"/>
                <w:szCs w:val="21"/>
              </w:rPr>
              <w:t> 于</w:t>
            </w:r>
            <w:r>
              <w:rPr>
                <w:rFonts w:ascii="宋体" w:hAnsi="宋体" w:cs="宋体" w:eastAsia="宋体" w:hint="default"/>
                <w:spacing w:val="-78"/>
                <w:sz w:val="21"/>
                <w:szCs w:val="21"/>
              </w:rPr>
              <w:t> </w:t>
            </w:r>
            <w:r>
              <w:rPr>
                <w:rFonts w:ascii="宋体" w:hAnsi="宋体" w:cs="宋体" w:eastAsia="宋体" w:hint="default"/>
                <w:sz w:val="21"/>
                <w:szCs w:val="21"/>
              </w:rPr>
              <w:t>云</w:t>
            </w:r>
            <w:r>
              <w:rPr>
                <w:rFonts w:ascii="宋体" w:hAnsi="宋体" w:cs="宋体" w:eastAsia="宋体" w:hint="default"/>
                <w:spacing w:val="-79"/>
                <w:sz w:val="21"/>
                <w:szCs w:val="21"/>
              </w:rPr>
              <w:t> </w:t>
            </w:r>
            <w:r>
              <w:rPr>
                <w:rFonts w:ascii="宋体" w:hAnsi="宋体" w:cs="宋体" w:eastAsia="宋体" w:hint="default"/>
                <w:sz w:val="21"/>
                <w:szCs w:val="21"/>
              </w:rPr>
              <w:t>平</w:t>
            </w:r>
            <w:r>
              <w:rPr>
                <w:rFonts w:ascii="宋体" w:hAnsi="宋体" w:cs="宋体" w:eastAsia="宋体" w:hint="default"/>
                <w:spacing w:val="-78"/>
                <w:sz w:val="21"/>
                <w:szCs w:val="21"/>
              </w:rPr>
              <w:t> </w:t>
            </w:r>
            <w:r>
              <w:rPr>
                <w:rFonts w:ascii="宋体" w:hAnsi="宋体" w:cs="宋体" w:eastAsia="宋体" w:hint="default"/>
                <w:sz w:val="21"/>
                <w:szCs w:val="21"/>
              </w:rPr>
              <w:t>台</w:t>
            </w:r>
            <w:r>
              <w:rPr>
                <w:rFonts w:ascii="宋体" w:hAnsi="宋体" w:cs="宋体" w:eastAsia="宋体" w:hint="default"/>
                <w:spacing w:val="-78"/>
                <w:sz w:val="21"/>
                <w:szCs w:val="21"/>
              </w:rPr>
              <w:t> </w:t>
            </w:r>
            <w:r>
              <w:rPr>
                <w:rFonts w:ascii="宋体" w:hAnsi="宋体" w:cs="宋体" w:eastAsia="宋体" w:hint="default"/>
                <w:spacing w:val="12"/>
                <w:sz w:val="21"/>
                <w:szCs w:val="21"/>
              </w:rPr>
              <w:t>和大</w:t>
            </w:r>
            <w:r>
              <w:rPr>
                <w:rFonts w:ascii="宋体" w:hAnsi="宋体" w:cs="宋体" w:eastAsia="宋体" w:hint="default"/>
                <w:spacing w:val="-79"/>
                <w:sz w:val="21"/>
                <w:szCs w:val="21"/>
              </w:rPr>
              <w:t> </w:t>
            </w:r>
            <w:r>
              <w:rPr>
                <w:rFonts w:ascii="宋体" w:hAnsi="宋体" w:cs="宋体" w:eastAsia="宋体" w:hint="default"/>
                <w:sz w:val="21"/>
                <w:szCs w:val="21"/>
              </w:rPr>
              <w:t>数</w:t>
            </w:r>
            <w:r>
              <w:rPr>
                <w:rFonts w:ascii="宋体" w:hAnsi="宋体" w:cs="宋体" w:eastAsia="宋体" w:hint="default"/>
                <w:sz w:val="21"/>
                <w:szCs w:val="21"/>
              </w:rPr>
              <w:t> 据</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pacing w:val="-79"/>
                <w:sz w:val="21"/>
                <w:szCs w:val="21"/>
              </w:rPr>
              <w:t> </w:t>
            </w:r>
            <w:r>
              <w:rPr>
                <w:rFonts w:ascii="宋体" w:hAnsi="宋体" w:cs="宋体" w:eastAsia="宋体" w:hint="default"/>
                <w:sz w:val="21"/>
                <w:szCs w:val="21"/>
              </w:rPr>
              <w:t>对</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pacing w:val="12"/>
                <w:sz w:val="21"/>
                <w:szCs w:val="21"/>
              </w:rPr>
              <w:t>现场</w:t>
            </w:r>
            <w:r>
              <w:rPr>
                <w:rFonts w:ascii="宋体" w:hAnsi="宋体" w:cs="宋体" w:eastAsia="宋体" w:hint="default"/>
                <w:spacing w:val="-79"/>
                <w:sz w:val="21"/>
                <w:szCs w:val="21"/>
              </w:rPr>
              <w:t> </w:t>
            </w:r>
            <w:r>
              <w:rPr>
                <w:rFonts w:ascii="宋体" w:hAnsi="宋体" w:cs="宋体" w:eastAsia="宋体" w:hint="default"/>
                <w:sz w:val="21"/>
                <w:szCs w:val="21"/>
              </w:rPr>
              <w:t>巡</w:t>
            </w:r>
            <w:r>
              <w:rPr>
                <w:rFonts w:ascii="宋体" w:hAnsi="宋体" w:cs="宋体" w:eastAsia="宋体" w:hint="default"/>
                <w:sz w:val="21"/>
                <w:szCs w:val="21"/>
              </w:rPr>
              <w:t> 检</w:t>
            </w:r>
            <w:r>
              <w:rPr>
                <w:rFonts w:ascii="宋体" w:hAnsi="宋体" w:cs="宋体" w:eastAsia="宋体" w:hint="default"/>
                <w:spacing w:val="-78"/>
                <w:sz w:val="21"/>
                <w:szCs w:val="21"/>
              </w:rPr>
              <w:t> </w:t>
            </w:r>
            <w:r>
              <w:rPr>
                <w:rFonts w:ascii="宋体" w:hAnsi="宋体" w:cs="宋体" w:eastAsia="宋体" w:hint="default"/>
                <w:sz w:val="21"/>
                <w:szCs w:val="21"/>
              </w:rPr>
              <w:t>数</w:t>
            </w:r>
            <w:r>
              <w:rPr>
                <w:rFonts w:ascii="宋体" w:hAnsi="宋体" w:cs="宋体" w:eastAsia="宋体" w:hint="default"/>
                <w:spacing w:val="-79"/>
                <w:sz w:val="21"/>
                <w:szCs w:val="21"/>
              </w:rPr>
              <w:t> </w:t>
            </w:r>
            <w:r>
              <w:rPr>
                <w:rFonts w:ascii="宋体" w:hAnsi="宋体" w:cs="宋体" w:eastAsia="宋体" w:hint="default"/>
                <w:sz w:val="21"/>
                <w:szCs w:val="21"/>
              </w:rPr>
              <w:t>据</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业务</w:t>
            </w:r>
            <w:r>
              <w:rPr>
                <w:rFonts w:ascii="宋体" w:hAnsi="宋体" w:cs="宋体" w:eastAsia="宋体" w:hint="default"/>
                <w:spacing w:val="-79"/>
                <w:sz w:val="21"/>
                <w:szCs w:val="21"/>
              </w:rPr>
              <w:t> </w:t>
            </w:r>
            <w:r>
              <w:rPr>
                <w:rFonts w:ascii="宋体" w:hAnsi="宋体" w:cs="宋体" w:eastAsia="宋体" w:hint="default"/>
                <w:sz w:val="21"/>
                <w:szCs w:val="21"/>
              </w:rPr>
              <w:t>要</w:t>
            </w:r>
            <w:r>
              <w:rPr>
                <w:rFonts w:ascii="宋体" w:hAnsi="宋体" w:cs="宋体" w:eastAsia="宋体" w:hint="default"/>
                <w:sz w:val="21"/>
                <w:szCs w:val="21"/>
              </w:rPr>
              <w:t> </w:t>
            </w:r>
            <w:r>
              <w:rPr>
                <w:rFonts w:ascii="宋体" w:hAnsi="宋体" w:cs="宋体" w:eastAsia="宋体" w:hint="default"/>
                <w:spacing w:val="-7"/>
                <w:sz w:val="21"/>
                <w:szCs w:val="21"/>
              </w:rPr>
              <w:t>求，有利于公司技</w:t>
            </w:r>
          </w:p>
        </w:tc>
      </w:tr>
    </w:tbl>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659"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术</w:t>
            </w:r>
            <w:r>
              <w:rPr>
                <w:rFonts w:ascii="宋体" w:hAnsi="宋体" w:cs="宋体" w:eastAsia="宋体" w:hint="default"/>
                <w:spacing w:val="-78"/>
                <w:sz w:val="21"/>
                <w:szCs w:val="21"/>
              </w:rPr>
              <w:t> </w:t>
            </w:r>
            <w:r>
              <w:rPr>
                <w:rFonts w:ascii="宋体" w:hAnsi="宋体" w:cs="宋体" w:eastAsia="宋体" w:hint="default"/>
                <w:sz w:val="21"/>
                <w:szCs w:val="21"/>
              </w:rPr>
              <w:t>形</w:t>
            </w:r>
            <w:r>
              <w:rPr>
                <w:rFonts w:ascii="宋体" w:hAnsi="宋体" w:cs="宋体" w:eastAsia="宋体" w:hint="default"/>
                <w:spacing w:val="-79"/>
                <w:sz w:val="21"/>
                <w:szCs w:val="21"/>
              </w:rPr>
              <w:t> </w:t>
            </w:r>
            <w:r>
              <w:rPr>
                <w:rFonts w:ascii="宋体" w:hAnsi="宋体" w:cs="宋体" w:eastAsia="宋体" w:hint="default"/>
                <w:sz w:val="21"/>
                <w:szCs w:val="21"/>
              </w:rPr>
              <w:t>象</w:t>
            </w:r>
            <w:r>
              <w:rPr>
                <w:rFonts w:ascii="宋体" w:hAnsi="宋体" w:cs="宋体" w:eastAsia="宋体" w:hint="default"/>
                <w:spacing w:val="-78"/>
                <w:sz w:val="21"/>
                <w:szCs w:val="21"/>
              </w:rPr>
              <w:t> </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pacing w:val="12"/>
                <w:sz w:val="21"/>
                <w:szCs w:val="21"/>
              </w:rPr>
              <w:t>提升</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z w:val="21"/>
                <w:szCs w:val="21"/>
              </w:rPr>
              <w:t> 场竞争力。</w:t>
            </w:r>
          </w:p>
        </w:tc>
      </w:tr>
      <w:tr>
        <w:trPr>
          <w:trHeight w:val="4715"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both"/>
              <w:rPr>
                <w:rFonts w:ascii="宋体" w:hAnsi="宋体" w:cs="宋体" w:eastAsia="宋体" w:hint="default"/>
                <w:sz w:val="21"/>
                <w:szCs w:val="21"/>
              </w:rPr>
            </w:pPr>
            <w:r>
              <w:rPr>
                <w:rFonts w:ascii="宋体" w:hAnsi="宋体" w:cs="宋体" w:eastAsia="宋体" w:hint="default"/>
                <w:spacing w:val="12"/>
                <w:sz w:val="21"/>
                <w:szCs w:val="21"/>
              </w:rPr>
              <w:t>局部放电数据标 准采集及综合服 </w:t>
            </w:r>
            <w:r>
              <w:rPr>
                <w:rFonts w:ascii="宋体" w:hAnsi="宋体" w:cs="宋体" w:eastAsia="宋体" w:hint="default"/>
                <w:sz w:val="21"/>
                <w:szCs w:val="21"/>
              </w:rPr>
              <w:t>务平台开发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spacing w:val="-8"/>
                <w:sz w:val="21"/>
                <w:szCs w:val="21"/>
              </w:rPr>
              <w:t>建立从数据采集、基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于数据进行算法研</w:t>
            </w:r>
            <w:r>
              <w:rPr>
                <w:rFonts w:ascii="宋体" w:hAnsi="宋体" w:cs="宋体" w:eastAsia="宋体" w:hint="default"/>
                <w:spacing w:val="-101"/>
                <w:sz w:val="21"/>
                <w:szCs w:val="21"/>
              </w:rPr>
              <w:t> </w:t>
            </w:r>
            <w:r>
              <w:rPr>
                <w:rFonts w:ascii="宋体" w:hAnsi="宋体" w:cs="宋体" w:eastAsia="宋体" w:hint="default"/>
                <w:spacing w:val="-8"/>
                <w:sz w:val="21"/>
                <w:szCs w:val="21"/>
              </w:rPr>
              <w:t>究、算法验证、现场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应用测试、基于验证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结果对算法优化的</w:t>
            </w:r>
            <w:r>
              <w:rPr>
                <w:rFonts w:ascii="宋体" w:hAnsi="宋体" w:cs="宋体" w:eastAsia="宋体" w:hint="default"/>
                <w:spacing w:val="-101"/>
                <w:sz w:val="21"/>
                <w:szCs w:val="21"/>
              </w:rPr>
              <w:t> </w:t>
            </w:r>
            <w:r>
              <w:rPr>
                <w:rFonts w:ascii="宋体" w:hAnsi="宋体" w:cs="宋体" w:eastAsia="宋体" w:hint="default"/>
                <w:spacing w:val="17"/>
                <w:sz w:val="21"/>
                <w:szCs w:val="21"/>
              </w:rPr>
              <w:t>完整、闭环式的链</w:t>
            </w:r>
            <w:r>
              <w:rPr>
                <w:rFonts w:ascii="宋体" w:hAnsi="宋体" w:cs="宋体" w:eastAsia="宋体" w:hint="default"/>
                <w:spacing w:val="-101"/>
                <w:sz w:val="21"/>
                <w:szCs w:val="21"/>
              </w:rPr>
              <w:t> </w:t>
            </w:r>
            <w:r>
              <w:rPr>
                <w:rFonts w:ascii="宋体" w:hAnsi="宋体" w:cs="宋体" w:eastAsia="宋体" w:hint="default"/>
                <w:spacing w:val="-8"/>
                <w:sz w:val="21"/>
                <w:szCs w:val="21"/>
              </w:rPr>
              <w:t>路，同时贴合电网公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司及其电科院对数</w:t>
            </w:r>
            <w:r>
              <w:rPr>
                <w:rFonts w:ascii="宋体" w:hAnsi="宋体" w:cs="宋体" w:eastAsia="宋体" w:hint="default"/>
                <w:spacing w:val="-101"/>
                <w:sz w:val="21"/>
                <w:szCs w:val="21"/>
              </w:rPr>
              <w:t> </w:t>
            </w:r>
            <w:r>
              <w:rPr>
                <w:rFonts w:ascii="宋体" w:hAnsi="宋体" w:cs="宋体" w:eastAsia="宋体" w:hint="default"/>
                <w:spacing w:val="-6"/>
                <w:sz w:val="21"/>
                <w:szCs w:val="21"/>
              </w:rPr>
              <w:t>据层面应用的需求，</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7"/>
                <w:sz w:val="21"/>
                <w:szCs w:val="21"/>
              </w:rPr>
              <w:t>通过不断研究和改</w:t>
            </w:r>
            <w:r>
              <w:rPr>
                <w:rFonts w:ascii="宋体" w:hAnsi="宋体" w:cs="宋体" w:eastAsia="宋体" w:hint="default"/>
                <w:spacing w:val="-101"/>
                <w:sz w:val="21"/>
                <w:szCs w:val="21"/>
              </w:rPr>
              <w:t> </w:t>
            </w:r>
            <w:r>
              <w:rPr>
                <w:rFonts w:ascii="宋体" w:hAnsi="宋体" w:cs="宋体" w:eastAsia="宋体" w:hint="default"/>
                <w:spacing w:val="-8"/>
                <w:sz w:val="21"/>
                <w:szCs w:val="21"/>
              </w:rPr>
              <w:t>进，有利于为公司后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续实施云平台、大数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据等增值业务的扩</w:t>
            </w:r>
            <w:r>
              <w:rPr>
                <w:rFonts w:ascii="宋体" w:hAnsi="宋体" w:cs="宋体" w:eastAsia="宋体" w:hint="default"/>
                <w:spacing w:val="-101"/>
                <w:sz w:val="21"/>
                <w:szCs w:val="21"/>
              </w:rPr>
              <w:t> </w:t>
            </w:r>
            <w:r>
              <w:rPr>
                <w:rFonts w:ascii="宋体" w:hAnsi="宋体" w:cs="宋体" w:eastAsia="宋体" w:hint="default"/>
                <w:spacing w:val="17"/>
                <w:sz w:val="21"/>
                <w:szCs w:val="21"/>
              </w:rPr>
              <w:t>展和发展打好基础</w:t>
            </w:r>
            <w:r>
              <w:rPr>
                <w:rFonts w:ascii="宋体" w:hAnsi="宋体" w:cs="宋体" w:eastAsia="宋体" w:hint="default"/>
                <w:spacing w:val="-101"/>
                <w:sz w:val="21"/>
                <w:szCs w:val="21"/>
              </w:rPr>
              <w:t> </w:t>
            </w:r>
            <w:r>
              <w:rPr>
                <w:rFonts w:ascii="宋体" w:hAnsi="宋体" w:cs="宋体" w:eastAsia="宋体" w:hint="default"/>
                <w:sz w:val="21"/>
                <w:szCs w:val="21"/>
              </w:rPr>
              <w:t>和平台架构。</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、服务平台处于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开发阶段，目前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进行基础数据管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理、数据转换、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数据展示以及手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机</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APP</w:t>
            </w:r>
            <w:r>
              <w:rPr>
                <w:rFonts w:ascii="Times New Roman" w:hAnsi="Times New Roman" w:cs="Times New Roman" w:eastAsia="Times New Roman" w:hint="default"/>
                <w:spacing w:val="-34"/>
                <w:sz w:val="21"/>
                <w:szCs w:val="21"/>
              </w:rPr>
              <w:t> </w:t>
            </w:r>
            <w:r>
              <w:rPr>
                <w:rFonts w:ascii="宋体" w:hAnsi="宋体" w:cs="宋体" w:eastAsia="宋体" w:hint="default"/>
                <w:spacing w:val="15"/>
                <w:sz w:val="21"/>
                <w:szCs w:val="21"/>
              </w:rPr>
              <w:t>的原型设</w:t>
            </w:r>
            <w:r>
              <w:rPr>
                <w:rFonts w:ascii="宋体" w:hAnsi="宋体" w:cs="宋体" w:eastAsia="宋体" w:hint="default"/>
                <w:sz w:val="21"/>
                <w:szCs w:val="21"/>
              </w:rPr>
              <w:t> 计。</w:t>
            </w:r>
          </w:p>
          <w:p>
            <w:pPr>
              <w:pStyle w:val="TableParagraph"/>
              <w:spacing w:line="268" w:lineRule="auto" w:before="53"/>
              <w:ind w:left="2" w:right="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、根据各种实验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数据研究完成了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多种诊断算法的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研究并在公司的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设备端进行了初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步的验证。</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顺应国网公司在智 能管控体系中对于 大数据以及故障检 测的新应用需求， 为国网公司提供局 部放电方面的数据 资源和管控平台。</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升</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在数</w:t>
            </w:r>
            <w:r>
              <w:rPr>
                <w:rFonts w:ascii="宋体" w:hAnsi="宋体" w:cs="宋体" w:eastAsia="宋体" w:hint="default"/>
                <w:spacing w:val="-79"/>
                <w:sz w:val="21"/>
                <w:szCs w:val="21"/>
              </w:rPr>
              <w:t> </w:t>
            </w:r>
            <w:r>
              <w:rPr>
                <w:rFonts w:ascii="宋体" w:hAnsi="宋体" w:cs="宋体" w:eastAsia="宋体" w:hint="default"/>
                <w:sz w:val="21"/>
                <w:szCs w:val="21"/>
              </w:rPr>
              <w:t>据</w:t>
            </w:r>
            <w:r>
              <w:rPr>
                <w:rFonts w:ascii="宋体" w:hAnsi="宋体" w:cs="宋体" w:eastAsia="宋体" w:hint="default"/>
                <w:sz w:val="21"/>
                <w:szCs w:val="21"/>
              </w:rPr>
              <w:t> 时代的技术层次， 通</w:t>
            </w:r>
            <w:r>
              <w:rPr>
                <w:rFonts w:ascii="宋体" w:hAnsi="宋体" w:cs="宋体" w:eastAsia="宋体" w:hint="default"/>
                <w:spacing w:val="-78"/>
                <w:sz w:val="21"/>
                <w:szCs w:val="21"/>
              </w:rPr>
              <w:t> </w:t>
            </w:r>
            <w:r>
              <w:rPr>
                <w:rFonts w:ascii="宋体" w:hAnsi="宋体" w:cs="宋体" w:eastAsia="宋体" w:hint="default"/>
                <w:sz w:val="21"/>
                <w:szCs w:val="21"/>
              </w:rPr>
              <w:t>过</w:t>
            </w:r>
            <w:r>
              <w:rPr>
                <w:rFonts w:ascii="宋体" w:hAnsi="宋体" w:cs="宋体" w:eastAsia="宋体" w:hint="default"/>
                <w:spacing w:val="-79"/>
                <w:sz w:val="21"/>
                <w:szCs w:val="21"/>
              </w:rPr>
              <w:t> </w:t>
            </w:r>
            <w:r>
              <w:rPr>
                <w:rFonts w:ascii="宋体" w:hAnsi="宋体" w:cs="宋体" w:eastAsia="宋体" w:hint="default"/>
                <w:sz w:val="21"/>
                <w:szCs w:val="21"/>
              </w:rPr>
              <w:t>建</w:t>
            </w:r>
            <w:r>
              <w:rPr>
                <w:rFonts w:ascii="宋体" w:hAnsi="宋体" w:cs="宋体" w:eastAsia="宋体" w:hint="default"/>
                <w:spacing w:val="-78"/>
                <w:sz w:val="21"/>
                <w:szCs w:val="21"/>
              </w:rPr>
              <w:t> </w:t>
            </w:r>
            <w:r>
              <w:rPr>
                <w:rFonts w:ascii="宋体" w:hAnsi="宋体" w:cs="宋体" w:eastAsia="宋体" w:hint="default"/>
                <w:sz w:val="21"/>
                <w:szCs w:val="21"/>
              </w:rPr>
              <w:t>设</w:t>
            </w:r>
            <w:r>
              <w:rPr>
                <w:rFonts w:ascii="宋体" w:hAnsi="宋体" w:cs="宋体" w:eastAsia="宋体" w:hint="default"/>
                <w:spacing w:val="-78"/>
                <w:sz w:val="21"/>
                <w:szCs w:val="21"/>
              </w:rPr>
              <w:t> </w:t>
            </w:r>
            <w:r>
              <w:rPr>
                <w:rFonts w:ascii="宋体" w:hAnsi="宋体" w:cs="宋体" w:eastAsia="宋体" w:hint="default"/>
                <w:spacing w:val="12"/>
                <w:sz w:val="21"/>
                <w:szCs w:val="21"/>
              </w:rPr>
              <w:t>该服</w:t>
            </w:r>
            <w:r>
              <w:rPr>
                <w:rFonts w:ascii="宋体" w:hAnsi="宋体" w:cs="宋体" w:eastAsia="宋体" w:hint="default"/>
                <w:spacing w:val="-79"/>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r>
              <w:rPr>
                <w:rFonts w:ascii="宋体" w:hAnsi="宋体" w:cs="宋体" w:eastAsia="宋体" w:hint="default"/>
                <w:spacing w:val="-7"/>
                <w:sz w:val="21"/>
                <w:szCs w:val="21"/>
              </w:rPr>
              <w:t>平台，实现公司在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相</w:t>
            </w:r>
            <w:r>
              <w:rPr>
                <w:rFonts w:ascii="宋体" w:hAnsi="宋体" w:cs="宋体" w:eastAsia="宋体" w:hint="default"/>
                <w:spacing w:val="-78"/>
                <w:sz w:val="21"/>
                <w:szCs w:val="21"/>
              </w:rPr>
              <w:t> </w:t>
            </w: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pacing w:val="12"/>
                <w:sz w:val="21"/>
                <w:szCs w:val="21"/>
              </w:rPr>
              <w:t>需求</w:t>
            </w:r>
            <w:r>
              <w:rPr>
                <w:rFonts w:ascii="宋体" w:hAnsi="宋体" w:cs="宋体" w:eastAsia="宋体" w:hint="default"/>
                <w:spacing w:val="-79"/>
                <w:sz w:val="21"/>
                <w:szCs w:val="21"/>
              </w:rPr>
              <w:t> </w:t>
            </w:r>
            <w:r>
              <w:rPr>
                <w:rFonts w:ascii="宋体" w:hAnsi="宋体" w:cs="宋体" w:eastAsia="宋体" w:hint="default"/>
                <w:sz w:val="21"/>
                <w:szCs w:val="21"/>
              </w:rPr>
              <w:t>领</w:t>
            </w:r>
            <w:r>
              <w:rPr>
                <w:rFonts w:ascii="宋体" w:hAnsi="宋体" w:cs="宋体" w:eastAsia="宋体" w:hint="default"/>
                <w:sz w:val="21"/>
                <w:szCs w:val="21"/>
              </w:rPr>
              <w:t> 域</w:t>
            </w:r>
            <w:r>
              <w:rPr>
                <w:rFonts w:ascii="宋体" w:hAnsi="宋体" w:cs="宋体" w:eastAsia="宋体" w:hint="default"/>
                <w:spacing w:val="-78"/>
                <w:sz w:val="21"/>
                <w:szCs w:val="21"/>
              </w:rPr>
              <w:t> </w:t>
            </w:r>
            <w:r>
              <w:rPr>
                <w:rFonts w:ascii="宋体" w:hAnsi="宋体" w:cs="宋体" w:eastAsia="宋体" w:hint="default"/>
                <w:sz w:val="21"/>
                <w:szCs w:val="21"/>
              </w:rPr>
              <w:t>占</w:t>
            </w:r>
            <w:r>
              <w:rPr>
                <w:rFonts w:ascii="宋体" w:hAnsi="宋体" w:cs="宋体" w:eastAsia="宋体" w:hint="default"/>
                <w:spacing w:val="-79"/>
                <w:sz w:val="21"/>
                <w:szCs w:val="21"/>
              </w:rPr>
              <w:t> </w:t>
            </w:r>
            <w:r>
              <w:rPr>
                <w:rFonts w:ascii="宋体" w:hAnsi="宋体" w:cs="宋体" w:eastAsia="宋体" w:hint="default"/>
                <w:sz w:val="21"/>
                <w:szCs w:val="21"/>
              </w:rPr>
              <w:t>据</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pacing w:val="12"/>
                <w:sz w:val="21"/>
                <w:szCs w:val="21"/>
              </w:rPr>
              <w:t>定的</w:t>
            </w:r>
            <w:r>
              <w:rPr>
                <w:rFonts w:ascii="宋体" w:hAnsi="宋体" w:cs="宋体" w:eastAsia="宋体" w:hint="default"/>
                <w:spacing w:val="-79"/>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r>
              <w:rPr>
                <w:rFonts w:ascii="宋体" w:hAnsi="宋体" w:cs="宋体" w:eastAsia="宋体" w:hint="default"/>
                <w:spacing w:val="-7"/>
                <w:sz w:val="21"/>
                <w:szCs w:val="21"/>
              </w:rPr>
              <w:t>位，有利于公司技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术</w:t>
            </w:r>
            <w:r>
              <w:rPr>
                <w:rFonts w:ascii="宋体" w:hAnsi="宋体" w:cs="宋体" w:eastAsia="宋体" w:hint="default"/>
                <w:spacing w:val="-78"/>
                <w:sz w:val="21"/>
                <w:szCs w:val="21"/>
              </w:rPr>
              <w:t> </w:t>
            </w:r>
            <w:r>
              <w:rPr>
                <w:rFonts w:ascii="宋体" w:hAnsi="宋体" w:cs="宋体" w:eastAsia="宋体" w:hint="default"/>
                <w:sz w:val="21"/>
                <w:szCs w:val="21"/>
              </w:rPr>
              <w:t>形</w:t>
            </w:r>
            <w:r>
              <w:rPr>
                <w:rFonts w:ascii="宋体" w:hAnsi="宋体" w:cs="宋体" w:eastAsia="宋体" w:hint="default"/>
                <w:spacing w:val="-79"/>
                <w:sz w:val="21"/>
                <w:szCs w:val="21"/>
              </w:rPr>
              <w:t> </w:t>
            </w:r>
            <w:r>
              <w:rPr>
                <w:rFonts w:ascii="宋体" w:hAnsi="宋体" w:cs="宋体" w:eastAsia="宋体" w:hint="default"/>
                <w:sz w:val="21"/>
                <w:szCs w:val="21"/>
              </w:rPr>
              <w:t>象</w:t>
            </w:r>
            <w:r>
              <w:rPr>
                <w:rFonts w:ascii="宋体" w:hAnsi="宋体" w:cs="宋体" w:eastAsia="宋体" w:hint="default"/>
                <w:spacing w:val="-78"/>
                <w:sz w:val="21"/>
                <w:szCs w:val="21"/>
              </w:rPr>
              <w:t> </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pacing w:val="12"/>
                <w:sz w:val="21"/>
                <w:szCs w:val="21"/>
              </w:rPr>
              <w:t>提升</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z w:val="21"/>
                <w:szCs w:val="21"/>
              </w:rPr>
              <w:t> 场竞争力。</w:t>
            </w:r>
          </w:p>
        </w:tc>
      </w:tr>
      <w:tr>
        <w:trPr>
          <w:trHeight w:val="3467"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9"/>
              <w:jc w:val="both"/>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局</w:t>
            </w:r>
            <w:r>
              <w:rPr>
                <w:rFonts w:ascii="宋体" w:hAnsi="宋体" w:cs="宋体" w:eastAsia="宋体" w:hint="default"/>
                <w:spacing w:val="-75"/>
                <w:sz w:val="21"/>
                <w:szCs w:val="21"/>
              </w:rPr>
              <w:t> </w:t>
            </w:r>
            <w:r>
              <w:rPr>
                <w:rFonts w:ascii="宋体" w:hAnsi="宋体" w:cs="宋体" w:eastAsia="宋体" w:hint="default"/>
                <w:sz w:val="21"/>
                <w:szCs w:val="21"/>
              </w:rPr>
              <w:t>部</w:t>
            </w:r>
            <w:r>
              <w:rPr>
                <w:rFonts w:ascii="宋体" w:hAnsi="宋体" w:cs="宋体" w:eastAsia="宋体" w:hint="default"/>
                <w:spacing w:val="-75"/>
                <w:sz w:val="21"/>
                <w:szCs w:val="21"/>
              </w:rPr>
              <w:t> </w:t>
            </w:r>
            <w:r>
              <w:rPr>
                <w:rFonts w:ascii="宋体" w:hAnsi="宋体" w:cs="宋体" w:eastAsia="宋体" w:hint="default"/>
                <w:sz w:val="21"/>
                <w:szCs w:val="21"/>
              </w:rPr>
              <w:t>放</w:t>
            </w:r>
            <w:r>
              <w:rPr>
                <w:rFonts w:ascii="宋体" w:hAnsi="宋体" w:cs="宋体" w:eastAsia="宋体" w:hint="default"/>
                <w:spacing w:val="-77"/>
                <w:sz w:val="21"/>
                <w:szCs w:val="21"/>
              </w:rPr>
              <w:t> </w:t>
            </w:r>
            <w:r>
              <w:rPr>
                <w:rFonts w:ascii="宋体" w:hAnsi="宋体" w:cs="宋体" w:eastAsia="宋体" w:hint="default"/>
                <w:sz w:val="21"/>
                <w:szCs w:val="21"/>
              </w:rPr>
              <w:t>电</w:t>
            </w:r>
            <w:r>
              <w:rPr>
                <w:rFonts w:ascii="宋体" w:hAnsi="宋体" w:cs="宋体" w:eastAsia="宋体" w:hint="default"/>
                <w:spacing w:val="-75"/>
                <w:sz w:val="21"/>
                <w:szCs w:val="21"/>
              </w:rPr>
              <w:t> </w:t>
            </w:r>
            <w:r>
              <w:rPr>
                <w:rFonts w:ascii="宋体" w:hAnsi="宋体" w:cs="宋体" w:eastAsia="宋体" w:hint="default"/>
                <w:sz w:val="21"/>
                <w:szCs w:val="21"/>
              </w:rPr>
              <w:t>在</w:t>
            </w:r>
            <w:r>
              <w:rPr>
                <w:rFonts w:ascii="宋体" w:hAnsi="宋体" w:cs="宋体" w:eastAsia="宋体" w:hint="default"/>
                <w:sz w:val="21"/>
                <w:szCs w:val="21"/>
              </w:rPr>
              <w:t> </w:t>
            </w:r>
            <w:r>
              <w:rPr>
                <w:rFonts w:ascii="宋体" w:hAnsi="宋体" w:cs="宋体" w:eastAsia="宋体" w:hint="default"/>
                <w:spacing w:val="12"/>
                <w:sz w:val="21"/>
                <w:szCs w:val="21"/>
              </w:rPr>
              <w:t>线监测系统的研</w:t>
            </w:r>
            <w:r>
              <w:rPr>
                <w:rFonts w:ascii="宋体" w:hAnsi="宋体" w:cs="宋体" w:eastAsia="宋体" w:hint="default"/>
                <w:spacing w:val="12"/>
                <w:sz w:val="21"/>
                <w:szCs w:val="21"/>
              </w:rPr>
              <w:t> </w:t>
            </w:r>
            <w:r>
              <w:rPr>
                <w:rFonts w:ascii="宋体" w:hAnsi="宋体" w:cs="宋体" w:eastAsia="宋体" w:hint="default"/>
                <w:sz w:val="21"/>
                <w:szCs w:val="21"/>
              </w:rPr>
              <w:t>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17"/>
              <w:jc w:val="both"/>
              <w:rPr>
                <w:rFonts w:ascii="宋体" w:hAnsi="宋体" w:cs="宋体" w:eastAsia="宋体" w:hint="default"/>
                <w:sz w:val="21"/>
                <w:szCs w:val="21"/>
              </w:rPr>
            </w:pPr>
            <w:r>
              <w:rPr>
                <w:rFonts w:ascii="宋体" w:hAnsi="宋体" w:cs="宋体" w:eastAsia="宋体" w:hint="default"/>
                <w:spacing w:val="17"/>
                <w:sz w:val="21"/>
                <w:szCs w:val="21"/>
              </w:rPr>
              <w:t>解决目前市场上普</w:t>
            </w:r>
            <w:r>
              <w:rPr>
                <w:rFonts w:ascii="宋体" w:hAnsi="宋体" w:cs="宋体" w:eastAsia="宋体" w:hint="default"/>
                <w:spacing w:val="-101"/>
                <w:sz w:val="21"/>
                <w:szCs w:val="21"/>
              </w:rPr>
              <w:t> </w:t>
            </w:r>
            <w:r>
              <w:rPr>
                <w:rFonts w:ascii="宋体" w:hAnsi="宋体" w:cs="宋体" w:eastAsia="宋体" w:hint="default"/>
                <w:sz w:val="21"/>
                <w:szCs w:val="21"/>
              </w:rPr>
              <w:t>遍的</w:t>
            </w:r>
            <w:r>
              <w:rPr>
                <w:rFonts w:ascii="Times New Roman" w:hAnsi="Times New Roman" w:cs="Times New Roman" w:eastAsia="Times New Roman" w:hint="default"/>
                <w:sz w:val="21"/>
                <w:szCs w:val="21"/>
              </w:rPr>
              <w:t>GIS</w:t>
            </w:r>
            <w:r>
              <w:rPr>
                <w:rFonts w:ascii="宋体" w:hAnsi="宋体" w:cs="宋体" w:eastAsia="宋体" w:hint="default"/>
                <w:sz w:val="21"/>
                <w:szCs w:val="21"/>
              </w:rPr>
              <w:t>局部放电在</w:t>
            </w:r>
            <w:r>
              <w:rPr>
                <w:rFonts w:ascii="宋体" w:hAnsi="宋体" w:cs="宋体" w:eastAsia="宋体" w:hint="default"/>
                <w:spacing w:val="-92"/>
                <w:sz w:val="21"/>
                <w:szCs w:val="21"/>
              </w:rPr>
              <w:t> </w:t>
            </w:r>
            <w:r>
              <w:rPr>
                <w:rFonts w:ascii="宋体" w:hAnsi="宋体" w:cs="宋体" w:eastAsia="宋体" w:hint="default"/>
                <w:spacing w:val="17"/>
                <w:sz w:val="21"/>
                <w:szCs w:val="21"/>
              </w:rPr>
              <w:t>线监测系统存在的</w:t>
            </w:r>
            <w:r>
              <w:rPr>
                <w:rFonts w:ascii="宋体" w:hAnsi="宋体" w:cs="宋体" w:eastAsia="宋体" w:hint="default"/>
                <w:spacing w:val="-101"/>
                <w:sz w:val="21"/>
                <w:szCs w:val="21"/>
              </w:rPr>
              <w:t> </w:t>
            </w:r>
            <w:r>
              <w:rPr>
                <w:rFonts w:ascii="宋体" w:hAnsi="宋体" w:cs="宋体" w:eastAsia="宋体" w:hint="default"/>
                <w:spacing w:val="-8"/>
                <w:sz w:val="21"/>
                <w:szCs w:val="21"/>
              </w:rPr>
              <w:t>问题，研究具备高灵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敏度的特高频传感</w:t>
            </w:r>
            <w:r>
              <w:rPr>
                <w:rFonts w:ascii="宋体" w:hAnsi="宋体" w:cs="宋体" w:eastAsia="宋体" w:hint="default"/>
                <w:spacing w:val="-101"/>
                <w:sz w:val="21"/>
                <w:szCs w:val="21"/>
              </w:rPr>
              <w:t> </w:t>
            </w:r>
            <w:r>
              <w:rPr>
                <w:rFonts w:ascii="宋体" w:hAnsi="宋体" w:cs="宋体" w:eastAsia="宋体" w:hint="default"/>
                <w:spacing w:val="-8"/>
                <w:sz w:val="21"/>
                <w:szCs w:val="21"/>
              </w:rPr>
              <w:t>器；具备多种抗干扰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能力、能对监测信号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自动进行诊断分析</w:t>
            </w:r>
            <w:r>
              <w:rPr>
                <w:rFonts w:ascii="宋体" w:hAnsi="宋体" w:cs="宋体" w:eastAsia="宋体" w:hint="default"/>
                <w:spacing w:val="-101"/>
                <w:sz w:val="21"/>
                <w:szCs w:val="21"/>
              </w:rPr>
              <w:t> </w:t>
            </w:r>
            <w:r>
              <w:rPr>
                <w:rFonts w:ascii="宋体" w:hAnsi="宋体" w:cs="宋体" w:eastAsia="宋体" w:hint="default"/>
                <w:spacing w:val="17"/>
                <w:sz w:val="21"/>
                <w:szCs w:val="21"/>
              </w:rPr>
              <w:t>与准确报警的在线</w:t>
            </w:r>
            <w:r>
              <w:rPr>
                <w:rFonts w:ascii="宋体" w:hAnsi="宋体" w:cs="宋体" w:eastAsia="宋体" w:hint="default"/>
                <w:spacing w:val="-101"/>
                <w:sz w:val="21"/>
                <w:szCs w:val="21"/>
              </w:rPr>
              <w:t> </w:t>
            </w:r>
            <w:r>
              <w:rPr>
                <w:rFonts w:ascii="宋体" w:hAnsi="宋体" w:cs="宋体" w:eastAsia="宋体" w:hint="default"/>
                <w:sz w:val="21"/>
                <w:szCs w:val="21"/>
              </w:rPr>
              <w:t>监测系统。</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8"/>
                <w:sz w:val="21"/>
                <w:szCs w:val="21"/>
              </w:rPr>
              <w:t>进行了相关理论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技术研究，研制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了</w:t>
            </w:r>
            <w:r>
              <w:rPr>
                <w:rFonts w:ascii="宋体" w:hAnsi="宋体" w:cs="宋体" w:eastAsia="宋体" w:hint="default"/>
                <w:spacing w:val="-50"/>
                <w:sz w:val="21"/>
                <w:szCs w:val="21"/>
              </w:rPr>
              <w:t> </w:t>
            </w:r>
            <w:r>
              <w:rPr>
                <w:rFonts w:ascii="宋体" w:hAnsi="宋体" w:cs="宋体" w:eastAsia="宋体" w:hint="default"/>
                <w:sz w:val="21"/>
                <w:szCs w:val="21"/>
              </w:rPr>
              <w:t>特</w:t>
            </w:r>
            <w:r>
              <w:rPr>
                <w:rFonts w:ascii="宋体" w:hAnsi="宋体" w:cs="宋体" w:eastAsia="宋体" w:hint="default"/>
                <w:spacing w:val="-50"/>
                <w:sz w:val="21"/>
                <w:szCs w:val="21"/>
              </w:rPr>
              <w:t> </w:t>
            </w:r>
            <w:r>
              <w:rPr>
                <w:rFonts w:ascii="宋体" w:hAnsi="宋体" w:cs="宋体" w:eastAsia="宋体" w:hint="default"/>
                <w:sz w:val="21"/>
                <w:szCs w:val="21"/>
              </w:rPr>
              <w:t>高</w:t>
            </w:r>
            <w:r>
              <w:rPr>
                <w:rFonts w:ascii="宋体" w:hAnsi="宋体" w:cs="宋体" w:eastAsia="宋体" w:hint="default"/>
                <w:spacing w:val="-50"/>
                <w:sz w:val="21"/>
                <w:szCs w:val="21"/>
              </w:rPr>
              <w:t> </w:t>
            </w:r>
            <w:r>
              <w:rPr>
                <w:rFonts w:ascii="宋体" w:hAnsi="宋体" w:cs="宋体" w:eastAsia="宋体" w:hint="default"/>
                <w:sz w:val="21"/>
                <w:szCs w:val="21"/>
              </w:rPr>
              <w:t>频</w:t>
            </w:r>
            <w:r>
              <w:rPr>
                <w:rFonts w:ascii="宋体" w:hAnsi="宋体" w:cs="宋体" w:eastAsia="宋体" w:hint="default"/>
                <w:spacing w:val="-49"/>
                <w:sz w:val="21"/>
                <w:szCs w:val="21"/>
              </w:rPr>
              <w:t> </w:t>
            </w:r>
            <w:r>
              <w:rPr>
                <w:rFonts w:ascii="宋体" w:hAnsi="宋体" w:cs="宋体" w:eastAsia="宋体" w:hint="default"/>
                <w:sz w:val="21"/>
                <w:szCs w:val="21"/>
              </w:rPr>
              <w:t>传</w:t>
            </w:r>
            <w:r>
              <w:rPr>
                <w:rFonts w:ascii="宋体" w:hAnsi="宋体" w:cs="宋体" w:eastAsia="宋体" w:hint="default"/>
                <w:spacing w:val="-50"/>
                <w:sz w:val="21"/>
                <w:szCs w:val="21"/>
              </w:rPr>
              <w:t> </w:t>
            </w:r>
            <w:r>
              <w:rPr>
                <w:rFonts w:ascii="宋体" w:hAnsi="宋体" w:cs="宋体" w:eastAsia="宋体" w:hint="default"/>
                <w:sz w:val="21"/>
                <w:szCs w:val="21"/>
              </w:rPr>
              <w:t>感</w:t>
            </w:r>
            <w:r>
              <w:rPr>
                <w:rFonts w:ascii="宋体" w:hAnsi="宋体" w:cs="宋体" w:eastAsia="宋体" w:hint="default"/>
                <w:sz w:val="21"/>
                <w:szCs w:val="21"/>
              </w:rPr>
              <w:t> </w:t>
            </w:r>
            <w:r>
              <w:rPr>
                <w:rFonts w:ascii="宋体" w:hAnsi="宋体" w:cs="宋体" w:eastAsia="宋体" w:hint="default"/>
                <w:spacing w:val="8"/>
                <w:sz w:val="21"/>
                <w:szCs w:val="21"/>
              </w:rPr>
              <w:t>器、在线监测采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集单元和通讯单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元，并进行了相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关性能测试。编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译完成后台管理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软件，内置专家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诊断数据库和告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警机制。</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3"/>
              <w:jc w:val="both"/>
              <w:rPr>
                <w:rFonts w:ascii="宋体" w:hAnsi="宋体" w:cs="宋体" w:eastAsia="宋体" w:hint="default"/>
                <w:sz w:val="21"/>
                <w:szCs w:val="21"/>
              </w:rPr>
            </w:pPr>
            <w:r>
              <w:rPr>
                <w:rFonts w:ascii="宋体" w:hAnsi="宋体" w:cs="宋体" w:eastAsia="宋体" w:hint="default"/>
                <w:sz w:val="21"/>
                <w:szCs w:val="21"/>
              </w:rPr>
              <w:t>完成相关技术研究 </w:t>
            </w:r>
            <w:r>
              <w:rPr>
                <w:rFonts w:ascii="宋体" w:hAnsi="宋体" w:cs="宋体" w:eastAsia="宋体" w:hint="default"/>
                <w:spacing w:val="8"/>
                <w:sz w:val="21"/>
                <w:szCs w:val="21"/>
              </w:rPr>
              <w:t>工作，完成</w:t>
            </w:r>
            <w:r>
              <w:rPr>
                <w:rFonts w:ascii="Times New Roman" w:hAnsi="Times New Roman" w:cs="Times New Roman" w:eastAsia="Times New Roman" w:hint="default"/>
                <w:spacing w:val="8"/>
                <w:sz w:val="21"/>
                <w:szCs w:val="21"/>
              </w:rPr>
              <w:t>GIS</w:t>
            </w:r>
            <w:r>
              <w:rPr>
                <w:rFonts w:ascii="宋体" w:hAnsi="宋体" w:cs="宋体" w:eastAsia="宋体" w:hint="default"/>
                <w:spacing w:val="8"/>
                <w:sz w:val="21"/>
                <w:szCs w:val="21"/>
              </w:rPr>
              <w:t>局</w:t>
            </w:r>
            <w:r>
              <w:rPr>
                <w:rFonts w:ascii="宋体" w:hAnsi="宋体" w:cs="宋体" w:eastAsia="宋体" w:hint="default"/>
                <w:spacing w:val="-99"/>
                <w:sz w:val="21"/>
                <w:szCs w:val="21"/>
              </w:rPr>
              <w:t> </w:t>
            </w:r>
            <w:r>
              <w:rPr>
                <w:rFonts w:ascii="宋体" w:hAnsi="宋体" w:cs="宋体" w:eastAsia="宋体" w:hint="default"/>
                <w:sz w:val="21"/>
                <w:szCs w:val="21"/>
              </w:rPr>
              <w:t>部放电在线监测系 统的具体开发与应 用。</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0"/>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方</w:t>
            </w:r>
            <w:r>
              <w:rPr>
                <w:rFonts w:ascii="宋体" w:hAnsi="宋体" w:cs="宋体" w:eastAsia="宋体" w:hint="default"/>
                <w:spacing w:val="-79"/>
                <w:sz w:val="21"/>
                <w:szCs w:val="21"/>
              </w:rPr>
              <w:t> </w:t>
            </w:r>
            <w:r>
              <w:rPr>
                <w:rFonts w:ascii="宋体" w:hAnsi="宋体" w:cs="宋体" w:eastAsia="宋体" w:hint="default"/>
                <w:sz w:val="21"/>
                <w:szCs w:val="21"/>
              </w:rPr>
              <w:t>面</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8"/>
                <w:sz w:val="21"/>
                <w:szCs w:val="21"/>
              </w:rPr>
              <w:t> </w:t>
            </w:r>
            <w:r>
              <w:rPr>
                <w:rFonts w:ascii="宋体" w:hAnsi="宋体" w:cs="宋体" w:eastAsia="宋体" w:hint="default"/>
                <w:spacing w:val="12"/>
                <w:sz w:val="21"/>
                <w:szCs w:val="21"/>
              </w:rPr>
              <w:t>形成</w:t>
            </w:r>
            <w:r>
              <w:rPr>
                <w:rFonts w:ascii="宋体" w:hAnsi="宋体" w:cs="宋体" w:eastAsia="宋体" w:hint="default"/>
                <w:spacing w:val="-79"/>
                <w:sz w:val="21"/>
                <w:szCs w:val="21"/>
              </w:rPr>
              <w:t> </w:t>
            </w:r>
            <w:r>
              <w:rPr>
                <w:rFonts w:ascii="宋体" w:hAnsi="宋体" w:cs="宋体" w:eastAsia="宋体" w:hint="default"/>
                <w:sz w:val="21"/>
                <w:szCs w:val="21"/>
              </w:rPr>
              <w:t>具</w:t>
            </w:r>
            <w:r>
              <w:rPr>
                <w:rFonts w:ascii="宋体" w:hAnsi="宋体" w:cs="宋体" w:eastAsia="宋体" w:hint="default"/>
                <w:sz w:val="21"/>
                <w:szCs w:val="21"/>
              </w:rPr>
              <w:t> 备</w:t>
            </w:r>
            <w:r>
              <w:rPr>
                <w:rFonts w:ascii="宋体" w:hAnsi="宋体" w:cs="宋体" w:eastAsia="宋体" w:hint="default"/>
                <w:spacing w:val="-78"/>
                <w:sz w:val="21"/>
                <w:szCs w:val="21"/>
              </w:rPr>
              <w:t> </w:t>
            </w:r>
            <w:r>
              <w:rPr>
                <w:rFonts w:ascii="宋体" w:hAnsi="宋体" w:cs="宋体" w:eastAsia="宋体" w:hint="default"/>
                <w:sz w:val="21"/>
                <w:szCs w:val="21"/>
              </w:rPr>
              <w:t>较</w:t>
            </w:r>
            <w:r>
              <w:rPr>
                <w:rFonts w:ascii="宋体" w:hAnsi="宋体" w:cs="宋体" w:eastAsia="宋体" w:hint="default"/>
                <w:spacing w:val="-79"/>
                <w:sz w:val="21"/>
                <w:szCs w:val="21"/>
              </w:rPr>
              <w:t> </w:t>
            </w:r>
            <w:r>
              <w:rPr>
                <w:rFonts w:ascii="宋体" w:hAnsi="宋体" w:cs="宋体" w:eastAsia="宋体" w:hint="default"/>
                <w:sz w:val="21"/>
                <w:szCs w:val="21"/>
              </w:rPr>
              <w:t>强</w:t>
            </w:r>
            <w:r>
              <w:rPr>
                <w:rFonts w:ascii="宋体" w:hAnsi="宋体" w:cs="宋体" w:eastAsia="宋体" w:hint="default"/>
                <w:spacing w:val="-78"/>
                <w:sz w:val="21"/>
                <w:szCs w:val="21"/>
              </w:rPr>
              <w:t> </w:t>
            </w:r>
            <w:r>
              <w:rPr>
                <w:rFonts w:ascii="宋体" w:hAnsi="宋体" w:cs="宋体" w:eastAsia="宋体" w:hint="default"/>
                <w:sz w:val="21"/>
                <w:szCs w:val="21"/>
              </w:rPr>
              <w:t>竞</w:t>
            </w:r>
            <w:r>
              <w:rPr>
                <w:rFonts w:ascii="宋体" w:hAnsi="宋体" w:cs="宋体" w:eastAsia="宋体" w:hint="default"/>
                <w:spacing w:val="-78"/>
                <w:sz w:val="21"/>
                <w:szCs w:val="21"/>
              </w:rPr>
              <w:t> </w:t>
            </w:r>
            <w:r>
              <w:rPr>
                <w:rFonts w:ascii="宋体" w:hAnsi="宋体" w:cs="宋体" w:eastAsia="宋体" w:hint="default"/>
                <w:spacing w:val="12"/>
                <w:sz w:val="21"/>
                <w:szCs w:val="21"/>
              </w:rPr>
              <w:t>争力</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7"/>
                <w:sz w:val="21"/>
                <w:szCs w:val="21"/>
              </w:rPr>
              <w:t>产品，降低公司的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成本压力，为公司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创</w:t>
            </w:r>
            <w:r>
              <w:rPr>
                <w:rFonts w:ascii="宋体" w:hAnsi="宋体" w:cs="宋体" w:eastAsia="宋体" w:hint="default"/>
                <w:spacing w:val="-78"/>
                <w:sz w:val="21"/>
                <w:szCs w:val="21"/>
              </w:rPr>
              <w:t> </w:t>
            </w:r>
            <w:r>
              <w:rPr>
                <w:rFonts w:ascii="宋体" w:hAnsi="宋体" w:cs="宋体" w:eastAsia="宋体" w:hint="default"/>
                <w:sz w:val="21"/>
                <w:szCs w:val="21"/>
              </w:rPr>
              <w:t>造</w:t>
            </w:r>
            <w:r>
              <w:rPr>
                <w:rFonts w:ascii="宋体" w:hAnsi="宋体" w:cs="宋体" w:eastAsia="宋体" w:hint="default"/>
                <w:spacing w:val="-79"/>
                <w:sz w:val="21"/>
                <w:szCs w:val="21"/>
              </w:rPr>
              <w:t> </w:t>
            </w:r>
            <w:r>
              <w:rPr>
                <w:rFonts w:ascii="宋体" w:hAnsi="宋体" w:cs="宋体" w:eastAsia="宋体" w:hint="default"/>
                <w:sz w:val="21"/>
                <w:szCs w:val="21"/>
              </w:rPr>
              <w:t>可</w:t>
            </w:r>
            <w:r>
              <w:rPr>
                <w:rFonts w:ascii="宋体" w:hAnsi="宋体" w:cs="宋体" w:eastAsia="宋体" w:hint="default"/>
                <w:spacing w:val="-78"/>
                <w:sz w:val="21"/>
                <w:szCs w:val="21"/>
              </w:rPr>
              <w:t> </w:t>
            </w:r>
            <w:r>
              <w:rPr>
                <w:rFonts w:ascii="宋体" w:hAnsi="宋体" w:cs="宋体" w:eastAsia="宋体" w:hint="default"/>
                <w:sz w:val="21"/>
                <w:szCs w:val="21"/>
              </w:rPr>
              <w:t>观</w:t>
            </w:r>
            <w:r>
              <w:rPr>
                <w:rFonts w:ascii="宋体" w:hAnsi="宋体" w:cs="宋体" w:eastAsia="宋体" w:hint="default"/>
                <w:spacing w:val="-78"/>
                <w:sz w:val="21"/>
                <w:szCs w:val="21"/>
              </w:rPr>
              <w:t> </w:t>
            </w:r>
            <w:r>
              <w:rPr>
                <w:rFonts w:ascii="宋体" w:hAnsi="宋体" w:cs="宋体" w:eastAsia="宋体" w:hint="default"/>
                <w:spacing w:val="12"/>
                <w:sz w:val="21"/>
                <w:szCs w:val="21"/>
              </w:rPr>
              <w:t>的经</w:t>
            </w:r>
            <w:r>
              <w:rPr>
                <w:rFonts w:ascii="宋体" w:hAnsi="宋体" w:cs="宋体" w:eastAsia="宋体" w:hint="default"/>
                <w:spacing w:val="-79"/>
                <w:sz w:val="21"/>
                <w:szCs w:val="21"/>
              </w:rPr>
              <w:t> </w:t>
            </w:r>
            <w:r>
              <w:rPr>
                <w:rFonts w:ascii="宋体" w:hAnsi="宋体" w:cs="宋体" w:eastAsia="宋体" w:hint="default"/>
                <w:sz w:val="21"/>
                <w:szCs w:val="21"/>
              </w:rPr>
              <w:t>济</w:t>
            </w:r>
            <w:r>
              <w:rPr>
                <w:rFonts w:ascii="宋体" w:hAnsi="宋体" w:cs="宋体" w:eastAsia="宋体" w:hint="default"/>
                <w:sz w:val="21"/>
                <w:szCs w:val="21"/>
              </w:rPr>
              <w:t> </w:t>
            </w:r>
            <w:r>
              <w:rPr>
                <w:rFonts w:ascii="宋体" w:hAnsi="宋体" w:cs="宋体" w:eastAsia="宋体" w:hint="default"/>
                <w:spacing w:val="-7"/>
                <w:sz w:val="21"/>
                <w:szCs w:val="21"/>
              </w:rPr>
              <w:t>效益；另一方面能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提高</w:t>
            </w:r>
            <w:r>
              <w:rPr>
                <w:rFonts w:ascii="Times New Roman" w:hAnsi="Times New Roman" w:cs="Times New Roman" w:eastAsia="Times New Roman" w:hint="default"/>
                <w:spacing w:val="3"/>
                <w:sz w:val="21"/>
                <w:szCs w:val="21"/>
              </w:rPr>
              <w:t>GIS</w:t>
            </w:r>
            <w:r>
              <w:rPr>
                <w:rFonts w:ascii="宋体" w:hAnsi="宋体" w:cs="宋体" w:eastAsia="宋体" w:hint="default"/>
                <w:spacing w:val="3"/>
                <w:sz w:val="21"/>
                <w:szCs w:val="21"/>
              </w:rPr>
              <w:t>局部放电</w:t>
            </w:r>
            <w:r>
              <w:rPr>
                <w:rFonts w:ascii="宋体" w:hAnsi="宋体" w:cs="宋体" w:eastAsia="宋体" w:hint="default"/>
                <w:sz w:val="21"/>
                <w:szCs w:val="21"/>
              </w:rPr>
              <w:t> 在</w:t>
            </w:r>
            <w:r>
              <w:rPr>
                <w:rFonts w:ascii="宋体" w:hAnsi="宋体" w:cs="宋体" w:eastAsia="宋体" w:hint="default"/>
                <w:spacing w:val="-78"/>
                <w:sz w:val="21"/>
                <w:szCs w:val="21"/>
              </w:rPr>
              <w:t> </w:t>
            </w:r>
            <w:r>
              <w:rPr>
                <w:rFonts w:ascii="宋体" w:hAnsi="宋体" w:cs="宋体" w:eastAsia="宋体" w:hint="default"/>
                <w:sz w:val="21"/>
                <w:szCs w:val="21"/>
              </w:rPr>
              <w:t>线</w:t>
            </w:r>
            <w:r>
              <w:rPr>
                <w:rFonts w:ascii="宋体" w:hAnsi="宋体" w:cs="宋体" w:eastAsia="宋体" w:hint="default"/>
                <w:spacing w:val="-79"/>
                <w:sz w:val="21"/>
                <w:szCs w:val="21"/>
              </w:rPr>
              <w:t> </w:t>
            </w:r>
            <w:r>
              <w:rPr>
                <w:rFonts w:ascii="宋体" w:hAnsi="宋体" w:cs="宋体" w:eastAsia="宋体" w:hint="default"/>
                <w:sz w:val="21"/>
                <w:szCs w:val="21"/>
              </w:rPr>
              <w:t>监</w:t>
            </w:r>
            <w:r>
              <w:rPr>
                <w:rFonts w:ascii="宋体" w:hAnsi="宋体" w:cs="宋体" w:eastAsia="宋体" w:hint="default"/>
                <w:spacing w:val="-78"/>
                <w:sz w:val="21"/>
                <w:szCs w:val="21"/>
              </w:rPr>
              <w:t> </w:t>
            </w:r>
            <w:r>
              <w:rPr>
                <w:rFonts w:ascii="宋体" w:hAnsi="宋体" w:cs="宋体" w:eastAsia="宋体" w:hint="default"/>
                <w:sz w:val="21"/>
                <w:szCs w:val="21"/>
              </w:rPr>
              <w:t>测</w:t>
            </w:r>
            <w:r>
              <w:rPr>
                <w:rFonts w:ascii="宋体" w:hAnsi="宋体" w:cs="宋体" w:eastAsia="宋体" w:hint="default"/>
                <w:spacing w:val="-78"/>
                <w:sz w:val="21"/>
                <w:szCs w:val="21"/>
              </w:rPr>
              <w:t> </w:t>
            </w:r>
            <w:r>
              <w:rPr>
                <w:rFonts w:ascii="宋体" w:hAnsi="宋体" w:cs="宋体" w:eastAsia="宋体" w:hint="default"/>
                <w:spacing w:val="12"/>
                <w:sz w:val="21"/>
                <w:szCs w:val="21"/>
              </w:rPr>
              <w:t>应用</w:t>
            </w:r>
            <w:r>
              <w:rPr>
                <w:rFonts w:ascii="宋体" w:hAnsi="宋体" w:cs="宋体" w:eastAsia="宋体" w:hint="default"/>
                <w:spacing w:val="-79"/>
                <w:sz w:val="21"/>
                <w:szCs w:val="21"/>
              </w:rPr>
              <w:t> </w:t>
            </w:r>
            <w:r>
              <w:rPr>
                <w:rFonts w:ascii="宋体" w:hAnsi="宋体" w:cs="宋体" w:eastAsia="宋体" w:hint="default"/>
                <w:sz w:val="21"/>
                <w:szCs w:val="21"/>
              </w:rPr>
              <w:t>研</w:t>
            </w:r>
            <w:r>
              <w:rPr>
                <w:rFonts w:ascii="宋体" w:hAnsi="宋体" w:cs="宋体" w:eastAsia="宋体" w:hint="default"/>
                <w:sz w:val="21"/>
                <w:szCs w:val="21"/>
              </w:rPr>
              <w:t> 究水平与经验。</w:t>
            </w:r>
          </w:p>
        </w:tc>
      </w:tr>
      <w:tr>
        <w:trPr>
          <w:trHeight w:val="5028"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TCD-1000</w:t>
            </w:r>
            <w:r>
              <w:rPr>
                <w:rFonts w:ascii="宋体" w:hAnsi="宋体" w:cs="宋体" w:eastAsia="宋体" w:hint="default"/>
                <w:sz w:val="21"/>
                <w:szCs w:val="21"/>
              </w:rPr>
              <w:t>型有载</w:t>
            </w:r>
          </w:p>
          <w:p>
            <w:pPr>
              <w:pStyle w:val="TableParagraph"/>
              <w:spacing w:line="273" w:lineRule="auto" w:before="21"/>
              <w:ind w:left="2" w:right="-9"/>
              <w:jc w:val="left"/>
              <w:rPr>
                <w:rFonts w:ascii="宋体" w:hAnsi="宋体" w:cs="宋体" w:eastAsia="宋体" w:hint="default"/>
                <w:sz w:val="21"/>
                <w:szCs w:val="21"/>
              </w:rPr>
            </w:pPr>
            <w:r>
              <w:rPr>
                <w:rFonts w:ascii="宋体" w:hAnsi="宋体" w:cs="宋体" w:eastAsia="宋体" w:hint="default"/>
                <w:spacing w:val="12"/>
                <w:sz w:val="21"/>
                <w:szCs w:val="21"/>
              </w:rPr>
              <w:t>调压开关短时在 </w:t>
            </w:r>
            <w:r>
              <w:rPr>
                <w:rFonts w:ascii="宋体" w:hAnsi="宋体" w:cs="宋体" w:eastAsia="宋体" w:hint="default"/>
                <w:sz w:val="21"/>
                <w:szCs w:val="21"/>
              </w:rPr>
              <w:t>线监测系统</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重点研究有载调压</w:t>
            </w:r>
            <w:r>
              <w:rPr>
                <w:rFonts w:ascii="宋体" w:hAnsi="宋体" w:cs="宋体" w:eastAsia="宋体" w:hint="default"/>
                <w:spacing w:val="-101"/>
                <w:sz w:val="21"/>
                <w:szCs w:val="21"/>
              </w:rPr>
              <w:t> </w:t>
            </w:r>
            <w:r>
              <w:rPr>
                <w:rFonts w:ascii="宋体" w:hAnsi="宋体" w:cs="宋体" w:eastAsia="宋体" w:hint="default"/>
                <w:spacing w:val="17"/>
                <w:sz w:val="21"/>
                <w:szCs w:val="21"/>
              </w:rPr>
              <w:t>开关声电联合检测</w:t>
            </w:r>
            <w:r>
              <w:rPr>
                <w:rFonts w:ascii="宋体" w:hAnsi="宋体" w:cs="宋体" w:eastAsia="宋体" w:hint="default"/>
                <w:spacing w:val="-101"/>
                <w:sz w:val="21"/>
                <w:szCs w:val="21"/>
              </w:rPr>
              <w:t> </w:t>
            </w:r>
            <w:r>
              <w:rPr>
                <w:rFonts w:ascii="宋体" w:hAnsi="宋体" w:cs="宋体" w:eastAsia="宋体" w:hint="default"/>
                <w:spacing w:val="-8"/>
                <w:sz w:val="21"/>
                <w:szCs w:val="21"/>
              </w:rPr>
              <w:t>技术，并就转动检测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技术及多参量融合</w:t>
            </w:r>
            <w:r>
              <w:rPr>
                <w:rFonts w:ascii="宋体" w:hAnsi="宋体" w:cs="宋体" w:eastAsia="宋体" w:hint="default"/>
                <w:spacing w:val="-101"/>
                <w:sz w:val="21"/>
                <w:szCs w:val="21"/>
              </w:rPr>
              <w:t> </w:t>
            </w:r>
            <w:r>
              <w:rPr>
                <w:rFonts w:ascii="宋体" w:hAnsi="宋体" w:cs="宋体" w:eastAsia="宋体" w:hint="default"/>
                <w:spacing w:val="-6"/>
                <w:sz w:val="21"/>
                <w:szCs w:val="21"/>
              </w:rPr>
              <w:t>分析技术展开研究，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7"/>
                <w:sz w:val="21"/>
                <w:szCs w:val="21"/>
              </w:rPr>
              <w:t>同时就项目适应长</w:t>
            </w:r>
            <w:r>
              <w:rPr>
                <w:rFonts w:ascii="宋体" w:hAnsi="宋体" w:cs="宋体" w:eastAsia="宋体" w:hint="default"/>
                <w:spacing w:val="-101"/>
                <w:sz w:val="21"/>
                <w:szCs w:val="21"/>
              </w:rPr>
              <w:t> </w:t>
            </w:r>
            <w:r>
              <w:rPr>
                <w:rFonts w:ascii="宋体" w:hAnsi="宋体" w:cs="宋体" w:eastAsia="宋体" w:hint="default"/>
                <w:spacing w:val="17"/>
                <w:sz w:val="21"/>
                <w:szCs w:val="21"/>
              </w:rPr>
              <w:t>期在线检测的功能</w:t>
            </w:r>
            <w:r>
              <w:rPr>
                <w:rFonts w:ascii="宋体" w:hAnsi="宋体" w:cs="宋体" w:eastAsia="宋体" w:hint="default"/>
                <w:spacing w:val="-101"/>
                <w:sz w:val="21"/>
                <w:szCs w:val="21"/>
              </w:rPr>
              <w:t> </w:t>
            </w:r>
            <w:r>
              <w:rPr>
                <w:rFonts w:ascii="宋体" w:hAnsi="宋体" w:cs="宋体" w:eastAsia="宋体" w:hint="default"/>
                <w:spacing w:val="17"/>
                <w:sz w:val="21"/>
                <w:szCs w:val="21"/>
              </w:rPr>
              <w:t>需求进行方案研究</w:t>
            </w:r>
            <w:r>
              <w:rPr>
                <w:rFonts w:ascii="宋体" w:hAnsi="宋体" w:cs="宋体" w:eastAsia="宋体" w:hint="default"/>
                <w:spacing w:val="-101"/>
                <w:sz w:val="21"/>
                <w:szCs w:val="21"/>
              </w:rPr>
              <w:t> </w:t>
            </w:r>
            <w:r>
              <w:rPr>
                <w:rFonts w:ascii="宋体" w:hAnsi="宋体" w:cs="宋体" w:eastAsia="宋体" w:hint="default"/>
                <w:spacing w:val="-8"/>
                <w:sz w:val="21"/>
                <w:szCs w:val="21"/>
              </w:rPr>
              <w:t>及制定，整个项目在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新的功能需求框架</w:t>
            </w:r>
            <w:r>
              <w:rPr>
                <w:rFonts w:ascii="宋体" w:hAnsi="宋体" w:cs="宋体" w:eastAsia="宋体" w:hint="default"/>
                <w:spacing w:val="-101"/>
                <w:sz w:val="21"/>
                <w:szCs w:val="21"/>
              </w:rPr>
              <w:t> </w:t>
            </w:r>
            <w:r>
              <w:rPr>
                <w:rFonts w:ascii="宋体" w:hAnsi="宋体" w:cs="宋体" w:eastAsia="宋体" w:hint="default"/>
                <w:spacing w:val="17"/>
                <w:sz w:val="21"/>
                <w:szCs w:val="21"/>
              </w:rPr>
              <w:t>下进入硬软件系统</w:t>
            </w:r>
            <w:r>
              <w:rPr>
                <w:rFonts w:ascii="宋体" w:hAnsi="宋体" w:cs="宋体" w:eastAsia="宋体" w:hint="default"/>
                <w:spacing w:val="-101"/>
                <w:sz w:val="21"/>
                <w:szCs w:val="21"/>
              </w:rPr>
              <w:t> </w:t>
            </w:r>
            <w:r>
              <w:rPr>
                <w:rFonts w:ascii="宋体" w:hAnsi="宋体" w:cs="宋体" w:eastAsia="宋体" w:hint="default"/>
                <w:sz w:val="21"/>
                <w:szCs w:val="21"/>
              </w:rPr>
              <w:t>设计阶段。</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
              <w:jc w:val="both"/>
              <w:rPr>
                <w:rFonts w:ascii="宋体" w:hAnsi="宋体" w:cs="宋体" w:eastAsia="宋体" w:hint="default"/>
                <w:sz w:val="21"/>
                <w:szCs w:val="21"/>
              </w:rPr>
            </w:pPr>
            <w:r>
              <w:rPr>
                <w:rFonts w:ascii="宋体" w:hAnsi="宋体" w:cs="宋体" w:eastAsia="宋体" w:hint="default"/>
                <w:spacing w:val="8"/>
                <w:sz w:val="21"/>
                <w:szCs w:val="21"/>
              </w:rPr>
              <w:t>完成了项目检测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技术研究、系统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功</w:t>
            </w:r>
            <w:r>
              <w:rPr>
                <w:rFonts w:ascii="宋体" w:hAnsi="宋体" w:cs="宋体" w:eastAsia="宋体" w:hint="default"/>
                <w:spacing w:val="-50"/>
                <w:sz w:val="21"/>
                <w:szCs w:val="21"/>
              </w:rPr>
              <w:t> </w:t>
            </w:r>
            <w:r>
              <w:rPr>
                <w:rFonts w:ascii="宋体" w:hAnsi="宋体" w:cs="宋体" w:eastAsia="宋体" w:hint="default"/>
                <w:sz w:val="21"/>
                <w:szCs w:val="21"/>
              </w:rPr>
              <w:t>能</w:t>
            </w:r>
            <w:r>
              <w:rPr>
                <w:rFonts w:ascii="宋体" w:hAnsi="宋体" w:cs="宋体" w:eastAsia="宋体" w:hint="default"/>
                <w:spacing w:val="-50"/>
                <w:sz w:val="21"/>
                <w:szCs w:val="21"/>
              </w:rPr>
              <w:t> </w:t>
            </w:r>
            <w:r>
              <w:rPr>
                <w:rFonts w:ascii="宋体" w:hAnsi="宋体" w:cs="宋体" w:eastAsia="宋体" w:hint="default"/>
                <w:sz w:val="21"/>
                <w:szCs w:val="21"/>
              </w:rPr>
              <w:t>调</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等</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作，同时为适应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w:t>
            </w:r>
            <w:r>
              <w:rPr>
                <w:rFonts w:ascii="宋体" w:hAnsi="宋体" w:cs="宋体" w:eastAsia="宋体" w:hint="default"/>
                <w:spacing w:val="-50"/>
                <w:sz w:val="21"/>
                <w:szCs w:val="21"/>
              </w:rPr>
              <w:t> </w:t>
            </w:r>
            <w:r>
              <w:rPr>
                <w:rFonts w:ascii="宋体" w:hAnsi="宋体" w:cs="宋体" w:eastAsia="宋体" w:hint="default"/>
                <w:sz w:val="21"/>
                <w:szCs w:val="21"/>
              </w:rPr>
              <w:t>场</w:t>
            </w:r>
            <w:r>
              <w:rPr>
                <w:rFonts w:ascii="宋体" w:hAnsi="宋体" w:cs="宋体" w:eastAsia="宋体" w:hint="default"/>
                <w:spacing w:val="-50"/>
                <w:sz w:val="21"/>
                <w:szCs w:val="21"/>
              </w:rPr>
              <w:t> </w:t>
            </w:r>
            <w:r>
              <w:rPr>
                <w:rFonts w:ascii="宋体" w:hAnsi="宋体" w:cs="宋体" w:eastAsia="宋体" w:hint="default"/>
                <w:sz w:val="21"/>
                <w:szCs w:val="21"/>
              </w:rPr>
              <w:t>应</w:t>
            </w:r>
            <w:r>
              <w:rPr>
                <w:rFonts w:ascii="宋体" w:hAnsi="宋体" w:cs="宋体" w:eastAsia="宋体" w:hint="default"/>
                <w:spacing w:val="-50"/>
                <w:sz w:val="21"/>
                <w:szCs w:val="21"/>
              </w:rPr>
              <w:t> </w:t>
            </w:r>
            <w:r>
              <w:rPr>
                <w:rFonts w:ascii="宋体" w:hAnsi="宋体" w:cs="宋体" w:eastAsia="宋体" w:hint="default"/>
                <w:sz w:val="21"/>
                <w:szCs w:val="21"/>
              </w:rPr>
              <w:t>用</w:t>
            </w:r>
            <w:r>
              <w:rPr>
                <w:rFonts w:ascii="宋体" w:hAnsi="宋体" w:cs="宋体" w:eastAsia="宋体" w:hint="default"/>
                <w:spacing w:val="-49"/>
                <w:sz w:val="21"/>
                <w:szCs w:val="21"/>
              </w:rPr>
              <w:t> </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需</w:t>
            </w:r>
            <w:r>
              <w:rPr>
                <w:rFonts w:ascii="宋体" w:hAnsi="宋体" w:cs="宋体" w:eastAsia="宋体" w:hint="default"/>
                <w:sz w:val="21"/>
                <w:szCs w:val="21"/>
              </w:rPr>
              <w:t> </w:t>
            </w:r>
            <w:r>
              <w:rPr>
                <w:rFonts w:ascii="宋体" w:hAnsi="宋体" w:cs="宋体" w:eastAsia="宋体" w:hint="default"/>
                <w:spacing w:val="8"/>
                <w:sz w:val="21"/>
                <w:szCs w:val="21"/>
              </w:rPr>
              <w:t>要，项目在原有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需求的基础上增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加长期在线监测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的功能，目前已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经完成了新需求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框架下的方案研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究及制定，并根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据新方案展开项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目</w:t>
            </w:r>
            <w:r>
              <w:rPr>
                <w:rFonts w:ascii="宋体" w:hAnsi="宋体" w:cs="宋体" w:eastAsia="宋体" w:hint="default"/>
                <w:spacing w:val="-50"/>
                <w:sz w:val="21"/>
                <w:szCs w:val="21"/>
              </w:rPr>
              <w:t> </w:t>
            </w:r>
            <w:r>
              <w:rPr>
                <w:rFonts w:ascii="宋体" w:hAnsi="宋体" w:cs="宋体" w:eastAsia="宋体" w:hint="default"/>
                <w:sz w:val="21"/>
                <w:szCs w:val="21"/>
              </w:rPr>
              <w:t>主</w:t>
            </w:r>
            <w:r>
              <w:rPr>
                <w:rFonts w:ascii="宋体" w:hAnsi="宋体" w:cs="宋体" w:eastAsia="宋体" w:hint="default"/>
                <w:spacing w:val="-50"/>
                <w:sz w:val="21"/>
                <w:szCs w:val="21"/>
              </w:rPr>
              <w:t> </w:t>
            </w:r>
            <w:r>
              <w:rPr>
                <w:rFonts w:ascii="宋体" w:hAnsi="宋体" w:cs="宋体" w:eastAsia="宋体" w:hint="default"/>
                <w:sz w:val="21"/>
                <w:szCs w:val="21"/>
              </w:rPr>
              <w:t>要</w:t>
            </w:r>
            <w:r>
              <w:rPr>
                <w:rFonts w:ascii="宋体" w:hAnsi="宋体" w:cs="宋体" w:eastAsia="宋体" w:hint="default"/>
                <w:spacing w:val="-50"/>
                <w:sz w:val="21"/>
                <w:szCs w:val="21"/>
              </w:rPr>
              <w:t> </w:t>
            </w:r>
            <w:r>
              <w:rPr>
                <w:rFonts w:ascii="宋体" w:hAnsi="宋体" w:cs="宋体" w:eastAsia="宋体" w:hint="default"/>
                <w:sz w:val="21"/>
                <w:szCs w:val="21"/>
              </w:rPr>
              <w:t>器</w:t>
            </w:r>
            <w:r>
              <w:rPr>
                <w:rFonts w:ascii="宋体" w:hAnsi="宋体" w:cs="宋体" w:eastAsia="宋体" w:hint="default"/>
                <w:spacing w:val="-49"/>
                <w:sz w:val="21"/>
                <w:szCs w:val="21"/>
              </w:rPr>
              <w:t> </w:t>
            </w:r>
            <w:r>
              <w:rPr>
                <w:rFonts w:ascii="宋体" w:hAnsi="宋体" w:cs="宋体" w:eastAsia="宋体" w:hint="default"/>
                <w:sz w:val="21"/>
                <w:szCs w:val="21"/>
              </w:rPr>
              <w:t>件</w:t>
            </w:r>
            <w:r>
              <w:rPr>
                <w:rFonts w:ascii="宋体" w:hAnsi="宋体" w:cs="宋体" w:eastAsia="宋体" w:hint="default"/>
                <w:spacing w:val="-50"/>
                <w:sz w:val="21"/>
                <w:szCs w:val="21"/>
              </w:rPr>
              <w:t> </w:t>
            </w:r>
            <w:r>
              <w:rPr>
                <w:rFonts w:ascii="宋体" w:hAnsi="宋体" w:cs="宋体" w:eastAsia="宋体" w:hint="default"/>
                <w:sz w:val="21"/>
                <w:szCs w:val="21"/>
              </w:rPr>
              <w:t>选</w:t>
            </w:r>
            <w:r>
              <w:rPr>
                <w:rFonts w:ascii="宋体" w:hAnsi="宋体" w:cs="宋体" w:eastAsia="宋体" w:hint="default"/>
                <w:sz w:val="21"/>
                <w:szCs w:val="21"/>
              </w:rPr>
              <w:t> </w:t>
            </w:r>
            <w:r>
              <w:rPr>
                <w:rFonts w:ascii="宋体" w:hAnsi="宋体" w:cs="宋体" w:eastAsia="宋体" w:hint="default"/>
                <w:spacing w:val="8"/>
                <w:sz w:val="21"/>
                <w:szCs w:val="21"/>
              </w:rPr>
              <w:t>型、软件系统开</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完成项目检测技术 研究、系统功能调 研；完成项目新增 功能需求方案讨论 及制定；项目在新 需求方案框架下进 入硬软系统设计开 发阶段。</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both"/>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pacing w:val="-78"/>
                <w:sz w:val="21"/>
                <w:szCs w:val="21"/>
              </w:rPr>
              <w:t> </w:t>
            </w:r>
            <w:r>
              <w:rPr>
                <w:rFonts w:ascii="宋体" w:hAnsi="宋体" w:cs="宋体" w:eastAsia="宋体" w:hint="default"/>
                <w:sz w:val="21"/>
                <w:szCs w:val="21"/>
              </w:rPr>
              <w:t>前</w:t>
            </w:r>
            <w:r>
              <w:rPr>
                <w:rFonts w:ascii="宋体" w:hAnsi="宋体" w:cs="宋体" w:eastAsia="宋体" w:hint="default"/>
                <w:spacing w:val="-79"/>
                <w:sz w:val="21"/>
                <w:szCs w:val="21"/>
              </w:rPr>
              <w:t> </w:t>
            </w:r>
            <w:r>
              <w:rPr>
                <w:rFonts w:ascii="宋体" w:hAnsi="宋体" w:cs="宋体" w:eastAsia="宋体" w:hint="default"/>
                <w:sz w:val="21"/>
                <w:szCs w:val="21"/>
              </w:rPr>
              <w:t>未</w:t>
            </w:r>
            <w:r>
              <w:rPr>
                <w:rFonts w:ascii="宋体" w:hAnsi="宋体" w:cs="宋体" w:eastAsia="宋体" w:hint="default"/>
                <w:spacing w:val="-78"/>
                <w:sz w:val="21"/>
                <w:szCs w:val="21"/>
              </w:rPr>
              <w:t> </w:t>
            </w:r>
            <w:r>
              <w:rPr>
                <w:rFonts w:ascii="宋体" w:hAnsi="宋体" w:cs="宋体" w:eastAsia="宋体" w:hint="default"/>
                <w:sz w:val="21"/>
                <w:szCs w:val="21"/>
              </w:rPr>
              <w:t>见</w:t>
            </w:r>
            <w:r>
              <w:rPr>
                <w:rFonts w:ascii="宋体" w:hAnsi="宋体" w:cs="宋体" w:eastAsia="宋体" w:hint="default"/>
                <w:spacing w:val="-78"/>
                <w:sz w:val="21"/>
                <w:szCs w:val="21"/>
              </w:rPr>
              <w:t> </w:t>
            </w:r>
            <w:r>
              <w:rPr>
                <w:rFonts w:ascii="宋体" w:hAnsi="宋体" w:cs="宋体" w:eastAsia="宋体" w:hint="default"/>
                <w:spacing w:val="12"/>
                <w:sz w:val="21"/>
                <w:szCs w:val="21"/>
              </w:rPr>
              <w:t>其他</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类</w:t>
            </w:r>
            <w:r>
              <w:rPr>
                <w:rFonts w:ascii="宋体" w:hAnsi="宋体" w:cs="宋体" w:eastAsia="宋体" w:hint="default"/>
                <w:spacing w:val="-78"/>
                <w:sz w:val="21"/>
                <w:szCs w:val="21"/>
              </w:rPr>
              <w:t> </w:t>
            </w:r>
            <w:r>
              <w:rPr>
                <w:rFonts w:ascii="宋体" w:hAnsi="宋体" w:cs="宋体" w:eastAsia="宋体" w:hint="default"/>
                <w:sz w:val="21"/>
                <w:szCs w:val="21"/>
              </w:rPr>
              <w:t>似</w:t>
            </w:r>
            <w:r>
              <w:rPr>
                <w:rFonts w:ascii="宋体" w:hAnsi="宋体" w:cs="宋体" w:eastAsia="宋体" w:hint="default"/>
                <w:spacing w:val="-78"/>
                <w:sz w:val="21"/>
                <w:szCs w:val="21"/>
              </w:rPr>
              <w:t> </w:t>
            </w:r>
            <w:r>
              <w:rPr>
                <w:rFonts w:ascii="宋体" w:hAnsi="宋体" w:cs="宋体" w:eastAsia="宋体" w:hint="default"/>
                <w:spacing w:val="12"/>
                <w:sz w:val="21"/>
                <w:szCs w:val="21"/>
              </w:rPr>
              <w:t>产品</w:t>
            </w:r>
            <w:r>
              <w:rPr>
                <w:rFonts w:ascii="宋体" w:hAnsi="宋体" w:cs="宋体" w:eastAsia="宋体" w:hint="default"/>
                <w:spacing w:val="-79"/>
                <w:sz w:val="21"/>
                <w:szCs w:val="21"/>
              </w:rPr>
              <w:t> </w:t>
            </w:r>
            <w:r>
              <w:rPr>
                <w:rFonts w:ascii="宋体" w:hAnsi="宋体" w:cs="宋体" w:eastAsia="宋体" w:hint="default"/>
                <w:sz w:val="21"/>
                <w:szCs w:val="21"/>
              </w:rPr>
              <w:t>面</w:t>
            </w:r>
            <w:r>
              <w:rPr>
                <w:rFonts w:ascii="宋体" w:hAnsi="宋体" w:cs="宋体" w:eastAsia="宋体" w:hint="default"/>
                <w:sz w:val="21"/>
                <w:szCs w:val="21"/>
              </w:rPr>
              <w:t> </w:t>
            </w:r>
            <w:r>
              <w:rPr>
                <w:rFonts w:ascii="宋体" w:hAnsi="宋体" w:cs="宋体" w:eastAsia="宋体" w:hint="default"/>
                <w:spacing w:val="-7"/>
                <w:sz w:val="21"/>
                <w:szCs w:val="21"/>
              </w:rPr>
              <w:t>世，市场竞争压力</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小，且本项目功能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丰富，操作简单， 数</w:t>
            </w:r>
            <w:r>
              <w:rPr>
                <w:rFonts w:ascii="宋体" w:hAnsi="宋体" w:cs="宋体" w:eastAsia="宋体" w:hint="default"/>
                <w:spacing w:val="-78"/>
                <w:sz w:val="21"/>
                <w:szCs w:val="21"/>
              </w:rPr>
              <w:t> </w:t>
            </w:r>
            <w:r>
              <w:rPr>
                <w:rFonts w:ascii="宋体" w:hAnsi="宋体" w:cs="宋体" w:eastAsia="宋体" w:hint="default"/>
                <w:sz w:val="21"/>
                <w:szCs w:val="21"/>
              </w:rPr>
              <w:t>据</w:t>
            </w:r>
            <w:r>
              <w:rPr>
                <w:rFonts w:ascii="宋体" w:hAnsi="宋体" w:cs="宋体" w:eastAsia="宋体" w:hint="default"/>
                <w:spacing w:val="-79"/>
                <w:sz w:val="21"/>
                <w:szCs w:val="21"/>
              </w:rPr>
              <w:t> </w:t>
            </w:r>
            <w:r>
              <w:rPr>
                <w:rFonts w:ascii="宋体" w:hAnsi="宋体" w:cs="宋体" w:eastAsia="宋体" w:hint="default"/>
                <w:sz w:val="21"/>
                <w:szCs w:val="21"/>
              </w:rPr>
              <w:t>采</w:t>
            </w:r>
            <w:r>
              <w:rPr>
                <w:rFonts w:ascii="宋体" w:hAnsi="宋体" w:cs="宋体" w:eastAsia="宋体" w:hint="default"/>
                <w:spacing w:val="-78"/>
                <w:sz w:val="21"/>
                <w:szCs w:val="21"/>
              </w:rPr>
              <w:t> </w:t>
            </w:r>
            <w:r>
              <w:rPr>
                <w:rFonts w:ascii="宋体" w:hAnsi="宋体" w:cs="宋体" w:eastAsia="宋体" w:hint="default"/>
                <w:sz w:val="21"/>
                <w:szCs w:val="21"/>
              </w:rPr>
              <w:t>集</w:t>
            </w:r>
            <w:r>
              <w:rPr>
                <w:rFonts w:ascii="宋体" w:hAnsi="宋体" w:cs="宋体" w:eastAsia="宋体" w:hint="default"/>
                <w:spacing w:val="-78"/>
                <w:sz w:val="21"/>
                <w:szCs w:val="21"/>
              </w:rPr>
              <w:t> </w:t>
            </w:r>
            <w:r>
              <w:rPr>
                <w:rFonts w:ascii="宋体" w:hAnsi="宋体" w:cs="宋体" w:eastAsia="宋体" w:hint="default"/>
                <w:spacing w:val="12"/>
                <w:sz w:val="21"/>
                <w:szCs w:val="21"/>
              </w:rPr>
              <w:t>及分</w:t>
            </w:r>
            <w:r>
              <w:rPr>
                <w:rFonts w:ascii="宋体" w:hAnsi="宋体" w:cs="宋体" w:eastAsia="宋体" w:hint="default"/>
                <w:spacing w:val="-79"/>
                <w:sz w:val="21"/>
                <w:szCs w:val="21"/>
              </w:rPr>
              <w:t> </w:t>
            </w:r>
            <w:r>
              <w:rPr>
                <w:rFonts w:ascii="宋体" w:hAnsi="宋体" w:cs="宋体" w:eastAsia="宋体" w:hint="default"/>
                <w:sz w:val="21"/>
                <w:szCs w:val="21"/>
              </w:rPr>
              <w:t>析</w:t>
            </w:r>
            <w:r>
              <w:rPr>
                <w:rFonts w:ascii="宋体" w:hAnsi="宋体" w:cs="宋体" w:eastAsia="宋体" w:hint="default"/>
                <w:sz w:val="21"/>
                <w:szCs w:val="21"/>
              </w:rPr>
              <w:t> 完全自动化完成， 同</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pacing w:val="-79"/>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品</w:t>
            </w:r>
            <w:r>
              <w:rPr>
                <w:rFonts w:ascii="宋体" w:hAnsi="宋体" w:cs="宋体" w:eastAsia="宋体" w:hint="default"/>
                <w:spacing w:val="-78"/>
                <w:sz w:val="21"/>
                <w:szCs w:val="21"/>
              </w:rPr>
              <w:t> </w:t>
            </w:r>
            <w:r>
              <w:rPr>
                <w:rFonts w:ascii="宋体" w:hAnsi="宋体" w:cs="宋体" w:eastAsia="宋体" w:hint="default"/>
                <w:spacing w:val="12"/>
                <w:sz w:val="21"/>
                <w:szCs w:val="21"/>
              </w:rPr>
              <w:t>可适</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z w:val="21"/>
                <w:szCs w:val="21"/>
              </w:rPr>
              <w:t> 巡检、重症监测、 在</w:t>
            </w:r>
            <w:r>
              <w:rPr>
                <w:rFonts w:ascii="宋体" w:hAnsi="宋体" w:cs="宋体" w:eastAsia="宋体" w:hint="default"/>
                <w:spacing w:val="-78"/>
                <w:sz w:val="21"/>
                <w:szCs w:val="21"/>
              </w:rPr>
              <w:t> </w:t>
            </w:r>
            <w:r>
              <w:rPr>
                <w:rFonts w:ascii="宋体" w:hAnsi="宋体" w:cs="宋体" w:eastAsia="宋体" w:hint="default"/>
                <w:sz w:val="21"/>
                <w:szCs w:val="21"/>
              </w:rPr>
              <w:t>线</w:t>
            </w:r>
            <w:r>
              <w:rPr>
                <w:rFonts w:ascii="宋体" w:hAnsi="宋体" w:cs="宋体" w:eastAsia="宋体" w:hint="default"/>
                <w:spacing w:val="-79"/>
                <w:sz w:val="21"/>
                <w:szCs w:val="21"/>
              </w:rPr>
              <w:t> </w:t>
            </w:r>
            <w:r>
              <w:rPr>
                <w:rFonts w:ascii="宋体" w:hAnsi="宋体" w:cs="宋体" w:eastAsia="宋体" w:hint="default"/>
                <w:sz w:val="21"/>
                <w:szCs w:val="21"/>
              </w:rPr>
              <w:t>监</w:t>
            </w:r>
            <w:r>
              <w:rPr>
                <w:rFonts w:ascii="宋体" w:hAnsi="宋体" w:cs="宋体" w:eastAsia="宋体" w:hint="default"/>
                <w:spacing w:val="-78"/>
                <w:sz w:val="21"/>
                <w:szCs w:val="21"/>
              </w:rPr>
              <w:t> </w:t>
            </w:r>
            <w:r>
              <w:rPr>
                <w:rFonts w:ascii="宋体" w:hAnsi="宋体" w:cs="宋体" w:eastAsia="宋体" w:hint="default"/>
                <w:sz w:val="21"/>
                <w:szCs w:val="21"/>
              </w:rPr>
              <w:t>测</w:t>
            </w:r>
            <w:r>
              <w:rPr>
                <w:rFonts w:ascii="宋体" w:hAnsi="宋体" w:cs="宋体" w:eastAsia="宋体" w:hint="default"/>
                <w:spacing w:val="-78"/>
                <w:sz w:val="21"/>
                <w:szCs w:val="21"/>
              </w:rPr>
              <w:t> </w:t>
            </w:r>
            <w:r>
              <w:rPr>
                <w:rFonts w:ascii="宋体" w:hAnsi="宋体" w:cs="宋体" w:eastAsia="宋体" w:hint="default"/>
                <w:spacing w:val="12"/>
                <w:sz w:val="21"/>
                <w:szCs w:val="21"/>
              </w:rPr>
              <w:t>等多</w:t>
            </w:r>
            <w:r>
              <w:rPr>
                <w:rFonts w:ascii="宋体" w:hAnsi="宋体" w:cs="宋体" w:eastAsia="宋体" w:hint="default"/>
                <w:spacing w:val="-79"/>
                <w:sz w:val="21"/>
                <w:szCs w:val="21"/>
              </w:rPr>
              <w:t> </w:t>
            </w:r>
            <w:r>
              <w:rPr>
                <w:rFonts w:ascii="宋体" w:hAnsi="宋体" w:cs="宋体" w:eastAsia="宋体" w:hint="default"/>
                <w:sz w:val="21"/>
                <w:szCs w:val="21"/>
              </w:rPr>
              <w:t>种</w:t>
            </w:r>
            <w:r>
              <w:rPr>
                <w:rFonts w:ascii="宋体" w:hAnsi="宋体" w:cs="宋体" w:eastAsia="宋体" w:hint="default"/>
                <w:sz w:val="21"/>
                <w:szCs w:val="21"/>
              </w:rPr>
              <w:t> </w:t>
            </w:r>
            <w:r>
              <w:rPr>
                <w:rFonts w:ascii="宋体" w:hAnsi="宋体" w:cs="宋体" w:eastAsia="宋体" w:hint="default"/>
                <w:spacing w:val="-7"/>
                <w:sz w:val="21"/>
                <w:szCs w:val="21"/>
              </w:rPr>
              <w:t>应用需求，尤其增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z w:val="21"/>
                <w:szCs w:val="21"/>
              </w:rPr>
              <w:t>了</w:t>
            </w:r>
            <w:r>
              <w:rPr>
                <w:rFonts w:ascii="宋体" w:hAnsi="宋体" w:cs="宋体" w:eastAsia="宋体" w:hint="default"/>
                <w:spacing w:val="-79"/>
                <w:sz w:val="21"/>
                <w:szCs w:val="21"/>
              </w:rPr>
              <w:t> </w:t>
            </w:r>
            <w:r>
              <w:rPr>
                <w:rFonts w:ascii="宋体" w:hAnsi="宋体" w:cs="宋体" w:eastAsia="宋体" w:hint="default"/>
                <w:sz w:val="21"/>
                <w:szCs w:val="21"/>
              </w:rPr>
              <w:t>长</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pacing w:val="12"/>
                <w:sz w:val="21"/>
                <w:szCs w:val="21"/>
              </w:rPr>
              <w:t>在线</w:t>
            </w:r>
            <w:r>
              <w:rPr>
                <w:rFonts w:ascii="宋体" w:hAnsi="宋体" w:cs="宋体" w:eastAsia="宋体" w:hint="default"/>
                <w:spacing w:val="-79"/>
                <w:sz w:val="21"/>
                <w:szCs w:val="21"/>
              </w:rPr>
              <w:t> </w:t>
            </w:r>
            <w:r>
              <w:rPr>
                <w:rFonts w:ascii="宋体" w:hAnsi="宋体" w:cs="宋体" w:eastAsia="宋体" w:hint="default"/>
                <w:sz w:val="21"/>
                <w:szCs w:val="21"/>
              </w:rPr>
              <w:t>监</w:t>
            </w:r>
            <w:r>
              <w:rPr>
                <w:rFonts w:ascii="宋体" w:hAnsi="宋体" w:cs="宋体" w:eastAsia="宋体" w:hint="default"/>
                <w:sz w:val="21"/>
                <w:szCs w:val="21"/>
              </w:rPr>
              <w:t> </w:t>
            </w:r>
            <w:r>
              <w:rPr>
                <w:rFonts w:ascii="宋体" w:hAnsi="宋体" w:cs="宋体" w:eastAsia="宋体" w:hint="default"/>
                <w:spacing w:val="-7"/>
                <w:sz w:val="21"/>
                <w:szCs w:val="21"/>
              </w:rPr>
              <w:t>测功能，使得产品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现场适应性更强， 因</w:t>
            </w:r>
            <w:r>
              <w:rPr>
                <w:rFonts w:ascii="宋体" w:hAnsi="宋体" w:cs="宋体" w:eastAsia="宋体" w:hint="default"/>
                <w:spacing w:val="-78"/>
                <w:sz w:val="21"/>
                <w:szCs w:val="21"/>
              </w:rPr>
              <w:t> </w:t>
            </w:r>
            <w:r>
              <w:rPr>
                <w:rFonts w:ascii="宋体" w:hAnsi="宋体" w:cs="宋体" w:eastAsia="宋体" w:hint="default"/>
                <w:sz w:val="21"/>
                <w:szCs w:val="21"/>
              </w:rPr>
              <w:t>此</w:t>
            </w:r>
            <w:r>
              <w:rPr>
                <w:rFonts w:ascii="宋体" w:hAnsi="宋体" w:cs="宋体" w:eastAsia="宋体" w:hint="default"/>
                <w:spacing w:val="-79"/>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pacing w:val="12"/>
                <w:sz w:val="21"/>
                <w:szCs w:val="21"/>
              </w:rPr>
              <w:t>目市</w:t>
            </w:r>
            <w:r>
              <w:rPr>
                <w:rFonts w:ascii="宋体" w:hAnsi="宋体" w:cs="宋体" w:eastAsia="宋体" w:hint="default"/>
                <w:spacing w:val="-79"/>
                <w:sz w:val="21"/>
                <w:szCs w:val="21"/>
              </w:rPr>
              <w:t> </w:t>
            </w:r>
            <w:r>
              <w:rPr>
                <w:rFonts w:ascii="宋体" w:hAnsi="宋体" w:cs="宋体" w:eastAsia="宋体" w:hint="default"/>
                <w:sz w:val="21"/>
                <w:szCs w:val="21"/>
              </w:rPr>
              <w:t>场</w:t>
            </w:r>
            <w:r>
              <w:rPr>
                <w:rFonts w:ascii="宋体" w:hAnsi="宋体" w:cs="宋体" w:eastAsia="宋体" w:hint="default"/>
                <w:sz w:val="21"/>
                <w:szCs w:val="21"/>
              </w:rPr>
              <w:t> 前景较好。</w:t>
            </w:r>
          </w:p>
        </w:tc>
      </w:tr>
    </w:tbl>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386"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发等工作。</w:t>
            </w:r>
          </w:p>
        </w:tc>
        <w:tc>
          <w:tcPr>
            <w:tcW w:w="1701"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156"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both"/>
              <w:rPr>
                <w:rFonts w:ascii="宋体" w:hAnsi="宋体" w:cs="宋体" w:eastAsia="宋体" w:hint="default"/>
                <w:sz w:val="21"/>
                <w:szCs w:val="21"/>
              </w:rPr>
            </w:pPr>
            <w:r>
              <w:rPr>
                <w:rFonts w:ascii="宋体" w:hAnsi="宋体" w:cs="宋体" w:eastAsia="宋体" w:hint="default"/>
                <w:spacing w:val="12"/>
                <w:sz w:val="21"/>
                <w:szCs w:val="21"/>
              </w:rPr>
              <w:t>基于深度学习技 术的干扰抑制及 干扰下电力设备 绝缘故障缺陷分 </w:t>
            </w:r>
            <w:r>
              <w:rPr>
                <w:rFonts w:ascii="宋体" w:hAnsi="宋体" w:cs="宋体" w:eastAsia="宋体" w:hint="default"/>
                <w:sz w:val="21"/>
                <w:szCs w:val="21"/>
              </w:rPr>
              <w:t>离分类技术研究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spacing w:val="17"/>
                <w:sz w:val="21"/>
                <w:szCs w:val="21"/>
              </w:rPr>
              <w:t>针对现场干扰对电</w:t>
            </w:r>
            <w:r>
              <w:rPr>
                <w:rFonts w:ascii="宋体" w:hAnsi="宋体" w:cs="宋体" w:eastAsia="宋体" w:hint="default"/>
                <w:spacing w:val="-101"/>
                <w:sz w:val="21"/>
                <w:szCs w:val="21"/>
              </w:rPr>
              <w:t> </w:t>
            </w:r>
            <w:r>
              <w:rPr>
                <w:rFonts w:ascii="宋体" w:hAnsi="宋体" w:cs="宋体" w:eastAsia="宋体" w:hint="default"/>
                <w:spacing w:val="17"/>
                <w:sz w:val="21"/>
                <w:szCs w:val="21"/>
              </w:rPr>
              <w:t>力设备绝缘故障缺</w:t>
            </w:r>
            <w:r>
              <w:rPr>
                <w:rFonts w:ascii="宋体" w:hAnsi="宋体" w:cs="宋体" w:eastAsia="宋体" w:hint="default"/>
                <w:spacing w:val="-101"/>
                <w:sz w:val="21"/>
                <w:szCs w:val="21"/>
              </w:rPr>
              <w:t> </w:t>
            </w:r>
            <w:r>
              <w:rPr>
                <w:rFonts w:ascii="宋体" w:hAnsi="宋体" w:cs="宋体" w:eastAsia="宋体" w:hint="default"/>
                <w:spacing w:val="-6"/>
                <w:sz w:val="21"/>
                <w:szCs w:val="21"/>
              </w:rPr>
              <w:t>陷分析分类的影响，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7"/>
                <w:sz w:val="21"/>
                <w:szCs w:val="21"/>
              </w:rPr>
              <w:t>有针对性的进行研</w:t>
            </w:r>
            <w:r>
              <w:rPr>
                <w:rFonts w:ascii="宋体" w:hAnsi="宋体" w:cs="宋体" w:eastAsia="宋体" w:hint="default"/>
                <w:spacing w:val="-101"/>
                <w:sz w:val="21"/>
                <w:szCs w:val="21"/>
              </w:rPr>
              <w:t> </w:t>
            </w:r>
            <w:r>
              <w:rPr>
                <w:rFonts w:ascii="宋体" w:hAnsi="宋体" w:cs="宋体" w:eastAsia="宋体" w:hint="default"/>
                <w:spacing w:val="17"/>
                <w:sz w:val="21"/>
                <w:szCs w:val="21"/>
              </w:rPr>
              <w:t>究相应的噪声抑制</w:t>
            </w:r>
            <w:r>
              <w:rPr>
                <w:rFonts w:ascii="宋体" w:hAnsi="宋体" w:cs="宋体" w:eastAsia="宋体" w:hint="default"/>
                <w:spacing w:val="-101"/>
                <w:sz w:val="21"/>
                <w:szCs w:val="21"/>
              </w:rPr>
              <w:t> </w:t>
            </w:r>
            <w:r>
              <w:rPr>
                <w:rFonts w:ascii="宋体" w:hAnsi="宋体" w:cs="宋体" w:eastAsia="宋体" w:hint="default"/>
                <w:spacing w:val="17"/>
                <w:sz w:val="21"/>
                <w:szCs w:val="21"/>
              </w:rPr>
              <w:t>及从噪声中分离识</w:t>
            </w:r>
            <w:r>
              <w:rPr>
                <w:rFonts w:ascii="宋体" w:hAnsi="宋体" w:cs="宋体" w:eastAsia="宋体" w:hint="default"/>
                <w:spacing w:val="-101"/>
                <w:sz w:val="21"/>
                <w:szCs w:val="21"/>
              </w:rPr>
              <w:t> </w:t>
            </w:r>
            <w:r>
              <w:rPr>
                <w:rFonts w:ascii="宋体" w:hAnsi="宋体" w:cs="宋体" w:eastAsia="宋体" w:hint="default"/>
                <w:spacing w:val="-8"/>
                <w:sz w:val="21"/>
                <w:szCs w:val="21"/>
              </w:rPr>
              <w:t>别缺陷的技术，进一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步加强和提升我司</w:t>
            </w:r>
            <w:r>
              <w:rPr>
                <w:rFonts w:ascii="宋体" w:hAnsi="宋体" w:cs="宋体" w:eastAsia="宋体" w:hint="default"/>
                <w:spacing w:val="-101"/>
                <w:sz w:val="21"/>
                <w:szCs w:val="21"/>
              </w:rPr>
              <w:t> </w:t>
            </w:r>
            <w:r>
              <w:rPr>
                <w:rFonts w:ascii="宋体" w:hAnsi="宋体" w:cs="宋体" w:eastAsia="宋体" w:hint="default"/>
                <w:spacing w:val="17"/>
                <w:sz w:val="21"/>
                <w:szCs w:val="21"/>
              </w:rPr>
              <w:t>产品的性能和现场</w:t>
            </w:r>
            <w:r>
              <w:rPr>
                <w:rFonts w:ascii="宋体" w:hAnsi="宋体" w:cs="宋体" w:eastAsia="宋体" w:hint="default"/>
                <w:spacing w:val="-101"/>
                <w:sz w:val="21"/>
                <w:szCs w:val="21"/>
              </w:rPr>
              <w:t> </w:t>
            </w:r>
            <w:r>
              <w:rPr>
                <w:rFonts w:ascii="宋体" w:hAnsi="宋体" w:cs="宋体" w:eastAsia="宋体" w:hint="default"/>
                <w:sz w:val="21"/>
                <w:szCs w:val="21"/>
              </w:rPr>
              <w:t>应用能力。</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8"/>
                <w:sz w:val="21"/>
                <w:szCs w:val="21"/>
              </w:rPr>
              <w:t>目前完成了弱噪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声背景下不同应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用场景的缺陷识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别技术研究，并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提供了测试样本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进行测试。</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为我司设备提供性 能更优的，可应用 于现场的噪声抑制 及缺陷识别技术。</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升</w:t>
            </w:r>
            <w:r>
              <w:rPr>
                <w:rFonts w:ascii="宋体" w:hAnsi="宋体" w:cs="宋体" w:eastAsia="宋体" w:hint="default"/>
                <w:spacing w:val="-79"/>
                <w:sz w:val="21"/>
                <w:szCs w:val="21"/>
              </w:rPr>
              <w:t> </w:t>
            </w:r>
            <w:r>
              <w:rPr>
                <w:rFonts w:ascii="宋体" w:hAnsi="宋体" w:cs="宋体" w:eastAsia="宋体" w:hint="default"/>
                <w:sz w:val="21"/>
                <w:szCs w:val="21"/>
              </w:rPr>
              <w:t>我</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产品</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z w:val="21"/>
                <w:szCs w:val="21"/>
              </w:rPr>
              <w:t> 性</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及</w:t>
            </w:r>
            <w:r>
              <w:rPr>
                <w:rFonts w:ascii="宋体" w:hAnsi="宋体" w:cs="宋体" w:eastAsia="宋体" w:hint="default"/>
                <w:spacing w:val="-78"/>
                <w:sz w:val="21"/>
                <w:szCs w:val="21"/>
              </w:rPr>
              <w:t> </w:t>
            </w:r>
            <w:r>
              <w:rPr>
                <w:rFonts w:ascii="宋体" w:hAnsi="宋体" w:cs="宋体" w:eastAsia="宋体" w:hint="default"/>
                <w:sz w:val="21"/>
                <w:szCs w:val="21"/>
              </w:rPr>
              <w:t>改</w:t>
            </w:r>
            <w:r>
              <w:rPr>
                <w:rFonts w:ascii="宋体" w:hAnsi="宋体" w:cs="宋体" w:eastAsia="宋体" w:hint="default"/>
                <w:spacing w:val="-78"/>
                <w:sz w:val="21"/>
                <w:szCs w:val="21"/>
              </w:rPr>
              <w:t> </w:t>
            </w:r>
            <w:r>
              <w:rPr>
                <w:rFonts w:ascii="宋体" w:hAnsi="宋体" w:cs="宋体" w:eastAsia="宋体" w:hint="default"/>
                <w:spacing w:val="12"/>
                <w:sz w:val="21"/>
                <w:szCs w:val="21"/>
              </w:rPr>
              <w:t>善提</w:t>
            </w:r>
            <w:r>
              <w:rPr>
                <w:rFonts w:ascii="宋体" w:hAnsi="宋体" w:cs="宋体" w:eastAsia="宋体" w:hint="default"/>
                <w:spacing w:val="-79"/>
                <w:sz w:val="21"/>
                <w:szCs w:val="21"/>
              </w:rPr>
              <w:t> </w:t>
            </w:r>
            <w:r>
              <w:rPr>
                <w:rFonts w:ascii="宋体" w:hAnsi="宋体" w:cs="宋体" w:eastAsia="宋体" w:hint="default"/>
                <w:sz w:val="21"/>
                <w:szCs w:val="21"/>
              </w:rPr>
              <w:t>高</w:t>
            </w:r>
            <w:r>
              <w:rPr>
                <w:rFonts w:ascii="宋体" w:hAnsi="宋体" w:cs="宋体" w:eastAsia="宋体" w:hint="default"/>
                <w:sz w:val="21"/>
                <w:szCs w:val="21"/>
              </w:rPr>
              <w:t> 现场的应用效果， 加</w:t>
            </w:r>
            <w:r>
              <w:rPr>
                <w:rFonts w:ascii="宋体" w:hAnsi="宋体" w:cs="宋体" w:eastAsia="宋体" w:hint="default"/>
                <w:spacing w:val="-78"/>
                <w:sz w:val="21"/>
                <w:szCs w:val="21"/>
              </w:rPr>
              <w:t> </w:t>
            </w:r>
            <w:r>
              <w:rPr>
                <w:rFonts w:ascii="宋体" w:hAnsi="宋体" w:cs="宋体" w:eastAsia="宋体" w:hint="default"/>
                <w:sz w:val="21"/>
                <w:szCs w:val="21"/>
              </w:rPr>
              <w:t>强</w:t>
            </w:r>
            <w:r>
              <w:rPr>
                <w:rFonts w:ascii="宋体" w:hAnsi="宋体" w:cs="宋体" w:eastAsia="宋体" w:hint="default"/>
                <w:spacing w:val="-79"/>
                <w:sz w:val="21"/>
                <w:szCs w:val="21"/>
              </w:rPr>
              <w:t> </w:t>
            </w:r>
            <w:r>
              <w:rPr>
                <w:rFonts w:ascii="宋体" w:hAnsi="宋体" w:cs="宋体" w:eastAsia="宋体" w:hint="default"/>
                <w:sz w:val="21"/>
                <w:szCs w:val="21"/>
              </w:rPr>
              <w:t>我</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产品</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z w:val="21"/>
                <w:szCs w:val="21"/>
              </w:rPr>
              <w:t> 竞争力。</w:t>
            </w:r>
          </w:p>
        </w:tc>
      </w:tr>
      <w:tr>
        <w:trPr>
          <w:trHeight w:val="2843"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9"/>
              <w:jc w:val="both"/>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装</w:t>
            </w:r>
            <w:r>
              <w:rPr>
                <w:rFonts w:ascii="宋体" w:hAnsi="宋体" w:cs="宋体" w:eastAsia="宋体" w:hint="default"/>
                <w:spacing w:val="-75"/>
                <w:sz w:val="21"/>
                <w:szCs w:val="21"/>
              </w:rPr>
              <w:t> </w:t>
            </w:r>
            <w:r>
              <w:rPr>
                <w:rFonts w:ascii="宋体" w:hAnsi="宋体" w:cs="宋体" w:eastAsia="宋体" w:hint="default"/>
                <w:sz w:val="21"/>
                <w:szCs w:val="21"/>
              </w:rPr>
              <w:t>置</w:t>
            </w:r>
            <w:r>
              <w:rPr>
                <w:rFonts w:ascii="宋体" w:hAnsi="宋体" w:cs="宋体" w:eastAsia="宋体" w:hint="default"/>
                <w:spacing w:val="-75"/>
                <w:sz w:val="21"/>
                <w:szCs w:val="21"/>
              </w:rPr>
              <w:t> </w:t>
            </w:r>
            <w:r>
              <w:rPr>
                <w:rFonts w:ascii="宋体" w:hAnsi="宋体" w:cs="宋体" w:eastAsia="宋体" w:hint="default"/>
                <w:sz w:val="21"/>
                <w:szCs w:val="21"/>
              </w:rPr>
              <w:t>机</w:t>
            </w:r>
            <w:r>
              <w:rPr>
                <w:rFonts w:ascii="宋体" w:hAnsi="宋体" w:cs="宋体" w:eastAsia="宋体" w:hint="default"/>
                <w:spacing w:val="-77"/>
                <w:sz w:val="21"/>
                <w:szCs w:val="21"/>
              </w:rPr>
              <w:t> </w:t>
            </w:r>
            <w:r>
              <w:rPr>
                <w:rFonts w:ascii="宋体" w:hAnsi="宋体" w:cs="宋体" w:eastAsia="宋体" w:hint="default"/>
                <w:sz w:val="21"/>
                <w:szCs w:val="21"/>
              </w:rPr>
              <w:t>械</w:t>
            </w:r>
            <w:r>
              <w:rPr>
                <w:rFonts w:ascii="宋体" w:hAnsi="宋体" w:cs="宋体" w:eastAsia="宋体" w:hint="default"/>
                <w:spacing w:val="-75"/>
                <w:sz w:val="21"/>
                <w:szCs w:val="21"/>
              </w:rPr>
              <w:t> </w:t>
            </w:r>
            <w:r>
              <w:rPr>
                <w:rFonts w:ascii="宋体" w:hAnsi="宋体" w:cs="宋体" w:eastAsia="宋体" w:hint="default"/>
                <w:sz w:val="21"/>
                <w:szCs w:val="21"/>
              </w:rPr>
              <w:t>状</w:t>
            </w:r>
            <w:r>
              <w:rPr>
                <w:rFonts w:ascii="宋体" w:hAnsi="宋体" w:cs="宋体" w:eastAsia="宋体" w:hint="default"/>
                <w:sz w:val="21"/>
                <w:szCs w:val="21"/>
              </w:rPr>
              <w:t> </w:t>
            </w:r>
            <w:r>
              <w:rPr>
                <w:rFonts w:ascii="宋体" w:hAnsi="宋体" w:cs="宋体" w:eastAsia="宋体" w:hint="default"/>
                <w:spacing w:val="12"/>
                <w:sz w:val="21"/>
                <w:szCs w:val="21"/>
              </w:rPr>
              <w:t>态机理仿真及故</w:t>
            </w:r>
            <w:r>
              <w:rPr>
                <w:rFonts w:ascii="宋体" w:hAnsi="宋体" w:cs="宋体" w:eastAsia="宋体" w:hint="default"/>
                <w:spacing w:val="12"/>
                <w:sz w:val="21"/>
                <w:szCs w:val="21"/>
              </w:rPr>
              <w:t> 障诊断关键技术 </w:t>
            </w:r>
            <w:r>
              <w:rPr>
                <w:rFonts w:ascii="宋体" w:hAnsi="宋体" w:cs="宋体" w:eastAsia="宋体" w:hint="default"/>
                <w:sz w:val="21"/>
                <w:szCs w:val="21"/>
              </w:rPr>
              <w:t>研究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7"/>
              <w:jc w:val="both"/>
              <w:rPr>
                <w:rFonts w:ascii="宋体" w:hAnsi="宋体" w:cs="宋体" w:eastAsia="宋体" w:hint="default"/>
                <w:sz w:val="21"/>
                <w:szCs w:val="21"/>
              </w:rPr>
            </w:pPr>
            <w:r>
              <w:rPr>
                <w:rFonts w:ascii="宋体" w:hAnsi="宋体" w:cs="宋体" w:eastAsia="宋体" w:hint="default"/>
                <w:sz w:val="21"/>
                <w:szCs w:val="21"/>
              </w:rPr>
              <w:t>针对目前</w:t>
            </w:r>
            <w:r>
              <w:rPr>
                <w:rFonts w:ascii="Times New Roman" w:hAnsi="Times New Roman" w:cs="Times New Roman" w:eastAsia="Times New Roman" w:hint="default"/>
                <w:sz w:val="21"/>
                <w:szCs w:val="21"/>
              </w:rPr>
              <w:t>GIS</w:t>
            </w:r>
            <w:r>
              <w:rPr>
                <w:rFonts w:ascii="宋体" w:hAnsi="宋体" w:cs="宋体" w:eastAsia="宋体" w:hint="default"/>
                <w:sz w:val="21"/>
                <w:szCs w:val="21"/>
              </w:rPr>
              <w:t>机械故</w:t>
            </w:r>
            <w:r>
              <w:rPr>
                <w:rFonts w:ascii="宋体" w:hAnsi="宋体" w:cs="宋体" w:eastAsia="宋体" w:hint="default"/>
                <w:spacing w:val="-92"/>
                <w:sz w:val="21"/>
                <w:szCs w:val="21"/>
              </w:rPr>
              <w:t> </w:t>
            </w:r>
            <w:r>
              <w:rPr>
                <w:rFonts w:ascii="宋体" w:hAnsi="宋体" w:cs="宋体" w:eastAsia="宋体" w:hint="default"/>
                <w:spacing w:val="-8"/>
                <w:sz w:val="21"/>
                <w:szCs w:val="21"/>
              </w:rPr>
              <w:t>障无设备可测、无智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6"/>
                <w:sz w:val="21"/>
                <w:szCs w:val="21"/>
              </w:rPr>
              <w:t>能诊断可用的问题，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通过研究</w:t>
            </w:r>
            <w:r>
              <w:rPr>
                <w:rFonts w:ascii="Times New Roman" w:hAnsi="Times New Roman" w:cs="Times New Roman" w:eastAsia="Times New Roman" w:hint="default"/>
                <w:sz w:val="21"/>
                <w:szCs w:val="21"/>
              </w:rPr>
              <w:t>GIS</w:t>
            </w:r>
            <w:r>
              <w:rPr>
                <w:rFonts w:ascii="宋体" w:hAnsi="宋体" w:cs="宋体" w:eastAsia="宋体" w:hint="default"/>
                <w:sz w:val="21"/>
                <w:szCs w:val="21"/>
              </w:rPr>
              <w:t>的机械</w:t>
            </w:r>
            <w:r>
              <w:rPr>
                <w:rFonts w:ascii="宋体" w:hAnsi="宋体" w:cs="宋体" w:eastAsia="宋体" w:hint="default"/>
                <w:spacing w:val="-92"/>
                <w:sz w:val="21"/>
                <w:szCs w:val="21"/>
              </w:rPr>
              <w:t> </w:t>
            </w:r>
            <w:r>
              <w:rPr>
                <w:rFonts w:ascii="宋体" w:hAnsi="宋体" w:cs="宋体" w:eastAsia="宋体" w:hint="default"/>
                <w:spacing w:val="17"/>
                <w:sz w:val="21"/>
                <w:szCs w:val="21"/>
              </w:rPr>
              <w:t>状态为我司开发相</w:t>
            </w:r>
            <w:r>
              <w:rPr>
                <w:rFonts w:ascii="宋体" w:hAnsi="宋体" w:cs="宋体" w:eastAsia="宋体" w:hint="default"/>
                <w:spacing w:val="-101"/>
                <w:sz w:val="21"/>
                <w:szCs w:val="21"/>
              </w:rPr>
              <w:t> </w:t>
            </w:r>
            <w:r>
              <w:rPr>
                <w:rFonts w:ascii="宋体" w:hAnsi="宋体" w:cs="宋体" w:eastAsia="宋体" w:hint="default"/>
                <w:spacing w:val="-8"/>
                <w:sz w:val="21"/>
                <w:szCs w:val="21"/>
              </w:rPr>
              <w:t>关设备，为电网公司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提供相应的检测手</w:t>
            </w:r>
            <w:r>
              <w:rPr>
                <w:rFonts w:ascii="宋体" w:hAnsi="宋体" w:cs="宋体" w:eastAsia="宋体" w:hint="default"/>
                <w:spacing w:val="-101"/>
                <w:sz w:val="21"/>
                <w:szCs w:val="21"/>
              </w:rPr>
              <w:t> </w:t>
            </w:r>
            <w:r>
              <w:rPr>
                <w:rFonts w:ascii="宋体" w:hAnsi="宋体" w:cs="宋体" w:eastAsia="宋体" w:hint="default"/>
                <w:spacing w:val="17"/>
                <w:sz w:val="21"/>
                <w:szCs w:val="21"/>
              </w:rPr>
              <w:t>段提供理论和技术</w:t>
            </w:r>
            <w:r>
              <w:rPr>
                <w:rFonts w:ascii="宋体" w:hAnsi="宋体" w:cs="宋体" w:eastAsia="宋体" w:hint="default"/>
                <w:spacing w:val="-101"/>
                <w:sz w:val="21"/>
                <w:szCs w:val="21"/>
              </w:rPr>
              <w:t> </w:t>
            </w:r>
            <w:r>
              <w:rPr>
                <w:rFonts w:ascii="宋体" w:hAnsi="宋体" w:cs="宋体" w:eastAsia="宋体" w:hint="default"/>
                <w:sz w:val="21"/>
                <w:szCs w:val="21"/>
              </w:rPr>
              <w:t>支持。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8"/>
                <w:sz w:val="21"/>
                <w:szCs w:val="21"/>
              </w:rPr>
              <w:t>目前已经完成了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机械状态机理仿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真研究，并初步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进行了机械状态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信号的特征提取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和故障诊断技术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的研究。</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9"/>
              <w:jc w:val="both"/>
              <w:rPr>
                <w:rFonts w:ascii="宋体" w:hAnsi="宋体" w:cs="宋体" w:eastAsia="宋体" w:hint="default"/>
                <w:sz w:val="21"/>
                <w:szCs w:val="21"/>
              </w:rPr>
            </w:pPr>
            <w:r>
              <w:rPr>
                <w:rFonts w:ascii="宋体" w:hAnsi="宋体" w:cs="宋体" w:eastAsia="宋体" w:hint="default"/>
                <w:sz w:val="21"/>
                <w:szCs w:val="21"/>
              </w:rPr>
              <w:t>提供理论和技术支 </w:t>
            </w:r>
            <w:r>
              <w:rPr>
                <w:rFonts w:ascii="宋体" w:hAnsi="宋体" w:cs="宋体" w:eastAsia="宋体" w:hint="default"/>
                <w:spacing w:val="10"/>
                <w:sz w:val="21"/>
                <w:szCs w:val="21"/>
              </w:rPr>
              <w:t>持，指导</w:t>
            </w:r>
            <w:r>
              <w:rPr>
                <w:rFonts w:ascii="Times New Roman" w:hAnsi="Times New Roman" w:cs="Times New Roman" w:eastAsia="Times New Roman" w:hint="default"/>
                <w:spacing w:val="10"/>
                <w:sz w:val="21"/>
                <w:szCs w:val="21"/>
              </w:rPr>
              <w:t>GIS</w:t>
            </w:r>
            <w:r>
              <w:rPr>
                <w:rFonts w:ascii="宋体" w:hAnsi="宋体" w:cs="宋体" w:eastAsia="宋体" w:hint="default"/>
                <w:spacing w:val="10"/>
                <w:sz w:val="21"/>
                <w:szCs w:val="21"/>
              </w:rPr>
              <w:t>机械</w:t>
            </w:r>
            <w:r>
              <w:rPr>
                <w:rFonts w:ascii="宋体" w:hAnsi="宋体" w:cs="宋体" w:eastAsia="宋体" w:hint="default"/>
                <w:spacing w:val="13"/>
                <w:sz w:val="21"/>
                <w:szCs w:val="21"/>
              </w:rPr>
              <w:t> </w:t>
            </w:r>
            <w:r>
              <w:rPr>
                <w:rFonts w:ascii="宋体" w:hAnsi="宋体" w:cs="宋体" w:eastAsia="宋体" w:hint="default"/>
                <w:sz w:val="21"/>
                <w:szCs w:val="21"/>
              </w:rPr>
              <w:t>故障检测及诊断装</w:t>
            </w:r>
            <w:r>
              <w:rPr>
                <w:rFonts w:ascii="宋体" w:hAnsi="宋体" w:cs="宋体" w:eastAsia="宋体" w:hint="default"/>
                <w:sz w:val="21"/>
                <w:szCs w:val="21"/>
              </w:rPr>
              <w:t> 置的开发和应用。</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8"/>
                <w:sz w:val="21"/>
                <w:szCs w:val="21"/>
              </w:rPr>
              <w:t> </w:t>
            </w:r>
            <w:r>
              <w:rPr>
                <w:rFonts w:ascii="宋体" w:hAnsi="宋体" w:cs="宋体" w:eastAsia="宋体" w:hint="default"/>
                <w:sz w:val="21"/>
                <w:szCs w:val="21"/>
              </w:rPr>
              <w:t>我</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绝</w:t>
            </w:r>
            <w:r>
              <w:rPr>
                <w:rFonts w:ascii="宋体" w:hAnsi="宋体" w:cs="宋体" w:eastAsia="宋体" w:hint="default"/>
                <w:spacing w:val="-78"/>
                <w:sz w:val="21"/>
                <w:szCs w:val="21"/>
              </w:rPr>
              <w:t> </w:t>
            </w:r>
            <w:r>
              <w:rPr>
                <w:rFonts w:ascii="宋体" w:hAnsi="宋体" w:cs="宋体" w:eastAsia="宋体" w:hint="default"/>
                <w:spacing w:val="12"/>
                <w:sz w:val="21"/>
                <w:szCs w:val="21"/>
              </w:rPr>
              <w:t>缘故</w:t>
            </w:r>
            <w:r>
              <w:rPr>
                <w:rFonts w:ascii="宋体" w:hAnsi="宋体" w:cs="宋体" w:eastAsia="宋体" w:hint="default"/>
                <w:spacing w:val="-79"/>
                <w:sz w:val="21"/>
                <w:szCs w:val="21"/>
              </w:rPr>
              <w:t> </w:t>
            </w:r>
            <w:r>
              <w:rPr>
                <w:rFonts w:ascii="宋体" w:hAnsi="宋体" w:cs="宋体" w:eastAsia="宋体" w:hint="default"/>
                <w:sz w:val="21"/>
                <w:szCs w:val="21"/>
              </w:rPr>
              <w:t>障</w:t>
            </w:r>
            <w:r>
              <w:rPr>
                <w:rFonts w:ascii="宋体" w:hAnsi="宋体" w:cs="宋体" w:eastAsia="宋体" w:hint="default"/>
                <w:sz w:val="21"/>
                <w:szCs w:val="21"/>
              </w:rPr>
              <w:t> 检</w:t>
            </w:r>
            <w:r>
              <w:rPr>
                <w:rFonts w:ascii="宋体" w:hAnsi="宋体" w:cs="宋体" w:eastAsia="宋体" w:hint="default"/>
                <w:spacing w:val="-78"/>
                <w:sz w:val="21"/>
                <w:szCs w:val="21"/>
              </w:rPr>
              <w:t> </w:t>
            </w:r>
            <w:r>
              <w:rPr>
                <w:rFonts w:ascii="宋体" w:hAnsi="宋体" w:cs="宋体" w:eastAsia="宋体" w:hint="default"/>
                <w:sz w:val="21"/>
                <w:szCs w:val="21"/>
              </w:rPr>
              <w:t>测</w:t>
            </w:r>
            <w:r>
              <w:rPr>
                <w:rFonts w:ascii="宋体" w:hAnsi="宋体" w:cs="宋体" w:eastAsia="宋体" w:hint="default"/>
                <w:spacing w:val="-79"/>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品</w:t>
            </w:r>
            <w:r>
              <w:rPr>
                <w:rFonts w:ascii="宋体" w:hAnsi="宋体" w:cs="宋体" w:eastAsia="宋体" w:hint="default"/>
                <w:spacing w:val="-78"/>
                <w:sz w:val="21"/>
                <w:szCs w:val="21"/>
              </w:rPr>
              <w:t> </w:t>
            </w:r>
            <w:r>
              <w:rPr>
                <w:rFonts w:ascii="宋体" w:hAnsi="宋体" w:cs="宋体" w:eastAsia="宋体" w:hint="default"/>
                <w:spacing w:val="12"/>
                <w:sz w:val="21"/>
                <w:szCs w:val="21"/>
              </w:rPr>
              <w:t>线的</w:t>
            </w:r>
            <w:r>
              <w:rPr>
                <w:rFonts w:ascii="宋体" w:hAnsi="宋体" w:cs="宋体" w:eastAsia="宋体" w:hint="default"/>
                <w:spacing w:val="-79"/>
                <w:sz w:val="21"/>
                <w:szCs w:val="21"/>
              </w:rPr>
              <w:t> </w:t>
            </w:r>
            <w:r>
              <w:rPr>
                <w:rFonts w:ascii="宋体" w:hAnsi="宋体" w:cs="宋体" w:eastAsia="宋体" w:hint="default"/>
                <w:sz w:val="21"/>
                <w:szCs w:val="21"/>
              </w:rPr>
              <w:t>基</w:t>
            </w:r>
            <w:r>
              <w:rPr>
                <w:rFonts w:ascii="宋体" w:hAnsi="宋体" w:cs="宋体" w:eastAsia="宋体" w:hint="default"/>
                <w:sz w:val="21"/>
                <w:szCs w:val="21"/>
              </w:rPr>
              <w:t> 础</w:t>
            </w:r>
            <w:r>
              <w:rPr>
                <w:rFonts w:ascii="宋体" w:hAnsi="宋体" w:cs="宋体" w:eastAsia="宋体" w:hint="default"/>
                <w:spacing w:val="-78"/>
                <w:sz w:val="21"/>
                <w:szCs w:val="21"/>
              </w:rPr>
              <w:t> </w:t>
            </w: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开</w:t>
            </w:r>
            <w:r>
              <w:rPr>
                <w:rFonts w:ascii="宋体" w:hAnsi="宋体" w:cs="宋体" w:eastAsia="宋体" w:hint="default"/>
                <w:spacing w:val="-78"/>
                <w:sz w:val="21"/>
                <w:szCs w:val="21"/>
              </w:rPr>
              <w:t> </w:t>
            </w:r>
            <w:r>
              <w:rPr>
                <w:rFonts w:ascii="宋体" w:hAnsi="宋体" w:cs="宋体" w:eastAsia="宋体" w:hint="default"/>
                <w:sz w:val="21"/>
                <w:szCs w:val="21"/>
              </w:rPr>
              <w:t>拓</w:t>
            </w:r>
            <w:r>
              <w:rPr>
                <w:rFonts w:ascii="宋体" w:hAnsi="宋体" w:cs="宋体" w:eastAsia="宋体" w:hint="default"/>
                <w:spacing w:val="-78"/>
                <w:sz w:val="21"/>
                <w:szCs w:val="21"/>
              </w:rPr>
              <w:t> </w:t>
            </w:r>
            <w:r>
              <w:rPr>
                <w:rFonts w:ascii="宋体" w:hAnsi="宋体" w:cs="宋体" w:eastAsia="宋体" w:hint="default"/>
                <w:spacing w:val="12"/>
                <w:sz w:val="21"/>
                <w:szCs w:val="21"/>
              </w:rPr>
              <w:t>新的</w:t>
            </w:r>
            <w:r>
              <w:rPr>
                <w:rFonts w:ascii="宋体" w:hAnsi="宋体" w:cs="宋体" w:eastAsia="宋体" w:hint="default"/>
                <w:spacing w:val="-79"/>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r>
              <w:rPr>
                <w:rFonts w:ascii="宋体" w:hAnsi="宋体" w:cs="宋体" w:eastAsia="宋体" w:hint="default"/>
                <w:spacing w:val="-7"/>
                <w:sz w:val="21"/>
                <w:szCs w:val="21"/>
              </w:rPr>
              <w:t>品和销售市场，进</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步</w:t>
            </w:r>
            <w:r>
              <w:rPr>
                <w:rFonts w:ascii="宋体" w:hAnsi="宋体" w:cs="宋体" w:eastAsia="宋体" w:hint="default"/>
                <w:spacing w:val="-79"/>
                <w:sz w:val="21"/>
                <w:szCs w:val="21"/>
              </w:rPr>
              <w:t> </w:t>
            </w:r>
            <w:r>
              <w:rPr>
                <w:rFonts w:ascii="宋体" w:hAnsi="宋体" w:cs="宋体" w:eastAsia="宋体" w:hint="default"/>
                <w:sz w:val="21"/>
                <w:szCs w:val="21"/>
              </w:rPr>
              <w:t>满</w:t>
            </w:r>
            <w:r>
              <w:rPr>
                <w:rFonts w:ascii="宋体" w:hAnsi="宋体" w:cs="宋体" w:eastAsia="宋体" w:hint="default"/>
                <w:spacing w:val="-78"/>
                <w:sz w:val="21"/>
                <w:szCs w:val="21"/>
              </w:rPr>
              <w:t> </w:t>
            </w:r>
            <w:r>
              <w:rPr>
                <w:rFonts w:ascii="宋体" w:hAnsi="宋体" w:cs="宋体" w:eastAsia="宋体" w:hint="default"/>
                <w:sz w:val="21"/>
                <w:szCs w:val="21"/>
              </w:rPr>
              <w:t>足</w:t>
            </w:r>
            <w:r>
              <w:rPr>
                <w:rFonts w:ascii="宋体" w:hAnsi="宋体" w:cs="宋体" w:eastAsia="宋体" w:hint="default"/>
                <w:spacing w:val="-78"/>
                <w:sz w:val="21"/>
                <w:szCs w:val="21"/>
              </w:rPr>
              <w:t> </w:t>
            </w:r>
            <w:r>
              <w:rPr>
                <w:rFonts w:ascii="宋体" w:hAnsi="宋体" w:cs="宋体" w:eastAsia="宋体" w:hint="default"/>
                <w:spacing w:val="12"/>
                <w:sz w:val="21"/>
                <w:szCs w:val="21"/>
              </w:rPr>
              <w:t>国网</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相</w:t>
            </w:r>
            <w:r>
              <w:rPr>
                <w:rFonts w:ascii="宋体" w:hAnsi="宋体" w:cs="宋体" w:eastAsia="宋体" w:hint="default"/>
                <w:spacing w:val="-78"/>
                <w:sz w:val="21"/>
                <w:szCs w:val="21"/>
              </w:rPr>
              <w:t> </w:t>
            </w: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pacing w:val="12"/>
                <w:sz w:val="21"/>
                <w:szCs w:val="21"/>
              </w:rPr>
              <w:t>技术</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z w:val="21"/>
                <w:szCs w:val="21"/>
              </w:rPr>
              <w:t> 发展要求。</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全极化频综组件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z w:val="21"/>
                <w:szCs w:val="21"/>
              </w:rPr>
              <w:t>向研制。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短期项目，加强用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户</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技术</w:t>
            </w:r>
            <w:r>
              <w:rPr>
                <w:rFonts w:ascii="宋体" w:hAnsi="宋体" w:cs="宋体" w:eastAsia="宋体" w:hint="default"/>
                <w:spacing w:val="-79"/>
                <w:sz w:val="21"/>
                <w:szCs w:val="21"/>
              </w:rPr>
              <w:t> </w:t>
            </w:r>
            <w:r>
              <w:rPr>
                <w:rFonts w:ascii="宋体" w:hAnsi="宋体" w:cs="宋体" w:eastAsia="宋体" w:hint="default"/>
                <w:sz w:val="21"/>
                <w:szCs w:val="21"/>
              </w:rPr>
              <w:t>能</w:t>
            </w:r>
            <w:r>
              <w:rPr>
                <w:rFonts w:ascii="宋体" w:hAnsi="宋体" w:cs="宋体" w:eastAsia="宋体" w:hint="default"/>
                <w:sz w:val="21"/>
                <w:szCs w:val="21"/>
              </w:rPr>
              <w:t> 力的认可。</w:t>
            </w:r>
          </w:p>
        </w:tc>
      </w:tr>
      <w:tr>
        <w:trPr>
          <w:trHeight w:val="659"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MIMO</w:t>
            </w:r>
            <w:r>
              <w:rPr>
                <w:rFonts w:ascii="宋体" w:hAnsi="宋体" w:cs="宋体" w:eastAsia="宋体" w:hint="default"/>
                <w:sz w:val="21"/>
                <w:szCs w:val="21"/>
              </w:rPr>
              <w:t>频综</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相控阵项目未来研</w:t>
            </w:r>
            <w:r>
              <w:rPr>
                <w:rFonts w:ascii="宋体" w:hAnsi="宋体" w:cs="宋体" w:eastAsia="宋体" w:hint="default"/>
                <w:spacing w:val="-101"/>
                <w:sz w:val="21"/>
                <w:szCs w:val="21"/>
              </w:rPr>
              <w:t> </w:t>
            </w:r>
            <w:r>
              <w:rPr>
                <w:rFonts w:ascii="宋体" w:hAnsi="宋体" w:cs="宋体" w:eastAsia="宋体" w:hint="default"/>
                <w:sz w:val="21"/>
                <w:szCs w:val="21"/>
              </w:rPr>
              <w:t>发重点。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8"/>
                <w:sz w:val="21"/>
                <w:szCs w:val="21"/>
              </w:rPr>
              <w:t>产品处于调试阶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段。</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7"/>
                <w:sz w:val="21"/>
                <w:szCs w:val="21"/>
              </w:rPr>
              <w:t>技术储备、新的业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绩增长点。</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主动频综接收组 </w:t>
            </w:r>
            <w:r>
              <w:rPr>
                <w:rFonts w:ascii="宋体" w:hAnsi="宋体" w:cs="宋体" w:eastAsia="宋体" w:hint="default"/>
                <w:sz w:val="21"/>
                <w:szCs w:val="21"/>
              </w:rPr>
              <w:t>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17"/>
              <w:jc w:val="center"/>
              <w:rPr>
                <w:rFonts w:ascii="宋体" w:hAnsi="宋体" w:cs="宋体" w:eastAsia="宋体" w:hint="default"/>
                <w:sz w:val="21"/>
                <w:szCs w:val="21"/>
              </w:rPr>
            </w:pPr>
            <w:r>
              <w:rPr>
                <w:rFonts w:ascii="宋体" w:hAnsi="宋体" w:cs="宋体" w:eastAsia="宋体" w:hint="default"/>
                <w:spacing w:val="-6"/>
                <w:sz w:val="21"/>
                <w:szCs w:val="21"/>
              </w:rPr>
              <w:t>某重点项目用组合。</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满足用户需求，批 量交付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这几</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z w:val="21"/>
                <w:szCs w:val="21"/>
              </w:rPr>
              <w:t> 的营业额，收益。</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被动接收组合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17"/>
              <w:jc w:val="center"/>
              <w:rPr>
                <w:rFonts w:ascii="宋体" w:hAnsi="宋体" w:cs="宋体" w:eastAsia="宋体" w:hint="default"/>
                <w:sz w:val="21"/>
                <w:szCs w:val="21"/>
              </w:rPr>
            </w:pPr>
            <w:r>
              <w:rPr>
                <w:rFonts w:ascii="宋体" w:hAnsi="宋体" w:cs="宋体" w:eastAsia="宋体" w:hint="default"/>
                <w:spacing w:val="-6"/>
                <w:sz w:val="21"/>
                <w:szCs w:val="21"/>
              </w:rPr>
              <w:t>某重点项目用组合。</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满足用户需求，批 量交付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这几</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z w:val="21"/>
                <w:szCs w:val="21"/>
              </w:rPr>
              <w:t> 的营业额，收益。</w:t>
            </w:r>
          </w:p>
        </w:tc>
      </w:tr>
      <w:tr>
        <w:trPr>
          <w:trHeight w:val="972"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接收前端模块</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z w:val="21"/>
                <w:szCs w:val="21"/>
              </w:rPr>
              <w:t>向研制。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满足用户需求，批 量交付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这几</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z w:val="21"/>
                <w:szCs w:val="21"/>
              </w:rPr>
              <w:t> 的营业额，收益。</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数据链射频组合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17"/>
              <w:jc w:val="center"/>
              <w:rPr>
                <w:rFonts w:ascii="宋体" w:hAnsi="宋体" w:cs="宋体" w:eastAsia="宋体" w:hint="default"/>
                <w:sz w:val="21"/>
                <w:szCs w:val="21"/>
              </w:rPr>
            </w:pPr>
            <w:r>
              <w:rPr>
                <w:rFonts w:ascii="宋体" w:hAnsi="宋体" w:cs="宋体" w:eastAsia="宋体" w:hint="default"/>
                <w:spacing w:val="-6"/>
                <w:sz w:val="21"/>
                <w:szCs w:val="21"/>
              </w:rPr>
              <w:t>某重点项目用组合。</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满足用户需求，批 量交付。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这几</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z w:val="21"/>
                <w:szCs w:val="21"/>
              </w:rPr>
              <w:t> 的营业额，收益。</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both"/>
              <w:rPr>
                <w:rFonts w:ascii="宋体" w:hAnsi="宋体" w:cs="宋体" w:eastAsia="宋体" w:hint="default"/>
                <w:sz w:val="21"/>
                <w:szCs w:val="21"/>
              </w:rPr>
            </w:pPr>
            <w:r>
              <w:rPr>
                <w:rFonts w:ascii="宋体" w:hAnsi="宋体" w:cs="宋体" w:eastAsia="宋体" w:hint="default"/>
                <w:spacing w:val="12"/>
                <w:sz w:val="21"/>
                <w:szCs w:val="21"/>
              </w:rPr>
              <w:t>多频段宽带阵列 雷达主动微波组 </w:t>
            </w:r>
            <w:r>
              <w:rPr>
                <w:rFonts w:ascii="宋体" w:hAnsi="宋体" w:cs="宋体" w:eastAsia="宋体" w:hint="default"/>
                <w:sz w:val="21"/>
                <w:szCs w:val="21"/>
              </w:rPr>
              <w:t>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z w:val="21"/>
                <w:szCs w:val="21"/>
              </w:rPr>
              <w:t>向研制。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作。</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短期项目，加强用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户</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技术</w:t>
            </w:r>
            <w:r>
              <w:rPr>
                <w:rFonts w:ascii="宋体" w:hAnsi="宋体" w:cs="宋体" w:eastAsia="宋体" w:hint="default"/>
                <w:spacing w:val="-79"/>
                <w:sz w:val="21"/>
                <w:szCs w:val="21"/>
              </w:rPr>
              <w:t> </w:t>
            </w:r>
            <w:r>
              <w:rPr>
                <w:rFonts w:ascii="宋体" w:hAnsi="宋体" w:cs="宋体" w:eastAsia="宋体" w:hint="default"/>
                <w:sz w:val="21"/>
                <w:szCs w:val="21"/>
              </w:rPr>
              <w:t>能</w:t>
            </w:r>
            <w:r>
              <w:rPr>
                <w:rFonts w:ascii="宋体" w:hAnsi="宋体" w:cs="宋体" w:eastAsia="宋体" w:hint="default"/>
                <w:sz w:val="21"/>
                <w:szCs w:val="21"/>
              </w:rPr>
              <w:t> 力的认可。</w:t>
            </w:r>
          </w:p>
        </w:tc>
      </w:tr>
      <w:tr>
        <w:trPr>
          <w:trHeight w:val="659"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MIMO</w:t>
            </w:r>
            <w:r>
              <w:rPr>
                <w:rFonts w:ascii="宋体" w:hAnsi="宋体" w:cs="宋体" w:eastAsia="宋体" w:hint="default"/>
                <w:sz w:val="21"/>
                <w:szCs w:val="21"/>
              </w:rPr>
              <w:t>微波组合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相控阵项目未来研</w:t>
            </w:r>
            <w:r>
              <w:rPr>
                <w:rFonts w:ascii="宋体" w:hAnsi="宋体" w:cs="宋体" w:eastAsia="宋体" w:hint="default"/>
                <w:spacing w:val="-101"/>
                <w:sz w:val="21"/>
                <w:szCs w:val="21"/>
              </w:rPr>
              <w:t> </w:t>
            </w:r>
            <w:r>
              <w:rPr>
                <w:rFonts w:ascii="宋体" w:hAnsi="宋体" w:cs="宋体" w:eastAsia="宋体" w:hint="default"/>
                <w:sz w:val="21"/>
                <w:szCs w:val="21"/>
              </w:rPr>
              <w:t>发重点。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作。</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7"/>
                <w:sz w:val="21"/>
                <w:szCs w:val="21"/>
              </w:rPr>
              <w:t>技术储备、新的业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绩增长点。</w:t>
            </w:r>
          </w:p>
        </w:tc>
      </w:tr>
      <w:tr>
        <w:trPr>
          <w:trHeight w:val="388"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9"/>
              <w:jc w:val="left"/>
              <w:rPr>
                <w:rFonts w:ascii="宋体" w:hAnsi="宋体" w:cs="宋体" w:eastAsia="宋体" w:hint="default"/>
                <w:sz w:val="21"/>
                <w:szCs w:val="21"/>
              </w:rPr>
            </w:pPr>
            <w:r>
              <w:rPr>
                <w:rFonts w:ascii="宋体" w:hAnsi="宋体" w:cs="宋体" w:eastAsia="宋体" w:hint="default"/>
                <w:spacing w:val="12"/>
                <w:sz w:val="21"/>
                <w:szCs w:val="21"/>
              </w:rPr>
              <w:t>双波段微波射频</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17"/>
              <w:jc w:val="center"/>
              <w:rPr>
                <w:rFonts w:ascii="宋体" w:hAnsi="宋体" w:cs="宋体" w:eastAsia="宋体" w:hint="default"/>
                <w:sz w:val="21"/>
                <w:szCs w:val="21"/>
              </w:rPr>
            </w:pPr>
            <w:r>
              <w:rPr>
                <w:rFonts w:ascii="宋体" w:hAnsi="宋体" w:cs="宋体" w:eastAsia="宋体" w:hint="default"/>
                <w:spacing w:val="-6"/>
                <w:sz w:val="21"/>
                <w:szCs w:val="21"/>
              </w:rPr>
              <w:t>某重点项目用组合。</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Ka</w:t>
            </w:r>
            <w:r>
              <w:rPr>
                <w:rFonts w:ascii="宋体" w:hAnsi="宋体" w:cs="宋体" w:eastAsia="宋体" w:hint="default"/>
                <w:spacing w:val="3"/>
                <w:sz w:val="21"/>
                <w:szCs w:val="21"/>
              </w:rPr>
              <w:t>波段微波源：</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满足用户需求，批</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未来</w:t>
            </w:r>
            <w:r>
              <w:rPr>
                <w:rFonts w:ascii="宋体" w:hAnsi="宋体" w:cs="宋体" w:eastAsia="宋体" w:hint="default"/>
                <w:spacing w:val="-79"/>
                <w:sz w:val="21"/>
                <w:szCs w:val="21"/>
              </w:rPr>
              <w:t> </w:t>
            </w:r>
            <w:r>
              <w:rPr>
                <w:rFonts w:ascii="宋体" w:hAnsi="宋体" w:cs="宋体" w:eastAsia="宋体" w:hint="default"/>
                <w:sz w:val="21"/>
                <w:szCs w:val="21"/>
              </w:rPr>
              <w:t>几</w:t>
            </w:r>
          </w:p>
        </w:tc>
      </w:tr>
    </w:tbl>
    <w:p>
      <w:pPr>
        <w:spacing w:after="0" w:line="27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1635"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both"/>
              <w:rPr>
                <w:rFonts w:ascii="宋体" w:hAnsi="宋体" w:cs="宋体" w:eastAsia="宋体" w:hint="default"/>
                <w:sz w:val="21"/>
                <w:szCs w:val="21"/>
              </w:rPr>
            </w:pPr>
            <w:r>
              <w:rPr>
                <w:rFonts w:ascii="宋体" w:hAnsi="宋体" w:cs="宋体" w:eastAsia="宋体" w:hint="default"/>
                <w:sz w:val="21"/>
                <w:szCs w:val="21"/>
              </w:rPr>
              <w:t>调试中</w:t>
            </w:r>
          </w:p>
          <w:p>
            <w:pPr>
              <w:pStyle w:val="TableParagraph"/>
              <w:spacing w:line="261" w:lineRule="auto" w:before="75"/>
              <w:ind w:left="2" w:right="-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Ku</w:t>
            </w:r>
            <w:r>
              <w:rPr>
                <w:rFonts w:ascii="宋体" w:hAnsi="宋体" w:cs="宋体" w:eastAsia="宋体" w:hint="default"/>
                <w:spacing w:val="2"/>
                <w:sz w:val="21"/>
                <w:szCs w:val="21"/>
              </w:rPr>
              <w:t>波段微波源、</w:t>
            </w:r>
            <w:r>
              <w:rPr>
                <w:rFonts w:ascii="宋体" w:hAnsi="宋体" w:cs="宋体" w:eastAsia="宋体" w:hint="default"/>
                <w:spacing w:val="-101"/>
                <w:sz w:val="21"/>
                <w:szCs w:val="21"/>
              </w:rPr>
              <w:t> </w:t>
            </w:r>
            <w:r>
              <w:rPr>
                <w:rFonts w:ascii="Times New Roman" w:hAnsi="Times New Roman" w:cs="Times New Roman" w:eastAsia="Times New Roman" w:hint="default"/>
                <w:spacing w:val="3"/>
                <w:sz w:val="21"/>
                <w:szCs w:val="21"/>
              </w:rPr>
              <w:t>L</w:t>
            </w:r>
            <w:r>
              <w:rPr>
                <w:rFonts w:ascii="宋体" w:hAnsi="宋体" w:cs="宋体" w:eastAsia="宋体" w:hint="default"/>
                <w:spacing w:val="3"/>
                <w:sz w:val="21"/>
                <w:szCs w:val="21"/>
              </w:rPr>
              <w:t>波段接收机、</w:t>
            </w:r>
            <w:r>
              <w:rPr>
                <w:rFonts w:ascii="Times New Roman" w:hAnsi="Times New Roman" w:cs="Times New Roman" w:eastAsia="Times New Roman" w:hint="default"/>
                <w:spacing w:val="3"/>
                <w:sz w:val="21"/>
                <w:szCs w:val="21"/>
              </w:rPr>
              <w:t>S</w:t>
            </w:r>
            <w:r>
              <w:rPr>
                <w:rFonts w:ascii="Times New Roman" w:hAnsi="Times New Roman" w:cs="Times New Roman" w:eastAsia="Times New Roman" w:hint="default"/>
                <w:spacing w:val="-49"/>
                <w:sz w:val="21"/>
                <w:szCs w:val="21"/>
              </w:rPr>
              <w:t> </w:t>
            </w:r>
            <w:r>
              <w:rPr>
                <w:rFonts w:ascii="宋体" w:hAnsi="宋体" w:cs="宋体" w:eastAsia="宋体" w:hint="default"/>
                <w:spacing w:val="9"/>
                <w:sz w:val="21"/>
                <w:szCs w:val="21"/>
              </w:rPr>
              <w:t>波段接收机：已</w:t>
            </w:r>
            <w:r>
              <w:rPr>
                <w:rFonts w:ascii="宋体" w:hAnsi="宋体" w:cs="宋体" w:eastAsia="宋体" w:hint="default"/>
                <w:sz w:val="21"/>
                <w:szCs w:val="21"/>
              </w:rPr>
              <w:t> 完成研制工作</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量交付。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营</w:t>
            </w:r>
            <w:r>
              <w:rPr>
                <w:rFonts w:ascii="宋体" w:hAnsi="宋体" w:cs="宋体" w:eastAsia="宋体" w:hint="default"/>
                <w:spacing w:val="-78"/>
                <w:sz w:val="21"/>
                <w:szCs w:val="21"/>
              </w:rPr>
              <w:t> </w:t>
            </w:r>
            <w:r>
              <w:rPr>
                <w:rFonts w:ascii="宋体" w:hAnsi="宋体" w:cs="宋体" w:eastAsia="宋体" w:hint="default"/>
                <w:sz w:val="21"/>
                <w:szCs w:val="21"/>
              </w:rPr>
              <w:t>业</w:t>
            </w:r>
            <w:r>
              <w:rPr>
                <w:rFonts w:ascii="宋体" w:hAnsi="宋体" w:cs="宋体" w:eastAsia="宋体" w:hint="default"/>
                <w:spacing w:val="-78"/>
                <w:sz w:val="21"/>
                <w:szCs w:val="21"/>
              </w:rPr>
              <w:t> </w:t>
            </w:r>
            <w:r>
              <w:rPr>
                <w:rFonts w:ascii="宋体" w:hAnsi="宋体" w:cs="宋体" w:eastAsia="宋体" w:hint="default"/>
                <w:spacing w:val="12"/>
                <w:sz w:val="21"/>
                <w:szCs w:val="21"/>
              </w:rPr>
              <w:t>额、</w:t>
            </w:r>
            <w:r>
              <w:rPr>
                <w:rFonts w:ascii="宋体" w:hAnsi="宋体" w:cs="宋体" w:eastAsia="宋体" w:hint="default"/>
                <w:spacing w:val="-79"/>
                <w:sz w:val="21"/>
                <w:szCs w:val="21"/>
              </w:rPr>
              <w:t> </w:t>
            </w:r>
            <w:r>
              <w:rPr>
                <w:rFonts w:ascii="宋体" w:hAnsi="宋体" w:cs="宋体" w:eastAsia="宋体" w:hint="default"/>
                <w:sz w:val="21"/>
                <w:szCs w:val="21"/>
              </w:rPr>
              <w:t>收</w:t>
            </w:r>
            <w:r>
              <w:rPr>
                <w:rFonts w:ascii="宋体" w:hAnsi="宋体" w:cs="宋体" w:eastAsia="宋体" w:hint="default"/>
                <w:sz w:val="21"/>
                <w:szCs w:val="21"/>
              </w:rPr>
              <w:t> 益。</w:t>
            </w:r>
          </w:p>
        </w:tc>
      </w:tr>
      <w:tr>
        <w:trPr>
          <w:trHeight w:val="972"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C+Ku</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频</w:t>
            </w:r>
            <w:r>
              <w:rPr>
                <w:rFonts w:ascii="宋体" w:hAnsi="宋体" w:cs="宋体" w:eastAsia="宋体" w:hint="default"/>
                <w:spacing w:val="-59"/>
                <w:sz w:val="21"/>
                <w:szCs w:val="21"/>
              </w:rPr>
              <w:t> </w:t>
            </w:r>
            <w:r>
              <w:rPr>
                <w:rFonts w:ascii="宋体" w:hAnsi="宋体" w:cs="宋体" w:eastAsia="宋体" w:hint="default"/>
                <w:sz w:val="21"/>
                <w:szCs w:val="21"/>
              </w:rPr>
              <w:t>综</w:t>
            </w:r>
            <w:r>
              <w:rPr>
                <w:rFonts w:ascii="宋体" w:hAnsi="宋体" w:cs="宋体" w:eastAsia="宋体" w:hint="default"/>
                <w:spacing w:val="-60"/>
                <w:sz w:val="21"/>
                <w:szCs w:val="21"/>
              </w:rPr>
              <w:t> </w:t>
            </w:r>
            <w:r>
              <w:rPr>
                <w:rFonts w:ascii="宋体" w:hAnsi="宋体" w:cs="宋体" w:eastAsia="宋体" w:hint="default"/>
                <w:sz w:val="21"/>
                <w:szCs w:val="21"/>
              </w:rPr>
              <w:t>接</w:t>
            </w:r>
            <w:r>
              <w:rPr>
                <w:rFonts w:ascii="宋体" w:hAnsi="宋体" w:cs="宋体" w:eastAsia="宋体" w:hint="default"/>
                <w:spacing w:val="-59"/>
                <w:sz w:val="21"/>
                <w:szCs w:val="21"/>
              </w:rPr>
              <w:t> </w:t>
            </w:r>
            <w:r>
              <w:rPr>
                <w:rFonts w:ascii="宋体" w:hAnsi="宋体" w:cs="宋体" w:eastAsia="宋体" w:hint="default"/>
                <w:sz w:val="21"/>
                <w:szCs w:val="21"/>
              </w:rPr>
              <w:t>收</w:t>
            </w:r>
            <w:r>
              <w:rPr>
                <w:rFonts w:ascii="宋体" w:hAnsi="宋体" w:cs="宋体" w:eastAsia="宋体" w:hint="default"/>
                <w:sz w:val="21"/>
                <w:szCs w:val="21"/>
              </w:rPr>
              <w:t> 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pacing w:val="-8"/>
                <w:sz w:val="21"/>
                <w:szCs w:val="21"/>
              </w:rPr>
              <w:t>向研制，某准型号项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目用组合</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8"/>
                <w:sz w:val="21"/>
                <w:szCs w:val="21"/>
              </w:rPr>
              <w:t>正在进行焊接装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配。</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满足用户需求，批 量交付。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未来</w:t>
            </w:r>
            <w:r>
              <w:rPr>
                <w:rFonts w:ascii="宋体" w:hAnsi="宋体" w:cs="宋体" w:eastAsia="宋体" w:hint="default"/>
                <w:spacing w:val="-79"/>
                <w:sz w:val="21"/>
                <w:szCs w:val="21"/>
              </w:rPr>
              <w:t> </w:t>
            </w:r>
            <w:r>
              <w:rPr>
                <w:rFonts w:ascii="宋体" w:hAnsi="宋体" w:cs="宋体" w:eastAsia="宋体" w:hint="default"/>
                <w:sz w:val="21"/>
                <w:szCs w:val="21"/>
              </w:rPr>
              <w:t>几</w:t>
            </w:r>
            <w:r>
              <w:rPr>
                <w:rFonts w:ascii="宋体" w:hAnsi="宋体" w:cs="宋体" w:eastAsia="宋体" w:hint="default"/>
                <w:sz w:val="21"/>
                <w:szCs w:val="21"/>
              </w:rPr>
              <w:t> </w:t>
            </w:r>
            <w:r>
              <w:rPr>
                <w:rFonts w:ascii="宋体" w:hAnsi="宋体" w:cs="宋体" w:eastAsia="宋体" w:hint="default"/>
                <w:spacing w:val="-7"/>
                <w:sz w:val="21"/>
                <w:szCs w:val="21"/>
              </w:rPr>
              <w:t>年的营业额，收益</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X+Ka </w:t>
            </w:r>
            <w:r>
              <w:rPr>
                <w:rFonts w:ascii="宋体" w:hAnsi="宋体" w:cs="宋体" w:eastAsia="宋体" w:hint="default"/>
                <w:spacing w:val="30"/>
                <w:sz w:val="21"/>
                <w:szCs w:val="21"/>
              </w:rPr>
              <w:t>频综接</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spacing w:val="-85"/>
                <w:sz w:val="21"/>
                <w:szCs w:val="21"/>
              </w:rPr>
              <w:t> </w:t>
            </w:r>
            <w:r>
              <w:rPr>
                <w:rFonts w:ascii="宋体" w:hAnsi="宋体" w:cs="宋体" w:eastAsia="宋体" w:hint="default"/>
                <w:sz w:val="21"/>
                <w:szCs w:val="21"/>
              </w:rPr>
              <w:t>组合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z w:val="21"/>
                <w:szCs w:val="21"/>
              </w:rPr>
              <w:t>向研制。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设计阶段。</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短期项目，加强用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户</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技术</w:t>
            </w:r>
            <w:r>
              <w:rPr>
                <w:rFonts w:ascii="宋体" w:hAnsi="宋体" w:cs="宋体" w:eastAsia="宋体" w:hint="default"/>
                <w:spacing w:val="-79"/>
                <w:sz w:val="21"/>
                <w:szCs w:val="21"/>
              </w:rPr>
              <w:t> </w:t>
            </w:r>
            <w:r>
              <w:rPr>
                <w:rFonts w:ascii="宋体" w:hAnsi="宋体" w:cs="宋体" w:eastAsia="宋体" w:hint="default"/>
                <w:sz w:val="21"/>
                <w:szCs w:val="21"/>
              </w:rPr>
              <w:t>能</w:t>
            </w:r>
            <w:r>
              <w:rPr>
                <w:rFonts w:ascii="宋体" w:hAnsi="宋体" w:cs="宋体" w:eastAsia="宋体" w:hint="default"/>
                <w:sz w:val="21"/>
                <w:szCs w:val="21"/>
              </w:rPr>
              <w:t> 力的认可</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宽带直合源组件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小体积直合源。</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8"/>
                <w:sz w:val="21"/>
                <w:szCs w:val="21"/>
              </w:rPr>
              <w:t>产品处于调试阶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段。</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满足用户需求，标 准</w:t>
            </w:r>
            <w:r>
              <w:rPr>
                <w:rFonts w:ascii="宋体" w:hAnsi="宋体" w:cs="宋体" w:eastAsia="宋体" w:hint="default"/>
                <w:spacing w:val="-71"/>
                <w:sz w:val="21"/>
                <w:szCs w:val="21"/>
              </w:rPr>
              <w:t> </w:t>
            </w:r>
            <w:r>
              <w:rPr>
                <w:rFonts w:ascii="宋体" w:hAnsi="宋体" w:cs="宋体" w:eastAsia="宋体" w:hint="default"/>
                <w:sz w:val="21"/>
                <w:szCs w:val="21"/>
              </w:rPr>
              <w:t>化</w:t>
            </w:r>
            <w:r>
              <w:rPr>
                <w:rFonts w:ascii="宋体" w:hAnsi="宋体" w:cs="宋体" w:eastAsia="宋体" w:hint="default"/>
                <w:spacing w:val="-71"/>
                <w:sz w:val="21"/>
                <w:szCs w:val="21"/>
              </w:rPr>
              <w:t> </w:t>
            </w:r>
            <w:r>
              <w:rPr>
                <w:rFonts w:ascii="宋体" w:hAnsi="宋体" w:cs="宋体" w:eastAsia="宋体" w:hint="default"/>
                <w:sz w:val="21"/>
                <w:szCs w:val="21"/>
              </w:rPr>
              <w:t>类</w:t>
            </w:r>
            <w:r>
              <w:rPr>
                <w:rFonts w:ascii="宋体" w:hAnsi="宋体" w:cs="宋体" w:eastAsia="宋体" w:hint="default"/>
                <w:spacing w:val="-71"/>
                <w:sz w:val="21"/>
                <w:szCs w:val="21"/>
              </w:rPr>
              <w:t> </w:t>
            </w:r>
            <w:r>
              <w:rPr>
                <w:rFonts w:ascii="宋体" w:hAnsi="宋体" w:cs="宋体" w:eastAsia="宋体" w:hint="default"/>
                <w:sz w:val="21"/>
                <w:szCs w:val="21"/>
              </w:rPr>
              <w:t>似</w:t>
            </w:r>
            <w:r>
              <w:rPr>
                <w:rFonts w:ascii="宋体" w:hAnsi="宋体" w:cs="宋体" w:eastAsia="宋体" w:hint="default"/>
                <w:spacing w:val="-71"/>
                <w:sz w:val="21"/>
                <w:szCs w:val="21"/>
              </w:rPr>
              <w:t> </w:t>
            </w:r>
            <w:r>
              <w:rPr>
                <w:rFonts w:ascii="宋体" w:hAnsi="宋体" w:cs="宋体" w:eastAsia="宋体" w:hint="default"/>
                <w:sz w:val="21"/>
                <w:szCs w:val="21"/>
              </w:rPr>
              <w:t>设</w:t>
            </w:r>
            <w:r>
              <w:rPr>
                <w:rFonts w:ascii="宋体" w:hAnsi="宋体" w:cs="宋体" w:eastAsia="宋体" w:hint="default"/>
                <w:spacing w:val="-70"/>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方</w:t>
            </w:r>
            <w:r>
              <w:rPr>
                <w:rFonts w:ascii="宋体" w:hAnsi="宋体" w:cs="宋体" w:eastAsia="宋体" w:hint="default"/>
                <w:sz w:val="21"/>
                <w:szCs w:val="21"/>
              </w:rPr>
              <w:t> 案，提高设计效率</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pacing w:val="-7"/>
                <w:sz w:val="21"/>
                <w:szCs w:val="21"/>
              </w:rPr>
              <w:t>技术积累、系统化</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Ka/Ku</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双</w:t>
            </w:r>
            <w:r>
              <w:rPr>
                <w:rFonts w:ascii="宋体" w:hAnsi="宋体" w:cs="宋体" w:eastAsia="宋体" w:hint="default"/>
                <w:spacing w:val="-71"/>
                <w:sz w:val="21"/>
                <w:szCs w:val="21"/>
              </w:rPr>
              <w:t> </w:t>
            </w:r>
            <w:r>
              <w:rPr>
                <w:rFonts w:ascii="宋体" w:hAnsi="宋体" w:cs="宋体" w:eastAsia="宋体" w:hint="default"/>
                <w:sz w:val="21"/>
                <w:szCs w:val="21"/>
              </w:rPr>
              <w:t>波</w:t>
            </w:r>
            <w:r>
              <w:rPr>
                <w:rFonts w:ascii="宋体" w:hAnsi="宋体" w:cs="宋体" w:eastAsia="宋体" w:hint="default"/>
                <w:spacing w:val="-71"/>
                <w:sz w:val="21"/>
                <w:szCs w:val="21"/>
              </w:rPr>
              <w:t> </w:t>
            </w:r>
            <w:r>
              <w:rPr>
                <w:rFonts w:ascii="宋体" w:hAnsi="宋体" w:cs="宋体" w:eastAsia="宋体" w:hint="default"/>
                <w:sz w:val="21"/>
                <w:szCs w:val="21"/>
              </w:rPr>
              <w:t>高</w:t>
            </w:r>
            <w:r>
              <w:rPr>
                <w:rFonts w:ascii="宋体" w:hAnsi="宋体" w:cs="宋体" w:eastAsia="宋体" w:hint="default"/>
                <w:spacing w:val="-70"/>
                <w:sz w:val="21"/>
                <w:szCs w:val="21"/>
              </w:rPr>
              <w:t> </w:t>
            </w:r>
            <w:r>
              <w:rPr>
                <w:rFonts w:ascii="宋体" w:hAnsi="宋体" w:cs="宋体" w:eastAsia="宋体" w:hint="default"/>
                <w:sz w:val="21"/>
                <w:szCs w:val="21"/>
              </w:rPr>
              <w:t>频</w:t>
            </w:r>
            <w:r>
              <w:rPr>
                <w:rFonts w:ascii="宋体" w:hAnsi="宋体" w:cs="宋体" w:eastAsia="宋体" w:hint="default"/>
                <w:sz w:val="21"/>
                <w:szCs w:val="21"/>
              </w:rPr>
              <w:t> 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z w:val="21"/>
                <w:szCs w:val="21"/>
              </w:rPr>
              <w:t>向研制。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高</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未来</w:t>
            </w:r>
            <w:r>
              <w:rPr>
                <w:rFonts w:ascii="宋体" w:hAnsi="宋体" w:cs="宋体" w:eastAsia="宋体" w:hint="default"/>
                <w:spacing w:val="-79"/>
                <w:sz w:val="21"/>
                <w:szCs w:val="21"/>
              </w:rPr>
              <w:t> </w:t>
            </w:r>
            <w:r>
              <w:rPr>
                <w:rFonts w:ascii="宋体" w:hAnsi="宋体" w:cs="宋体" w:eastAsia="宋体" w:hint="default"/>
                <w:sz w:val="21"/>
                <w:szCs w:val="21"/>
              </w:rPr>
              <w:t>几</w:t>
            </w:r>
            <w:r>
              <w:rPr>
                <w:rFonts w:ascii="宋体" w:hAnsi="宋体" w:cs="宋体" w:eastAsia="宋体" w:hint="default"/>
                <w:sz w:val="21"/>
                <w:szCs w:val="21"/>
              </w:rPr>
              <w:t> </w:t>
            </w:r>
            <w:r>
              <w:rPr>
                <w:rFonts w:ascii="宋体" w:hAnsi="宋体" w:cs="宋体" w:eastAsia="宋体" w:hint="default"/>
                <w:spacing w:val="-7"/>
                <w:sz w:val="21"/>
                <w:szCs w:val="21"/>
              </w:rPr>
              <w:t>年的营业额，收益</w:t>
            </w:r>
          </w:p>
        </w:tc>
      </w:tr>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中枢中预放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left"/>
              <w:rPr>
                <w:rFonts w:ascii="宋体" w:hAnsi="宋体" w:cs="宋体" w:eastAsia="宋体" w:hint="default"/>
                <w:sz w:val="21"/>
                <w:szCs w:val="21"/>
              </w:rPr>
            </w:pPr>
            <w:r>
              <w:rPr>
                <w:rFonts w:ascii="宋体" w:hAnsi="宋体" w:cs="宋体" w:eastAsia="宋体" w:hint="default"/>
                <w:spacing w:val="17"/>
                <w:sz w:val="21"/>
                <w:szCs w:val="21"/>
              </w:rPr>
              <w:t>按用户需求进行定</w:t>
            </w:r>
            <w:r>
              <w:rPr>
                <w:rFonts w:ascii="宋体" w:hAnsi="宋体" w:cs="宋体" w:eastAsia="宋体" w:hint="default"/>
                <w:spacing w:val="-101"/>
                <w:sz w:val="21"/>
                <w:szCs w:val="21"/>
              </w:rPr>
              <w:t> </w:t>
            </w:r>
            <w:r>
              <w:rPr>
                <w:rFonts w:ascii="宋体" w:hAnsi="宋体" w:cs="宋体" w:eastAsia="宋体" w:hint="default"/>
                <w:sz w:val="21"/>
                <w:szCs w:val="21"/>
              </w:rPr>
              <w:t>向研制。</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研</w:t>
            </w:r>
            <w:r>
              <w:rPr>
                <w:rFonts w:ascii="宋体" w:hAnsi="宋体" w:cs="宋体" w:eastAsia="宋体" w:hint="default"/>
                <w:spacing w:val="-49"/>
                <w:sz w:val="21"/>
                <w:szCs w:val="21"/>
              </w:rPr>
              <w:t> </w:t>
            </w:r>
            <w:r>
              <w:rPr>
                <w:rFonts w:ascii="宋体" w:hAnsi="宋体" w:cs="宋体" w:eastAsia="宋体" w:hint="default"/>
                <w:sz w:val="21"/>
                <w:szCs w:val="21"/>
              </w:rPr>
              <w:t>制</w:t>
            </w:r>
            <w:r>
              <w:rPr>
                <w:rFonts w:ascii="宋体" w:hAnsi="宋体" w:cs="宋体" w:eastAsia="宋体" w:hint="default"/>
                <w:spacing w:val="-50"/>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作，产品交用户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联机使用。</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满足用户需求。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短期项目，加强用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户</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技术</w:t>
            </w:r>
            <w:r>
              <w:rPr>
                <w:rFonts w:ascii="宋体" w:hAnsi="宋体" w:cs="宋体" w:eastAsia="宋体" w:hint="default"/>
                <w:spacing w:val="-79"/>
                <w:sz w:val="21"/>
                <w:szCs w:val="21"/>
              </w:rPr>
              <w:t> </w:t>
            </w:r>
            <w:r>
              <w:rPr>
                <w:rFonts w:ascii="宋体" w:hAnsi="宋体" w:cs="宋体" w:eastAsia="宋体" w:hint="default"/>
                <w:sz w:val="21"/>
                <w:szCs w:val="21"/>
              </w:rPr>
              <w:t>能</w:t>
            </w:r>
            <w:r>
              <w:rPr>
                <w:rFonts w:ascii="宋体" w:hAnsi="宋体" w:cs="宋体" w:eastAsia="宋体" w:hint="default"/>
                <w:sz w:val="21"/>
                <w:szCs w:val="21"/>
              </w:rPr>
              <w:t> 力的认可</w:t>
            </w:r>
          </w:p>
        </w:tc>
      </w:tr>
      <w:tr>
        <w:trPr>
          <w:trHeight w:val="253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大功率吸收式限 </w:t>
            </w:r>
            <w:r>
              <w:rPr>
                <w:rFonts w:ascii="宋体" w:hAnsi="宋体" w:cs="宋体" w:eastAsia="宋体" w:hint="default"/>
                <w:sz w:val="21"/>
                <w:szCs w:val="21"/>
              </w:rPr>
              <w:t>幅器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spacing w:val="17"/>
                <w:sz w:val="21"/>
                <w:szCs w:val="21"/>
              </w:rPr>
              <w:t>解决公司需要长期</w:t>
            </w:r>
            <w:r>
              <w:rPr>
                <w:rFonts w:ascii="宋体" w:hAnsi="宋体" w:cs="宋体" w:eastAsia="宋体" w:hint="default"/>
                <w:spacing w:val="-101"/>
                <w:sz w:val="21"/>
                <w:szCs w:val="21"/>
              </w:rPr>
              <w:t> </w:t>
            </w:r>
            <w:r>
              <w:rPr>
                <w:rFonts w:ascii="宋体" w:hAnsi="宋体" w:cs="宋体" w:eastAsia="宋体" w:hint="default"/>
                <w:spacing w:val="17"/>
                <w:sz w:val="21"/>
                <w:szCs w:val="21"/>
              </w:rPr>
              <w:t>采购价格虚高的大</w:t>
            </w:r>
            <w:r>
              <w:rPr>
                <w:rFonts w:ascii="宋体" w:hAnsi="宋体" w:cs="宋体" w:eastAsia="宋体" w:hint="default"/>
                <w:spacing w:val="-101"/>
                <w:sz w:val="21"/>
                <w:szCs w:val="21"/>
              </w:rPr>
              <w:t> </w:t>
            </w:r>
            <w:r>
              <w:rPr>
                <w:rFonts w:ascii="宋体" w:hAnsi="宋体" w:cs="宋体" w:eastAsia="宋体" w:hint="default"/>
                <w:sz w:val="21"/>
                <w:szCs w:val="21"/>
              </w:rPr>
              <w:t>功率限幅器困境。</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8"/>
                <w:sz w:val="21"/>
                <w:szCs w:val="21"/>
              </w:rPr>
              <w:t>样品常温验证已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完成，接下来需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要进行环境试验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验证和随产品验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证。</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替代外购的、价格 虚高的大功率限幅 器。</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8"/>
                <w:sz w:val="21"/>
                <w:szCs w:val="21"/>
              </w:rPr>
              <w:t> </w:t>
            </w:r>
            <w:r>
              <w:rPr>
                <w:rFonts w:ascii="宋体" w:hAnsi="宋体" w:cs="宋体" w:eastAsia="宋体" w:hint="default"/>
                <w:sz w:val="21"/>
                <w:szCs w:val="21"/>
              </w:rPr>
              <w:t>后</w:t>
            </w:r>
            <w:r>
              <w:rPr>
                <w:rFonts w:ascii="宋体" w:hAnsi="宋体" w:cs="宋体" w:eastAsia="宋体" w:hint="default"/>
                <w:spacing w:val="-79"/>
                <w:sz w:val="21"/>
                <w:szCs w:val="21"/>
              </w:rPr>
              <w:t> </w:t>
            </w:r>
            <w:r>
              <w:rPr>
                <w:rFonts w:ascii="宋体" w:hAnsi="宋体" w:cs="宋体" w:eastAsia="宋体" w:hint="default"/>
                <w:sz w:val="21"/>
                <w:szCs w:val="21"/>
              </w:rPr>
              <w:t>类</w:t>
            </w:r>
            <w:r>
              <w:rPr>
                <w:rFonts w:ascii="宋体" w:hAnsi="宋体" w:cs="宋体" w:eastAsia="宋体" w:hint="default"/>
                <w:spacing w:val="-78"/>
                <w:sz w:val="21"/>
                <w:szCs w:val="21"/>
              </w:rPr>
              <w:t> </w:t>
            </w:r>
            <w:r>
              <w:rPr>
                <w:rFonts w:ascii="宋体" w:hAnsi="宋体" w:cs="宋体" w:eastAsia="宋体" w:hint="default"/>
                <w:sz w:val="21"/>
                <w:szCs w:val="21"/>
              </w:rPr>
              <w:t>似</w:t>
            </w:r>
            <w:r>
              <w:rPr>
                <w:rFonts w:ascii="宋体" w:hAnsi="宋体" w:cs="宋体" w:eastAsia="宋体" w:hint="default"/>
                <w:spacing w:val="-78"/>
                <w:sz w:val="21"/>
                <w:szCs w:val="21"/>
              </w:rPr>
              <w:t> </w:t>
            </w:r>
            <w:r>
              <w:rPr>
                <w:rFonts w:ascii="宋体" w:hAnsi="宋体" w:cs="宋体" w:eastAsia="宋体" w:hint="default"/>
                <w:spacing w:val="12"/>
                <w:sz w:val="21"/>
                <w:szCs w:val="21"/>
              </w:rPr>
              <w:t>的限</w:t>
            </w:r>
            <w:r>
              <w:rPr>
                <w:rFonts w:ascii="宋体" w:hAnsi="宋体" w:cs="宋体" w:eastAsia="宋体" w:hint="default"/>
                <w:spacing w:val="-79"/>
                <w:sz w:val="21"/>
                <w:szCs w:val="21"/>
              </w:rPr>
              <w:t> </w:t>
            </w:r>
            <w:r>
              <w:rPr>
                <w:rFonts w:ascii="宋体" w:hAnsi="宋体" w:cs="宋体" w:eastAsia="宋体" w:hint="default"/>
                <w:sz w:val="21"/>
                <w:szCs w:val="21"/>
              </w:rPr>
              <w:t>幅</w:t>
            </w:r>
            <w:r>
              <w:rPr>
                <w:rFonts w:ascii="宋体" w:hAnsi="宋体" w:cs="宋体" w:eastAsia="宋体" w:hint="default"/>
                <w:sz w:val="21"/>
                <w:szCs w:val="21"/>
              </w:rPr>
              <w:t> 器不再需要外购， 且</w:t>
            </w:r>
            <w:r>
              <w:rPr>
                <w:rFonts w:ascii="宋体" w:hAnsi="宋体" w:cs="宋体" w:eastAsia="宋体" w:hint="default"/>
                <w:spacing w:val="-78"/>
                <w:sz w:val="21"/>
                <w:szCs w:val="21"/>
              </w:rPr>
              <w:t> </w:t>
            </w:r>
            <w:r>
              <w:rPr>
                <w:rFonts w:ascii="宋体" w:hAnsi="宋体" w:cs="宋体" w:eastAsia="宋体" w:hint="default"/>
                <w:sz w:val="21"/>
                <w:szCs w:val="21"/>
              </w:rPr>
              <w:t>因</w:t>
            </w:r>
            <w:r>
              <w:rPr>
                <w:rFonts w:ascii="宋体" w:hAnsi="宋体" w:cs="宋体" w:eastAsia="宋体" w:hint="default"/>
                <w:spacing w:val="-79"/>
                <w:sz w:val="21"/>
                <w:szCs w:val="21"/>
              </w:rPr>
              <w:t> </w:t>
            </w:r>
            <w:r>
              <w:rPr>
                <w:rFonts w:ascii="宋体" w:hAnsi="宋体" w:cs="宋体" w:eastAsia="宋体" w:hint="default"/>
                <w:sz w:val="21"/>
                <w:szCs w:val="21"/>
              </w:rPr>
              <w:t>为</w:t>
            </w:r>
            <w:r>
              <w:rPr>
                <w:rFonts w:ascii="宋体" w:hAnsi="宋体" w:cs="宋体" w:eastAsia="宋体" w:hint="default"/>
                <w:spacing w:val="-78"/>
                <w:sz w:val="21"/>
                <w:szCs w:val="21"/>
              </w:rPr>
              <w:t> </w:t>
            </w:r>
            <w:r>
              <w:rPr>
                <w:rFonts w:ascii="宋体" w:hAnsi="宋体" w:cs="宋体" w:eastAsia="宋体" w:hint="default"/>
                <w:sz w:val="21"/>
                <w:szCs w:val="21"/>
              </w:rPr>
              <w:t>我</w:t>
            </w:r>
            <w:r>
              <w:rPr>
                <w:rFonts w:ascii="宋体" w:hAnsi="宋体" w:cs="宋体" w:eastAsia="宋体" w:hint="default"/>
                <w:spacing w:val="-78"/>
                <w:sz w:val="21"/>
                <w:szCs w:val="21"/>
              </w:rPr>
              <w:t> </w:t>
            </w:r>
            <w:r>
              <w:rPr>
                <w:rFonts w:ascii="宋体" w:hAnsi="宋体" w:cs="宋体" w:eastAsia="宋体" w:hint="default"/>
                <w:spacing w:val="12"/>
                <w:sz w:val="21"/>
                <w:szCs w:val="21"/>
              </w:rPr>
              <w:t>司可</w:t>
            </w:r>
            <w:r>
              <w:rPr>
                <w:rFonts w:ascii="宋体" w:hAnsi="宋体" w:cs="宋体" w:eastAsia="宋体" w:hint="default"/>
                <w:spacing w:val="-79"/>
                <w:sz w:val="21"/>
                <w:szCs w:val="21"/>
              </w:rPr>
              <w:t> </w:t>
            </w:r>
            <w:r>
              <w:rPr>
                <w:rFonts w:ascii="宋体" w:hAnsi="宋体" w:cs="宋体" w:eastAsia="宋体" w:hint="default"/>
                <w:sz w:val="21"/>
                <w:szCs w:val="21"/>
              </w:rPr>
              <w:t>自</w:t>
            </w:r>
            <w:r>
              <w:rPr>
                <w:rFonts w:ascii="宋体" w:hAnsi="宋体" w:cs="宋体" w:eastAsia="宋体" w:hint="default"/>
                <w:sz w:val="21"/>
                <w:szCs w:val="21"/>
              </w:rPr>
              <w:t> </w:t>
            </w:r>
            <w:r>
              <w:rPr>
                <w:rFonts w:ascii="宋体" w:hAnsi="宋体" w:cs="宋体" w:eastAsia="宋体" w:hint="default"/>
                <w:spacing w:val="-7"/>
                <w:sz w:val="21"/>
                <w:szCs w:val="21"/>
              </w:rPr>
              <w:t>行研发，能够提高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设计灵活度，让复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3"/>
                <w:sz w:val="21"/>
                <w:szCs w:val="21"/>
              </w:rPr>
              <w:t>杂产</w:t>
            </w:r>
            <w:r>
              <w:rPr>
                <w:rFonts w:ascii="宋体" w:hAnsi="宋体" w:cs="宋体" w:eastAsia="宋体" w:hint="default"/>
                <w:spacing w:val="-79"/>
                <w:sz w:val="21"/>
                <w:szCs w:val="21"/>
              </w:rPr>
              <w:t> </w:t>
            </w:r>
            <w:r>
              <w:rPr>
                <w:rFonts w:ascii="宋体" w:hAnsi="宋体" w:cs="宋体" w:eastAsia="宋体" w:hint="default"/>
                <w:sz w:val="21"/>
                <w:szCs w:val="21"/>
              </w:rPr>
              <w:t>品</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设计</w:t>
            </w:r>
            <w:r>
              <w:rPr>
                <w:rFonts w:ascii="宋体" w:hAnsi="宋体" w:cs="宋体" w:eastAsia="宋体" w:hint="default"/>
                <w:spacing w:val="-79"/>
                <w:sz w:val="21"/>
                <w:szCs w:val="21"/>
              </w:rPr>
              <w:t> </w:t>
            </w:r>
            <w:r>
              <w:rPr>
                <w:rFonts w:ascii="宋体" w:hAnsi="宋体" w:cs="宋体" w:eastAsia="宋体" w:hint="default"/>
                <w:sz w:val="21"/>
                <w:szCs w:val="21"/>
              </w:rPr>
              <w:t>更</w:t>
            </w:r>
            <w:r>
              <w:rPr>
                <w:rFonts w:ascii="宋体" w:hAnsi="宋体" w:cs="宋体" w:eastAsia="宋体" w:hint="default"/>
                <w:sz w:val="21"/>
                <w:szCs w:val="21"/>
              </w:rPr>
              <w:t> </w:t>
            </w:r>
            <w:r>
              <w:rPr>
                <w:rFonts w:ascii="宋体" w:hAnsi="宋体" w:cs="宋体" w:eastAsia="宋体" w:hint="default"/>
                <w:spacing w:val="-7"/>
                <w:sz w:val="21"/>
                <w:szCs w:val="21"/>
              </w:rPr>
              <w:t>容易实现。同时降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低成本。</w:t>
            </w:r>
          </w:p>
        </w:tc>
      </w:tr>
      <w:tr>
        <w:trPr>
          <w:trHeight w:val="2220"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AGC/AVC </w:t>
            </w:r>
            <w:r>
              <w:rPr>
                <w:rFonts w:ascii="宋体" w:hAnsi="宋体" w:cs="宋体" w:eastAsia="宋体" w:hint="default"/>
                <w:sz w:val="21"/>
                <w:szCs w:val="21"/>
              </w:rPr>
              <w:t>调</w:t>
            </w:r>
            <w:r>
              <w:rPr>
                <w:rFonts w:ascii="宋体" w:hAnsi="宋体" w:cs="宋体" w:eastAsia="宋体" w:hint="default"/>
                <w:spacing w:val="-35"/>
                <w:sz w:val="21"/>
                <w:szCs w:val="21"/>
              </w:rPr>
              <w:t> </w:t>
            </w:r>
            <w:r>
              <w:rPr>
                <w:rFonts w:ascii="宋体" w:hAnsi="宋体" w:cs="宋体" w:eastAsia="宋体" w:hint="default"/>
                <w:sz w:val="21"/>
                <w:szCs w:val="21"/>
              </w:rPr>
              <w:t>节</w:t>
            </w:r>
            <w:r>
              <w:rPr>
                <w:rFonts w:ascii="宋体" w:hAnsi="宋体" w:cs="宋体" w:eastAsia="宋体" w:hint="default"/>
                <w:sz w:val="21"/>
                <w:szCs w:val="21"/>
              </w:rPr>
              <w:t> 电 量 变 送</w:t>
            </w:r>
            <w:r>
              <w:rPr>
                <w:rFonts w:ascii="宋体" w:hAnsi="宋体" w:cs="宋体" w:eastAsia="宋体" w:hint="default"/>
                <w:spacing w:val="68"/>
                <w:sz w:val="21"/>
                <w:szCs w:val="21"/>
              </w:rPr>
              <w:t> </w:t>
            </w:r>
            <w:r>
              <w:rPr>
                <w:rFonts w:ascii="宋体" w:hAnsi="宋体" w:cs="宋体" w:eastAsia="宋体" w:hint="default"/>
                <w:sz w:val="21"/>
                <w:szCs w:val="21"/>
              </w:rPr>
              <w:t>器</w:t>
            </w:r>
          </w:p>
          <w:p>
            <w:pPr>
              <w:pStyle w:val="TableParagraph"/>
              <w:spacing w:line="240" w:lineRule="auto" w:before="22"/>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RD1701</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
              <w:jc w:val="both"/>
              <w:rPr>
                <w:rFonts w:ascii="宋体" w:hAnsi="宋体" w:cs="宋体" w:eastAsia="宋体" w:hint="default"/>
                <w:sz w:val="21"/>
                <w:szCs w:val="21"/>
              </w:rPr>
            </w:pPr>
            <w:r>
              <w:rPr>
                <w:rFonts w:ascii="宋体" w:hAnsi="宋体" w:cs="宋体" w:eastAsia="宋体" w:hint="default"/>
                <w:spacing w:val="17"/>
                <w:sz w:val="21"/>
                <w:szCs w:val="21"/>
              </w:rPr>
              <w:t>研发一款适合电厂</w:t>
            </w:r>
            <w:r>
              <w:rPr>
                <w:rFonts w:ascii="宋体" w:hAnsi="宋体" w:cs="宋体" w:eastAsia="宋体" w:hint="default"/>
                <w:spacing w:val="-101"/>
                <w:sz w:val="21"/>
                <w:szCs w:val="21"/>
              </w:rPr>
              <w:t> </w:t>
            </w:r>
            <w:r>
              <w:rPr>
                <w:rFonts w:ascii="宋体" w:hAnsi="宋体" w:cs="宋体" w:eastAsia="宋体" w:hint="default"/>
                <w:spacing w:val="17"/>
                <w:sz w:val="21"/>
                <w:szCs w:val="21"/>
              </w:rPr>
              <w:t>自动化系统控制要</w:t>
            </w:r>
            <w:r>
              <w:rPr>
                <w:rFonts w:ascii="宋体" w:hAnsi="宋体" w:cs="宋体" w:eastAsia="宋体" w:hint="default"/>
                <w:spacing w:val="-101"/>
                <w:sz w:val="21"/>
                <w:szCs w:val="21"/>
              </w:rPr>
              <w:t> </w:t>
            </w:r>
            <w:r>
              <w:rPr>
                <w:rFonts w:ascii="宋体" w:hAnsi="宋体" w:cs="宋体" w:eastAsia="宋体" w:hint="default"/>
                <w:sz w:val="21"/>
                <w:szCs w:val="21"/>
              </w:rPr>
              <w:t>求的智能变送器。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8"/>
                <w:sz w:val="21"/>
                <w:szCs w:val="21"/>
              </w:rPr>
              <w:t>本年度已经按最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新的国网规范进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行产品设计，样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机</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公</w:t>
            </w:r>
            <w:r>
              <w:rPr>
                <w:rFonts w:ascii="宋体" w:hAnsi="宋体" w:cs="宋体" w:eastAsia="宋体" w:hint="default"/>
                <w:spacing w:val="-49"/>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r>
              <w:rPr>
                <w:rFonts w:ascii="宋体" w:hAnsi="宋体" w:cs="宋体" w:eastAsia="宋体" w:hint="default"/>
                <w:spacing w:val="8"/>
                <w:sz w:val="21"/>
                <w:szCs w:val="21"/>
              </w:rPr>
              <w:t>测，并已经送样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国网电科院取检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验报告。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采用数字化技术丰 富电测量变送器的 产品线，满足水电 厂客户的需求。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扩</w:t>
            </w:r>
            <w:r>
              <w:rPr>
                <w:rFonts w:ascii="宋体" w:hAnsi="宋体" w:cs="宋体" w:eastAsia="宋体" w:hint="default"/>
                <w:spacing w:val="-78"/>
                <w:sz w:val="21"/>
                <w:szCs w:val="21"/>
              </w:rPr>
              <w:t> </w:t>
            </w:r>
            <w:r>
              <w:rPr>
                <w:rFonts w:ascii="宋体" w:hAnsi="宋体" w:cs="宋体" w:eastAsia="宋体" w:hint="default"/>
                <w:sz w:val="21"/>
                <w:szCs w:val="21"/>
              </w:rPr>
              <w:t>展</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电测</w:t>
            </w:r>
            <w:r>
              <w:rPr>
                <w:rFonts w:ascii="宋体" w:hAnsi="宋体" w:cs="宋体" w:eastAsia="宋体" w:hint="default"/>
                <w:spacing w:val="-79"/>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r>
              <w:rPr>
                <w:rFonts w:ascii="宋体" w:hAnsi="宋体" w:cs="宋体" w:eastAsia="宋体" w:hint="default"/>
                <w:spacing w:val="-7"/>
                <w:sz w:val="21"/>
                <w:szCs w:val="21"/>
              </w:rPr>
              <w:t>变送器产品线。满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足</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9"/>
                <w:sz w:val="21"/>
                <w:szCs w:val="21"/>
              </w:rPr>
              <w:t> </w:t>
            </w:r>
            <w:r>
              <w:rPr>
                <w:rFonts w:ascii="宋体" w:hAnsi="宋体" w:cs="宋体" w:eastAsia="宋体" w:hint="default"/>
                <w:sz w:val="21"/>
                <w:szCs w:val="21"/>
              </w:rPr>
              <w:t>厂</w:t>
            </w:r>
            <w:r>
              <w:rPr>
                <w:rFonts w:ascii="宋体" w:hAnsi="宋体" w:cs="宋体" w:eastAsia="宋体" w:hint="default"/>
                <w:spacing w:val="-78"/>
                <w:sz w:val="21"/>
                <w:szCs w:val="21"/>
              </w:rPr>
              <w:t> </w:t>
            </w:r>
            <w:r>
              <w:rPr>
                <w:rFonts w:ascii="宋体" w:hAnsi="宋体" w:cs="宋体" w:eastAsia="宋体" w:hint="default"/>
                <w:sz w:val="21"/>
                <w:szCs w:val="21"/>
              </w:rPr>
              <w:t>客</w:t>
            </w:r>
            <w:r>
              <w:rPr>
                <w:rFonts w:ascii="宋体" w:hAnsi="宋体" w:cs="宋体" w:eastAsia="宋体" w:hint="default"/>
                <w:spacing w:val="-78"/>
                <w:sz w:val="21"/>
                <w:szCs w:val="21"/>
              </w:rPr>
              <w:t> </w:t>
            </w:r>
            <w:r>
              <w:rPr>
                <w:rFonts w:ascii="宋体" w:hAnsi="宋体" w:cs="宋体" w:eastAsia="宋体" w:hint="default"/>
                <w:spacing w:val="12"/>
                <w:sz w:val="21"/>
                <w:szCs w:val="21"/>
              </w:rPr>
              <w:t>户的</w:t>
            </w:r>
            <w:r>
              <w:rPr>
                <w:rFonts w:ascii="宋体" w:hAnsi="宋体" w:cs="宋体" w:eastAsia="宋体" w:hint="default"/>
                <w:spacing w:val="-79"/>
                <w:sz w:val="21"/>
                <w:szCs w:val="21"/>
              </w:rPr>
              <w:t> </w:t>
            </w:r>
            <w:r>
              <w:rPr>
                <w:rFonts w:ascii="宋体" w:hAnsi="宋体" w:cs="宋体" w:eastAsia="宋体" w:hint="default"/>
                <w:sz w:val="21"/>
                <w:szCs w:val="21"/>
              </w:rPr>
              <w:t>特</w:t>
            </w:r>
            <w:r>
              <w:rPr>
                <w:rFonts w:ascii="宋体" w:hAnsi="宋体" w:cs="宋体" w:eastAsia="宋体" w:hint="default"/>
                <w:sz w:val="21"/>
                <w:szCs w:val="21"/>
              </w:rPr>
              <w:t> </w:t>
            </w:r>
            <w:r>
              <w:rPr>
                <w:rFonts w:ascii="宋体" w:hAnsi="宋体" w:cs="宋体" w:eastAsia="宋体" w:hint="default"/>
                <w:spacing w:val="-7"/>
                <w:sz w:val="21"/>
                <w:szCs w:val="21"/>
              </w:rPr>
              <w:t>殊需求，支持公司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的持续发展。</w:t>
            </w:r>
          </w:p>
        </w:tc>
      </w:tr>
      <w:tr>
        <w:trPr>
          <w:trHeight w:val="2572"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44"/>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PTC-8125M-F/P</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TC-8320M-F  </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单</w:t>
            </w:r>
          </w:p>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三相拆回电能表 分拣装置的研发</w:t>
            </w:r>
            <w:r>
              <w:rPr>
                <w:rFonts w:ascii="宋体" w:hAnsi="宋体" w:cs="宋体" w:eastAsia="宋体" w:hint="default"/>
                <w:sz w:val="21"/>
                <w:szCs w:val="21"/>
              </w:rPr>
            </w:r>
          </w:p>
          <w:p>
            <w:pPr>
              <w:pStyle w:val="TableParagraph"/>
              <w:spacing w:line="240" w:lineRule="auto" w:before="8"/>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RD1801</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7"/>
              <w:jc w:val="both"/>
              <w:rPr>
                <w:rFonts w:ascii="宋体" w:hAnsi="宋体" w:cs="宋体" w:eastAsia="宋体" w:hint="default"/>
                <w:sz w:val="21"/>
                <w:szCs w:val="21"/>
              </w:rPr>
            </w:pPr>
            <w:r>
              <w:rPr>
                <w:rFonts w:ascii="宋体" w:hAnsi="宋体" w:cs="宋体" w:eastAsia="宋体" w:hint="default"/>
                <w:spacing w:val="17"/>
                <w:sz w:val="21"/>
                <w:szCs w:val="21"/>
              </w:rPr>
              <w:t>配合国网公司的拆</w:t>
            </w:r>
            <w:r>
              <w:rPr>
                <w:rFonts w:ascii="宋体" w:hAnsi="宋体" w:cs="宋体" w:eastAsia="宋体" w:hint="default"/>
                <w:spacing w:val="-101"/>
                <w:sz w:val="21"/>
                <w:szCs w:val="21"/>
              </w:rPr>
              <w:t> </w:t>
            </w:r>
            <w:r>
              <w:rPr>
                <w:rFonts w:ascii="宋体" w:hAnsi="宋体" w:cs="宋体" w:eastAsia="宋体" w:hint="default"/>
                <w:spacing w:val="-8"/>
                <w:sz w:val="21"/>
                <w:szCs w:val="21"/>
              </w:rPr>
              <w:t>回表分拣项目，实现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对拆回电表的分拣</w:t>
            </w:r>
            <w:r>
              <w:rPr>
                <w:rFonts w:ascii="宋体" w:hAnsi="宋体" w:cs="宋体" w:eastAsia="宋体" w:hint="default"/>
                <w:spacing w:val="-101"/>
                <w:sz w:val="21"/>
                <w:szCs w:val="21"/>
              </w:rPr>
              <w:t> </w:t>
            </w:r>
            <w:r>
              <w:rPr>
                <w:rFonts w:ascii="宋体" w:hAnsi="宋体" w:cs="宋体" w:eastAsia="宋体" w:hint="default"/>
                <w:sz w:val="21"/>
                <w:szCs w:val="21"/>
              </w:rPr>
              <w:t>处理。</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5"/>
              <w:ind w:left="2" w:right="2"/>
              <w:jc w:val="left"/>
              <w:rPr>
                <w:rFonts w:ascii="宋体" w:hAnsi="宋体" w:cs="宋体" w:eastAsia="宋体" w:hint="default"/>
                <w:sz w:val="21"/>
                <w:szCs w:val="21"/>
              </w:rPr>
            </w:pPr>
            <w:r>
              <w:rPr>
                <w:rFonts w:ascii="宋体" w:hAnsi="宋体" w:cs="宋体" w:eastAsia="宋体" w:hint="default"/>
                <w:spacing w:val="8"/>
                <w:sz w:val="21"/>
                <w:szCs w:val="21"/>
              </w:rPr>
              <w:t>本年度的分拣装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置</w:t>
            </w:r>
            <w:r>
              <w:rPr>
                <w:rFonts w:ascii="宋体" w:hAnsi="宋体" w:cs="宋体" w:eastAsia="宋体" w:hint="default"/>
                <w:spacing w:val="-50"/>
                <w:sz w:val="21"/>
                <w:szCs w:val="21"/>
              </w:rPr>
              <w:t> </w:t>
            </w:r>
            <w:r>
              <w:rPr>
                <w:rFonts w:ascii="宋体" w:hAnsi="宋体" w:cs="宋体" w:eastAsia="宋体" w:hint="default"/>
                <w:sz w:val="21"/>
                <w:szCs w:val="21"/>
              </w:rPr>
              <w:t>样</w:t>
            </w:r>
            <w:r>
              <w:rPr>
                <w:rFonts w:ascii="宋体" w:hAnsi="宋体" w:cs="宋体" w:eastAsia="宋体" w:hint="default"/>
                <w:spacing w:val="-50"/>
                <w:sz w:val="21"/>
                <w:szCs w:val="21"/>
              </w:rPr>
              <w:t> </w:t>
            </w:r>
            <w:r>
              <w:rPr>
                <w:rFonts w:ascii="宋体" w:hAnsi="宋体" w:cs="宋体" w:eastAsia="宋体" w:hint="default"/>
                <w:sz w:val="21"/>
                <w:szCs w:val="21"/>
              </w:rPr>
              <w:t>机</w:t>
            </w:r>
            <w:r>
              <w:rPr>
                <w:rFonts w:ascii="宋体" w:hAnsi="宋体" w:cs="宋体" w:eastAsia="宋体" w:hint="default"/>
                <w:spacing w:val="-50"/>
                <w:sz w:val="21"/>
                <w:szCs w:val="21"/>
              </w:rPr>
              <w:t> </w:t>
            </w:r>
            <w:r>
              <w:rPr>
                <w:rFonts w:ascii="宋体" w:hAnsi="宋体" w:cs="宋体" w:eastAsia="宋体" w:hint="default"/>
                <w:sz w:val="21"/>
                <w:szCs w:val="21"/>
              </w:rPr>
              <w:t>已</w:t>
            </w:r>
            <w:r>
              <w:rPr>
                <w:rFonts w:ascii="宋体" w:hAnsi="宋体" w:cs="宋体" w:eastAsia="宋体" w:hint="default"/>
                <w:spacing w:val="-49"/>
                <w:sz w:val="21"/>
                <w:szCs w:val="21"/>
              </w:rPr>
              <w:t> </w:t>
            </w:r>
            <w:r>
              <w:rPr>
                <w:rFonts w:ascii="宋体" w:hAnsi="宋体" w:cs="宋体" w:eastAsia="宋体" w:hint="default"/>
                <w:sz w:val="21"/>
                <w:szCs w:val="21"/>
              </w:rPr>
              <w:t>经</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z w:val="21"/>
                <w:szCs w:val="21"/>
              </w:rPr>
              <w:t> </w:t>
            </w:r>
            <w:r>
              <w:rPr>
                <w:rFonts w:ascii="宋体" w:hAnsi="宋体" w:cs="宋体" w:eastAsia="宋体" w:hint="default"/>
                <w:spacing w:val="-6"/>
                <w:sz w:val="21"/>
                <w:szCs w:val="21"/>
              </w:rPr>
              <w:t>成，并完成测试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最近在投标国网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各省网电力的分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拣装置的招标项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目。</w:t>
            </w:r>
            <w:r>
              <w:rPr>
                <w:rFonts w:ascii="Times New Roman" w:hAnsi="Times New Roman" w:cs="Times New Roman" w:eastAsia="Times New Roman" w:hint="default"/>
                <w:spacing w:val="7"/>
                <w:sz w:val="21"/>
                <w:szCs w:val="21"/>
              </w:rPr>
              <w:t>2019</w:t>
            </w:r>
            <w:r>
              <w:rPr>
                <w:rFonts w:ascii="宋体" w:hAnsi="宋体" w:cs="宋体" w:eastAsia="宋体" w:hint="default"/>
                <w:spacing w:val="7"/>
                <w:sz w:val="21"/>
                <w:szCs w:val="21"/>
              </w:rPr>
              <w:t>年中标</w:t>
            </w:r>
            <w:r>
              <w:rPr>
                <w:rFonts w:ascii="宋体" w:hAnsi="宋体" w:cs="宋体" w:eastAsia="宋体" w:hint="default"/>
                <w:sz w:val="21"/>
                <w:szCs w:val="21"/>
              </w:rPr>
              <w:t> </w:t>
            </w:r>
            <w:r>
              <w:rPr>
                <w:rFonts w:ascii="宋体" w:hAnsi="宋体" w:cs="宋体" w:eastAsia="宋体" w:hint="default"/>
                <w:spacing w:val="8"/>
                <w:sz w:val="21"/>
                <w:szCs w:val="21"/>
              </w:rPr>
              <w:t>湖南，吉林等国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3"/>
              <w:jc w:val="left"/>
              <w:rPr>
                <w:rFonts w:ascii="宋体" w:hAnsi="宋体" w:cs="宋体" w:eastAsia="宋体" w:hint="default"/>
                <w:sz w:val="21"/>
                <w:szCs w:val="21"/>
              </w:rPr>
            </w:pPr>
            <w:r>
              <w:rPr>
                <w:rFonts w:ascii="宋体" w:hAnsi="宋体" w:cs="宋体" w:eastAsia="宋体" w:hint="default"/>
                <w:sz w:val="21"/>
                <w:szCs w:val="21"/>
              </w:rPr>
              <w:t>完成国网对拆回表 检测的技术要求。</w:t>
            </w:r>
          </w:p>
          <w:p>
            <w:pPr>
              <w:pStyle w:val="TableParagraph"/>
              <w:spacing w:line="240" w:lineRule="auto" w:before="6"/>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满</w:t>
            </w:r>
            <w:r>
              <w:rPr>
                <w:rFonts w:ascii="宋体" w:hAnsi="宋体" w:cs="宋体" w:eastAsia="宋体" w:hint="default"/>
                <w:spacing w:val="-78"/>
                <w:sz w:val="21"/>
                <w:szCs w:val="21"/>
              </w:rPr>
              <w:t> </w:t>
            </w:r>
            <w:r>
              <w:rPr>
                <w:rFonts w:ascii="宋体" w:hAnsi="宋体" w:cs="宋体" w:eastAsia="宋体" w:hint="default"/>
                <w:sz w:val="21"/>
                <w:szCs w:val="21"/>
              </w:rPr>
              <w:t>足</w:t>
            </w:r>
            <w:r>
              <w:rPr>
                <w:rFonts w:ascii="宋体" w:hAnsi="宋体" w:cs="宋体" w:eastAsia="宋体" w:hint="default"/>
                <w:spacing w:val="-79"/>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8"/>
                <w:sz w:val="21"/>
                <w:szCs w:val="21"/>
              </w:rPr>
              <w:t> </w:t>
            </w:r>
            <w:r>
              <w:rPr>
                <w:rFonts w:ascii="宋体" w:hAnsi="宋体" w:cs="宋体" w:eastAsia="宋体" w:hint="default"/>
                <w:spacing w:val="12"/>
                <w:sz w:val="21"/>
                <w:szCs w:val="21"/>
              </w:rPr>
              <w:t>电力</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表</w:t>
            </w:r>
            <w:r>
              <w:rPr>
                <w:rFonts w:ascii="宋体" w:hAnsi="宋体" w:cs="宋体" w:eastAsia="宋体" w:hint="default"/>
                <w:spacing w:val="-78"/>
                <w:sz w:val="21"/>
                <w:szCs w:val="21"/>
              </w:rPr>
              <w:t> </w:t>
            </w:r>
            <w:r>
              <w:rPr>
                <w:rFonts w:ascii="宋体" w:hAnsi="宋体" w:cs="宋体" w:eastAsia="宋体" w:hint="default"/>
                <w:spacing w:val="12"/>
                <w:sz w:val="21"/>
                <w:szCs w:val="21"/>
              </w:rPr>
              <w:t>全生</w:t>
            </w:r>
            <w:r>
              <w:rPr>
                <w:rFonts w:ascii="宋体" w:hAnsi="宋体" w:cs="宋体" w:eastAsia="宋体" w:hint="default"/>
                <w:spacing w:val="-79"/>
                <w:sz w:val="21"/>
                <w:szCs w:val="21"/>
              </w:rPr>
              <w:t> </w:t>
            </w:r>
            <w:r>
              <w:rPr>
                <w:rFonts w:ascii="宋体" w:hAnsi="宋体" w:cs="宋体" w:eastAsia="宋体" w:hint="default"/>
                <w:sz w:val="21"/>
                <w:szCs w:val="21"/>
              </w:rPr>
              <w:t>命</w:t>
            </w:r>
            <w:r>
              <w:rPr>
                <w:rFonts w:ascii="宋体" w:hAnsi="宋体" w:cs="宋体" w:eastAsia="宋体" w:hint="default"/>
                <w:sz w:val="21"/>
                <w:szCs w:val="21"/>
              </w:rPr>
              <w:t> </w:t>
            </w:r>
            <w:r>
              <w:rPr>
                <w:rFonts w:ascii="宋体" w:hAnsi="宋体" w:cs="宋体" w:eastAsia="宋体" w:hint="default"/>
                <w:spacing w:val="-7"/>
                <w:sz w:val="21"/>
                <w:szCs w:val="21"/>
              </w:rPr>
              <w:t>走期的管控，扩展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测</w:t>
            </w:r>
            <w:r>
              <w:rPr>
                <w:rFonts w:ascii="宋体" w:hAnsi="宋体" w:cs="宋体" w:eastAsia="宋体" w:hint="default"/>
                <w:spacing w:val="-78"/>
                <w:sz w:val="21"/>
                <w:szCs w:val="21"/>
              </w:rPr>
              <w:t> </w:t>
            </w:r>
            <w:r>
              <w:rPr>
                <w:rFonts w:ascii="宋体" w:hAnsi="宋体" w:cs="宋体" w:eastAsia="宋体" w:hint="default"/>
                <w:spacing w:val="12"/>
                <w:sz w:val="21"/>
                <w:szCs w:val="21"/>
              </w:rPr>
              <w:t>装置</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7"/>
                <w:sz w:val="21"/>
                <w:szCs w:val="21"/>
              </w:rPr>
              <w:t>业务范围，支持公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司的持续发展。</w:t>
            </w:r>
          </w:p>
        </w:tc>
      </w:tr>
    </w:tbl>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386"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网省公司。</w:t>
            </w:r>
          </w:p>
        </w:tc>
        <w:tc>
          <w:tcPr>
            <w:tcW w:w="1701"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2612"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tabs>
                <w:tab w:pos="1334" w:val="left" w:leader="none"/>
              </w:tabs>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PTC-8370-M</w:t>
              <w:tab/>
            </w:r>
            <w:r>
              <w:rPr>
                <w:rFonts w:ascii="宋体" w:hAnsi="宋体" w:cs="宋体" w:eastAsia="宋体" w:hint="default"/>
                <w:sz w:val="21"/>
                <w:szCs w:val="21"/>
              </w:rPr>
              <w:t>二</w:t>
            </w:r>
          </w:p>
          <w:p>
            <w:pPr>
              <w:pStyle w:val="TableParagraph"/>
              <w:spacing w:line="273" w:lineRule="auto" w:before="21"/>
              <w:ind w:left="2" w:right="-9"/>
              <w:jc w:val="left"/>
              <w:rPr>
                <w:rFonts w:ascii="宋体" w:hAnsi="宋体" w:cs="宋体" w:eastAsia="宋体" w:hint="default"/>
                <w:sz w:val="21"/>
                <w:szCs w:val="21"/>
              </w:rPr>
            </w:pPr>
            <w:r>
              <w:rPr>
                <w:rFonts w:ascii="宋体" w:hAnsi="宋体" w:cs="宋体" w:eastAsia="宋体" w:hint="default"/>
                <w:spacing w:val="12"/>
                <w:sz w:val="21"/>
                <w:szCs w:val="21"/>
              </w:rPr>
              <w:t>次回路状态巡检 </w:t>
            </w:r>
            <w:r>
              <w:rPr>
                <w:rFonts w:ascii="宋体" w:hAnsi="宋体" w:cs="宋体" w:eastAsia="宋体" w:hint="default"/>
                <w:sz w:val="21"/>
                <w:szCs w:val="21"/>
              </w:rPr>
              <w:t>仪 检 定 装</w:t>
            </w:r>
            <w:r>
              <w:rPr>
                <w:rFonts w:ascii="宋体" w:hAnsi="宋体" w:cs="宋体" w:eastAsia="宋体" w:hint="default"/>
                <w:spacing w:val="68"/>
                <w:sz w:val="21"/>
                <w:szCs w:val="21"/>
              </w:rPr>
              <w:t> </w:t>
            </w:r>
            <w:r>
              <w:rPr>
                <w:rFonts w:ascii="宋体" w:hAnsi="宋体" w:cs="宋体" w:eastAsia="宋体" w:hint="default"/>
                <w:sz w:val="21"/>
                <w:szCs w:val="21"/>
              </w:rPr>
              <w:t>置</w:t>
            </w:r>
          </w:p>
          <w:p>
            <w:pPr>
              <w:pStyle w:val="TableParagraph"/>
              <w:spacing w:line="240" w:lineRule="auto" w:before="8"/>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RD1802</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研发一款满足国网</w:t>
            </w:r>
            <w:r>
              <w:rPr>
                <w:rFonts w:ascii="宋体" w:hAnsi="宋体" w:cs="宋体" w:eastAsia="宋体" w:hint="default"/>
                <w:spacing w:val="-101"/>
                <w:sz w:val="21"/>
                <w:szCs w:val="21"/>
              </w:rPr>
              <w:t> </w:t>
            </w:r>
            <w:r>
              <w:rPr>
                <w:rFonts w:ascii="宋体" w:hAnsi="宋体" w:cs="宋体" w:eastAsia="宋体" w:hint="default"/>
                <w:spacing w:val="17"/>
                <w:sz w:val="21"/>
                <w:szCs w:val="21"/>
              </w:rPr>
              <w:t>巡检终端全检和抽</w:t>
            </w:r>
            <w:r>
              <w:rPr>
                <w:rFonts w:ascii="宋体" w:hAnsi="宋体" w:cs="宋体" w:eastAsia="宋体" w:hint="default"/>
                <w:spacing w:val="-101"/>
                <w:sz w:val="21"/>
                <w:szCs w:val="21"/>
              </w:rPr>
              <w:t> </w:t>
            </w:r>
            <w:r>
              <w:rPr>
                <w:rFonts w:ascii="宋体" w:hAnsi="宋体" w:cs="宋体" w:eastAsia="宋体" w:hint="default"/>
                <w:spacing w:val="17"/>
                <w:sz w:val="21"/>
                <w:szCs w:val="21"/>
              </w:rPr>
              <w:t>检的全功能测试需</w:t>
            </w:r>
            <w:r>
              <w:rPr>
                <w:rFonts w:ascii="宋体" w:hAnsi="宋体" w:cs="宋体" w:eastAsia="宋体" w:hint="default"/>
                <w:spacing w:val="-101"/>
                <w:sz w:val="21"/>
                <w:szCs w:val="21"/>
              </w:rPr>
              <w:t> </w:t>
            </w:r>
            <w:r>
              <w:rPr>
                <w:rFonts w:ascii="宋体" w:hAnsi="宋体" w:cs="宋体" w:eastAsia="宋体" w:hint="default"/>
                <w:sz w:val="21"/>
                <w:szCs w:val="21"/>
              </w:rPr>
              <w:t>要的新产品。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pacing w:val="8"/>
                <w:sz w:val="21"/>
                <w:szCs w:val="21"/>
              </w:rPr>
              <w:t>本年度已经完成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样机的试制，产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品并已交付给国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网的几个省公司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电力计量中心客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户使用。浙江的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二合一测试装置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也已经交付。</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实现对国网的新产 品，巡检终端的性 能抽检和全检。满 足客户要求。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both"/>
              <w:rPr>
                <w:rFonts w:ascii="宋体" w:hAnsi="宋体" w:cs="宋体" w:eastAsia="宋体" w:hint="default"/>
                <w:sz w:val="21"/>
                <w:szCs w:val="21"/>
              </w:rPr>
            </w:pPr>
            <w:r>
              <w:rPr>
                <w:rFonts w:ascii="宋体" w:hAnsi="宋体" w:cs="宋体" w:eastAsia="宋体" w:hint="default"/>
                <w:sz w:val="21"/>
                <w:szCs w:val="21"/>
              </w:rPr>
              <w:t>扩</w:t>
            </w:r>
            <w:r>
              <w:rPr>
                <w:rFonts w:ascii="宋体" w:hAnsi="宋体" w:cs="宋体" w:eastAsia="宋体" w:hint="default"/>
                <w:spacing w:val="-78"/>
                <w:sz w:val="21"/>
                <w:szCs w:val="21"/>
              </w:rPr>
              <w:t> </w:t>
            </w:r>
            <w:r>
              <w:rPr>
                <w:rFonts w:ascii="宋体" w:hAnsi="宋体" w:cs="宋体" w:eastAsia="宋体" w:hint="default"/>
                <w:sz w:val="21"/>
                <w:szCs w:val="21"/>
              </w:rPr>
              <w:t>展</w:t>
            </w:r>
            <w:r>
              <w:rPr>
                <w:rFonts w:ascii="宋体" w:hAnsi="宋体" w:cs="宋体" w:eastAsia="宋体" w:hint="default"/>
                <w:spacing w:val="-79"/>
                <w:sz w:val="21"/>
                <w:szCs w:val="21"/>
              </w:rPr>
              <w:t> </w:t>
            </w:r>
            <w:r>
              <w:rPr>
                <w:rFonts w:ascii="宋体" w:hAnsi="宋体" w:cs="宋体" w:eastAsia="宋体" w:hint="default"/>
                <w:sz w:val="21"/>
                <w:szCs w:val="21"/>
              </w:rPr>
              <w:t>专</w:t>
            </w:r>
            <w:r>
              <w:rPr>
                <w:rFonts w:ascii="宋体" w:hAnsi="宋体" w:cs="宋体" w:eastAsia="宋体" w:hint="default"/>
                <w:spacing w:val="-78"/>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pacing w:val="12"/>
                <w:sz w:val="21"/>
                <w:szCs w:val="21"/>
              </w:rPr>
              <w:t>终端</w:t>
            </w:r>
            <w:r>
              <w:rPr>
                <w:rFonts w:ascii="宋体" w:hAnsi="宋体" w:cs="宋体" w:eastAsia="宋体" w:hint="default"/>
                <w:spacing w:val="-79"/>
                <w:sz w:val="21"/>
                <w:szCs w:val="21"/>
              </w:rPr>
              <w:t> </w:t>
            </w:r>
            <w:r>
              <w:rPr>
                <w:rFonts w:ascii="宋体" w:hAnsi="宋体" w:cs="宋体" w:eastAsia="宋体" w:hint="default"/>
                <w:sz w:val="21"/>
                <w:szCs w:val="21"/>
              </w:rPr>
              <w:t>测</w:t>
            </w:r>
            <w:r>
              <w:rPr>
                <w:rFonts w:ascii="宋体" w:hAnsi="宋体" w:cs="宋体" w:eastAsia="宋体" w:hint="default"/>
                <w:sz w:val="21"/>
                <w:szCs w:val="21"/>
              </w:rPr>
              <w:t> 试装置的产品线， 满</w:t>
            </w:r>
            <w:r>
              <w:rPr>
                <w:rFonts w:ascii="宋体" w:hAnsi="宋体" w:cs="宋体" w:eastAsia="宋体" w:hint="default"/>
                <w:spacing w:val="-78"/>
                <w:sz w:val="21"/>
                <w:szCs w:val="21"/>
              </w:rPr>
              <w:t> </w:t>
            </w:r>
            <w:r>
              <w:rPr>
                <w:rFonts w:ascii="宋体" w:hAnsi="宋体" w:cs="宋体" w:eastAsia="宋体" w:hint="default"/>
                <w:sz w:val="21"/>
                <w:szCs w:val="21"/>
              </w:rPr>
              <w:t>足</w:t>
            </w:r>
            <w:r>
              <w:rPr>
                <w:rFonts w:ascii="宋体" w:hAnsi="宋体" w:cs="宋体" w:eastAsia="宋体" w:hint="default"/>
                <w:spacing w:val="-79"/>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8"/>
                <w:sz w:val="21"/>
                <w:szCs w:val="21"/>
              </w:rPr>
              <w:t> </w:t>
            </w:r>
            <w:r>
              <w:rPr>
                <w:rFonts w:ascii="宋体" w:hAnsi="宋体" w:cs="宋体" w:eastAsia="宋体" w:hint="default"/>
                <w:spacing w:val="12"/>
                <w:sz w:val="21"/>
                <w:szCs w:val="21"/>
              </w:rPr>
              <w:t>电力</w:t>
            </w:r>
            <w:r>
              <w:rPr>
                <w:rFonts w:ascii="宋体" w:hAnsi="宋体" w:cs="宋体" w:eastAsia="宋体" w:hint="default"/>
                <w:spacing w:val="-79"/>
                <w:sz w:val="21"/>
                <w:szCs w:val="21"/>
              </w:rPr>
              <w:t> </w:t>
            </w:r>
            <w:r>
              <w:rPr>
                <w:rFonts w:ascii="宋体" w:hAnsi="宋体" w:cs="宋体" w:eastAsia="宋体" w:hint="default"/>
                <w:sz w:val="21"/>
                <w:szCs w:val="21"/>
              </w:rPr>
              <w:t>计</w:t>
            </w:r>
            <w:r>
              <w:rPr>
                <w:rFonts w:ascii="宋体" w:hAnsi="宋体" w:cs="宋体" w:eastAsia="宋体" w:hint="default"/>
                <w:sz w:val="21"/>
                <w:szCs w:val="21"/>
              </w:rPr>
              <w:t> 量</w:t>
            </w:r>
            <w:r>
              <w:rPr>
                <w:rFonts w:ascii="宋体" w:hAnsi="宋体" w:cs="宋体" w:eastAsia="宋体" w:hint="default"/>
                <w:spacing w:val="-78"/>
                <w:sz w:val="21"/>
                <w:szCs w:val="21"/>
              </w:rPr>
              <w:t> </w:t>
            </w: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心</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测试</w:t>
            </w:r>
            <w:r>
              <w:rPr>
                <w:rFonts w:ascii="宋体" w:hAnsi="宋体" w:cs="宋体" w:eastAsia="宋体" w:hint="default"/>
                <w:spacing w:val="-79"/>
                <w:sz w:val="21"/>
                <w:szCs w:val="21"/>
              </w:rPr>
              <w:t> </w:t>
            </w:r>
            <w:r>
              <w:rPr>
                <w:rFonts w:ascii="宋体" w:hAnsi="宋体" w:cs="宋体" w:eastAsia="宋体" w:hint="default"/>
                <w:sz w:val="21"/>
                <w:szCs w:val="21"/>
              </w:rPr>
              <w:t>需</w:t>
            </w:r>
            <w:r>
              <w:rPr>
                <w:rFonts w:ascii="宋体" w:hAnsi="宋体" w:cs="宋体" w:eastAsia="宋体" w:hint="default"/>
                <w:sz w:val="21"/>
                <w:szCs w:val="21"/>
              </w:rPr>
              <w:t> </w:t>
            </w:r>
            <w:r>
              <w:rPr>
                <w:rFonts w:ascii="宋体" w:hAnsi="宋体" w:cs="宋体" w:eastAsia="宋体" w:hint="default"/>
                <w:spacing w:val="-7"/>
                <w:sz w:val="21"/>
                <w:szCs w:val="21"/>
              </w:rPr>
              <w:t>求，支持公司的持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续发展。</w:t>
            </w:r>
          </w:p>
        </w:tc>
      </w:tr>
      <w:tr>
        <w:trPr>
          <w:trHeight w:val="2923"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HPU-3660</w:t>
            </w:r>
            <w:r>
              <w:rPr>
                <w:rFonts w:ascii="宋体" w:hAnsi="宋体" w:cs="宋体" w:eastAsia="宋体" w:hint="default"/>
                <w:sz w:val="21"/>
                <w:szCs w:val="21"/>
              </w:rPr>
              <w:t>直流充</w:t>
            </w:r>
          </w:p>
          <w:p>
            <w:pPr>
              <w:pStyle w:val="TableParagraph"/>
              <w:spacing w:line="240" w:lineRule="auto" w:before="21"/>
              <w:ind w:left="2" w:right="-9"/>
              <w:jc w:val="left"/>
              <w:rPr>
                <w:rFonts w:ascii="宋体" w:hAnsi="宋体" w:cs="宋体" w:eastAsia="宋体" w:hint="default"/>
                <w:sz w:val="21"/>
                <w:szCs w:val="21"/>
              </w:rPr>
            </w:pPr>
            <w:r>
              <w:rPr>
                <w:rFonts w:ascii="宋体" w:hAnsi="宋体" w:cs="宋体" w:eastAsia="宋体" w:hint="default"/>
                <w:spacing w:val="12"/>
                <w:sz w:val="21"/>
                <w:szCs w:val="21"/>
              </w:rPr>
              <w:t>电桩现场校验仪</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RD1703</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开发一系列能对电</w:t>
            </w:r>
            <w:r>
              <w:rPr>
                <w:rFonts w:ascii="宋体" w:hAnsi="宋体" w:cs="宋体" w:eastAsia="宋体" w:hint="default"/>
                <w:spacing w:val="-101"/>
                <w:sz w:val="21"/>
                <w:szCs w:val="21"/>
              </w:rPr>
              <w:t> </w:t>
            </w:r>
            <w:r>
              <w:rPr>
                <w:rFonts w:ascii="宋体" w:hAnsi="宋体" w:cs="宋体" w:eastAsia="宋体" w:hint="default"/>
                <w:spacing w:val="17"/>
                <w:sz w:val="21"/>
                <w:szCs w:val="21"/>
              </w:rPr>
              <w:t>动汽车的充电桩设</w:t>
            </w:r>
            <w:r>
              <w:rPr>
                <w:rFonts w:ascii="宋体" w:hAnsi="宋体" w:cs="宋体" w:eastAsia="宋体" w:hint="default"/>
                <w:spacing w:val="-101"/>
                <w:sz w:val="21"/>
                <w:szCs w:val="21"/>
              </w:rPr>
              <w:t> </w:t>
            </w:r>
            <w:r>
              <w:rPr>
                <w:rFonts w:ascii="宋体" w:hAnsi="宋体" w:cs="宋体" w:eastAsia="宋体" w:hint="default"/>
                <w:spacing w:val="17"/>
                <w:sz w:val="21"/>
                <w:szCs w:val="21"/>
              </w:rPr>
              <w:t>备进行现场检测的</w:t>
            </w:r>
            <w:r>
              <w:rPr>
                <w:rFonts w:ascii="宋体" w:hAnsi="宋体" w:cs="宋体" w:eastAsia="宋体" w:hint="default"/>
                <w:spacing w:val="-101"/>
                <w:sz w:val="21"/>
                <w:szCs w:val="21"/>
              </w:rPr>
              <w:t> </w:t>
            </w:r>
            <w:r>
              <w:rPr>
                <w:rFonts w:ascii="宋体" w:hAnsi="宋体" w:cs="宋体" w:eastAsia="宋体" w:hint="default"/>
                <w:spacing w:val="-8"/>
                <w:sz w:val="21"/>
                <w:szCs w:val="21"/>
              </w:rPr>
              <w:t>测试仪。满足技术监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督系统对充电桩的</w:t>
            </w:r>
            <w:r>
              <w:rPr>
                <w:rFonts w:ascii="宋体" w:hAnsi="宋体" w:cs="宋体" w:eastAsia="宋体" w:hint="default"/>
                <w:spacing w:val="-101"/>
                <w:sz w:val="21"/>
                <w:szCs w:val="21"/>
              </w:rPr>
              <w:t> </w:t>
            </w:r>
            <w:r>
              <w:rPr>
                <w:rFonts w:ascii="宋体" w:hAnsi="宋体" w:cs="宋体" w:eastAsia="宋体" w:hint="default"/>
                <w:sz w:val="21"/>
                <w:szCs w:val="21"/>
              </w:rPr>
              <w:t>监督测试要求。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2" w:right="1"/>
              <w:jc w:val="both"/>
              <w:rPr>
                <w:rFonts w:ascii="宋体" w:hAnsi="宋体" w:cs="宋体" w:eastAsia="宋体" w:hint="default"/>
                <w:sz w:val="21"/>
                <w:szCs w:val="21"/>
              </w:rPr>
            </w:pPr>
            <w:r>
              <w:rPr>
                <w:rFonts w:ascii="宋体" w:hAnsi="宋体" w:cs="宋体" w:eastAsia="宋体" w:hint="default"/>
                <w:spacing w:val="8"/>
                <w:sz w:val="21"/>
                <w:szCs w:val="21"/>
              </w:rPr>
              <w:t>首套样机已经完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成试制，并完成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样</w:t>
            </w:r>
            <w:r>
              <w:rPr>
                <w:rFonts w:ascii="宋体" w:hAnsi="宋体" w:cs="宋体" w:eastAsia="宋体" w:hint="default"/>
                <w:spacing w:val="-50"/>
                <w:sz w:val="21"/>
                <w:szCs w:val="21"/>
              </w:rPr>
              <w:t> </w:t>
            </w:r>
            <w:r>
              <w:rPr>
                <w:rFonts w:ascii="宋体" w:hAnsi="宋体" w:cs="宋体" w:eastAsia="宋体" w:hint="default"/>
                <w:sz w:val="21"/>
                <w:szCs w:val="21"/>
              </w:rPr>
              <w:t>机</w:t>
            </w:r>
            <w:r>
              <w:rPr>
                <w:rFonts w:ascii="宋体" w:hAnsi="宋体" w:cs="宋体" w:eastAsia="宋体" w:hint="default"/>
                <w:spacing w:val="-50"/>
                <w:sz w:val="21"/>
                <w:szCs w:val="21"/>
              </w:rPr>
              <w:t> </w:t>
            </w:r>
            <w:r>
              <w:rPr>
                <w:rFonts w:ascii="宋体" w:hAnsi="宋体" w:cs="宋体" w:eastAsia="宋体" w:hint="default"/>
                <w:sz w:val="21"/>
                <w:szCs w:val="21"/>
              </w:rPr>
              <w:t>测</w:t>
            </w:r>
            <w:r>
              <w:rPr>
                <w:rFonts w:ascii="宋体" w:hAnsi="宋体" w:cs="宋体" w:eastAsia="宋体" w:hint="default"/>
                <w:spacing w:val="-50"/>
                <w:sz w:val="21"/>
                <w:szCs w:val="21"/>
              </w:rPr>
              <w:t> </w:t>
            </w:r>
            <w:r>
              <w:rPr>
                <w:rFonts w:ascii="宋体" w:hAnsi="宋体" w:cs="宋体" w:eastAsia="宋体" w:hint="default"/>
                <w:sz w:val="21"/>
                <w:szCs w:val="21"/>
              </w:rPr>
              <w:t>试</w:t>
            </w:r>
            <w:r>
              <w:rPr>
                <w:rFonts w:ascii="宋体" w:hAnsi="宋体" w:cs="宋体" w:eastAsia="宋体" w:hint="default"/>
                <w:spacing w:val="-49"/>
                <w:sz w:val="21"/>
                <w:szCs w:val="21"/>
              </w:rPr>
              <w:t> </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但</w:t>
            </w:r>
            <w:r>
              <w:rPr>
                <w:rFonts w:ascii="宋体" w:hAnsi="宋体" w:cs="宋体" w:eastAsia="宋体" w:hint="default"/>
                <w:sz w:val="21"/>
                <w:szCs w:val="21"/>
              </w:rPr>
              <w:t> </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季度，国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网的充电桩测试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的正式规范开始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执行，后续还要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完善改进，满足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规范的具体要求</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both"/>
              <w:rPr>
                <w:rFonts w:ascii="宋体" w:hAnsi="宋体" w:cs="宋体" w:eastAsia="宋体" w:hint="default"/>
                <w:sz w:val="21"/>
                <w:szCs w:val="21"/>
              </w:rPr>
            </w:pPr>
            <w:r>
              <w:rPr>
                <w:rFonts w:ascii="宋体" w:hAnsi="宋体" w:cs="宋体" w:eastAsia="宋体" w:hint="default"/>
                <w:sz w:val="21"/>
                <w:szCs w:val="21"/>
              </w:rPr>
              <w:t>开发一系列能对电 动汽车的充电桩设 备进行现场检测的 测试仪。满足技术 监督系统对充电桩 的监督测试要求。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挥</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在计</w:t>
            </w:r>
            <w:r>
              <w:rPr>
                <w:rFonts w:ascii="宋体" w:hAnsi="宋体" w:cs="宋体" w:eastAsia="宋体" w:hint="default"/>
                <w:spacing w:val="-79"/>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r>
              <w:rPr>
                <w:rFonts w:ascii="宋体" w:hAnsi="宋体" w:cs="宋体" w:eastAsia="宋体" w:hint="default"/>
                <w:spacing w:val="-7"/>
                <w:sz w:val="21"/>
                <w:szCs w:val="21"/>
              </w:rPr>
              <w:t>测试的优势，延伸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产品线，支持公司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的持续发展。</w:t>
            </w:r>
          </w:p>
        </w:tc>
      </w:tr>
      <w:tr>
        <w:trPr>
          <w:trHeight w:val="4715"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HPU2200-T20</w:t>
            </w:r>
            <w:r>
              <w:rPr>
                <w:rFonts w:ascii="宋体" w:hAnsi="宋体" w:cs="宋体" w:eastAsia="宋体" w:hint="default"/>
                <w:sz w:val="21"/>
                <w:szCs w:val="21"/>
              </w:rPr>
              <w:t>智</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能配变终端</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RD1803</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21"/>
              <w:jc w:val="both"/>
              <w:rPr>
                <w:rFonts w:ascii="宋体" w:hAnsi="宋体" w:cs="宋体" w:eastAsia="宋体" w:hint="default"/>
                <w:sz w:val="21"/>
                <w:szCs w:val="21"/>
              </w:rPr>
            </w:pPr>
            <w:r>
              <w:rPr>
                <w:rFonts w:ascii="宋体" w:hAnsi="宋体" w:cs="宋体" w:eastAsia="宋体" w:hint="default"/>
                <w:spacing w:val="16"/>
                <w:sz w:val="21"/>
                <w:szCs w:val="21"/>
              </w:rPr>
              <w:t>按国网</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pacing w:val="16"/>
                <w:sz w:val="21"/>
                <w:szCs w:val="21"/>
              </w:rPr>
              <w:t>年规范</w:t>
            </w:r>
            <w:r>
              <w:rPr>
                <w:rFonts w:ascii="宋体" w:hAnsi="宋体" w:cs="宋体" w:eastAsia="宋体" w:hint="default"/>
                <w:spacing w:val="-81"/>
                <w:sz w:val="21"/>
                <w:szCs w:val="21"/>
              </w:rPr>
              <w:t> </w:t>
            </w:r>
            <w:r>
              <w:rPr>
                <w:rFonts w:ascii="宋体" w:hAnsi="宋体" w:cs="宋体" w:eastAsia="宋体" w:hint="default"/>
                <w:spacing w:val="17"/>
                <w:sz w:val="21"/>
                <w:szCs w:val="21"/>
              </w:rPr>
              <w:t>开发适合的全新系</w:t>
            </w:r>
            <w:r>
              <w:rPr>
                <w:rFonts w:ascii="宋体" w:hAnsi="宋体" w:cs="宋体" w:eastAsia="宋体" w:hint="default"/>
                <w:spacing w:val="-101"/>
                <w:sz w:val="21"/>
                <w:szCs w:val="21"/>
              </w:rPr>
              <w:t> </w:t>
            </w:r>
            <w:r>
              <w:rPr>
                <w:rFonts w:ascii="宋体" w:hAnsi="宋体" w:cs="宋体" w:eastAsia="宋体" w:hint="default"/>
                <w:spacing w:val="-8"/>
                <w:sz w:val="21"/>
                <w:szCs w:val="21"/>
              </w:rPr>
              <w:t>列</w:t>
            </w:r>
            <w:r>
              <w:rPr>
                <w:rFonts w:ascii="Times New Roman" w:hAnsi="Times New Roman" w:cs="Times New Roman" w:eastAsia="Times New Roman" w:hint="default"/>
                <w:spacing w:val="-8"/>
                <w:sz w:val="21"/>
                <w:szCs w:val="21"/>
              </w:rPr>
              <w:t>DTU</w:t>
            </w:r>
            <w:r>
              <w:rPr>
                <w:rFonts w:ascii="宋体" w:hAnsi="宋体" w:cs="宋体" w:eastAsia="宋体" w:hint="default"/>
                <w:spacing w:val="-8"/>
                <w:sz w:val="21"/>
                <w:szCs w:val="21"/>
              </w:rPr>
              <w:t>产品，形成全</w:t>
            </w:r>
            <w:r>
              <w:rPr>
                <w:rFonts w:ascii="宋体" w:hAnsi="宋体" w:cs="宋体" w:eastAsia="宋体" w:hint="default"/>
                <w:sz w:val="21"/>
                <w:szCs w:val="21"/>
              </w:rPr>
              <w:t> </w:t>
            </w:r>
            <w:r>
              <w:rPr>
                <w:rFonts w:ascii="宋体" w:hAnsi="宋体" w:cs="宋体" w:eastAsia="宋体" w:hint="default"/>
                <w:spacing w:val="17"/>
                <w:sz w:val="21"/>
                <w:szCs w:val="21"/>
              </w:rPr>
              <w:t>系列的配电自动化</w:t>
            </w:r>
            <w:r>
              <w:rPr>
                <w:rFonts w:ascii="宋体" w:hAnsi="宋体" w:cs="宋体" w:eastAsia="宋体" w:hint="default"/>
                <w:spacing w:val="-101"/>
                <w:sz w:val="21"/>
                <w:szCs w:val="21"/>
              </w:rPr>
              <w:t> </w:t>
            </w:r>
            <w:r>
              <w:rPr>
                <w:rFonts w:ascii="宋体" w:hAnsi="宋体" w:cs="宋体" w:eastAsia="宋体" w:hint="default"/>
                <w:spacing w:val="-8"/>
                <w:sz w:val="21"/>
                <w:szCs w:val="21"/>
              </w:rPr>
              <w:t>终端产品线，满足客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户的要求。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30" w:right="28" w:hanging="1"/>
              <w:jc w:val="center"/>
              <w:rPr>
                <w:rFonts w:ascii="宋体" w:hAnsi="宋体" w:cs="宋体" w:eastAsia="宋体" w:hint="default"/>
                <w:sz w:val="21"/>
                <w:szCs w:val="21"/>
              </w:rPr>
            </w:pPr>
            <w:r>
              <w:rPr>
                <w:rFonts w:ascii="宋体" w:hAnsi="宋体" w:cs="宋体" w:eastAsia="宋体" w:hint="default"/>
                <w:sz w:val="21"/>
                <w:szCs w:val="21"/>
              </w:rPr>
              <w:t>常规</w:t>
            </w:r>
            <w:r>
              <w:rPr>
                <w:rFonts w:ascii="Times New Roman" w:hAnsi="Times New Roman" w:cs="Times New Roman" w:eastAsia="Times New Roman" w:hint="default"/>
                <w:sz w:val="21"/>
                <w:szCs w:val="21"/>
              </w:rPr>
              <w:t>DTU</w:t>
            </w:r>
            <w:r>
              <w:rPr>
                <w:rFonts w:ascii="宋体" w:hAnsi="宋体" w:cs="宋体" w:eastAsia="宋体" w:hint="default"/>
                <w:sz w:val="21"/>
                <w:szCs w:val="21"/>
              </w:rPr>
              <w:t>站所终 端按国网</w:t>
            </w:r>
            <w:r>
              <w:rPr>
                <w:rFonts w:ascii="Times New Roman" w:hAnsi="Times New Roman" w:cs="Times New Roman" w:eastAsia="Times New Roman" w:hint="default"/>
                <w:sz w:val="21"/>
                <w:szCs w:val="21"/>
              </w:rPr>
              <w:t>2017</w:t>
            </w:r>
            <w:r>
              <w:rPr>
                <w:rFonts w:ascii="宋体" w:hAnsi="宋体" w:cs="宋体" w:eastAsia="宋体" w:hint="default"/>
                <w:sz w:val="21"/>
                <w:szCs w:val="21"/>
              </w:rPr>
              <w:t>标 准规范的要求重 新设计，并通过 国网电科院的专 项检测，产品已 经投入批量生 产。 一二次融合</w:t>
            </w:r>
            <w:r>
              <w:rPr>
                <w:rFonts w:ascii="Times New Roman" w:hAnsi="Times New Roman" w:cs="Times New Roman" w:eastAsia="Times New Roman" w:hint="default"/>
                <w:sz w:val="21"/>
                <w:szCs w:val="21"/>
              </w:rPr>
              <w:t>DTU</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终端的设计和改 进已完成，专项 送检样机已准备 完成，本季度已 经取得检验报 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3" w:hanging="2"/>
              <w:jc w:val="center"/>
              <w:rPr>
                <w:rFonts w:ascii="宋体" w:hAnsi="宋体" w:cs="宋体" w:eastAsia="宋体" w:hint="default"/>
                <w:sz w:val="21"/>
                <w:szCs w:val="21"/>
              </w:rPr>
            </w:pPr>
            <w:r>
              <w:rPr>
                <w:rFonts w:ascii="宋体" w:hAnsi="宋体" w:cs="宋体" w:eastAsia="宋体" w:hint="default"/>
                <w:sz w:val="21"/>
                <w:szCs w:val="21"/>
              </w:rPr>
              <w:t>完善</w:t>
            </w:r>
            <w:r>
              <w:rPr>
                <w:rFonts w:ascii="Times New Roman" w:hAnsi="Times New Roman" w:cs="Times New Roman" w:eastAsia="Times New Roman" w:hint="default"/>
                <w:sz w:val="21"/>
                <w:szCs w:val="21"/>
              </w:rPr>
              <w:t>DTU</w:t>
            </w:r>
            <w:r>
              <w:rPr>
                <w:rFonts w:ascii="宋体" w:hAnsi="宋体" w:cs="宋体" w:eastAsia="宋体" w:hint="default"/>
                <w:sz w:val="21"/>
                <w:szCs w:val="21"/>
              </w:rPr>
              <w:t>终端的 产品系列，满足配 电自动化系统客户 的需求。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0" w:hanging="2"/>
              <w:jc w:val="center"/>
              <w:rPr>
                <w:rFonts w:ascii="宋体" w:hAnsi="宋体" w:cs="宋体" w:eastAsia="宋体" w:hint="default"/>
                <w:sz w:val="21"/>
                <w:szCs w:val="21"/>
              </w:rPr>
            </w:pPr>
            <w:r>
              <w:rPr>
                <w:rFonts w:ascii="宋体" w:hAnsi="宋体" w:cs="宋体" w:eastAsia="宋体" w:hint="default"/>
                <w:sz w:val="21"/>
                <w:szCs w:val="21"/>
              </w:rPr>
              <w:t>按国网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年规 范开发成功</w:t>
            </w:r>
            <w:r>
              <w:rPr>
                <w:rFonts w:ascii="Times New Roman" w:hAnsi="Times New Roman" w:cs="Times New Roman" w:eastAsia="Times New Roman" w:hint="default"/>
                <w:sz w:val="21"/>
                <w:szCs w:val="21"/>
              </w:rPr>
              <w:t>DTU</w:t>
            </w:r>
            <w:r>
              <w:rPr>
                <w:rFonts w:ascii="Times New Roman" w:hAnsi="Times New Roman" w:cs="Times New Roman" w:eastAsia="Times New Roman" w:hint="default"/>
                <w:w w:val="99"/>
                <w:sz w:val="21"/>
                <w:szCs w:val="21"/>
              </w:rPr>
              <w:t> </w:t>
            </w:r>
            <w:r>
              <w:rPr>
                <w:rFonts w:ascii="宋体" w:hAnsi="宋体" w:cs="宋体" w:eastAsia="宋体" w:hint="default"/>
                <w:spacing w:val="-7"/>
                <w:sz w:val="21"/>
                <w:szCs w:val="21"/>
              </w:rPr>
              <w:t>新产品，形成全系</w:t>
            </w:r>
            <w:r>
              <w:rPr>
                <w:rFonts w:ascii="宋体" w:hAnsi="宋体" w:cs="宋体" w:eastAsia="宋体" w:hint="default"/>
                <w:sz w:val="21"/>
                <w:szCs w:val="21"/>
              </w:rPr>
              <w:t> 列的配电自动化 </w:t>
            </w:r>
            <w:r>
              <w:rPr>
                <w:rFonts w:ascii="宋体" w:hAnsi="宋体" w:cs="宋体" w:eastAsia="宋体" w:hint="default"/>
                <w:spacing w:val="-7"/>
                <w:sz w:val="21"/>
                <w:szCs w:val="21"/>
              </w:rPr>
              <w:t>终端产品线，满足</w:t>
            </w:r>
            <w:r>
              <w:rPr>
                <w:rFonts w:ascii="宋体" w:hAnsi="宋体" w:cs="宋体" w:eastAsia="宋体" w:hint="default"/>
                <w:sz w:val="21"/>
                <w:szCs w:val="21"/>
              </w:rPr>
              <w:t> 电网客户的不同 </w:t>
            </w:r>
            <w:r>
              <w:rPr>
                <w:rFonts w:ascii="宋体" w:hAnsi="宋体" w:cs="宋体" w:eastAsia="宋体" w:hint="default"/>
                <w:spacing w:val="-7"/>
                <w:sz w:val="21"/>
                <w:szCs w:val="21"/>
              </w:rPr>
              <w:t>需求，提高公司竞</w:t>
            </w:r>
            <w:r>
              <w:rPr>
                <w:rFonts w:ascii="宋体" w:hAnsi="宋体" w:cs="宋体" w:eastAsia="宋体" w:hint="default"/>
                <w:sz w:val="21"/>
                <w:szCs w:val="21"/>
              </w:rPr>
              <w:t> </w:t>
            </w:r>
            <w:r>
              <w:rPr>
                <w:rFonts w:ascii="宋体" w:hAnsi="宋体" w:cs="宋体" w:eastAsia="宋体" w:hint="default"/>
                <w:spacing w:val="-7"/>
                <w:sz w:val="21"/>
                <w:szCs w:val="21"/>
              </w:rPr>
              <w:t>争力，支持公司持</w:t>
            </w:r>
            <w:r>
              <w:rPr>
                <w:rFonts w:ascii="宋体" w:hAnsi="宋体" w:cs="宋体" w:eastAsia="宋体" w:hint="default"/>
                <w:sz w:val="21"/>
                <w:szCs w:val="21"/>
              </w:rPr>
              <w:t> 续发展。</w:t>
            </w:r>
          </w:p>
        </w:tc>
      </w:tr>
      <w:tr>
        <w:trPr>
          <w:trHeight w:val="3237"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HPU-FTU2200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钟</w:t>
            </w:r>
          </w:p>
          <w:p>
            <w:pPr>
              <w:pStyle w:val="TableParagraph"/>
              <w:spacing w:line="240" w:lineRule="auto" w:before="20"/>
              <w:ind w:left="2" w:right="-17"/>
              <w:jc w:val="left"/>
              <w:rPr>
                <w:rFonts w:ascii="宋体" w:hAnsi="宋体" w:cs="宋体" w:eastAsia="宋体" w:hint="default"/>
                <w:sz w:val="21"/>
                <w:szCs w:val="21"/>
              </w:rPr>
            </w:pPr>
            <w:r>
              <w:rPr>
                <w:rFonts w:ascii="宋体" w:hAnsi="宋体" w:cs="宋体" w:eastAsia="宋体" w:hint="default"/>
                <w:spacing w:val="44"/>
                <w:sz w:val="21"/>
                <w:szCs w:val="21"/>
              </w:rPr>
              <w:t>罩式馈线终</w:t>
            </w:r>
            <w:r>
              <w:rPr>
                <w:rFonts w:ascii="宋体" w:hAnsi="宋体" w:cs="宋体" w:eastAsia="宋体" w:hint="default"/>
                <w:spacing w:val="-45"/>
                <w:sz w:val="21"/>
                <w:szCs w:val="21"/>
              </w:rPr>
              <w:t> </w:t>
            </w:r>
            <w:r>
              <w:rPr>
                <w:rFonts w:ascii="宋体" w:hAnsi="宋体" w:cs="宋体" w:eastAsia="宋体" w:hint="default"/>
                <w:sz w:val="21"/>
                <w:szCs w:val="21"/>
              </w:rPr>
              <w:t>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RD1704</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36"/>
              <w:ind w:left="2" w:right="-21"/>
              <w:jc w:val="both"/>
              <w:rPr>
                <w:rFonts w:ascii="宋体" w:hAnsi="宋体" w:cs="宋体" w:eastAsia="宋体" w:hint="default"/>
                <w:sz w:val="21"/>
                <w:szCs w:val="21"/>
              </w:rPr>
            </w:pPr>
            <w:r>
              <w:rPr>
                <w:rFonts w:ascii="宋体" w:hAnsi="宋体" w:cs="宋体" w:eastAsia="宋体" w:hint="default"/>
                <w:spacing w:val="16"/>
                <w:sz w:val="21"/>
                <w:szCs w:val="21"/>
              </w:rPr>
              <w:t>按国网</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pacing w:val="16"/>
                <w:sz w:val="21"/>
                <w:szCs w:val="21"/>
              </w:rPr>
              <w:t>年规范</w:t>
            </w:r>
            <w:r>
              <w:rPr>
                <w:rFonts w:ascii="宋体" w:hAnsi="宋体" w:cs="宋体" w:eastAsia="宋体" w:hint="default"/>
                <w:spacing w:val="-81"/>
                <w:sz w:val="21"/>
                <w:szCs w:val="21"/>
              </w:rPr>
              <w:t> </w:t>
            </w:r>
            <w:r>
              <w:rPr>
                <w:rFonts w:ascii="宋体" w:hAnsi="宋体" w:cs="宋体" w:eastAsia="宋体" w:hint="default"/>
                <w:spacing w:val="17"/>
                <w:sz w:val="21"/>
                <w:szCs w:val="21"/>
              </w:rPr>
              <w:t>开发适合的的特殊</w:t>
            </w:r>
            <w:r>
              <w:rPr>
                <w:rFonts w:ascii="宋体" w:hAnsi="宋体" w:cs="宋体" w:eastAsia="宋体" w:hint="default"/>
                <w:spacing w:val="-101"/>
                <w:sz w:val="21"/>
                <w:szCs w:val="21"/>
              </w:rPr>
              <w:t> </w:t>
            </w:r>
            <w:r>
              <w:rPr>
                <w:rFonts w:ascii="Times New Roman" w:hAnsi="Times New Roman" w:cs="Times New Roman" w:eastAsia="Times New Roman" w:hint="default"/>
                <w:spacing w:val="-5"/>
                <w:sz w:val="21"/>
                <w:szCs w:val="21"/>
              </w:rPr>
              <w:t>FTU</w:t>
            </w:r>
            <w:r>
              <w:rPr>
                <w:rFonts w:ascii="宋体" w:hAnsi="宋体" w:cs="宋体" w:eastAsia="宋体" w:hint="default"/>
                <w:spacing w:val="-5"/>
                <w:sz w:val="21"/>
                <w:szCs w:val="21"/>
              </w:rPr>
              <w:t>产品，满足国网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客户的特殊要求。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6"/>
              <w:ind w:left="2" w:right="2"/>
              <w:jc w:val="both"/>
              <w:rPr>
                <w:rFonts w:ascii="宋体" w:hAnsi="宋体" w:cs="宋体" w:eastAsia="宋体" w:hint="default"/>
                <w:sz w:val="21"/>
                <w:szCs w:val="21"/>
              </w:rPr>
            </w:pPr>
            <w:r>
              <w:rPr>
                <w:rFonts w:ascii="Times New Roman" w:hAnsi="Times New Roman" w:cs="Times New Roman" w:eastAsia="Times New Roman" w:hint="default"/>
                <w:spacing w:val="10"/>
                <w:sz w:val="21"/>
                <w:szCs w:val="21"/>
              </w:rPr>
              <w:t>FTU</w:t>
            </w:r>
            <w:r>
              <w:rPr>
                <w:rFonts w:ascii="宋体" w:hAnsi="宋体" w:cs="宋体" w:eastAsia="宋体" w:hint="default"/>
                <w:spacing w:val="10"/>
                <w:sz w:val="21"/>
                <w:szCs w:val="21"/>
              </w:rPr>
              <w:t>馈线终端按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国网</w:t>
            </w:r>
            <w:r>
              <w:rPr>
                <w:rFonts w:ascii="Times New Roman" w:hAnsi="Times New Roman" w:cs="Times New Roman" w:eastAsia="Times New Roman" w:hint="default"/>
                <w:spacing w:val="7"/>
                <w:sz w:val="21"/>
                <w:szCs w:val="21"/>
              </w:rPr>
              <w:t>2017</w:t>
            </w:r>
            <w:r>
              <w:rPr>
                <w:rFonts w:ascii="宋体" w:hAnsi="宋体" w:cs="宋体" w:eastAsia="宋体" w:hint="default"/>
                <w:spacing w:val="7"/>
                <w:sz w:val="21"/>
                <w:szCs w:val="21"/>
              </w:rPr>
              <w:t>新标准</w:t>
            </w:r>
            <w:r>
              <w:rPr>
                <w:rFonts w:ascii="宋体" w:hAnsi="宋体" w:cs="宋体" w:eastAsia="宋体" w:hint="default"/>
                <w:sz w:val="21"/>
                <w:szCs w:val="21"/>
              </w:rPr>
              <w:t> </w:t>
            </w:r>
            <w:r>
              <w:rPr>
                <w:rFonts w:ascii="宋体" w:hAnsi="宋体" w:cs="宋体" w:eastAsia="宋体" w:hint="default"/>
                <w:spacing w:val="8"/>
                <w:sz w:val="21"/>
                <w:szCs w:val="21"/>
              </w:rPr>
              <w:t>规范的要求重新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设计，并通过国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网电科院的专项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检测，产品已经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投入批量生产，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发往客户当地电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科院进行抽检及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全检验收。</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3"/>
              <w:jc w:val="both"/>
              <w:rPr>
                <w:rFonts w:ascii="宋体" w:hAnsi="宋体" w:cs="宋体" w:eastAsia="宋体" w:hint="default"/>
                <w:sz w:val="21"/>
                <w:szCs w:val="21"/>
              </w:rPr>
            </w:pPr>
            <w:r>
              <w:rPr>
                <w:rFonts w:ascii="宋体" w:hAnsi="宋体" w:cs="宋体" w:eastAsia="宋体" w:hint="default"/>
                <w:spacing w:val="2"/>
                <w:sz w:val="21"/>
                <w:szCs w:val="21"/>
              </w:rPr>
              <w:t>完善</w:t>
            </w:r>
            <w:r>
              <w:rPr>
                <w:rFonts w:ascii="Times New Roman" w:hAnsi="Times New Roman" w:cs="Times New Roman" w:eastAsia="Times New Roman" w:hint="default"/>
                <w:spacing w:val="2"/>
                <w:sz w:val="21"/>
                <w:szCs w:val="21"/>
              </w:rPr>
              <w:t>FTU</w:t>
            </w:r>
            <w:r>
              <w:rPr>
                <w:rFonts w:ascii="宋体" w:hAnsi="宋体" w:cs="宋体" w:eastAsia="宋体" w:hint="default"/>
                <w:spacing w:val="2"/>
                <w:sz w:val="21"/>
                <w:szCs w:val="21"/>
              </w:rPr>
              <w:t>馈线终端</w:t>
            </w:r>
            <w:r>
              <w:rPr>
                <w:rFonts w:ascii="宋体" w:hAnsi="宋体" w:cs="宋体" w:eastAsia="宋体" w:hint="default"/>
                <w:sz w:val="21"/>
                <w:szCs w:val="21"/>
              </w:rPr>
              <w:t> 的产品线，满足配 电自动化系统客户 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31"/>
              <w:jc w:val="both"/>
              <w:rPr>
                <w:rFonts w:ascii="宋体" w:hAnsi="宋体" w:cs="宋体" w:eastAsia="宋体" w:hint="default"/>
                <w:sz w:val="21"/>
                <w:szCs w:val="21"/>
              </w:rPr>
            </w:pPr>
            <w:r>
              <w:rPr>
                <w:rFonts w:ascii="宋体" w:hAnsi="宋体" w:cs="宋体" w:eastAsia="宋体" w:hint="default"/>
                <w:spacing w:val="21"/>
                <w:sz w:val="21"/>
                <w:szCs w:val="21"/>
              </w:rPr>
              <w:t>按国网</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1"/>
                <w:sz w:val="21"/>
                <w:szCs w:val="21"/>
              </w:rPr>
              <w:t> </w:t>
            </w:r>
            <w:r>
              <w:rPr>
                <w:rFonts w:ascii="宋体" w:hAnsi="宋体" w:cs="宋体" w:eastAsia="宋体" w:hint="default"/>
                <w:spacing w:val="16"/>
                <w:sz w:val="21"/>
                <w:szCs w:val="21"/>
              </w:rPr>
              <w:t>年规</w:t>
            </w:r>
            <w:r>
              <w:rPr>
                <w:rFonts w:ascii="宋体" w:hAnsi="宋体" w:cs="宋体" w:eastAsia="宋体" w:hint="default"/>
                <w:spacing w:val="-73"/>
                <w:sz w:val="21"/>
                <w:szCs w:val="21"/>
              </w:rPr>
              <w:t> </w:t>
            </w:r>
            <w:r>
              <w:rPr>
                <w:rFonts w:ascii="宋体" w:hAnsi="宋体" w:cs="宋体" w:eastAsia="宋体" w:hint="default"/>
                <w:sz w:val="21"/>
                <w:szCs w:val="21"/>
              </w:rPr>
              <w:t>范</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9"/>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8"/>
                <w:sz w:val="21"/>
                <w:szCs w:val="21"/>
              </w:rPr>
              <w:t> </w:t>
            </w:r>
            <w:r>
              <w:rPr>
                <w:rFonts w:ascii="宋体" w:hAnsi="宋体" w:cs="宋体" w:eastAsia="宋体" w:hint="default"/>
                <w:spacing w:val="12"/>
                <w:sz w:val="21"/>
                <w:szCs w:val="21"/>
              </w:rPr>
              <w:t>功特</w:t>
            </w:r>
            <w:r>
              <w:rPr>
                <w:rFonts w:ascii="宋体" w:hAnsi="宋体" w:cs="宋体" w:eastAsia="宋体" w:hint="default"/>
                <w:spacing w:val="-79"/>
                <w:sz w:val="21"/>
                <w:szCs w:val="21"/>
              </w:rPr>
              <w:t> </w:t>
            </w:r>
            <w:r>
              <w:rPr>
                <w:rFonts w:ascii="宋体" w:hAnsi="宋体" w:cs="宋体" w:eastAsia="宋体" w:hint="default"/>
                <w:sz w:val="21"/>
                <w:szCs w:val="21"/>
              </w:rPr>
              <w:t>殊</w:t>
            </w:r>
            <w:r>
              <w:rPr>
                <w:rFonts w:ascii="宋体" w:hAnsi="宋体" w:cs="宋体" w:eastAsia="宋体" w:hint="default"/>
                <w:sz w:val="21"/>
                <w:szCs w:val="21"/>
              </w:rPr>
              <w:t> </w:t>
            </w:r>
            <w:r>
              <w:rPr>
                <w:rFonts w:ascii="宋体" w:hAnsi="宋体" w:cs="宋体" w:eastAsia="宋体" w:hint="default"/>
                <w:spacing w:val="-3"/>
                <w:sz w:val="21"/>
                <w:szCs w:val="21"/>
              </w:rPr>
              <w:t>的</w:t>
            </w:r>
            <w:r>
              <w:rPr>
                <w:rFonts w:ascii="Times New Roman" w:hAnsi="Times New Roman" w:cs="Times New Roman" w:eastAsia="Times New Roman" w:hint="default"/>
                <w:spacing w:val="-3"/>
                <w:sz w:val="21"/>
                <w:szCs w:val="21"/>
              </w:rPr>
              <w:t>FTU</w:t>
            </w:r>
            <w:r>
              <w:rPr>
                <w:rFonts w:ascii="宋体" w:hAnsi="宋体" w:cs="宋体" w:eastAsia="宋体" w:hint="default"/>
                <w:spacing w:val="-3"/>
                <w:sz w:val="21"/>
                <w:szCs w:val="21"/>
              </w:rPr>
              <w:t>新产品，满</w:t>
            </w:r>
            <w:r>
              <w:rPr>
                <w:rFonts w:ascii="宋体" w:hAnsi="宋体" w:cs="宋体" w:eastAsia="宋体" w:hint="default"/>
                <w:sz w:val="21"/>
                <w:szCs w:val="21"/>
              </w:rPr>
              <w:t> 足</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9"/>
                <w:sz w:val="21"/>
                <w:szCs w:val="21"/>
              </w:rPr>
              <w:t> </w:t>
            </w:r>
            <w:r>
              <w:rPr>
                <w:rFonts w:ascii="宋体" w:hAnsi="宋体" w:cs="宋体" w:eastAsia="宋体" w:hint="default"/>
                <w:sz w:val="21"/>
                <w:szCs w:val="21"/>
              </w:rPr>
              <w:t>网</w:t>
            </w:r>
            <w:r>
              <w:rPr>
                <w:rFonts w:ascii="宋体" w:hAnsi="宋体" w:cs="宋体" w:eastAsia="宋体" w:hint="default"/>
                <w:spacing w:val="-78"/>
                <w:sz w:val="21"/>
                <w:szCs w:val="21"/>
              </w:rPr>
              <w:t> </w:t>
            </w:r>
            <w:r>
              <w:rPr>
                <w:rFonts w:ascii="宋体" w:hAnsi="宋体" w:cs="宋体" w:eastAsia="宋体" w:hint="default"/>
                <w:sz w:val="21"/>
                <w:szCs w:val="21"/>
              </w:rPr>
              <w:t>客</w:t>
            </w:r>
            <w:r>
              <w:rPr>
                <w:rFonts w:ascii="宋体" w:hAnsi="宋体" w:cs="宋体" w:eastAsia="宋体" w:hint="default"/>
                <w:spacing w:val="-78"/>
                <w:sz w:val="21"/>
                <w:szCs w:val="21"/>
              </w:rPr>
              <w:t> </w:t>
            </w:r>
            <w:r>
              <w:rPr>
                <w:rFonts w:ascii="宋体" w:hAnsi="宋体" w:cs="宋体" w:eastAsia="宋体" w:hint="default"/>
                <w:spacing w:val="12"/>
                <w:sz w:val="21"/>
                <w:szCs w:val="21"/>
              </w:rPr>
              <w:t>户的</w:t>
            </w:r>
            <w:r>
              <w:rPr>
                <w:rFonts w:ascii="宋体" w:hAnsi="宋体" w:cs="宋体" w:eastAsia="宋体" w:hint="default"/>
                <w:spacing w:val="-79"/>
                <w:sz w:val="21"/>
                <w:szCs w:val="21"/>
              </w:rPr>
              <w:t> </w:t>
            </w:r>
            <w:r>
              <w:rPr>
                <w:rFonts w:ascii="宋体" w:hAnsi="宋体" w:cs="宋体" w:eastAsia="宋体" w:hint="default"/>
                <w:sz w:val="21"/>
                <w:szCs w:val="21"/>
              </w:rPr>
              <w:t>不</w:t>
            </w:r>
            <w:r>
              <w:rPr>
                <w:rFonts w:ascii="宋体" w:hAnsi="宋体" w:cs="宋体" w:eastAsia="宋体" w:hint="default"/>
                <w:sz w:val="21"/>
                <w:szCs w:val="21"/>
              </w:rPr>
              <w:t> </w:t>
            </w:r>
            <w:r>
              <w:rPr>
                <w:rFonts w:ascii="宋体" w:hAnsi="宋体" w:cs="宋体" w:eastAsia="宋体" w:hint="default"/>
                <w:spacing w:val="-7"/>
                <w:sz w:val="21"/>
                <w:szCs w:val="21"/>
              </w:rPr>
              <w:t>同需求，提高公司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竞争力。支持公司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持续发展。</w:t>
            </w:r>
          </w:p>
        </w:tc>
      </w:tr>
    </w:tbl>
    <w:p>
      <w:pPr>
        <w:spacing w:after="0" w:line="266"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386"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2844"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斯科特牵引变压 </w:t>
            </w:r>
            <w:r>
              <w:rPr>
                <w:rFonts w:ascii="宋体" w:hAnsi="宋体" w:cs="宋体" w:eastAsia="宋体" w:hint="default"/>
                <w:sz w:val="21"/>
                <w:szCs w:val="21"/>
              </w:rPr>
              <w:t>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left"/>
              <w:rPr>
                <w:rFonts w:ascii="宋体" w:hAnsi="宋体" w:cs="宋体" w:eastAsia="宋体" w:hint="default"/>
                <w:sz w:val="21"/>
                <w:szCs w:val="21"/>
              </w:rPr>
            </w:pPr>
            <w:r>
              <w:rPr>
                <w:rFonts w:ascii="宋体" w:hAnsi="宋体" w:cs="宋体" w:eastAsia="宋体" w:hint="default"/>
                <w:spacing w:val="17"/>
                <w:sz w:val="21"/>
                <w:szCs w:val="21"/>
              </w:rPr>
              <w:t>拓展铁路牵引主变</w:t>
            </w:r>
            <w:r>
              <w:rPr>
                <w:rFonts w:ascii="宋体" w:hAnsi="宋体" w:cs="宋体" w:eastAsia="宋体" w:hint="default"/>
                <w:spacing w:val="-101"/>
                <w:sz w:val="21"/>
                <w:szCs w:val="21"/>
              </w:rPr>
              <w:t> </w:t>
            </w:r>
            <w:r>
              <w:rPr>
                <w:rFonts w:ascii="宋体" w:hAnsi="宋体" w:cs="宋体" w:eastAsia="宋体" w:hint="default"/>
                <w:sz w:val="21"/>
                <w:szCs w:val="21"/>
              </w:rPr>
              <w:t>压器类型。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pacing w:val="8"/>
                <w:sz w:val="21"/>
                <w:szCs w:val="21"/>
              </w:rPr>
              <w:t>样机已完成第三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方试验，取得试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验报告，待挂网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运行地点确定。</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z w:val="21"/>
                <w:szCs w:val="21"/>
              </w:rPr>
              <w:t>取得第三方试验报 </w:t>
            </w:r>
            <w:r>
              <w:rPr>
                <w:rFonts w:ascii="宋体" w:hAnsi="宋体" w:cs="宋体" w:eastAsia="宋体" w:hint="default"/>
                <w:spacing w:val="-22"/>
                <w:sz w:val="21"/>
                <w:szCs w:val="21"/>
              </w:rPr>
              <w:t>告、取得运行报告，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具备此类变压器投</w:t>
            </w:r>
            <w:r>
              <w:rPr>
                <w:rFonts w:ascii="宋体" w:hAnsi="宋体" w:cs="宋体" w:eastAsia="宋体" w:hint="default"/>
                <w:sz w:val="21"/>
                <w:szCs w:val="21"/>
              </w:rPr>
              <w:t> 标资质。</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46"/>
              <w:jc w:val="both"/>
              <w:rPr>
                <w:rFonts w:ascii="宋体" w:hAnsi="宋体" w:cs="宋体" w:eastAsia="宋体" w:hint="default"/>
                <w:sz w:val="21"/>
                <w:szCs w:val="21"/>
              </w:rPr>
            </w:pPr>
            <w:r>
              <w:rPr>
                <w:rFonts w:ascii="Times New Roman" w:hAnsi="Times New Roman" w:cs="Times New Roman" w:eastAsia="Times New Roman" w:hint="default"/>
                <w:spacing w:val="11"/>
                <w:sz w:val="21"/>
                <w:szCs w:val="21"/>
              </w:rPr>
              <w:t>AT</w:t>
            </w:r>
            <w:r>
              <w:rPr>
                <w:rFonts w:ascii="宋体" w:hAnsi="宋体" w:cs="宋体" w:eastAsia="宋体" w:hint="default"/>
                <w:spacing w:val="11"/>
                <w:sz w:val="21"/>
                <w:szCs w:val="21"/>
              </w:rPr>
              <w:t>供电方式主要</w:t>
            </w:r>
            <w:r>
              <w:rPr>
                <w:rFonts w:ascii="宋体" w:hAnsi="宋体" w:cs="宋体" w:eastAsia="宋体" w:hint="default"/>
                <w:sz w:val="21"/>
                <w:szCs w:val="21"/>
              </w:rPr>
              <w:t> 用在铁路客专上， 带</w:t>
            </w:r>
            <w:r>
              <w:rPr>
                <w:rFonts w:ascii="宋体" w:hAnsi="宋体" w:cs="宋体" w:eastAsia="宋体" w:hint="default"/>
                <w:spacing w:val="-78"/>
                <w:sz w:val="21"/>
                <w:szCs w:val="21"/>
              </w:rPr>
              <w:t> </w:t>
            </w: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抽</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斯科</w:t>
            </w:r>
            <w:r>
              <w:rPr>
                <w:rFonts w:ascii="宋体" w:hAnsi="宋体" w:cs="宋体" w:eastAsia="宋体" w:hint="default"/>
                <w:spacing w:val="-79"/>
                <w:sz w:val="21"/>
                <w:szCs w:val="21"/>
              </w:rPr>
              <w:t> </w:t>
            </w:r>
            <w:r>
              <w:rPr>
                <w:rFonts w:ascii="宋体" w:hAnsi="宋体" w:cs="宋体" w:eastAsia="宋体" w:hint="default"/>
                <w:sz w:val="21"/>
                <w:szCs w:val="21"/>
              </w:rPr>
              <w:t>特</w:t>
            </w:r>
            <w:r>
              <w:rPr>
                <w:rFonts w:ascii="宋体" w:hAnsi="宋体" w:cs="宋体" w:eastAsia="宋体" w:hint="default"/>
                <w:sz w:val="21"/>
                <w:szCs w:val="21"/>
              </w:rPr>
              <w:t> </w:t>
            </w:r>
            <w:r>
              <w:rPr>
                <w:rFonts w:ascii="宋体" w:hAnsi="宋体" w:cs="宋体" w:eastAsia="宋体" w:hint="default"/>
                <w:spacing w:val="-7"/>
                <w:sz w:val="21"/>
                <w:szCs w:val="21"/>
              </w:rPr>
              <w:t>牵引变压器，是今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后</w:t>
            </w:r>
            <w:r>
              <w:rPr>
                <w:rFonts w:ascii="宋体" w:hAnsi="宋体" w:cs="宋体" w:eastAsia="宋体" w:hint="default"/>
                <w:spacing w:val="-78"/>
                <w:sz w:val="21"/>
                <w:szCs w:val="21"/>
              </w:rPr>
              <w:t> </w:t>
            </w:r>
            <w:r>
              <w:rPr>
                <w:rFonts w:ascii="宋体" w:hAnsi="宋体" w:cs="宋体" w:eastAsia="宋体" w:hint="default"/>
                <w:sz w:val="21"/>
                <w:szCs w:val="21"/>
              </w:rPr>
              <w:t>客</w:t>
            </w:r>
            <w:r>
              <w:rPr>
                <w:rFonts w:ascii="宋体" w:hAnsi="宋体" w:cs="宋体" w:eastAsia="宋体" w:hint="default"/>
                <w:spacing w:val="-79"/>
                <w:sz w:val="21"/>
                <w:szCs w:val="21"/>
              </w:rPr>
              <w:t> </w:t>
            </w:r>
            <w:r>
              <w:rPr>
                <w:rFonts w:ascii="宋体" w:hAnsi="宋体" w:cs="宋体" w:eastAsia="宋体" w:hint="default"/>
                <w:sz w:val="21"/>
                <w:szCs w:val="21"/>
              </w:rPr>
              <w:t>专</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pacing w:val="12"/>
                <w:sz w:val="21"/>
                <w:szCs w:val="21"/>
              </w:rPr>
              <w:t>品主</w:t>
            </w:r>
            <w:r>
              <w:rPr>
                <w:rFonts w:ascii="宋体" w:hAnsi="宋体" w:cs="宋体" w:eastAsia="宋体" w:hint="default"/>
                <w:spacing w:val="-79"/>
                <w:sz w:val="21"/>
                <w:szCs w:val="21"/>
              </w:rPr>
              <w:t> </w:t>
            </w:r>
            <w:r>
              <w:rPr>
                <w:rFonts w:ascii="宋体" w:hAnsi="宋体" w:cs="宋体" w:eastAsia="宋体" w:hint="default"/>
                <w:sz w:val="21"/>
                <w:szCs w:val="21"/>
              </w:rPr>
              <w:t>要</w:t>
            </w:r>
            <w:r>
              <w:rPr>
                <w:rFonts w:ascii="宋体" w:hAnsi="宋体" w:cs="宋体" w:eastAsia="宋体" w:hint="default"/>
                <w:sz w:val="21"/>
                <w:szCs w:val="21"/>
              </w:rPr>
              <w:t> </w:t>
            </w:r>
            <w:r>
              <w:rPr>
                <w:rFonts w:ascii="宋体" w:hAnsi="宋体" w:cs="宋体" w:eastAsia="宋体" w:hint="default"/>
                <w:spacing w:val="-7"/>
                <w:sz w:val="21"/>
                <w:szCs w:val="21"/>
              </w:rPr>
              <w:t>方向，近年来此类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品</w:t>
            </w:r>
            <w:r>
              <w:rPr>
                <w:rFonts w:ascii="宋体" w:hAnsi="宋体" w:cs="宋体" w:eastAsia="宋体" w:hint="default"/>
                <w:spacing w:val="-79"/>
                <w:sz w:val="21"/>
                <w:szCs w:val="21"/>
              </w:rPr>
              <w:t> </w:t>
            </w:r>
            <w:r>
              <w:rPr>
                <w:rFonts w:ascii="宋体" w:hAnsi="宋体" w:cs="宋体" w:eastAsia="宋体" w:hint="default"/>
                <w:sz w:val="21"/>
                <w:szCs w:val="21"/>
              </w:rPr>
              <w:t>投</w:t>
            </w:r>
            <w:r>
              <w:rPr>
                <w:rFonts w:ascii="宋体" w:hAnsi="宋体" w:cs="宋体" w:eastAsia="宋体" w:hint="default"/>
                <w:spacing w:val="-78"/>
                <w:sz w:val="21"/>
                <w:szCs w:val="21"/>
              </w:rPr>
              <w:t> </w:t>
            </w:r>
            <w:r>
              <w:rPr>
                <w:rFonts w:ascii="宋体" w:hAnsi="宋体" w:cs="宋体" w:eastAsia="宋体" w:hint="default"/>
                <w:sz w:val="21"/>
                <w:szCs w:val="21"/>
              </w:rPr>
              <w:t>标</w:t>
            </w:r>
            <w:r>
              <w:rPr>
                <w:rFonts w:ascii="宋体" w:hAnsi="宋体" w:cs="宋体" w:eastAsia="宋体" w:hint="default"/>
                <w:spacing w:val="-78"/>
                <w:sz w:val="21"/>
                <w:szCs w:val="21"/>
              </w:rPr>
              <w:t> </w:t>
            </w:r>
            <w:r>
              <w:rPr>
                <w:rFonts w:ascii="宋体" w:hAnsi="宋体" w:cs="宋体" w:eastAsia="宋体" w:hint="default"/>
                <w:spacing w:val="12"/>
                <w:sz w:val="21"/>
                <w:szCs w:val="21"/>
              </w:rPr>
              <w:t>量逐</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r>
              <w:rPr>
                <w:rFonts w:ascii="宋体" w:hAnsi="宋体" w:cs="宋体" w:eastAsia="宋体" w:hint="default"/>
                <w:spacing w:val="-7"/>
                <w:sz w:val="21"/>
                <w:szCs w:val="21"/>
              </w:rPr>
              <w:t>增加，具备投标资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质迫在眉睫。</w:t>
            </w:r>
          </w:p>
        </w:tc>
      </w:tr>
      <w:tr>
        <w:trPr>
          <w:trHeight w:val="253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车载移动电力变 </w:t>
            </w:r>
            <w:r>
              <w:rPr>
                <w:rFonts w:ascii="宋体" w:hAnsi="宋体" w:cs="宋体" w:eastAsia="宋体" w:hint="default"/>
                <w:sz w:val="21"/>
                <w:szCs w:val="21"/>
              </w:rPr>
              <w:t>压器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7"/>
              <w:jc w:val="left"/>
              <w:rPr>
                <w:rFonts w:ascii="宋体" w:hAnsi="宋体" w:cs="宋体" w:eastAsia="宋体" w:hint="default"/>
                <w:sz w:val="21"/>
                <w:szCs w:val="21"/>
              </w:rPr>
            </w:pPr>
            <w:r>
              <w:rPr>
                <w:rFonts w:ascii="宋体" w:hAnsi="宋体" w:cs="宋体" w:eastAsia="宋体" w:hint="default"/>
                <w:spacing w:val="17"/>
                <w:sz w:val="21"/>
                <w:szCs w:val="21"/>
              </w:rPr>
              <w:t>拓展移动应急电力</w:t>
            </w:r>
            <w:r>
              <w:rPr>
                <w:rFonts w:ascii="宋体" w:hAnsi="宋体" w:cs="宋体" w:eastAsia="宋体" w:hint="default"/>
                <w:spacing w:val="-101"/>
                <w:sz w:val="21"/>
                <w:szCs w:val="21"/>
              </w:rPr>
              <w:t> </w:t>
            </w:r>
            <w:r>
              <w:rPr>
                <w:rFonts w:ascii="宋体" w:hAnsi="宋体" w:cs="宋体" w:eastAsia="宋体" w:hint="default"/>
                <w:sz w:val="21"/>
                <w:szCs w:val="21"/>
              </w:rPr>
              <w:t>变压器市场。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已完成合同。</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3"/>
              <w:jc w:val="left"/>
              <w:rPr>
                <w:rFonts w:ascii="宋体" w:hAnsi="宋体" w:cs="宋体" w:eastAsia="宋体" w:hint="default"/>
                <w:sz w:val="21"/>
                <w:szCs w:val="21"/>
              </w:rPr>
            </w:pPr>
            <w:r>
              <w:rPr>
                <w:rFonts w:ascii="宋体" w:hAnsi="宋体" w:cs="宋体" w:eastAsia="宋体" w:hint="default"/>
                <w:sz w:val="21"/>
                <w:szCs w:val="21"/>
              </w:rPr>
              <w:t>取得运行业绩拓展 市场。</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对应</w:t>
            </w:r>
            <w:r>
              <w:rPr>
                <w:rFonts w:ascii="宋体" w:hAnsi="宋体" w:cs="宋体" w:eastAsia="宋体" w:hint="default"/>
                <w:spacing w:val="-79"/>
                <w:sz w:val="21"/>
                <w:szCs w:val="21"/>
              </w:rPr>
              <w:t> </w:t>
            </w:r>
            <w:r>
              <w:rPr>
                <w:rFonts w:ascii="宋体" w:hAnsi="宋体" w:cs="宋体" w:eastAsia="宋体" w:hint="default"/>
                <w:sz w:val="21"/>
                <w:szCs w:val="21"/>
              </w:rPr>
              <w:t>急</w:t>
            </w:r>
            <w:r>
              <w:rPr>
                <w:rFonts w:ascii="宋体" w:hAnsi="宋体" w:cs="宋体" w:eastAsia="宋体" w:hint="default"/>
                <w:sz w:val="21"/>
                <w:szCs w:val="21"/>
              </w:rPr>
              <w:t> 车</w:t>
            </w:r>
            <w:r>
              <w:rPr>
                <w:rFonts w:ascii="宋体" w:hAnsi="宋体" w:cs="宋体" w:eastAsia="宋体" w:hint="default"/>
                <w:spacing w:val="-78"/>
                <w:sz w:val="21"/>
                <w:szCs w:val="21"/>
              </w:rPr>
              <w:t> </w:t>
            </w:r>
            <w:r>
              <w:rPr>
                <w:rFonts w:ascii="宋体" w:hAnsi="宋体" w:cs="宋体" w:eastAsia="宋体" w:hint="default"/>
                <w:sz w:val="21"/>
                <w:szCs w:val="21"/>
              </w:rPr>
              <w:t>载</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力</w:t>
            </w:r>
            <w:r>
              <w:rPr>
                <w:rFonts w:ascii="宋体" w:hAnsi="宋体" w:cs="宋体" w:eastAsia="宋体" w:hint="default"/>
                <w:spacing w:val="-78"/>
                <w:sz w:val="21"/>
                <w:szCs w:val="21"/>
              </w:rPr>
              <w:t> </w:t>
            </w:r>
            <w:r>
              <w:rPr>
                <w:rFonts w:ascii="宋体" w:hAnsi="宋体" w:cs="宋体" w:eastAsia="宋体" w:hint="default"/>
                <w:spacing w:val="12"/>
                <w:sz w:val="21"/>
                <w:szCs w:val="21"/>
              </w:rPr>
              <w:t>变压</w:t>
            </w:r>
            <w:r>
              <w:rPr>
                <w:rFonts w:ascii="宋体" w:hAnsi="宋体" w:cs="宋体" w:eastAsia="宋体" w:hint="default"/>
                <w:spacing w:val="-79"/>
                <w:sz w:val="21"/>
                <w:szCs w:val="21"/>
              </w:rPr>
              <w:t> </w:t>
            </w:r>
            <w:r>
              <w:rPr>
                <w:rFonts w:ascii="宋体" w:hAnsi="宋体" w:cs="宋体" w:eastAsia="宋体" w:hint="default"/>
                <w:sz w:val="21"/>
                <w:szCs w:val="21"/>
              </w:rPr>
              <w:t>器</w:t>
            </w:r>
            <w:r>
              <w:rPr>
                <w:rFonts w:ascii="宋体" w:hAnsi="宋体" w:cs="宋体" w:eastAsia="宋体" w:hint="default"/>
                <w:sz w:val="21"/>
                <w:szCs w:val="21"/>
              </w:rPr>
              <w:t> </w:t>
            </w:r>
            <w:r>
              <w:rPr>
                <w:rFonts w:ascii="宋体" w:hAnsi="宋体" w:cs="宋体" w:eastAsia="宋体" w:hint="default"/>
                <w:spacing w:val="-7"/>
                <w:sz w:val="21"/>
                <w:szCs w:val="21"/>
              </w:rPr>
              <w:t>需求越来越多，完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成</w:t>
            </w:r>
            <w:r>
              <w:rPr>
                <w:rFonts w:ascii="宋体" w:hAnsi="宋体" w:cs="宋体" w:eastAsia="宋体" w:hint="default"/>
                <w:spacing w:val="-78"/>
                <w:sz w:val="21"/>
                <w:szCs w:val="21"/>
              </w:rPr>
              <w:t> </w:t>
            </w:r>
            <w:r>
              <w:rPr>
                <w:rFonts w:ascii="宋体" w:hAnsi="宋体" w:cs="宋体" w:eastAsia="宋体" w:hint="default"/>
                <w:sz w:val="21"/>
                <w:szCs w:val="21"/>
              </w:rPr>
              <w:t>此</w:t>
            </w:r>
            <w:r>
              <w:rPr>
                <w:rFonts w:ascii="宋体" w:hAnsi="宋体" w:cs="宋体" w:eastAsia="宋体" w:hint="default"/>
                <w:spacing w:val="-79"/>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品</w:t>
            </w:r>
            <w:r>
              <w:rPr>
                <w:rFonts w:ascii="宋体" w:hAnsi="宋体" w:cs="宋体" w:eastAsia="宋体" w:hint="default"/>
                <w:spacing w:val="-78"/>
                <w:sz w:val="21"/>
                <w:szCs w:val="21"/>
              </w:rPr>
              <w:t> </w:t>
            </w:r>
            <w:r>
              <w:rPr>
                <w:rFonts w:ascii="宋体" w:hAnsi="宋体" w:cs="宋体" w:eastAsia="宋体" w:hint="default"/>
                <w:spacing w:val="12"/>
                <w:sz w:val="21"/>
                <w:szCs w:val="21"/>
              </w:rPr>
              <w:t>研发</w:t>
            </w:r>
            <w:r>
              <w:rPr>
                <w:rFonts w:ascii="宋体" w:hAnsi="宋体" w:cs="宋体" w:eastAsia="宋体" w:hint="default"/>
                <w:spacing w:val="-79"/>
                <w:sz w:val="21"/>
                <w:szCs w:val="21"/>
              </w:rPr>
              <w:t> </w:t>
            </w:r>
            <w:r>
              <w:rPr>
                <w:rFonts w:ascii="宋体" w:hAnsi="宋体" w:cs="宋体" w:eastAsia="宋体" w:hint="default"/>
                <w:sz w:val="21"/>
                <w:szCs w:val="21"/>
              </w:rPr>
              <w:t>可</w:t>
            </w:r>
            <w:r>
              <w:rPr>
                <w:rFonts w:ascii="宋体" w:hAnsi="宋体" w:cs="宋体" w:eastAsia="宋体" w:hint="default"/>
                <w:sz w:val="21"/>
                <w:szCs w:val="21"/>
              </w:rPr>
              <w:t> 有</w:t>
            </w:r>
            <w:r>
              <w:rPr>
                <w:rFonts w:ascii="宋体" w:hAnsi="宋体" w:cs="宋体" w:eastAsia="宋体" w:hint="default"/>
                <w:spacing w:val="-78"/>
                <w:sz w:val="21"/>
                <w:szCs w:val="21"/>
              </w:rPr>
              <w:t> </w:t>
            </w:r>
            <w:r>
              <w:rPr>
                <w:rFonts w:ascii="宋体" w:hAnsi="宋体" w:cs="宋体" w:eastAsia="宋体" w:hint="default"/>
                <w:sz w:val="21"/>
                <w:szCs w:val="21"/>
              </w:rPr>
              <w:t>效</w:t>
            </w:r>
            <w:r>
              <w:rPr>
                <w:rFonts w:ascii="宋体" w:hAnsi="宋体" w:cs="宋体" w:eastAsia="宋体" w:hint="default"/>
                <w:spacing w:val="-79"/>
                <w:sz w:val="21"/>
                <w:szCs w:val="21"/>
              </w:rPr>
              <w:t> </w:t>
            </w:r>
            <w:r>
              <w:rPr>
                <w:rFonts w:ascii="宋体" w:hAnsi="宋体" w:cs="宋体" w:eastAsia="宋体" w:hint="default"/>
                <w:sz w:val="21"/>
                <w:szCs w:val="21"/>
              </w:rPr>
              <w:t>增</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pacing w:val="12"/>
                <w:sz w:val="21"/>
                <w:szCs w:val="21"/>
              </w:rPr>
              <w:t>应急</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z w:val="21"/>
                <w:szCs w:val="21"/>
              </w:rPr>
              <w:t> 力</w:t>
            </w:r>
            <w:r>
              <w:rPr>
                <w:rFonts w:ascii="宋体" w:hAnsi="宋体" w:cs="宋体" w:eastAsia="宋体" w:hint="default"/>
                <w:spacing w:val="-78"/>
                <w:sz w:val="21"/>
                <w:szCs w:val="21"/>
              </w:rPr>
              <w:t> </w:t>
            </w:r>
            <w:r>
              <w:rPr>
                <w:rFonts w:ascii="宋体" w:hAnsi="宋体" w:cs="宋体" w:eastAsia="宋体" w:hint="default"/>
                <w:sz w:val="21"/>
                <w:szCs w:val="21"/>
              </w:rPr>
              <w:t>变</w:t>
            </w:r>
            <w:r>
              <w:rPr>
                <w:rFonts w:ascii="宋体" w:hAnsi="宋体" w:cs="宋体" w:eastAsia="宋体" w:hint="default"/>
                <w:spacing w:val="-79"/>
                <w:sz w:val="21"/>
                <w:szCs w:val="21"/>
              </w:rPr>
              <w:t> </w:t>
            </w:r>
            <w:r>
              <w:rPr>
                <w:rFonts w:ascii="宋体" w:hAnsi="宋体" w:cs="宋体" w:eastAsia="宋体" w:hint="default"/>
                <w:sz w:val="21"/>
                <w:szCs w:val="21"/>
              </w:rPr>
              <w:t>压</w:t>
            </w:r>
            <w:r>
              <w:rPr>
                <w:rFonts w:ascii="宋体" w:hAnsi="宋体" w:cs="宋体" w:eastAsia="宋体" w:hint="default"/>
                <w:spacing w:val="-78"/>
                <w:sz w:val="21"/>
                <w:szCs w:val="21"/>
              </w:rPr>
              <w:t> </w:t>
            </w:r>
            <w:r>
              <w:rPr>
                <w:rFonts w:ascii="宋体" w:hAnsi="宋体" w:cs="宋体" w:eastAsia="宋体" w:hint="default"/>
                <w:sz w:val="21"/>
                <w:szCs w:val="21"/>
              </w:rPr>
              <w:t>器</w:t>
            </w:r>
            <w:r>
              <w:rPr>
                <w:rFonts w:ascii="宋体" w:hAnsi="宋体" w:cs="宋体" w:eastAsia="宋体" w:hint="default"/>
                <w:spacing w:val="-78"/>
                <w:sz w:val="21"/>
                <w:szCs w:val="21"/>
              </w:rPr>
              <w:t> </w:t>
            </w:r>
            <w:r>
              <w:rPr>
                <w:rFonts w:ascii="宋体" w:hAnsi="宋体" w:cs="宋体" w:eastAsia="宋体" w:hint="default"/>
                <w:spacing w:val="12"/>
                <w:sz w:val="21"/>
                <w:szCs w:val="21"/>
              </w:rPr>
              <w:t>的市</w:t>
            </w:r>
            <w:r>
              <w:rPr>
                <w:rFonts w:ascii="宋体" w:hAnsi="宋体" w:cs="宋体" w:eastAsia="宋体" w:hint="default"/>
                <w:spacing w:val="-79"/>
                <w:sz w:val="21"/>
                <w:szCs w:val="21"/>
              </w:rPr>
              <w:t> </w:t>
            </w:r>
            <w:r>
              <w:rPr>
                <w:rFonts w:ascii="宋体" w:hAnsi="宋体" w:cs="宋体" w:eastAsia="宋体" w:hint="default"/>
                <w:sz w:val="21"/>
                <w:szCs w:val="21"/>
              </w:rPr>
              <w:t>场</w:t>
            </w:r>
            <w:r>
              <w:rPr>
                <w:rFonts w:ascii="宋体" w:hAnsi="宋体" w:cs="宋体" w:eastAsia="宋体" w:hint="default"/>
                <w:sz w:val="21"/>
                <w:szCs w:val="21"/>
              </w:rPr>
              <w:t> </w:t>
            </w:r>
            <w:r>
              <w:rPr>
                <w:rFonts w:ascii="宋体" w:hAnsi="宋体" w:cs="宋体" w:eastAsia="宋体" w:hint="default"/>
                <w:spacing w:val="-7"/>
                <w:sz w:val="21"/>
                <w:szCs w:val="21"/>
              </w:rPr>
              <w:t>份额，增加公司产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值。</w:t>
            </w:r>
          </w:p>
        </w:tc>
      </w:tr>
      <w:tr>
        <w:trPr>
          <w:trHeight w:val="1907"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智能电力变压器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紧扣国家智能电网</w:t>
            </w:r>
            <w:r>
              <w:rPr>
                <w:rFonts w:ascii="宋体" w:hAnsi="宋体" w:cs="宋体" w:eastAsia="宋体" w:hint="default"/>
                <w:spacing w:val="-101"/>
                <w:sz w:val="21"/>
                <w:szCs w:val="21"/>
              </w:rPr>
              <w:t> </w:t>
            </w:r>
            <w:r>
              <w:rPr>
                <w:rFonts w:ascii="宋体" w:hAnsi="宋体" w:cs="宋体" w:eastAsia="宋体" w:hint="default"/>
                <w:spacing w:val="-8"/>
                <w:sz w:val="21"/>
                <w:szCs w:val="21"/>
              </w:rPr>
              <w:t>号召，将电力变压器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进行智能引入，升级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原有电力变压器。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pacing w:val="8"/>
                <w:sz w:val="21"/>
                <w:szCs w:val="21"/>
              </w:rPr>
              <w:t>设计准备及验证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阶段。</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取得智能电力变压 器订单，拓展国网 智能变市场。</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力</w:t>
            </w:r>
            <w:r>
              <w:rPr>
                <w:rFonts w:ascii="宋体" w:hAnsi="宋体" w:cs="宋体" w:eastAsia="宋体" w:hint="default"/>
                <w:spacing w:val="-78"/>
                <w:sz w:val="21"/>
                <w:szCs w:val="21"/>
              </w:rPr>
              <w:t> </w:t>
            </w:r>
            <w:r>
              <w:rPr>
                <w:rFonts w:ascii="宋体" w:hAnsi="宋体" w:cs="宋体" w:eastAsia="宋体" w:hint="default"/>
                <w:spacing w:val="12"/>
                <w:sz w:val="21"/>
                <w:szCs w:val="21"/>
              </w:rPr>
              <w:t>变国</w:t>
            </w:r>
            <w:r>
              <w:rPr>
                <w:rFonts w:ascii="宋体" w:hAnsi="宋体" w:cs="宋体" w:eastAsia="宋体" w:hint="default"/>
                <w:spacing w:val="-79"/>
                <w:sz w:val="21"/>
                <w:szCs w:val="21"/>
              </w:rPr>
              <w:t> </w:t>
            </w:r>
            <w:r>
              <w:rPr>
                <w:rFonts w:ascii="宋体" w:hAnsi="宋体" w:cs="宋体" w:eastAsia="宋体" w:hint="default"/>
                <w:sz w:val="21"/>
                <w:szCs w:val="21"/>
              </w:rPr>
              <w:t>网</w:t>
            </w:r>
            <w:r>
              <w:rPr>
                <w:rFonts w:ascii="宋体" w:hAnsi="宋体" w:cs="宋体" w:eastAsia="宋体" w:hint="default"/>
                <w:sz w:val="21"/>
                <w:szCs w:val="21"/>
              </w:rPr>
              <w:t> 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已</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8"/>
                <w:sz w:val="21"/>
                <w:szCs w:val="21"/>
              </w:rPr>
              <w:t> </w:t>
            </w:r>
            <w:r>
              <w:rPr>
                <w:rFonts w:ascii="宋体" w:hAnsi="宋体" w:cs="宋体" w:eastAsia="宋体" w:hint="default"/>
                <w:spacing w:val="12"/>
                <w:sz w:val="21"/>
                <w:szCs w:val="21"/>
              </w:rPr>
              <w:t>开始</w:t>
            </w:r>
            <w:r>
              <w:rPr>
                <w:rFonts w:ascii="宋体" w:hAnsi="宋体" w:cs="宋体" w:eastAsia="宋体" w:hint="default"/>
                <w:spacing w:val="-79"/>
                <w:sz w:val="21"/>
                <w:szCs w:val="21"/>
              </w:rPr>
              <w:t> </w:t>
            </w:r>
            <w:r>
              <w:rPr>
                <w:rFonts w:ascii="宋体" w:hAnsi="宋体" w:cs="宋体" w:eastAsia="宋体" w:hint="default"/>
                <w:sz w:val="21"/>
                <w:szCs w:val="21"/>
              </w:rPr>
              <w:t>批</w:t>
            </w:r>
            <w:r>
              <w:rPr>
                <w:rFonts w:ascii="宋体" w:hAnsi="宋体" w:cs="宋体" w:eastAsia="宋体" w:hint="default"/>
                <w:sz w:val="21"/>
                <w:szCs w:val="21"/>
              </w:rPr>
              <w:t> </w:t>
            </w:r>
            <w:r>
              <w:rPr>
                <w:rFonts w:ascii="宋体" w:hAnsi="宋体" w:cs="宋体" w:eastAsia="宋体" w:hint="default"/>
                <w:spacing w:val="-7"/>
                <w:sz w:val="21"/>
                <w:szCs w:val="21"/>
              </w:rPr>
              <w:t>量招标，研发可有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效</w:t>
            </w:r>
            <w:r>
              <w:rPr>
                <w:rFonts w:ascii="宋体" w:hAnsi="宋体" w:cs="宋体" w:eastAsia="宋体" w:hint="default"/>
                <w:spacing w:val="-78"/>
                <w:sz w:val="21"/>
                <w:szCs w:val="21"/>
              </w:rPr>
              <w:t> </w:t>
            </w:r>
            <w:r>
              <w:rPr>
                <w:rFonts w:ascii="宋体" w:hAnsi="宋体" w:cs="宋体" w:eastAsia="宋体" w:hint="default"/>
                <w:sz w:val="21"/>
                <w:szCs w:val="21"/>
              </w:rPr>
              <w:t>扩</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pacing w:val="12"/>
                <w:sz w:val="21"/>
                <w:szCs w:val="21"/>
              </w:rPr>
              <w:t>网公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7"/>
                <w:sz w:val="21"/>
                <w:szCs w:val="21"/>
              </w:rPr>
              <w:t>中标率，经济效益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显著。</w:t>
            </w:r>
          </w:p>
        </w:tc>
      </w:tr>
      <w:tr>
        <w:trPr>
          <w:trHeight w:val="2219"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CHR380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动</w:t>
            </w:r>
            <w:r>
              <w:rPr>
                <w:rFonts w:ascii="宋体" w:hAnsi="宋体" w:cs="宋体" w:eastAsia="宋体" w:hint="default"/>
                <w:spacing w:val="-53"/>
                <w:sz w:val="21"/>
                <w:szCs w:val="21"/>
              </w:rPr>
              <w:t> </w:t>
            </w:r>
            <w:r>
              <w:rPr>
                <w:rFonts w:ascii="宋体" w:hAnsi="宋体" w:cs="宋体" w:eastAsia="宋体" w:hint="default"/>
                <w:sz w:val="21"/>
                <w:szCs w:val="21"/>
              </w:rPr>
              <w:t>车</w:t>
            </w:r>
            <w:r>
              <w:rPr>
                <w:rFonts w:ascii="宋体" w:hAnsi="宋体" w:cs="宋体" w:eastAsia="宋体" w:hint="default"/>
                <w:spacing w:val="-51"/>
                <w:sz w:val="21"/>
                <w:szCs w:val="21"/>
              </w:rPr>
              <w:t> </w:t>
            </w:r>
            <w:r>
              <w:rPr>
                <w:rFonts w:ascii="宋体" w:hAnsi="宋体" w:cs="宋体" w:eastAsia="宋体" w:hint="default"/>
                <w:sz w:val="21"/>
                <w:szCs w:val="21"/>
              </w:rPr>
              <w:t>组</w:t>
            </w:r>
            <w:r>
              <w:rPr>
                <w:rFonts w:ascii="宋体" w:hAnsi="宋体" w:cs="宋体" w:eastAsia="宋体" w:hint="default"/>
                <w:w w:val="99"/>
                <w:sz w:val="21"/>
                <w:szCs w:val="21"/>
              </w:rPr>
              <w:t> </w:t>
            </w:r>
            <w:r>
              <w:rPr>
                <w:rFonts w:ascii="宋体" w:hAnsi="宋体" w:cs="宋体" w:eastAsia="宋体" w:hint="default"/>
                <w:sz w:val="21"/>
                <w:szCs w:val="21"/>
              </w:rPr>
              <w:t>用牵引变压器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8"/>
                <w:sz w:val="21"/>
                <w:szCs w:val="21"/>
              </w:rPr>
              <w:t>产品线拓展需要，机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车牵引变压器一直</w:t>
            </w:r>
            <w:r>
              <w:rPr>
                <w:rFonts w:ascii="宋体" w:hAnsi="宋体" w:cs="宋体" w:eastAsia="宋体" w:hint="default"/>
                <w:spacing w:val="-101"/>
                <w:sz w:val="21"/>
                <w:szCs w:val="21"/>
              </w:rPr>
              <w:t> </w:t>
            </w:r>
            <w:r>
              <w:rPr>
                <w:rFonts w:ascii="宋体" w:hAnsi="宋体" w:cs="宋体" w:eastAsia="宋体" w:hint="default"/>
                <w:spacing w:val="-8"/>
                <w:sz w:val="21"/>
                <w:szCs w:val="21"/>
              </w:rPr>
              <w:t>没有进入市场，研发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后可进入电力机车</w:t>
            </w:r>
            <w:r>
              <w:rPr>
                <w:rFonts w:ascii="宋体" w:hAnsi="宋体" w:cs="宋体" w:eastAsia="宋体" w:hint="default"/>
                <w:spacing w:val="-101"/>
                <w:sz w:val="21"/>
                <w:szCs w:val="21"/>
              </w:rPr>
              <w:t> </w:t>
            </w:r>
            <w:r>
              <w:rPr>
                <w:rFonts w:ascii="宋体" w:hAnsi="宋体" w:cs="宋体" w:eastAsia="宋体" w:hint="default"/>
                <w:sz w:val="21"/>
                <w:szCs w:val="21"/>
              </w:rPr>
              <w:t>用牵引变压器市场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pacing w:val="8"/>
                <w:sz w:val="21"/>
                <w:szCs w:val="21"/>
              </w:rPr>
              <w:t>设计准备及验证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阶段。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61" w:right="0"/>
              <w:jc w:val="left"/>
              <w:rPr>
                <w:rFonts w:ascii="宋体" w:hAnsi="宋体" w:cs="宋体" w:eastAsia="宋体" w:hint="default"/>
                <w:sz w:val="21"/>
                <w:szCs w:val="21"/>
              </w:rPr>
            </w:pPr>
            <w:r>
              <w:rPr>
                <w:rFonts w:ascii="宋体" w:hAnsi="宋体" w:cs="宋体" w:eastAsia="宋体" w:hint="default"/>
                <w:sz w:val="21"/>
                <w:szCs w:val="21"/>
              </w:rPr>
              <w:t>。</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1"/>
              <w:jc w:val="both"/>
              <w:rPr>
                <w:rFonts w:ascii="宋体" w:hAnsi="宋体" w:cs="宋体" w:eastAsia="宋体" w:hint="default"/>
                <w:sz w:val="21"/>
                <w:szCs w:val="21"/>
              </w:rPr>
            </w:pPr>
            <w:r>
              <w:rPr>
                <w:rFonts w:ascii="宋体" w:hAnsi="宋体" w:cs="宋体" w:eastAsia="宋体" w:hint="default"/>
                <w:sz w:val="21"/>
                <w:szCs w:val="21"/>
              </w:rPr>
              <w:t>完成样机，取得铁 科院试验报告，具 </w:t>
            </w:r>
            <w:r>
              <w:rPr>
                <w:rFonts w:ascii="宋体" w:hAnsi="宋体" w:cs="宋体" w:eastAsia="宋体" w:hint="default"/>
                <w:spacing w:val="27"/>
                <w:sz w:val="21"/>
                <w:szCs w:val="21"/>
              </w:rPr>
              <w:t>备上车试运</w:t>
            </w:r>
            <w:r>
              <w:rPr>
                <w:rFonts w:ascii="宋体" w:hAnsi="宋体" w:cs="宋体" w:eastAsia="宋体" w:hint="default"/>
                <w:spacing w:val="-69"/>
                <w:sz w:val="21"/>
                <w:szCs w:val="21"/>
              </w:rPr>
              <w:t> </w:t>
            </w:r>
            <w:r>
              <w:rPr>
                <w:rFonts w:ascii="宋体" w:hAnsi="宋体" w:cs="宋体" w:eastAsia="宋体" w:hint="default"/>
                <w:spacing w:val="17"/>
                <w:sz w:val="21"/>
                <w:szCs w:val="21"/>
              </w:rPr>
              <w:t>行条</w:t>
            </w:r>
            <w:r>
              <w:rPr>
                <w:rFonts w:ascii="宋体" w:hAnsi="宋体" w:cs="宋体" w:eastAsia="宋体" w:hint="default"/>
                <w:spacing w:val="-71"/>
                <w:sz w:val="21"/>
                <w:szCs w:val="21"/>
              </w:rPr>
              <w:t> </w:t>
            </w:r>
            <w:r>
              <w:rPr>
                <w:rFonts w:ascii="宋体" w:hAnsi="宋体" w:cs="宋体" w:eastAsia="宋体" w:hint="default"/>
                <w:sz w:val="21"/>
                <w:szCs w:val="21"/>
              </w:rPr>
              <w:t>件。</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电力机车、动车组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牵</w:t>
            </w:r>
            <w:r>
              <w:rPr>
                <w:rFonts w:ascii="宋体" w:hAnsi="宋体" w:cs="宋体" w:eastAsia="宋体" w:hint="default"/>
                <w:spacing w:val="-79"/>
                <w:sz w:val="21"/>
                <w:szCs w:val="21"/>
              </w:rPr>
              <w:t> </w:t>
            </w:r>
            <w:r>
              <w:rPr>
                <w:rFonts w:ascii="宋体" w:hAnsi="宋体" w:cs="宋体" w:eastAsia="宋体" w:hint="default"/>
                <w:sz w:val="21"/>
                <w:szCs w:val="21"/>
              </w:rPr>
              <w:t>引</w:t>
            </w:r>
            <w:r>
              <w:rPr>
                <w:rFonts w:ascii="宋体" w:hAnsi="宋体" w:cs="宋体" w:eastAsia="宋体" w:hint="default"/>
                <w:spacing w:val="-78"/>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pacing w:val="12"/>
                <w:sz w:val="21"/>
                <w:szCs w:val="21"/>
              </w:rPr>
              <w:t>压器</w:t>
            </w:r>
            <w:r>
              <w:rPr>
                <w:rFonts w:ascii="宋体" w:hAnsi="宋体" w:cs="宋体" w:eastAsia="宋体" w:hint="default"/>
                <w:spacing w:val="-79"/>
                <w:sz w:val="21"/>
                <w:szCs w:val="21"/>
              </w:rPr>
              <w:t> </w:t>
            </w:r>
            <w:r>
              <w:rPr>
                <w:rFonts w:ascii="宋体" w:hAnsi="宋体" w:cs="宋体" w:eastAsia="宋体" w:hint="default"/>
                <w:sz w:val="21"/>
                <w:szCs w:val="21"/>
              </w:rPr>
              <w:t>一</w:t>
            </w:r>
            <w:r>
              <w:rPr>
                <w:rFonts w:ascii="宋体" w:hAnsi="宋体" w:cs="宋体" w:eastAsia="宋体" w:hint="default"/>
                <w:sz w:val="21"/>
                <w:szCs w:val="21"/>
              </w:rPr>
              <w:t> 直</w:t>
            </w:r>
            <w:r>
              <w:rPr>
                <w:rFonts w:ascii="宋体" w:hAnsi="宋体" w:cs="宋体" w:eastAsia="宋体" w:hint="default"/>
                <w:spacing w:val="-78"/>
                <w:sz w:val="21"/>
                <w:szCs w:val="21"/>
              </w:rPr>
              <w:t> </w:t>
            </w:r>
            <w:r>
              <w:rPr>
                <w:rFonts w:ascii="宋体" w:hAnsi="宋体" w:cs="宋体" w:eastAsia="宋体" w:hint="default"/>
                <w:sz w:val="21"/>
                <w:szCs w:val="21"/>
              </w:rPr>
              <w:t>被</w:t>
            </w:r>
            <w:r>
              <w:rPr>
                <w:rFonts w:ascii="宋体" w:hAnsi="宋体" w:cs="宋体" w:eastAsia="宋体" w:hint="default"/>
                <w:spacing w:val="-79"/>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pacing w:val="12"/>
                <w:sz w:val="21"/>
                <w:szCs w:val="21"/>
              </w:rPr>
              <w:t>企业</w:t>
            </w:r>
            <w:r>
              <w:rPr>
                <w:rFonts w:ascii="宋体" w:hAnsi="宋体" w:cs="宋体" w:eastAsia="宋体" w:hint="default"/>
                <w:spacing w:val="-79"/>
                <w:sz w:val="21"/>
                <w:szCs w:val="21"/>
              </w:rPr>
              <w:t> </w:t>
            </w:r>
            <w:r>
              <w:rPr>
                <w:rFonts w:ascii="宋体" w:hAnsi="宋体" w:cs="宋体" w:eastAsia="宋体" w:hint="default"/>
                <w:sz w:val="21"/>
                <w:szCs w:val="21"/>
              </w:rPr>
              <w:t>垄</w:t>
            </w:r>
            <w:r>
              <w:rPr>
                <w:rFonts w:ascii="宋体" w:hAnsi="宋体" w:cs="宋体" w:eastAsia="宋体" w:hint="default"/>
                <w:sz w:val="21"/>
                <w:szCs w:val="21"/>
              </w:rPr>
              <w:t> </w:t>
            </w:r>
            <w:r>
              <w:rPr>
                <w:rFonts w:ascii="宋体" w:hAnsi="宋体" w:cs="宋体" w:eastAsia="宋体" w:hint="default"/>
                <w:spacing w:val="-7"/>
                <w:sz w:val="21"/>
                <w:szCs w:val="21"/>
              </w:rPr>
              <w:t>断，产品研发后可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有效打破垄断，为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带</w:t>
            </w:r>
            <w:r>
              <w:rPr>
                <w:rFonts w:ascii="宋体" w:hAnsi="宋体" w:cs="宋体" w:eastAsia="宋体" w:hint="default"/>
                <w:spacing w:val="-78"/>
                <w:sz w:val="21"/>
                <w:szCs w:val="21"/>
              </w:rPr>
              <w:t> </w:t>
            </w:r>
            <w:r>
              <w:rPr>
                <w:rFonts w:ascii="宋体" w:hAnsi="宋体" w:cs="宋体" w:eastAsia="宋体" w:hint="default"/>
                <w:sz w:val="21"/>
                <w:szCs w:val="21"/>
              </w:rPr>
              <w:t>来</w:t>
            </w:r>
            <w:r>
              <w:rPr>
                <w:rFonts w:ascii="宋体" w:hAnsi="宋体" w:cs="宋体" w:eastAsia="宋体" w:hint="default"/>
                <w:spacing w:val="-78"/>
                <w:sz w:val="21"/>
                <w:szCs w:val="21"/>
              </w:rPr>
              <w:t> </w:t>
            </w:r>
            <w:r>
              <w:rPr>
                <w:rFonts w:ascii="宋体" w:hAnsi="宋体" w:cs="宋体" w:eastAsia="宋体" w:hint="default"/>
                <w:spacing w:val="12"/>
                <w:sz w:val="21"/>
                <w:szCs w:val="21"/>
              </w:rPr>
              <w:t>新的</w:t>
            </w:r>
            <w:r>
              <w:rPr>
                <w:rFonts w:ascii="宋体" w:hAnsi="宋体" w:cs="宋体" w:eastAsia="宋体" w:hint="default"/>
                <w:spacing w:val="-79"/>
                <w:sz w:val="21"/>
                <w:szCs w:val="21"/>
              </w:rPr>
              <w:t> </w:t>
            </w:r>
            <w:r>
              <w:rPr>
                <w:rFonts w:ascii="宋体" w:hAnsi="宋体" w:cs="宋体" w:eastAsia="宋体" w:hint="default"/>
                <w:sz w:val="21"/>
                <w:szCs w:val="21"/>
              </w:rPr>
              <w:t>经</w:t>
            </w:r>
            <w:r>
              <w:rPr>
                <w:rFonts w:ascii="宋体" w:hAnsi="宋体" w:cs="宋体" w:eastAsia="宋体" w:hint="default"/>
                <w:sz w:val="21"/>
                <w:szCs w:val="21"/>
              </w:rPr>
              <w:t> 济增长点。</w:t>
            </w:r>
          </w:p>
        </w:tc>
      </w:tr>
      <w:tr>
        <w:trPr>
          <w:trHeight w:val="2219"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标准动车组用牵 </w:t>
            </w:r>
            <w:r>
              <w:rPr>
                <w:rFonts w:ascii="宋体" w:hAnsi="宋体" w:cs="宋体" w:eastAsia="宋体" w:hint="default"/>
                <w:sz w:val="21"/>
                <w:szCs w:val="21"/>
              </w:rPr>
              <w:t>引变压器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8"/>
                <w:sz w:val="21"/>
                <w:szCs w:val="21"/>
              </w:rPr>
              <w:t>产品线拓展需要，机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车牵引变压器一直</w:t>
            </w:r>
            <w:r>
              <w:rPr>
                <w:rFonts w:ascii="宋体" w:hAnsi="宋体" w:cs="宋体" w:eastAsia="宋体" w:hint="default"/>
                <w:spacing w:val="-101"/>
                <w:sz w:val="21"/>
                <w:szCs w:val="21"/>
              </w:rPr>
              <w:t> </w:t>
            </w:r>
            <w:r>
              <w:rPr>
                <w:rFonts w:ascii="宋体" w:hAnsi="宋体" w:cs="宋体" w:eastAsia="宋体" w:hint="default"/>
                <w:spacing w:val="-8"/>
                <w:sz w:val="21"/>
                <w:szCs w:val="21"/>
              </w:rPr>
              <w:t>没有进入市场，研发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后可进入电力机车</w:t>
            </w:r>
            <w:r>
              <w:rPr>
                <w:rFonts w:ascii="宋体" w:hAnsi="宋体" w:cs="宋体" w:eastAsia="宋体" w:hint="default"/>
                <w:spacing w:val="-101"/>
                <w:sz w:val="21"/>
                <w:szCs w:val="21"/>
              </w:rPr>
              <w:t> </w:t>
            </w:r>
            <w:r>
              <w:rPr>
                <w:rFonts w:ascii="宋体" w:hAnsi="宋体" w:cs="宋体" w:eastAsia="宋体" w:hint="default"/>
                <w:sz w:val="21"/>
                <w:szCs w:val="21"/>
              </w:rPr>
              <w:t>用牵引变压器市场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pacing w:val="8"/>
                <w:sz w:val="21"/>
                <w:szCs w:val="21"/>
              </w:rPr>
              <w:t>设计准备及验证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阶段。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61" w:right="0"/>
              <w:jc w:val="left"/>
              <w:rPr>
                <w:rFonts w:ascii="宋体" w:hAnsi="宋体" w:cs="宋体" w:eastAsia="宋体" w:hint="default"/>
                <w:sz w:val="21"/>
                <w:szCs w:val="21"/>
              </w:rPr>
            </w:pPr>
            <w:r>
              <w:rPr>
                <w:rFonts w:ascii="宋体" w:hAnsi="宋体" w:cs="宋体" w:eastAsia="宋体" w:hint="default"/>
                <w:sz w:val="21"/>
                <w:szCs w:val="21"/>
              </w:rPr>
              <w:t>。</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完成样机，取得铁 科院试验报告，具 备</w:t>
            </w:r>
            <w:r>
              <w:rPr>
                <w:rFonts w:ascii="宋体" w:hAnsi="宋体" w:cs="宋体" w:eastAsia="宋体" w:hint="default"/>
                <w:spacing w:val="-71"/>
                <w:sz w:val="21"/>
                <w:szCs w:val="21"/>
              </w:rPr>
              <w:t> </w:t>
            </w:r>
            <w:r>
              <w:rPr>
                <w:rFonts w:ascii="宋体" w:hAnsi="宋体" w:cs="宋体" w:eastAsia="宋体" w:hint="default"/>
                <w:sz w:val="21"/>
                <w:szCs w:val="21"/>
              </w:rPr>
              <w:t>上</w:t>
            </w:r>
            <w:r>
              <w:rPr>
                <w:rFonts w:ascii="宋体" w:hAnsi="宋体" w:cs="宋体" w:eastAsia="宋体" w:hint="default"/>
                <w:spacing w:val="-71"/>
                <w:sz w:val="21"/>
                <w:szCs w:val="21"/>
              </w:rPr>
              <w:t> </w:t>
            </w:r>
            <w:r>
              <w:rPr>
                <w:rFonts w:ascii="宋体" w:hAnsi="宋体" w:cs="宋体" w:eastAsia="宋体" w:hint="default"/>
                <w:sz w:val="21"/>
                <w:szCs w:val="21"/>
              </w:rPr>
              <w:t>车</w:t>
            </w:r>
            <w:r>
              <w:rPr>
                <w:rFonts w:ascii="宋体" w:hAnsi="宋体" w:cs="宋体" w:eastAsia="宋体" w:hint="default"/>
                <w:spacing w:val="-71"/>
                <w:sz w:val="21"/>
                <w:szCs w:val="21"/>
              </w:rPr>
              <w:t> </w:t>
            </w:r>
            <w:r>
              <w:rPr>
                <w:rFonts w:ascii="宋体" w:hAnsi="宋体" w:cs="宋体" w:eastAsia="宋体" w:hint="default"/>
                <w:sz w:val="21"/>
                <w:szCs w:val="21"/>
              </w:rPr>
              <w:t>试</w:t>
            </w:r>
            <w:r>
              <w:rPr>
                <w:rFonts w:ascii="宋体" w:hAnsi="宋体" w:cs="宋体" w:eastAsia="宋体" w:hint="default"/>
                <w:spacing w:val="-71"/>
                <w:sz w:val="21"/>
                <w:szCs w:val="21"/>
              </w:rPr>
              <w:t> </w:t>
            </w:r>
            <w:r>
              <w:rPr>
                <w:rFonts w:ascii="宋体" w:hAnsi="宋体" w:cs="宋体" w:eastAsia="宋体" w:hint="default"/>
                <w:sz w:val="21"/>
                <w:szCs w:val="21"/>
              </w:rPr>
              <w:t>运</w:t>
            </w:r>
            <w:r>
              <w:rPr>
                <w:rFonts w:ascii="宋体" w:hAnsi="宋体" w:cs="宋体" w:eastAsia="宋体" w:hint="default"/>
                <w:spacing w:val="-70"/>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条</w:t>
            </w:r>
            <w:r>
              <w:rPr>
                <w:rFonts w:ascii="宋体" w:hAnsi="宋体" w:cs="宋体" w:eastAsia="宋体" w:hint="default"/>
                <w:sz w:val="21"/>
                <w:szCs w:val="21"/>
              </w:rPr>
              <w:t> 件。</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电力机车、动车组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用</w:t>
            </w:r>
            <w:r>
              <w:rPr>
                <w:rFonts w:ascii="宋体" w:hAnsi="宋体" w:cs="宋体" w:eastAsia="宋体" w:hint="default"/>
                <w:spacing w:val="-78"/>
                <w:sz w:val="21"/>
                <w:szCs w:val="21"/>
              </w:rPr>
              <w:t> </w:t>
            </w:r>
            <w:r>
              <w:rPr>
                <w:rFonts w:ascii="宋体" w:hAnsi="宋体" w:cs="宋体" w:eastAsia="宋体" w:hint="default"/>
                <w:sz w:val="21"/>
                <w:szCs w:val="21"/>
              </w:rPr>
              <w:t>牵</w:t>
            </w:r>
            <w:r>
              <w:rPr>
                <w:rFonts w:ascii="宋体" w:hAnsi="宋体" w:cs="宋体" w:eastAsia="宋体" w:hint="default"/>
                <w:spacing w:val="-79"/>
                <w:sz w:val="21"/>
                <w:szCs w:val="21"/>
              </w:rPr>
              <w:t> </w:t>
            </w:r>
            <w:r>
              <w:rPr>
                <w:rFonts w:ascii="宋体" w:hAnsi="宋体" w:cs="宋体" w:eastAsia="宋体" w:hint="default"/>
                <w:sz w:val="21"/>
                <w:szCs w:val="21"/>
              </w:rPr>
              <w:t>引</w:t>
            </w:r>
            <w:r>
              <w:rPr>
                <w:rFonts w:ascii="宋体" w:hAnsi="宋体" w:cs="宋体" w:eastAsia="宋体" w:hint="default"/>
                <w:spacing w:val="-78"/>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pacing w:val="12"/>
                <w:sz w:val="21"/>
                <w:szCs w:val="21"/>
              </w:rPr>
              <w:t>压器</w:t>
            </w:r>
            <w:r>
              <w:rPr>
                <w:rFonts w:ascii="宋体" w:hAnsi="宋体" w:cs="宋体" w:eastAsia="宋体" w:hint="default"/>
                <w:spacing w:val="-79"/>
                <w:sz w:val="21"/>
                <w:szCs w:val="21"/>
              </w:rPr>
              <w:t> </w:t>
            </w:r>
            <w:r>
              <w:rPr>
                <w:rFonts w:ascii="宋体" w:hAnsi="宋体" w:cs="宋体" w:eastAsia="宋体" w:hint="default"/>
                <w:sz w:val="21"/>
                <w:szCs w:val="21"/>
              </w:rPr>
              <w:t>一</w:t>
            </w:r>
            <w:r>
              <w:rPr>
                <w:rFonts w:ascii="宋体" w:hAnsi="宋体" w:cs="宋体" w:eastAsia="宋体" w:hint="default"/>
                <w:sz w:val="21"/>
                <w:szCs w:val="21"/>
              </w:rPr>
              <w:t> 直</w:t>
            </w:r>
            <w:r>
              <w:rPr>
                <w:rFonts w:ascii="宋体" w:hAnsi="宋体" w:cs="宋体" w:eastAsia="宋体" w:hint="default"/>
                <w:spacing w:val="-78"/>
                <w:sz w:val="21"/>
                <w:szCs w:val="21"/>
              </w:rPr>
              <w:t> </w:t>
            </w:r>
            <w:r>
              <w:rPr>
                <w:rFonts w:ascii="宋体" w:hAnsi="宋体" w:cs="宋体" w:eastAsia="宋体" w:hint="default"/>
                <w:sz w:val="21"/>
                <w:szCs w:val="21"/>
              </w:rPr>
              <w:t>被</w:t>
            </w:r>
            <w:r>
              <w:rPr>
                <w:rFonts w:ascii="宋体" w:hAnsi="宋体" w:cs="宋体" w:eastAsia="宋体" w:hint="default"/>
                <w:spacing w:val="-79"/>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pacing w:val="12"/>
                <w:sz w:val="21"/>
                <w:szCs w:val="21"/>
              </w:rPr>
              <w:t>企业</w:t>
            </w:r>
            <w:r>
              <w:rPr>
                <w:rFonts w:ascii="宋体" w:hAnsi="宋体" w:cs="宋体" w:eastAsia="宋体" w:hint="default"/>
                <w:spacing w:val="-79"/>
                <w:sz w:val="21"/>
                <w:szCs w:val="21"/>
              </w:rPr>
              <w:t> </w:t>
            </w:r>
            <w:r>
              <w:rPr>
                <w:rFonts w:ascii="宋体" w:hAnsi="宋体" w:cs="宋体" w:eastAsia="宋体" w:hint="default"/>
                <w:sz w:val="21"/>
                <w:szCs w:val="21"/>
              </w:rPr>
              <w:t>垄</w:t>
            </w:r>
            <w:r>
              <w:rPr>
                <w:rFonts w:ascii="宋体" w:hAnsi="宋体" w:cs="宋体" w:eastAsia="宋体" w:hint="default"/>
                <w:sz w:val="21"/>
                <w:szCs w:val="21"/>
              </w:rPr>
              <w:t> </w:t>
            </w:r>
            <w:r>
              <w:rPr>
                <w:rFonts w:ascii="宋体" w:hAnsi="宋体" w:cs="宋体" w:eastAsia="宋体" w:hint="default"/>
                <w:spacing w:val="-7"/>
                <w:sz w:val="21"/>
                <w:szCs w:val="21"/>
              </w:rPr>
              <w:t>断，产品研发后可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有效打破垄断，为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带</w:t>
            </w:r>
            <w:r>
              <w:rPr>
                <w:rFonts w:ascii="宋体" w:hAnsi="宋体" w:cs="宋体" w:eastAsia="宋体" w:hint="default"/>
                <w:spacing w:val="-78"/>
                <w:sz w:val="21"/>
                <w:szCs w:val="21"/>
              </w:rPr>
              <w:t> </w:t>
            </w:r>
            <w:r>
              <w:rPr>
                <w:rFonts w:ascii="宋体" w:hAnsi="宋体" w:cs="宋体" w:eastAsia="宋体" w:hint="default"/>
                <w:sz w:val="21"/>
                <w:szCs w:val="21"/>
              </w:rPr>
              <w:t>来</w:t>
            </w:r>
            <w:r>
              <w:rPr>
                <w:rFonts w:ascii="宋体" w:hAnsi="宋体" w:cs="宋体" w:eastAsia="宋体" w:hint="default"/>
                <w:spacing w:val="-78"/>
                <w:sz w:val="21"/>
                <w:szCs w:val="21"/>
              </w:rPr>
              <w:t> </w:t>
            </w:r>
            <w:r>
              <w:rPr>
                <w:rFonts w:ascii="宋体" w:hAnsi="宋体" w:cs="宋体" w:eastAsia="宋体" w:hint="default"/>
                <w:spacing w:val="12"/>
                <w:sz w:val="21"/>
                <w:szCs w:val="21"/>
              </w:rPr>
              <w:t>新的</w:t>
            </w:r>
            <w:r>
              <w:rPr>
                <w:rFonts w:ascii="宋体" w:hAnsi="宋体" w:cs="宋体" w:eastAsia="宋体" w:hint="default"/>
                <w:spacing w:val="-79"/>
                <w:sz w:val="21"/>
                <w:szCs w:val="21"/>
              </w:rPr>
              <w:t> </w:t>
            </w:r>
            <w:r>
              <w:rPr>
                <w:rFonts w:ascii="宋体" w:hAnsi="宋体" w:cs="宋体" w:eastAsia="宋体" w:hint="default"/>
                <w:sz w:val="21"/>
                <w:szCs w:val="21"/>
              </w:rPr>
              <w:t>经</w:t>
            </w:r>
            <w:r>
              <w:rPr>
                <w:rFonts w:ascii="宋体" w:hAnsi="宋体" w:cs="宋体" w:eastAsia="宋体" w:hint="default"/>
                <w:sz w:val="21"/>
                <w:szCs w:val="21"/>
              </w:rPr>
              <w:t> 济增长点。</w:t>
            </w:r>
          </w:p>
        </w:tc>
      </w:tr>
      <w:tr>
        <w:trPr>
          <w:trHeight w:val="1636"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智能牵引变压器</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紧扣国家智能电网</w:t>
            </w:r>
            <w:r>
              <w:rPr>
                <w:rFonts w:ascii="宋体" w:hAnsi="宋体" w:cs="宋体" w:eastAsia="宋体" w:hint="default"/>
                <w:spacing w:val="-101"/>
                <w:sz w:val="21"/>
                <w:szCs w:val="21"/>
              </w:rPr>
              <w:t> </w:t>
            </w:r>
            <w:r>
              <w:rPr>
                <w:rFonts w:ascii="宋体" w:hAnsi="宋体" w:cs="宋体" w:eastAsia="宋体" w:hint="default"/>
                <w:spacing w:val="-8"/>
                <w:sz w:val="21"/>
                <w:szCs w:val="21"/>
              </w:rPr>
              <w:t>号召，将牵引变压器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进行智能引入，升级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原有牵引变压器，为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今后的智能牵引变</w:t>
            </w:r>
            <w:r>
              <w:rPr>
                <w:rFonts w:ascii="宋体" w:hAnsi="宋体" w:cs="宋体" w:eastAsia="宋体" w:hint="default"/>
                <w:spacing w:val="-85"/>
                <w:sz w:val="21"/>
                <w:szCs w:val="21"/>
              </w:rPr>
              <w:t> </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pacing w:val="8"/>
                <w:sz w:val="21"/>
                <w:szCs w:val="21"/>
              </w:rPr>
              <w:t>设计准备及验证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阶段。</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取得智能牵引变压 器订单，拓展牵引 变。</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牵</w:t>
            </w:r>
            <w:r>
              <w:rPr>
                <w:rFonts w:ascii="宋体" w:hAnsi="宋体" w:cs="宋体" w:eastAsia="宋体" w:hint="default"/>
                <w:spacing w:val="-78"/>
                <w:sz w:val="21"/>
                <w:szCs w:val="21"/>
              </w:rPr>
              <w:t> </w:t>
            </w:r>
            <w:r>
              <w:rPr>
                <w:rFonts w:ascii="宋体" w:hAnsi="宋体" w:cs="宋体" w:eastAsia="宋体" w:hint="default"/>
                <w:sz w:val="21"/>
                <w:szCs w:val="21"/>
              </w:rPr>
              <w:t>引</w:t>
            </w:r>
            <w:r>
              <w:rPr>
                <w:rFonts w:ascii="宋体" w:hAnsi="宋体" w:cs="宋体" w:eastAsia="宋体" w:hint="default"/>
                <w:spacing w:val="-78"/>
                <w:sz w:val="21"/>
                <w:szCs w:val="21"/>
              </w:rPr>
              <w:t> </w:t>
            </w:r>
            <w:r>
              <w:rPr>
                <w:rFonts w:ascii="宋体" w:hAnsi="宋体" w:cs="宋体" w:eastAsia="宋体" w:hint="default"/>
                <w:spacing w:val="12"/>
                <w:sz w:val="21"/>
                <w:szCs w:val="21"/>
              </w:rPr>
              <w:t>变电</w:t>
            </w:r>
            <w:r>
              <w:rPr>
                <w:rFonts w:ascii="宋体" w:hAnsi="宋体" w:cs="宋体" w:eastAsia="宋体" w:hint="default"/>
                <w:spacing w:val="-79"/>
                <w:sz w:val="21"/>
                <w:szCs w:val="21"/>
              </w:rPr>
              <w:t> </w:t>
            </w:r>
            <w:r>
              <w:rPr>
                <w:rFonts w:ascii="宋体" w:hAnsi="宋体" w:cs="宋体" w:eastAsia="宋体" w:hint="default"/>
                <w:sz w:val="21"/>
                <w:szCs w:val="21"/>
              </w:rPr>
              <w:t>站</w:t>
            </w:r>
            <w:r>
              <w:rPr>
                <w:rFonts w:ascii="宋体" w:hAnsi="宋体" w:cs="宋体" w:eastAsia="宋体" w:hint="default"/>
                <w:sz w:val="21"/>
                <w:szCs w:val="21"/>
              </w:rPr>
              <w:t> 需</w:t>
            </w:r>
            <w:r>
              <w:rPr>
                <w:rFonts w:ascii="宋体" w:hAnsi="宋体" w:cs="宋体" w:eastAsia="宋体" w:hint="default"/>
                <w:spacing w:val="-78"/>
                <w:sz w:val="21"/>
                <w:szCs w:val="21"/>
              </w:rPr>
              <w:t> </w:t>
            </w:r>
            <w:r>
              <w:rPr>
                <w:rFonts w:ascii="宋体" w:hAnsi="宋体" w:cs="宋体" w:eastAsia="宋体" w:hint="default"/>
                <w:sz w:val="21"/>
                <w:szCs w:val="21"/>
              </w:rPr>
              <w:t>求</w:t>
            </w:r>
            <w:r>
              <w:rPr>
                <w:rFonts w:ascii="宋体" w:hAnsi="宋体" w:cs="宋体" w:eastAsia="宋体" w:hint="default"/>
                <w:spacing w:val="-79"/>
                <w:sz w:val="21"/>
                <w:szCs w:val="21"/>
              </w:rPr>
              <w:t> </w:t>
            </w:r>
            <w:r>
              <w:rPr>
                <w:rFonts w:ascii="宋体" w:hAnsi="宋体" w:cs="宋体" w:eastAsia="宋体" w:hint="default"/>
                <w:sz w:val="21"/>
                <w:szCs w:val="21"/>
              </w:rPr>
              <w:t>约</w:t>
            </w:r>
            <w:r>
              <w:rPr>
                <w:rFonts w:ascii="宋体" w:hAnsi="宋体" w:cs="宋体" w:eastAsia="宋体" w:hint="default"/>
                <w:spacing w:val="-78"/>
                <w:sz w:val="21"/>
                <w:szCs w:val="21"/>
              </w:rPr>
              <w:t> </w:t>
            </w:r>
            <w:r>
              <w:rPr>
                <w:rFonts w:ascii="宋体" w:hAnsi="宋体" w:cs="宋体" w:eastAsia="宋体" w:hint="default"/>
                <w:sz w:val="21"/>
                <w:szCs w:val="21"/>
              </w:rPr>
              <w:t>来</w:t>
            </w:r>
            <w:r>
              <w:rPr>
                <w:rFonts w:ascii="宋体" w:hAnsi="宋体" w:cs="宋体" w:eastAsia="宋体" w:hint="default"/>
                <w:spacing w:val="-78"/>
                <w:sz w:val="21"/>
                <w:szCs w:val="21"/>
              </w:rPr>
              <w:t> </w:t>
            </w:r>
            <w:r>
              <w:rPr>
                <w:rFonts w:ascii="宋体" w:hAnsi="宋体" w:cs="宋体" w:eastAsia="宋体" w:hint="default"/>
                <w:spacing w:val="12"/>
                <w:sz w:val="21"/>
                <w:szCs w:val="21"/>
              </w:rPr>
              <w:t>约被</w:t>
            </w:r>
            <w:r>
              <w:rPr>
                <w:rFonts w:ascii="宋体" w:hAnsi="宋体" w:cs="宋体" w:eastAsia="宋体" w:hint="default"/>
                <w:spacing w:val="-79"/>
                <w:sz w:val="21"/>
                <w:szCs w:val="21"/>
              </w:rPr>
              <w:t> </w:t>
            </w:r>
            <w:r>
              <w:rPr>
                <w:rFonts w:ascii="宋体" w:hAnsi="宋体" w:cs="宋体" w:eastAsia="宋体" w:hint="default"/>
                <w:sz w:val="21"/>
                <w:szCs w:val="21"/>
              </w:rPr>
              <w:t>提</w:t>
            </w:r>
            <w:r>
              <w:rPr>
                <w:rFonts w:ascii="宋体" w:hAnsi="宋体" w:cs="宋体" w:eastAsia="宋体" w:hint="default"/>
                <w:sz w:val="21"/>
                <w:szCs w:val="21"/>
              </w:rPr>
              <w:t> </w:t>
            </w:r>
            <w:r>
              <w:rPr>
                <w:rFonts w:ascii="宋体" w:hAnsi="宋体" w:cs="宋体" w:eastAsia="宋体" w:hint="default"/>
                <w:spacing w:val="-7"/>
                <w:sz w:val="21"/>
                <w:szCs w:val="21"/>
              </w:rPr>
              <w:t>上日程，研发可将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原</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牵</w:t>
            </w:r>
            <w:r>
              <w:rPr>
                <w:rFonts w:ascii="宋体" w:hAnsi="宋体" w:cs="宋体" w:eastAsia="宋体" w:hint="default"/>
                <w:spacing w:val="-78"/>
                <w:sz w:val="21"/>
                <w:szCs w:val="21"/>
              </w:rPr>
              <w:t> </w:t>
            </w:r>
            <w:r>
              <w:rPr>
                <w:rFonts w:ascii="宋体" w:hAnsi="宋体" w:cs="宋体" w:eastAsia="宋体" w:hint="default"/>
                <w:spacing w:val="12"/>
                <w:sz w:val="21"/>
                <w:szCs w:val="21"/>
              </w:rPr>
              <w:t>引变</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z w:val="21"/>
                <w:szCs w:val="21"/>
              </w:rPr>
              <w:t> 术</w:t>
            </w:r>
            <w:r>
              <w:rPr>
                <w:rFonts w:ascii="宋体" w:hAnsi="宋体" w:cs="宋体" w:eastAsia="宋体" w:hint="default"/>
                <w:spacing w:val="-78"/>
                <w:sz w:val="21"/>
                <w:szCs w:val="21"/>
              </w:rPr>
              <w:t> </w:t>
            </w:r>
            <w:r>
              <w:rPr>
                <w:rFonts w:ascii="宋体" w:hAnsi="宋体" w:cs="宋体" w:eastAsia="宋体" w:hint="default"/>
                <w:sz w:val="21"/>
                <w:szCs w:val="21"/>
              </w:rPr>
              <w:t>优</w:t>
            </w:r>
            <w:r>
              <w:rPr>
                <w:rFonts w:ascii="宋体" w:hAnsi="宋体" w:cs="宋体" w:eastAsia="宋体" w:hint="default"/>
                <w:spacing w:val="-79"/>
                <w:sz w:val="21"/>
                <w:szCs w:val="21"/>
              </w:rPr>
              <w:t> </w:t>
            </w:r>
            <w:r>
              <w:rPr>
                <w:rFonts w:ascii="宋体" w:hAnsi="宋体" w:cs="宋体" w:eastAsia="宋体" w:hint="default"/>
                <w:sz w:val="21"/>
                <w:szCs w:val="21"/>
              </w:rPr>
              <w:t>势</w:t>
            </w:r>
            <w:r>
              <w:rPr>
                <w:rFonts w:ascii="宋体" w:hAnsi="宋体" w:cs="宋体" w:eastAsia="宋体" w:hint="default"/>
                <w:spacing w:val="-78"/>
                <w:sz w:val="21"/>
                <w:szCs w:val="21"/>
              </w:rPr>
              <w:t> </w:t>
            </w:r>
            <w:r>
              <w:rPr>
                <w:rFonts w:ascii="宋体" w:hAnsi="宋体" w:cs="宋体" w:eastAsia="宋体" w:hint="default"/>
                <w:sz w:val="21"/>
                <w:szCs w:val="21"/>
              </w:rPr>
              <w:t>带</w:t>
            </w:r>
            <w:r>
              <w:rPr>
                <w:rFonts w:ascii="宋体" w:hAnsi="宋体" w:cs="宋体" w:eastAsia="宋体" w:hint="default"/>
                <w:spacing w:val="-78"/>
                <w:sz w:val="21"/>
                <w:szCs w:val="21"/>
              </w:rPr>
              <w:t> </w:t>
            </w:r>
            <w:r>
              <w:rPr>
                <w:rFonts w:ascii="宋体" w:hAnsi="宋体" w:cs="宋体" w:eastAsia="宋体" w:hint="default"/>
                <w:spacing w:val="12"/>
                <w:sz w:val="21"/>
                <w:szCs w:val="21"/>
              </w:rPr>
              <w:t>来一</w:t>
            </w:r>
            <w:r>
              <w:rPr>
                <w:rFonts w:ascii="宋体" w:hAnsi="宋体" w:cs="宋体" w:eastAsia="宋体" w:hint="default"/>
                <w:spacing w:val="-79"/>
                <w:sz w:val="21"/>
                <w:szCs w:val="21"/>
              </w:rPr>
              <w:t> </w:t>
            </w:r>
            <w:r>
              <w:rPr>
                <w:rFonts w:ascii="宋体" w:hAnsi="宋体" w:cs="宋体" w:eastAsia="宋体" w:hint="default"/>
                <w:sz w:val="21"/>
                <w:szCs w:val="21"/>
              </w:rPr>
              <w:t>个</w:t>
            </w:r>
          </w:p>
        </w:tc>
      </w:tr>
    </w:tbl>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971"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电站打下基础。</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化</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提升</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z w:val="21"/>
                <w:szCs w:val="21"/>
              </w:rPr>
              <w:t> 可</w:t>
            </w:r>
            <w:r>
              <w:rPr>
                <w:rFonts w:ascii="宋体" w:hAnsi="宋体" w:cs="宋体" w:eastAsia="宋体" w:hint="default"/>
                <w:spacing w:val="-78"/>
                <w:sz w:val="21"/>
                <w:szCs w:val="21"/>
              </w:rPr>
              <w:t> </w:t>
            </w:r>
            <w:r>
              <w:rPr>
                <w:rFonts w:ascii="宋体" w:hAnsi="宋体" w:cs="宋体" w:eastAsia="宋体" w:hint="default"/>
                <w:sz w:val="21"/>
                <w:szCs w:val="21"/>
              </w:rPr>
              <w:t>为</w:t>
            </w:r>
            <w:r>
              <w:rPr>
                <w:rFonts w:ascii="宋体" w:hAnsi="宋体" w:cs="宋体" w:eastAsia="宋体" w:hint="default"/>
                <w:spacing w:val="-79"/>
                <w:sz w:val="21"/>
                <w:szCs w:val="21"/>
              </w:rPr>
              <w:t> </w:t>
            </w:r>
            <w:r>
              <w:rPr>
                <w:rFonts w:ascii="宋体" w:hAnsi="宋体" w:cs="宋体" w:eastAsia="宋体" w:hint="default"/>
                <w:sz w:val="21"/>
                <w:szCs w:val="21"/>
              </w:rPr>
              <w:t>牵</w:t>
            </w:r>
            <w:r>
              <w:rPr>
                <w:rFonts w:ascii="宋体" w:hAnsi="宋体" w:cs="宋体" w:eastAsia="宋体" w:hint="default"/>
                <w:spacing w:val="-78"/>
                <w:sz w:val="21"/>
                <w:szCs w:val="21"/>
              </w:rPr>
              <w:t> </w:t>
            </w:r>
            <w:r>
              <w:rPr>
                <w:rFonts w:ascii="宋体" w:hAnsi="宋体" w:cs="宋体" w:eastAsia="宋体" w:hint="default"/>
                <w:sz w:val="21"/>
                <w:szCs w:val="21"/>
              </w:rPr>
              <w:t>引</w:t>
            </w:r>
            <w:r>
              <w:rPr>
                <w:rFonts w:ascii="宋体" w:hAnsi="宋体" w:cs="宋体" w:eastAsia="宋体" w:hint="default"/>
                <w:spacing w:val="-78"/>
                <w:sz w:val="21"/>
                <w:szCs w:val="21"/>
              </w:rPr>
              <w:t> </w:t>
            </w:r>
            <w:r>
              <w:rPr>
                <w:rFonts w:ascii="宋体" w:hAnsi="宋体" w:cs="宋体" w:eastAsia="宋体" w:hint="default"/>
                <w:spacing w:val="12"/>
                <w:sz w:val="21"/>
                <w:szCs w:val="21"/>
              </w:rPr>
              <w:t>变带</w:t>
            </w:r>
            <w:r>
              <w:rPr>
                <w:rFonts w:ascii="宋体" w:hAnsi="宋体" w:cs="宋体" w:eastAsia="宋体" w:hint="default"/>
                <w:spacing w:val="-79"/>
                <w:sz w:val="21"/>
                <w:szCs w:val="21"/>
              </w:rPr>
              <w:t> </w:t>
            </w:r>
            <w:r>
              <w:rPr>
                <w:rFonts w:ascii="宋体" w:hAnsi="宋体" w:cs="宋体" w:eastAsia="宋体" w:hint="default"/>
                <w:sz w:val="21"/>
                <w:szCs w:val="21"/>
              </w:rPr>
              <w:t>来</w:t>
            </w:r>
            <w:r>
              <w:rPr>
                <w:rFonts w:ascii="宋体" w:hAnsi="宋体" w:cs="宋体" w:eastAsia="宋体" w:hint="default"/>
                <w:sz w:val="21"/>
                <w:szCs w:val="21"/>
              </w:rPr>
              <w:t> 新的附加值。</w:t>
            </w:r>
          </w:p>
        </w:tc>
      </w:tr>
      <w:tr>
        <w:trPr>
          <w:trHeight w:val="2843"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智能型配电箱</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符合国家智能化配</w:t>
            </w:r>
            <w:r>
              <w:rPr>
                <w:rFonts w:ascii="宋体" w:hAnsi="宋体" w:cs="宋体" w:eastAsia="宋体" w:hint="default"/>
                <w:spacing w:val="-101"/>
                <w:sz w:val="21"/>
                <w:szCs w:val="21"/>
              </w:rPr>
              <w:t> </w:t>
            </w:r>
            <w:r>
              <w:rPr>
                <w:rFonts w:ascii="宋体" w:hAnsi="宋体" w:cs="宋体" w:eastAsia="宋体" w:hint="default"/>
                <w:spacing w:val="17"/>
                <w:sz w:val="21"/>
                <w:szCs w:val="21"/>
              </w:rPr>
              <w:t>电设备市场发展方</w:t>
            </w:r>
            <w:r>
              <w:rPr>
                <w:rFonts w:ascii="宋体" w:hAnsi="宋体" w:cs="宋体" w:eastAsia="宋体" w:hint="default"/>
                <w:spacing w:val="-101"/>
                <w:sz w:val="21"/>
                <w:szCs w:val="21"/>
              </w:rPr>
              <w:t> </w:t>
            </w:r>
            <w:r>
              <w:rPr>
                <w:rFonts w:ascii="宋体" w:hAnsi="宋体" w:cs="宋体" w:eastAsia="宋体" w:hint="default"/>
                <w:spacing w:val="-8"/>
                <w:sz w:val="21"/>
                <w:szCs w:val="21"/>
              </w:rPr>
              <w:t>向，是国网成套配电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设备主要设备，具有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较大市场需求。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pacing w:val="8"/>
                <w:sz w:val="21"/>
                <w:szCs w:val="21"/>
              </w:rPr>
              <w:t>样机已通过国家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型式试验，取得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试验报告。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获取国网订单，经 一步拓展国网智能 配电设备市场。</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每年</w:t>
            </w:r>
            <w:r>
              <w:rPr>
                <w:rFonts w:ascii="宋体" w:hAnsi="宋体" w:cs="宋体" w:eastAsia="宋体" w:hint="default"/>
                <w:spacing w:val="-79"/>
                <w:sz w:val="21"/>
                <w:szCs w:val="21"/>
              </w:rPr>
              <w:t> </w:t>
            </w:r>
            <w:r>
              <w:rPr>
                <w:rFonts w:ascii="宋体" w:hAnsi="宋体" w:cs="宋体" w:eastAsia="宋体" w:hint="default"/>
                <w:sz w:val="21"/>
                <w:szCs w:val="21"/>
              </w:rPr>
              <w:t>对</w:t>
            </w:r>
            <w:r>
              <w:rPr>
                <w:rFonts w:ascii="宋体" w:hAnsi="宋体" w:cs="宋体" w:eastAsia="宋体" w:hint="default"/>
                <w:sz w:val="21"/>
                <w:szCs w:val="21"/>
              </w:rPr>
              <w:t> 智</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配</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pacing w:val="12"/>
                <w:sz w:val="21"/>
                <w:szCs w:val="21"/>
              </w:rPr>
              <w:t>设备</w:t>
            </w:r>
            <w:r>
              <w:rPr>
                <w:rFonts w:ascii="宋体" w:hAnsi="宋体" w:cs="宋体" w:eastAsia="宋体" w:hint="default"/>
                <w:spacing w:val="-79"/>
                <w:sz w:val="21"/>
                <w:szCs w:val="21"/>
              </w:rPr>
              <w:t> </w:t>
            </w:r>
            <w:r>
              <w:rPr>
                <w:rFonts w:ascii="宋体" w:hAnsi="宋体" w:cs="宋体" w:eastAsia="宋体" w:hint="default"/>
                <w:sz w:val="21"/>
                <w:szCs w:val="21"/>
              </w:rPr>
              <w:t>需</w:t>
            </w:r>
            <w:r>
              <w:rPr>
                <w:rFonts w:ascii="宋体" w:hAnsi="宋体" w:cs="宋体" w:eastAsia="宋体" w:hint="default"/>
                <w:sz w:val="21"/>
                <w:szCs w:val="21"/>
              </w:rPr>
              <w:t> </w:t>
            </w:r>
            <w:r>
              <w:rPr>
                <w:rFonts w:ascii="宋体" w:hAnsi="宋体" w:cs="宋体" w:eastAsia="宋体" w:hint="default"/>
                <w:spacing w:val="-7"/>
                <w:sz w:val="21"/>
                <w:szCs w:val="21"/>
              </w:rPr>
              <w:t>求越来越多，完成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此</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9"/>
                <w:sz w:val="21"/>
                <w:szCs w:val="21"/>
              </w:rPr>
              <w:t> </w:t>
            </w:r>
            <w:r>
              <w:rPr>
                <w:rFonts w:ascii="宋体" w:hAnsi="宋体" w:cs="宋体" w:eastAsia="宋体" w:hint="default"/>
                <w:sz w:val="21"/>
                <w:szCs w:val="21"/>
              </w:rPr>
              <w:t>品</w:t>
            </w:r>
            <w:r>
              <w:rPr>
                <w:rFonts w:ascii="宋体" w:hAnsi="宋体" w:cs="宋体" w:eastAsia="宋体" w:hint="default"/>
                <w:spacing w:val="-78"/>
                <w:sz w:val="21"/>
                <w:szCs w:val="21"/>
              </w:rPr>
              <w:t> </w:t>
            </w:r>
            <w:r>
              <w:rPr>
                <w:rFonts w:ascii="宋体" w:hAnsi="宋体" w:cs="宋体" w:eastAsia="宋体" w:hint="default"/>
                <w:sz w:val="21"/>
                <w:szCs w:val="21"/>
              </w:rPr>
              <w:t>研</w:t>
            </w:r>
            <w:r>
              <w:rPr>
                <w:rFonts w:ascii="宋体" w:hAnsi="宋体" w:cs="宋体" w:eastAsia="宋体" w:hint="default"/>
                <w:spacing w:val="-78"/>
                <w:sz w:val="21"/>
                <w:szCs w:val="21"/>
              </w:rPr>
              <w:t> </w:t>
            </w:r>
            <w:r>
              <w:rPr>
                <w:rFonts w:ascii="宋体" w:hAnsi="宋体" w:cs="宋体" w:eastAsia="宋体" w:hint="default"/>
                <w:spacing w:val="12"/>
                <w:sz w:val="21"/>
                <w:szCs w:val="21"/>
              </w:rPr>
              <w:t>发可</w:t>
            </w:r>
            <w:r>
              <w:rPr>
                <w:rFonts w:ascii="宋体" w:hAnsi="宋体" w:cs="宋体" w:eastAsia="宋体" w:hint="default"/>
                <w:spacing w:val="-79"/>
                <w:sz w:val="21"/>
                <w:szCs w:val="21"/>
              </w:rPr>
              <w:t> </w:t>
            </w:r>
            <w:r>
              <w:rPr>
                <w:rFonts w:ascii="宋体" w:hAnsi="宋体" w:cs="宋体" w:eastAsia="宋体" w:hint="default"/>
                <w:sz w:val="21"/>
                <w:szCs w:val="21"/>
              </w:rPr>
              <w:t>增</w:t>
            </w:r>
            <w:r>
              <w:rPr>
                <w:rFonts w:ascii="宋体" w:hAnsi="宋体" w:cs="宋体" w:eastAsia="宋体" w:hint="default"/>
                <w:sz w:val="21"/>
                <w:szCs w:val="21"/>
              </w:rPr>
              <w:t> 强</w:t>
            </w:r>
            <w:r>
              <w:rPr>
                <w:rFonts w:ascii="宋体" w:hAnsi="宋体" w:cs="宋体" w:eastAsia="宋体" w:hint="default"/>
                <w:spacing w:val="-78"/>
                <w:sz w:val="21"/>
                <w:szCs w:val="21"/>
              </w:rPr>
              <w:t> </w:t>
            </w:r>
            <w:r>
              <w:rPr>
                <w:rFonts w:ascii="宋体" w:hAnsi="宋体" w:cs="宋体" w:eastAsia="宋体" w:hint="default"/>
                <w:sz w:val="21"/>
                <w:szCs w:val="21"/>
              </w:rPr>
              <w:t>相</w:t>
            </w:r>
            <w:r>
              <w:rPr>
                <w:rFonts w:ascii="宋体" w:hAnsi="宋体" w:cs="宋体" w:eastAsia="宋体" w:hint="default"/>
                <w:spacing w:val="-79"/>
                <w:sz w:val="21"/>
                <w:szCs w:val="21"/>
              </w:rPr>
              <w:t> </w:t>
            </w: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市场</w:t>
            </w:r>
            <w:r>
              <w:rPr>
                <w:rFonts w:ascii="宋体" w:hAnsi="宋体" w:cs="宋体" w:eastAsia="宋体" w:hint="default"/>
                <w:spacing w:val="-79"/>
                <w:sz w:val="21"/>
                <w:szCs w:val="21"/>
              </w:rPr>
              <w:t> </w:t>
            </w:r>
            <w:r>
              <w:rPr>
                <w:rFonts w:ascii="宋体" w:hAnsi="宋体" w:cs="宋体" w:eastAsia="宋体" w:hint="default"/>
                <w:sz w:val="21"/>
                <w:szCs w:val="21"/>
              </w:rPr>
              <w:t>拓</w:t>
            </w:r>
            <w:r>
              <w:rPr>
                <w:rFonts w:ascii="宋体" w:hAnsi="宋体" w:cs="宋体" w:eastAsia="宋体" w:hint="default"/>
                <w:sz w:val="21"/>
                <w:szCs w:val="21"/>
              </w:rPr>
              <w:t> </w:t>
            </w:r>
            <w:r>
              <w:rPr>
                <w:rFonts w:ascii="宋体" w:hAnsi="宋体" w:cs="宋体" w:eastAsia="宋体" w:hint="default"/>
                <w:spacing w:val="-7"/>
                <w:sz w:val="21"/>
                <w:szCs w:val="21"/>
              </w:rPr>
              <w:t>展能力，经一步增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在</w:t>
            </w:r>
            <w:r>
              <w:rPr>
                <w:rFonts w:ascii="宋体" w:hAnsi="宋体" w:cs="宋体" w:eastAsia="宋体" w:hint="default"/>
                <w:spacing w:val="-78"/>
                <w:sz w:val="21"/>
                <w:szCs w:val="21"/>
              </w:rPr>
              <w:t> </w:t>
            </w:r>
            <w:r>
              <w:rPr>
                <w:rFonts w:ascii="宋体" w:hAnsi="宋体" w:cs="宋体" w:eastAsia="宋体" w:hint="default"/>
                <w:spacing w:val="12"/>
                <w:sz w:val="21"/>
                <w:szCs w:val="21"/>
              </w:rPr>
              <w:t>国网</w:t>
            </w:r>
            <w:r>
              <w:rPr>
                <w:rFonts w:ascii="宋体" w:hAnsi="宋体" w:cs="宋体" w:eastAsia="宋体" w:hint="default"/>
                <w:spacing w:val="-79"/>
                <w:sz w:val="21"/>
                <w:szCs w:val="21"/>
              </w:rPr>
              <w:t> </w:t>
            </w:r>
            <w:r>
              <w:rPr>
                <w:rFonts w:ascii="宋体" w:hAnsi="宋体" w:cs="宋体" w:eastAsia="宋体" w:hint="default"/>
                <w:sz w:val="21"/>
                <w:szCs w:val="21"/>
              </w:rPr>
              <w:t>成</w:t>
            </w:r>
            <w:r>
              <w:rPr>
                <w:rFonts w:ascii="宋体" w:hAnsi="宋体" w:cs="宋体" w:eastAsia="宋体" w:hint="default"/>
                <w:sz w:val="21"/>
                <w:szCs w:val="21"/>
              </w:rPr>
              <w:t> 套</w:t>
            </w:r>
            <w:r>
              <w:rPr>
                <w:rFonts w:ascii="宋体" w:hAnsi="宋体" w:cs="宋体" w:eastAsia="宋体" w:hint="default"/>
                <w:spacing w:val="-78"/>
                <w:sz w:val="21"/>
                <w:szCs w:val="21"/>
              </w:rPr>
              <w:t> </w:t>
            </w:r>
            <w:r>
              <w:rPr>
                <w:rFonts w:ascii="宋体" w:hAnsi="宋体" w:cs="宋体" w:eastAsia="宋体" w:hint="default"/>
                <w:sz w:val="21"/>
                <w:szCs w:val="21"/>
              </w:rPr>
              <w:t>配</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设</w:t>
            </w:r>
            <w:r>
              <w:rPr>
                <w:rFonts w:ascii="宋体" w:hAnsi="宋体" w:cs="宋体" w:eastAsia="宋体" w:hint="default"/>
                <w:spacing w:val="-78"/>
                <w:sz w:val="21"/>
                <w:szCs w:val="21"/>
              </w:rPr>
              <w:t> </w:t>
            </w:r>
            <w:r>
              <w:rPr>
                <w:rFonts w:ascii="宋体" w:hAnsi="宋体" w:cs="宋体" w:eastAsia="宋体" w:hint="default"/>
                <w:spacing w:val="12"/>
                <w:sz w:val="21"/>
                <w:szCs w:val="21"/>
              </w:rPr>
              <w:t>备市</w:t>
            </w:r>
            <w:r>
              <w:rPr>
                <w:rFonts w:ascii="宋体" w:hAnsi="宋体" w:cs="宋体" w:eastAsia="宋体" w:hint="default"/>
                <w:spacing w:val="-79"/>
                <w:sz w:val="21"/>
                <w:szCs w:val="21"/>
              </w:rPr>
              <w:t> </w:t>
            </w:r>
            <w:r>
              <w:rPr>
                <w:rFonts w:ascii="宋体" w:hAnsi="宋体" w:cs="宋体" w:eastAsia="宋体" w:hint="default"/>
                <w:sz w:val="21"/>
                <w:szCs w:val="21"/>
              </w:rPr>
              <w:t>场</w:t>
            </w:r>
            <w:r>
              <w:rPr>
                <w:rFonts w:ascii="宋体" w:hAnsi="宋体" w:cs="宋体" w:eastAsia="宋体" w:hint="default"/>
                <w:sz w:val="21"/>
                <w:szCs w:val="21"/>
              </w:rPr>
              <w:t> 产值。</w:t>
            </w:r>
          </w:p>
        </w:tc>
      </w:tr>
      <w:tr>
        <w:trPr>
          <w:trHeight w:val="2299"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AGC/AVC </w:t>
            </w:r>
            <w:r>
              <w:rPr>
                <w:rFonts w:ascii="宋体" w:hAnsi="宋体" w:cs="宋体" w:eastAsia="宋体" w:hint="default"/>
                <w:sz w:val="21"/>
                <w:szCs w:val="21"/>
              </w:rPr>
              <w:t>调</w:t>
            </w:r>
            <w:r>
              <w:rPr>
                <w:rFonts w:ascii="宋体" w:hAnsi="宋体" w:cs="宋体" w:eastAsia="宋体" w:hint="default"/>
                <w:spacing w:val="-35"/>
                <w:sz w:val="21"/>
                <w:szCs w:val="21"/>
              </w:rPr>
              <w:t> </w:t>
            </w:r>
            <w:r>
              <w:rPr>
                <w:rFonts w:ascii="宋体" w:hAnsi="宋体" w:cs="宋体" w:eastAsia="宋体" w:hint="default"/>
                <w:sz w:val="21"/>
                <w:szCs w:val="21"/>
              </w:rPr>
              <w:t>节</w:t>
            </w:r>
            <w:r>
              <w:rPr>
                <w:rFonts w:ascii="宋体" w:hAnsi="宋体" w:cs="宋体" w:eastAsia="宋体" w:hint="default"/>
                <w:sz w:val="21"/>
                <w:szCs w:val="21"/>
              </w:rPr>
              <w:t> 电 量 变 送</w:t>
            </w:r>
            <w:r>
              <w:rPr>
                <w:rFonts w:ascii="宋体" w:hAnsi="宋体" w:cs="宋体" w:eastAsia="宋体" w:hint="default"/>
                <w:spacing w:val="68"/>
                <w:sz w:val="21"/>
                <w:szCs w:val="21"/>
              </w:rPr>
              <w:t> </w:t>
            </w:r>
            <w:r>
              <w:rPr>
                <w:rFonts w:ascii="宋体" w:hAnsi="宋体" w:cs="宋体" w:eastAsia="宋体" w:hint="default"/>
                <w:sz w:val="21"/>
                <w:szCs w:val="21"/>
              </w:rPr>
              <w:t>器</w:t>
            </w:r>
          </w:p>
          <w:p>
            <w:pPr>
              <w:pStyle w:val="TableParagraph"/>
              <w:spacing w:line="240" w:lineRule="auto" w:before="22"/>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RD1701</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研发一款适合电厂</w:t>
            </w:r>
            <w:r>
              <w:rPr>
                <w:rFonts w:ascii="宋体" w:hAnsi="宋体" w:cs="宋体" w:eastAsia="宋体" w:hint="default"/>
                <w:spacing w:val="-101"/>
                <w:sz w:val="21"/>
                <w:szCs w:val="21"/>
              </w:rPr>
              <w:t> </w:t>
            </w:r>
            <w:r>
              <w:rPr>
                <w:rFonts w:ascii="宋体" w:hAnsi="宋体" w:cs="宋体" w:eastAsia="宋体" w:hint="default"/>
                <w:spacing w:val="17"/>
                <w:sz w:val="21"/>
                <w:szCs w:val="21"/>
              </w:rPr>
              <w:t>自动化系统控制要</w:t>
            </w:r>
            <w:r>
              <w:rPr>
                <w:rFonts w:ascii="宋体" w:hAnsi="宋体" w:cs="宋体" w:eastAsia="宋体" w:hint="default"/>
                <w:spacing w:val="-101"/>
                <w:sz w:val="21"/>
                <w:szCs w:val="21"/>
              </w:rPr>
              <w:t> </w:t>
            </w:r>
            <w:r>
              <w:rPr>
                <w:rFonts w:ascii="宋体" w:hAnsi="宋体" w:cs="宋体" w:eastAsia="宋体" w:hint="default"/>
                <w:sz w:val="21"/>
                <w:szCs w:val="21"/>
              </w:rPr>
              <w:t>求的智能变送器。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2"/>
              <w:jc w:val="both"/>
              <w:rPr>
                <w:rFonts w:ascii="宋体" w:hAnsi="宋体" w:cs="宋体" w:eastAsia="宋体" w:hint="default"/>
                <w:sz w:val="21"/>
                <w:szCs w:val="21"/>
              </w:rPr>
            </w:pPr>
            <w:r>
              <w:rPr>
                <w:rFonts w:ascii="宋体" w:hAnsi="宋体" w:cs="宋体" w:eastAsia="宋体" w:hint="default"/>
                <w:spacing w:val="8"/>
                <w:sz w:val="21"/>
                <w:szCs w:val="21"/>
              </w:rPr>
              <w:t>本年度已经按最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新的国网规范进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行产品设计，样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机</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公</w:t>
            </w:r>
            <w:r>
              <w:rPr>
                <w:rFonts w:ascii="宋体" w:hAnsi="宋体" w:cs="宋体" w:eastAsia="宋体" w:hint="default"/>
                <w:spacing w:val="-49"/>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r>
              <w:rPr>
                <w:rFonts w:ascii="宋体" w:hAnsi="宋体" w:cs="宋体" w:eastAsia="宋体" w:hint="default"/>
                <w:spacing w:val="8"/>
                <w:sz w:val="21"/>
                <w:szCs w:val="21"/>
              </w:rPr>
              <w:t>测，并已经送样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国网电科院取检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验报告。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采用数字化技术丰 富电测量变送器的 产品线，满足水电 厂客户的需求。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扩</w:t>
            </w:r>
            <w:r>
              <w:rPr>
                <w:rFonts w:ascii="宋体" w:hAnsi="宋体" w:cs="宋体" w:eastAsia="宋体" w:hint="default"/>
                <w:spacing w:val="-78"/>
                <w:sz w:val="21"/>
                <w:szCs w:val="21"/>
              </w:rPr>
              <w:t> </w:t>
            </w:r>
            <w:r>
              <w:rPr>
                <w:rFonts w:ascii="宋体" w:hAnsi="宋体" w:cs="宋体" w:eastAsia="宋体" w:hint="default"/>
                <w:sz w:val="21"/>
                <w:szCs w:val="21"/>
              </w:rPr>
              <w:t>展</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电测</w:t>
            </w:r>
            <w:r>
              <w:rPr>
                <w:rFonts w:ascii="宋体" w:hAnsi="宋体" w:cs="宋体" w:eastAsia="宋体" w:hint="default"/>
                <w:spacing w:val="-79"/>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r>
              <w:rPr>
                <w:rFonts w:ascii="宋体" w:hAnsi="宋体" w:cs="宋体" w:eastAsia="宋体" w:hint="default"/>
                <w:spacing w:val="-7"/>
                <w:sz w:val="21"/>
                <w:szCs w:val="21"/>
              </w:rPr>
              <w:t>变送器产品线。满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足</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9"/>
                <w:sz w:val="21"/>
                <w:szCs w:val="21"/>
              </w:rPr>
              <w:t> </w:t>
            </w:r>
            <w:r>
              <w:rPr>
                <w:rFonts w:ascii="宋体" w:hAnsi="宋体" w:cs="宋体" w:eastAsia="宋体" w:hint="default"/>
                <w:sz w:val="21"/>
                <w:szCs w:val="21"/>
              </w:rPr>
              <w:t>厂</w:t>
            </w:r>
            <w:r>
              <w:rPr>
                <w:rFonts w:ascii="宋体" w:hAnsi="宋体" w:cs="宋体" w:eastAsia="宋体" w:hint="default"/>
                <w:spacing w:val="-78"/>
                <w:sz w:val="21"/>
                <w:szCs w:val="21"/>
              </w:rPr>
              <w:t> </w:t>
            </w:r>
            <w:r>
              <w:rPr>
                <w:rFonts w:ascii="宋体" w:hAnsi="宋体" w:cs="宋体" w:eastAsia="宋体" w:hint="default"/>
                <w:sz w:val="21"/>
                <w:szCs w:val="21"/>
              </w:rPr>
              <w:t>客</w:t>
            </w:r>
            <w:r>
              <w:rPr>
                <w:rFonts w:ascii="宋体" w:hAnsi="宋体" w:cs="宋体" w:eastAsia="宋体" w:hint="default"/>
                <w:spacing w:val="-78"/>
                <w:sz w:val="21"/>
                <w:szCs w:val="21"/>
              </w:rPr>
              <w:t> </w:t>
            </w:r>
            <w:r>
              <w:rPr>
                <w:rFonts w:ascii="宋体" w:hAnsi="宋体" w:cs="宋体" w:eastAsia="宋体" w:hint="default"/>
                <w:spacing w:val="12"/>
                <w:sz w:val="21"/>
                <w:szCs w:val="21"/>
              </w:rPr>
              <w:t>户的</w:t>
            </w:r>
            <w:r>
              <w:rPr>
                <w:rFonts w:ascii="宋体" w:hAnsi="宋体" w:cs="宋体" w:eastAsia="宋体" w:hint="default"/>
                <w:spacing w:val="-79"/>
                <w:sz w:val="21"/>
                <w:szCs w:val="21"/>
              </w:rPr>
              <w:t> </w:t>
            </w:r>
            <w:r>
              <w:rPr>
                <w:rFonts w:ascii="宋体" w:hAnsi="宋体" w:cs="宋体" w:eastAsia="宋体" w:hint="default"/>
                <w:sz w:val="21"/>
                <w:szCs w:val="21"/>
              </w:rPr>
              <w:t>特</w:t>
            </w:r>
            <w:r>
              <w:rPr>
                <w:rFonts w:ascii="宋体" w:hAnsi="宋体" w:cs="宋体" w:eastAsia="宋体" w:hint="default"/>
                <w:sz w:val="21"/>
                <w:szCs w:val="21"/>
              </w:rPr>
              <w:t> </w:t>
            </w:r>
            <w:r>
              <w:rPr>
                <w:rFonts w:ascii="宋体" w:hAnsi="宋体" w:cs="宋体" w:eastAsia="宋体" w:hint="default"/>
                <w:spacing w:val="-7"/>
                <w:sz w:val="21"/>
                <w:szCs w:val="21"/>
              </w:rPr>
              <w:t>殊需求，支持公司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的持续发展。</w:t>
            </w:r>
          </w:p>
        </w:tc>
      </w:tr>
      <w:tr>
        <w:trPr>
          <w:trHeight w:val="2924"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45"/>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PTC-8125M-F/P</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TC-8320M-F  </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单</w:t>
            </w:r>
          </w:p>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三相拆回电能表 分拣装置的研发</w:t>
            </w:r>
            <w:r>
              <w:rPr>
                <w:rFonts w:ascii="宋体" w:hAnsi="宋体" w:cs="宋体" w:eastAsia="宋体" w:hint="default"/>
                <w:sz w:val="21"/>
                <w:szCs w:val="21"/>
              </w:rPr>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RD1801</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配合国网公司的拆</w:t>
            </w:r>
            <w:r>
              <w:rPr>
                <w:rFonts w:ascii="宋体" w:hAnsi="宋体" w:cs="宋体" w:eastAsia="宋体" w:hint="default"/>
                <w:spacing w:val="-101"/>
                <w:sz w:val="21"/>
                <w:szCs w:val="21"/>
              </w:rPr>
              <w:t> </w:t>
            </w:r>
            <w:r>
              <w:rPr>
                <w:rFonts w:ascii="宋体" w:hAnsi="宋体" w:cs="宋体" w:eastAsia="宋体" w:hint="default"/>
                <w:spacing w:val="-8"/>
                <w:sz w:val="21"/>
                <w:szCs w:val="21"/>
              </w:rPr>
              <w:t>回表分拣项目，实现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对拆回电表的分拣</w:t>
            </w:r>
            <w:r>
              <w:rPr>
                <w:rFonts w:ascii="宋体" w:hAnsi="宋体" w:cs="宋体" w:eastAsia="宋体" w:hint="default"/>
                <w:spacing w:val="-101"/>
                <w:sz w:val="21"/>
                <w:szCs w:val="21"/>
              </w:rPr>
              <w:t> </w:t>
            </w:r>
            <w:r>
              <w:rPr>
                <w:rFonts w:ascii="宋体" w:hAnsi="宋体" w:cs="宋体" w:eastAsia="宋体" w:hint="default"/>
                <w:sz w:val="21"/>
                <w:szCs w:val="21"/>
              </w:rPr>
              <w:t>处理。</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2" w:right="1"/>
              <w:jc w:val="left"/>
              <w:rPr>
                <w:rFonts w:ascii="宋体" w:hAnsi="宋体" w:cs="宋体" w:eastAsia="宋体" w:hint="default"/>
                <w:sz w:val="21"/>
                <w:szCs w:val="21"/>
              </w:rPr>
            </w:pPr>
            <w:r>
              <w:rPr>
                <w:rFonts w:ascii="宋体" w:hAnsi="宋体" w:cs="宋体" w:eastAsia="宋体" w:hint="default"/>
                <w:spacing w:val="9"/>
                <w:sz w:val="21"/>
                <w:szCs w:val="21"/>
              </w:rPr>
              <w:t>本年度的分拣装</w:t>
            </w:r>
            <w:r>
              <w:rPr>
                <w:rFonts w:ascii="宋体" w:hAnsi="宋体" w:cs="宋体" w:eastAsia="宋体" w:hint="default"/>
                <w:sz w:val="21"/>
                <w:szCs w:val="21"/>
              </w:rPr>
              <w:t> 置</w:t>
            </w:r>
            <w:r>
              <w:rPr>
                <w:rFonts w:ascii="宋体" w:hAnsi="宋体" w:cs="宋体" w:eastAsia="宋体" w:hint="default"/>
                <w:spacing w:val="-50"/>
                <w:sz w:val="21"/>
                <w:szCs w:val="21"/>
              </w:rPr>
              <w:t> </w:t>
            </w:r>
            <w:r>
              <w:rPr>
                <w:rFonts w:ascii="宋体" w:hAnsi="宋体" w:cs="宋体" w:eastAsia="宋体" w:hint="default"/>
                <w:sz w:val="21"/>
                <w:szCs w:val="21"/>
              </w:rPr>
              <w:t>样</w:t>
            </w:r>
            <w:r>
              <w:rPr>
                <w:rFonts w:ascii="宋体" w:hAnsi="宋体" w:cs="宋体" w:eastAsia="宋体" w:hint="default"/>
                <w:spacing w:val="-50"/>
                <w:sz w:val="21"/>
                <w:szCs w:val="21"/>
              </w:rPr>
              <w:t> </w:t>
            </w:r>
            <w:r>
              <w:rPr>
                <w:rFonts w:ascii="宋体" w:hAnsi="宋体" w:cs="宋体" w:eastAsia="宋体" w:hint="default"/>
                <w:sz w:val="21"/>
                <w:szCs w:val="21"/>
              </w:rPr>
              <w:t>机</w:t>
            </w:r>
            <w:r>
              <w:rPr>
                <w:rFonts w:ascii="宋体" w:hAnsi="宋体" w:cs="宋体" w:eastAsia="宋体" w:hint="default"/>
                <w:spacing w:val="-50"/>
                <w:sz w:val="21"/>
                <w:szCs w:val="21"/>
              </w:rPr>
              <w:t> </w:t>
            </w:r>
            <w:r>
              <w:rPr>
                <w:rFonts w:ascii="宋体" w:hAnsi="宋体" w:cs="宋体" w:eastAsia="宋体" w:hint="default"/>
                <w:sz w:val="21"/>
                <w:szCs w:val="21"/>
              </w:rPr>
              <w:t>已</w:t>
            </w:r>
            <w:r>
              <w:rPr>
                <w:rFonts w:ascii="宋体" w:hAnsi="宋体" w:cs="宋体" w:eastAsia="宋体" w:hint="default"/>
                <w:spacing w:val="-49"/>
                <w:sz w:val="21"/>
                <w:szCs w:val="21"/>
              </w:rPr>
              <w:t> </w:t>
            </w:r>
            <w:r>
              <w:rPr>
                <w:rFonts w:ascii="宋体" w:hAnsi="宋体" w:cs="宋体" w:eastAsia="宋体" w:hint="default"/>
                <w:sz w:val="21"/>
                <w:szCs w:val="21"/>
              </w:rPr>
              <w:t>经</w:t>
            </w:r>
            <w:r>
              <w:rPr>
                <w:rFonts w:ascii="宋体" w:hAnsi="宋体" w:cs="宋体" w:eastAsia="宋体" w:hint="default"/>
                <w:spacing w:val="-50"/>
                <w:sz w:val="21"/>
                <w:szCs w:val="21"/>
              </w:rPr>
              <w:t> </w:t>
            </w:r>
            <w:r>
              <w:rPr>
                <w:rFonts w:ascii="宋体" w:hAnsi="宋体" w:cs="宋体" w:eastAsia="宋体" w:hint="default"/>
                <w:sz w:val="21"/>
                <w:szCs w:val="21"/>
              </w:rPr>
              <w:t>完</w:t>
            </w:r>
            <w:r>
              <w:rPr>
                <w:rFonts w:ascii="宋体" w:hAnsi="宋体" w:cs="宋体" w:eastAsia="宋体" w:hint="default"/>
                <w:sz w:val="21"/>
                <w:szCs w:val="21"/>
              </w:rPr>
              <w:t> </w:t>
            </w:r>
            <w:r>
              <w:rPr>
                <w:rFonts w:ascii="宋体" w:hAnsi="宋体" w:cs="宋体" w:eastAsia="宋体" w:hint="default"/>
                <w:spacing w:val="-6"/>
                <w:sz w:val="21"/>
                <w:szCs w:val="21"/>
              </w:rPr>
              <w:t>成，并完成测试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最近在投标国网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各省网电力的分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拣装置的招标项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目。</w:t>
            </w:r>
            <w:r>
              <w:rPr>
                <w:rFonts w:ascii="Times New Roman" w:hAnsi="Times New Roman" w:cs="Times New Roman" w:eastAsia="Times New Roman" w:hint="default"/>
                <w:spacing w:val="7"/>
                <w:sz w:val="21"/>
                <w:szCs w:val="21"/>
              </w:rPr>
              <w:t>2019</w:t>
            </w:r>
            <w:r>
              <w:rPr>
                <w:rFonts w:ascii="宋体" w:hAnsi="宋体" w:cs="宋体" w:eastAsia="宋体" w:hint="default"/>
                <w:spacing w:val="7"/>
                <w:sz w:val="21"/>
                <w:szCs w:val="21"/>
              </w:rPr>
              <w:t>年中标</w:t>
            </w:r>
            <w:r>
              <w:rPr>
                <w:rFonts w:ascii="宋体" w:hAnsi="宋体" w:cs="宋体" w:eastAsia="宋体" w:hint="default"/>
                <w:sz w:val="21"/>
                <w:szCs w:val="21"/>
              </w:rPr>
              <w:t> </w:t>
            </w:r>
            <w:r>
              <w:rPr>
                <w:rFonts w:ascii="宋体" w:hAnsi="宋体" w:cs="宋体" w:eastAsia="宋体" w:hint="default"/>
                <w:spacing w:val="8"/>
                <w:sz w:val="21"/>
                <w:szCs w:val="21"/>
              </w:rPr>
              <w:t>湖南，吉林等国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网省公司。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left"/>
              <w:rPr>
                <w:rFonts w:ascii="宋体" w:hAnsi="宋体" w:cs="宋体" w:eastAsia="宋体" w:hint="default"/>
                <w:sz w:val="21"/>
                <w:szCs w:val="21"/>
              </w:rPr>
            </w:pPr>
            <w:r>
              <w:rPr>
                <w:rFonts w:ascii="宋体" w:hAnsi="宋体" w:cs="宋体" w:eastAsia="宋体" w:hint="default"/>
                <w:sz w:val="21"/>
                <w:szCs w:val="21"/>
              </w:rPr>
              <w:t>完成国网对拆回表 检测的技术要求。</w:t>
            </w:r>
          </w:p>
          <w:p>
            <w:pPr>
              <w:pStyle w:val="TableParagraph"/>
              <w:spacing w:line="240" w:lineRule="auto" w:before="7"/>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满</w:t>
            </w:r>
            <w:r>
              <w:rPr>
                <w:rFonts w:ascii="宋体" w:hAnsi="宋体" w:cs="宋体" w:eastAsia="宋体" w:hint="default"/>
                <w:spacing w:val="-78"/>
                <w:sz w:val="21"/>
                <w:szCs w:val="21"/>
              </w:rPr>
              <w:t> </w:t>
            </w:r>
            <w:r>
              <w:rPr>
                <w:rFonts w:ascii="宋体" w:hAnsi="宋体" w:cs="宋体" w:eastAsia="宋体" w:hint="default"/>
                <w:sz w:val="21"/>
                <w:szCs w:val="21"/>
              </w:rPr>
              <w:t>足</w:t>
            </w:r>
            <w:r>
              <w:rPr>
                <w:rFonts w:ascii="宋体" w:hAnsi="宋体" w:cs="宋体" w:eastAsia="宋体" w:hint="default"/>
                <w:spacing w:val="-79"/>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8"/>
                <w:sz w:val="21"/>
                <w:szCs w:val="21"/>
              </w:rPr>
              <w:t> </w:t>
            </w:r>
            <w:r>
              <w:rPr>
                <w:rFonts w:ascii="宋体" w:hAnsi="宋体" w:cs="宋体" w:eastAsia="宋体" w:hint="default"/>
                <w:spacing w:val="12"/>
                <w:sz w:val="21"/>
                <w:szCs w:val="21"/>
              </w:rPr>
              <w:t>电力</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8"/>
                <w:sz w:val="21"/>
                <w:szCs w:val="21"/>
              </w:rPr>
              <w:t> </w:t>
            </w:r>
            <w:r>
              <w:rPr>
                <w:rFonts w:ascii="宋体" w:hAnsi="宋体" w:cs="宋体" w:eastAsia="宋体" w:hint="default"/>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表</w:t>
            </w:r>
            <w:r>
              <w:rPr>
                <w:rFonts w:ascii="宋体" w:hAnsi="宋体" w:cs="宋体" w:eastAsia="宋体" w:hint="default"/>
                <w:spacing w:val="-78"/>
                <w:sz w:val="21"/>
                <w:szCs w:val="21"/>
              </w:rPr>
              <w:t> </w:t>
            </w:r>
            <w:r>
              <w:rPr>
                <w:rFonts w:ascii="宋体" w:hAnsi="宋体" w:cs="宋体" w:eastAsia="宋体" w:hint="default"/>
                <w:spacing w:val="12"/>
                <w:sz w:val="21"/>
                <w:szCs w:val="21"/>
              </w:rPr>
              <w:t>全生</w:t>
            </w:r>
            <w:r>
              <w:rPr>
                <w:rFonts w:ascii="宋体" w:hAnsi="宋体" w:cs="宋体" w:eastAsia="宋体" w:hint="default"/>
                <w:spacing w:val="-79"/>
                <w:sz w:val="21"/>
                <w:szCs w:val="21"/>
              </w:rPr>
              <w:t> </w:t>
            </w:r>
            <w:r>
              <w:rPr>
                <w:rFonts w:ascii="宋体" w:hAnsi="宋体" w:cs="宋体" w:eastAsia="宋体" w:hint="default"/>
                <w:sz w:val="21"/>
                <w:szCs w:val="21"/>
              </w:rPr>
              <w:t>命</w:t>
            </w:r>
            <w:r>
              <w:rPr>
                <w:rFonts w:ascii="宋体" w:hAnsi="宋体" w:cs="宋体" w:eastAsia="宋体" w:hint="default"/>
                <w:sz w:val="21"/>
                <w:szCs w:val="21"/>
              </w:rPr>
              <w:t> </w:t>
            </w:r>
            <w:r>
              <w:rPr>
                <w:rFonts w:ascii="宋体" w:hAnsi="宋体" w:cs="宋体" w:eastAsia="宋体" w:hint="default"/>
                <w:spacing w:val="-7"/>
                <w:sz w:val="21"/>
                <w:szCs w:val="21"/>
              </w:rPr>
              <w:t>走期的管控，扩展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测</w:t>
            </w:r>
            <w:r>
              <w:rPr>
                <w:rFonts w:ascii="宋体" w:hAnsi="宋体" w:cs="宋体" w:eastAsia="宋体" w:hint="default"/>
                <w:spacing w:val="-78"/>
                <w:sz w:val="21"/>
                <w:szCs w:val="21"/>
              </w:rPr>
              <w:t> </w:t>
            </w:r>
            <w:r>
              <w:rPr>
                <w:rFonts w:ascii="宋体" w:hAnsi="宋体" w:cs="宋体" w:eastAsia="宋体" w:hint="default"/>
                <w:spacing w:val="12"/>
                <w:sz w:val="21"/>
                <w:szCs w:val="21"/>
              </w:rPr>
              <w:t>装置</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7"/>
                <w:sz w:val="21"/>
                <w:szCs w:val="21"/>
              </w:rPr>
              <w:t>业务范围，支持公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司的持续发展。</w:t>
            </w:r>
          </w:p>
        </w:tc>
      </w:tr>
      <w:tr>
        <w:trPr>
          <w:trHeight w:val="2611"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tabs>
                <w:tab w:pos="1334" w:val="left" w:leader="none"/>
              </w:tabs>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PTC-8370-M</w:t>
              <w:tab/>
            </w:r>
            <w:r>
              <w:rPr>
                <w:rFonts w:ascii="宋体" w:hAnsi="宋体" w:cs="宋体" w:eastAsia="宋体" w:hint="default"/>
                <w:sz w:val="21"/>
                <w:szCs w:val="21"/>
              </w:rPr>
              <w:t>二</w:t>
            </w:r>
          </w:p>
          <w:p>
            <w:pPr>
              <w:pStyle w:val="TableParagraph"/>
              <w:spacing w:line="273" w:lineRule="auto" w:before="21"/>
              <w:ind w:left="2" w:right="-9"/>
              <w:jc w:val="left"/>
              <w:rPr>
                <w:rFonts w:ascii="宋体" w:hAnsi="宋体" w:cs="宋体" w:eastAsia="宋体" w:hint="default"/>
                <w:sz w:val="21"/>
                <w:szCs w:val="21"/>
              </w:rPr>
            </w:pPr>
            <w:r>
              <w:rPr>
                <w:rFonts w:ascii="宋体" w:hAnsi="宋体" w:cs="宋体" w:eastAsia="宋体" w:hint="default"/>
                <w:spacing w:val="12"/>
                <w:sz w:val="21"/>
                <w:szCs w:val="21"/>
              </w:rPr>
              <w:t>次回路状态巡检 </w:t>
            </w:r>
            <w:r>
              <w:rPr>
                <w:rFonts w:ascii="宋体" w:hAnsi="宋体" w:cs="宋体" w:eastAsia="宋体" w:hint="default"/>
                <w:sz w:val="21"/>
                <w:szCs w:val="21"/>
              </w:rPr>
              <w:t>仪 检 定 装</w:t>
            </w:r>
            <w:r>
              <w:rPr>
                <w:rFonts w:ascii="宋体" w:hAnsi="宋体" w:cs="宋体" w:eastAsia="宋体" w:hint="default"/>
                <w:spacing w:val="68"/>
                <w:sz w:val="21"/>
                <w:szCs w:val="21"/>
              </w:rPr>
              <w:t> </w:t>
            </w:r>
            <w:r>
              <w:rPr>
                <w:rFonts w:ascii="宋体" w:hAnsi="宋体" w:cs="宋体" w:eastAsia="宋体" w:hint="default"/>
                <w:sz w:val="21"/>
                <w:szCs w:val="21"/>
              </w:rPr>
              <w:t>置</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RD1802</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研发一款满足国网</w:t>
            </w:r>
            <w:r>
              <w:rPr>
                <w:rFonts w:ascii="宋体" w:hAnsi="宋体" w:cs="宋体" w:eastAsia="宋体" w:hint="default"/>
                <w:spacing w:val="-101"/>
                <w:sz w:val="21"/>
                <w:szCs w:val="21"/>
              </w:rPr>
              <w:t> </w:t>
            </w:r>
            <w:r>
              <w:rPr>
                <w:rFonts w:ascii="宋体" w:hAnsi="宋体" w:cs="宋体" w:eastAsia="宋体" w:hint="default"/>
                <w:spacing w:val="17"/>
                <w:sz w:val="21"/>
                <w:szCs w:val="21"/>
              </w:rPr>
              <w:t>巡检终端全检和抽</w:t>
            </w:r>
            <w:r>
              <w:rPr>
                <w:rFonts w:ascii="宋体" w:hAnsi="宋体" w:cs="宋体" w:eastAsia="宋体" w:hint="default"/>
                <w:spacing w:val="-101"/>
                <w:sz w:val="21"/>
                <w:szCs w:val="21"/>
              </w:rPr>
              <w:t> </w:t>
            </w:r>
            <w:r>
              <w:rPr>
                <w:rFonts w:ascii="宋体" w:hAnsi="宋体" w:cs="宋体" w:eastAsia="宋体" w:hint="default"/>
                <w:spacing w:val="17"/>
                <w:sz w:val="21"/>
                <w:szCs w:val="21"/>
              </w:rPr>
              <w:t>检的全功能测试需</w:t>
            </w:r>
            <w:r>
              <w:rPr>
                <w:rFonts w:ascii="宋体" w:hAnsi="宋体" w:cs="宋体" w:eastAsia="宋体" w:hint="default"/>
                <w:spacing w:val="-101"/>
                <w:sz w:val="21"/>
                <w:szCs w:val="21"/>
              </w:rPr>
              <w:t> </w:t>
            </w:r>
            <w:r>
              <w:rPr>
                <w:rFonts w:ascii="宋体" w:hAnsi="宋体" w:cs="宋体" w:eastAsia="宋体" w:hint="default"/>
                <w:sz w:val="21"/>
                <w:szCs w:val="21"/>
              </w:rPr>
              <w:t>要的新产品。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
              <w:jc w:val="both"/>
              <w:rPr>
                <w:rFonts w:ascii="宋体" w:hAnsi="宋体" w:cs="宋体" w:eastAsia="宋体" w:hint="default"/>
                <w:sz w:val="21"/>
                <w:szCs w:val="21"/>
              </w:rPr>
            </w:pPr>
            <w:r>
              <w:rPr>
                <w:rFonts w:ascii="宋体" w:hAnsi="宋体" w:cs="宋体" w:eastAsia="宋体" w:hint="default"/>
                <w:spacing w:val="8"/>
                <w:sz w:val="21"/>
                <w:szCs w:val="21"/>
              </w:rPr>
              <w:t>本年度已经完成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样机的试制，产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品并已交付给国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网的几个省公司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电力计量中心客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户使用。浙江的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二合一测试装置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也已经交付</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2" w:right="3"/>
              <w:jc w:val="both"/>
              <w:rPr>
                <w:rFonts w:ascii="宋体" w:hAnsi="宋体" w:cs="宋体" w:eastAsia="宋体" w:hint="default"/>
                <w:sz w:val="21"/>
                <w:szCs w:val="21"/>
              </w:rPr>
            </w:pPr>
            <w:r>
              <w:rPr>
                <w:rFonts w:ascii="宋体" w:hAnsi="宋体" w:cs="宋体" w:eastAsia="宋体" w:hint="default"/>
                <w:sz w:val="21"/>
                <w:szCs w:val="21"/>
              </w:rPr>
              <w:t>实现对国网的新产 品，巡检终端的性 能抽检和全检。满 足客户要求。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46"/>
              <w:jc w:val="both"/>
              <w:rPr>
                <w:rFonts w:ascii="宋体" w:hAnsi="宋体" w:cs="宋体" w:eastAsia="宋体" w:hint="default"/>
                <w:sz w:val="21"/>
                <w:szCs w:val="21"/>
              </w:rPr>
            </w:pPr>
            <w:r>
              <w:rPr>
                <w:rFonts w:ascii="宋体" w:hAnsi="宋体" w:cs="宋体" w:eastAsia="宋体" w:hint="default"/>
                <w:sz w:val="21"/>
                <w:szCs w:val="21"/>
              </w:rPr>
              <w:t>扩</w:t>
            </w:r>
            <w:r>
              <w:rPr>
                <w:rFonts w:ascii="宋体" w:hAnsi="宋体" w:cs="宋体" w:eastAsia="宋体" w:hint="default"/>
                <w:spacing w:val="-78"/>
                <w:sz w:val="21"/>
                <w:szCs w:val="21"/>
              </w:rPr>
              <w:t> </w:t>
            </w:r>
            <w:r>
              <w:rPr>
                <w:rFonts w:ascii="宋体" w:hAnsi="宋体" w:cs="宋体" w:eastAsia="宋体" w:hint="default"/>
                <w:sz w:val="21"/>
                <w:szCs w:val="21"/>
              </w:rPr>
              <w:t>展</w:t>
            </w:r>
            <w:r>
              <w:rPr>
                <w:rFonts w:ascii="宋体" w:hAnsi="宋体" w:cs="宋体" w:eastAsia="宋体" w:hint="default"/>
                <w:spacing w:val="-79"/>
                <w:sz w:val="21"/>
                <w:szCs w:val="21"/>
              </w:rPr>
              <w:t> </w:t>
            </w:r>
            <w:r>
              <w:rPr>
                <w:rFonts w:ascii="宋体" w:hAnsi="宋体" w:cs="宋体" w:eastAsia="宋体" w:hint="default"/>
                <w:sz w:val="21"/>
                <w:szCs w:val="21"/>
              </w:rPr>
              <w:t>专</w:t>
            </w:r>
            <w:r>
              <w:rPr>
                <w:rFonts w:ascii="宋体" w:hAnsi="宋体" w:cs="宋体" w:eastAsia="宋体" w:hint="default"/>
                <w:spacing w:val="-78"/>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pacing w:val="12"/>
                <w:sz w:val="21"/>
                <w:szCs w:val="21"/>
              </w:rPr>
              <w:t>终端</w:t>
            </w:r>
            <w:r>
              <w:rPr>
                <w:rFonts w:ascii="宋体" w:hAnsi="宋体" w:cs="宋体" w:eastAsia="宋体" w:hint="default"/>
                <w:spacing w:val="-79"/>
                <w:sz w:val="21"/>
                <w:szCs w:val="21"/>
              </w:rPr>
              <w:t> </w:t>
            </w:r>
            <w:r>
              <w:rPr>
                <w:rFonts w:ascii="宋体" w:hAnsi="宋体" w:cs="宋体" w:eastAsia="宋体" w:hint="default"/>
                <w:sz w:val="21"/>
                <w:szCs w:val="21"/>
              </w:rPr>
              <w:t>测</w:t>
            </w:r>
            <w:r>
              <w:rPr>
                <w:rFonts w:ascii="宋体" w:hAnsi="宋体" w:cs="宋体" w:eastAsia="宋体" w:hint="default"/>
                <w:sz w:val="21"/>
                <w:szCs w:val="21"/>
              </w:rPr>
              <w:t> 试装置的产品线， 满</w:t>
            </w:r>
            <w:r>
              <w:rPr>
                <w:rFonts w:ascii="宋体" w:hAnsi="宋体" w:cs="宋体" w:eastAsia="宋体" w:hint="default"/>
                <w:spacing w:val="-78"/>
                <w:sz w:val="21"/>
                <w:szCs w:val="21"/>
              </w:rPr>
              <w:t> </w:t>
            </w:r>
            <w:r>
              <w:rPr>
                <w:rFonts w:ascii="宋体" w:hAnsi="宋体" w:cs="宋体" w:eastAsia="宋体" w:hint="default"/>
                <w:sz w:val="21"/>
                <w:szCs w:val="21"/>
              </w:rPr>
              <w:t>足</w:t>
            </w:r>
            <w:r>
              <w:rPr>
                <w:rFonts w:ascii="宋体" w:hAnsi="宋体" w:cs="宋体" w:eastAsia="宋体" w:hint="default"/>
                <w:spacing w:val="-79"/>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8"/>
                <w:sz w:val="21"/>
                <w:szCs w:val="21"/>
              </w:rPr>
              <w:t> </w:t>
            </w:r>
            <w:r>
              <w:rPr>
                <w:rFonts w:ascii="宋体" w:hAnsi="宋体" w:cs="宋体" w:eastAsia="宋体" w:hint="default"/>
                <w:spacing w:val="12"/>
                <w:sz w:val="21"/>
                <w:szCs w:val="21"/>
              </w:rPr>
              <w:t>电力</w:t>
            </w:r>
            <w:r>
              <w:rPr>
                <w:rFonts w:ascii="宋体" w:hAnsi="宋体" w:cs="宋体" w:eastAsia="宋体" w:hint="default"/>
                <w:spacing w:val="-79"/>
                <w:sz w:val="21"/>
                <w:szCs w:val="21"/>
              </w:rPr>
              <w:t> </w:t>
            </w:r>
            <w:r>
              <w:rPr>
                <w:rFonts w:ascii="宋体" w:hAnsi="宋体" w:cs="宋体" w:eastAsia="宋体" w:hint="default"/>
                <w:sz w:val="21"/>
                <w:szCs w:val="21"/>
              </w:rPr>
              <w:t>计</w:t>
            </w:r>
            <w:r>
              <w:rPr>
                <w:rFonts w:ascii="宋体" w:hAnsi="宋体" w:cs="宋体" w:eastAsia="宋体" w:hint="default"/>
                <w:sz w:val="21"/>
                <w:szCs w:val="21"/>
              </w:rPr>
              <w:t> 量</w:t>
            </w:r>
            <w:r>
              <w:rPr>
                <w:rFonts w:ascii="宋体" w:hAnsi="宋体" w:cs="宋体" w:eastAsia="宋体" w:hint="default"/>
                <w:spacing w:val="-78"/>
                <w:sz w:val="21"/>
                <w:szCs w:val="21"/>
              </w:rPr>
              <w:t> </w:t>
            </w: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心</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pacing w:val="12"/>
                <w:sz w:val="21"/>
                <w:szCs w:val="21"/>
              </w:rPr>
              <w:t>测试</w:t>
            </w:r>
            <w:r>
              <w:rPr>
                <w:rFonts w:ascii="宋体" w:hAnsi="宋体" w:cs="宋体" w:eastAsia="宋体" w:hint="default"/>
                <w:spacing w:val="-79"/>
                <w:sz w:val="21"/>
                <w:szCs w:val="21"/>
              </w:rPr>
              <w:t> </w:t>
            </w:r>
            <w:r>
              <w:rPr>
                <w:rFonts w:ascii="宋体" w:hAnsi="宋体" w:cs="宋体" w:eastAsia="宋体" w:hint="default"/>
                <w:sz w:val="21"/>
                <w:szCs w:val="21"/>
              </w:rPr>
              <w:t>需</w:t>
            </w:r>
            <w:r>
              <w:rPr>
                <w:rFonts w:ascii="宋体" w:hAnsi="宋体" w:cs="宋体" w:eastAsia="宋体" w:hint="default"/>
                <w:sz w:val="21"/>
                <w:szCs w:val="21"/>
              </w:rPr>
              <w:t> </w:t>
            </w:r>
            <w:r>
              <w:rPr>
                <w:rFonts w:ascii="宋体" w:hAnsi="宋体" w:cs="宋体" w:eastAsia="宋体" w:hint="default"/>
                <w:spacing w:val="-7"/>
                <w:sz w:val="21"/>
                <w:szCs w:val="21"/>
              </w:rPr>
              <w:t>求，支持公司的持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续发展。</w:t>
            </w:r>
          </w:p>
        </w:tc>
      </w:tr>
      <w:tr>
        <w:trPr>
          <w:trHeight w:val="2260"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HPU-3660</w:t>
            </w:r>
            <w:r>
              <w:rPr>
                <w:rFonts w:ascii="宋体" w:hAnsi="宋体" w:cs="宋体" w:eastAsia="宋体" w:hint="default"/>
                <w:sz w:val="21"/>
                <w:szCs w:val="21"/>
              </w:rPr>
              <w:t>直流充</w:t>
            </w:r>
          </w:p>
          <w:p>
            <w:pPr>
              <w:pStyle w:val="TableParagraph"/>
              <w:spacing w:line="240" w:lineRule="auto" w:before="21"/>
              <w:ind w:left="2" w:right="-9"/>
              <w:jc w:val="left"/>
              <w:rPr>
                <w:rFonts w:ascii="宋体" w:hAnsi="宋体" w:cs="宋体" w:eastAsia="宋体" w:hint="default"/>
                <w:sz w:val="21"/>
                <w:szCs w:val="21"/>
              </w:rPr>
            </w:pPr>
            <w:r>
              <w:rPr>
                <w:rFonts w:ascii="宋体" w:hAnsi="宋体" w:cs="宋体" w:eastAsia="宋体" w:hint="default"/>
                <w:spacing w:val="12"/>
                <w:sz w:val="21"/>
                <w:szCs w:val="21"/>
              </w:rPr>
              <w:t>电桩现场校验仪</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RD1703</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7"/>
              <w:jc w:val="both"/>
              <w:rPr>
                <w:rFonts w:ascii="宋体" w:hAnsi="宋体" w:cs="宋体" w:eastAsia="宋体" w:hint="default"/>
                <w:sz w:val="21"/>
                <w:szCs w:val="21"/>
              </w:rPr>
            </w:pPr>
            <w:r>
              <w:rPr>
                <w:rFonts w:ascii="宋体" w:hAnsi="宋体" w:cs="宋体" w:eastAsia="宋体" w:hint="default"/>
                <w:spacing w:val="17"/>
                <w:sz w:val="21"/>
                <w:szCs w:val="21"/>
              </w:rPr>
              <w:t>开发一系列能对电</w:t>
            </w:r>
            <w:r>
              <w:rPr>
                <w:rFonts w:ascii="宋体" w:hAnsi="宋体" w:cs="宋体" w:eastAsia="宋体" w:hint="default"/>
                <w:spacing w:val="-101"/>
                <w:sz w:val="21"/>
                <w:szCs w:val="21"/>
              </w:rPr>
              <w:t> </w:t>
            </w:r>
            <w:r>
              <w:rPr>
                <w:rFonts w:ascii="宋体" w:hAnsi="宋体" w:cs="宋体" w:eastAsia="宋体" w:hint="default"/>
                <w:spacing w:val="17"/>
                <w:sz w:val="21"/>
                <w:szCs w:val="21"/>
              </w:rPr>
              <w:t>动汽车的充电桩设</w:t>
            </w:r>
            <w:r>
              <w:rPr>
                <w:rFonts w:ascii="宋体" w:hAnsi="宋体" w:cs="宋体" w:eastAsia="宋体" w:hint="default"/>
                <w:spacing w:val="-101"/>
                <w:sz w:val="21"/>
                <w:szCs w:val="21"/>
              </w:rPr>
              <w:t> </w:t>
            </w:r>
            <w:r>
              <w:rPr>
                <w:rFonts w:ascii="宋体" w:hAnsi="宋体" w:cs="宋体" w:eastAsia="宋体" w:hint="default"/>
                <w:spacing w:val="17"/>
                <w:sz w:val="21"/>
                <w:szCs w:val="21"/>
              </w:rPr>
              <w:t>备进行现场检测的</w:t>
            </w:r>
            <w:r>
              <w:rPr>
                <w:rFonts w:ascii="宋体" w:hAnsi="宋体" w:cs="宋体" w:eastAsia="宋体" w:hint="default"/>
                <w:spacing w:val="-101"/>
                <w:sz w:val="21"/>
                <w:szCs w:val="21"/>
              </w:rPr>
              <w:t> </w:t>
            </w:r>
            <w:r>
              <w:rPr>
                <w:rFonts w:ascii="宋体" w:hAnsi="宋体" w:cs="宋体" w:eastAsia="宋体" w:hint="default"/>
                <w:spacing w:val="-8"/>
                <w:sz w:val="21"/>
                <w:szCs w:val="21"/>
              </w:rPr>
              <w:t>测试仪。满足技术监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7"/>
                <w:sz w:val="21"/>
                <w:szCs w:val="21"/>
              </w:rPr>
              <w:t>督系统对充电桩的</w:t>
            </w:r>
            <w:r>
              <w:rPr>
                <w:rFonts w:ascii="宋体" w:hAnsi="宋体" w:cs="宋体" w:eastAsia="宋体" w:hint="default"/>
                <w:spacing w:val="-101"/>
                <w:sz w:val="21"/>
                <w:szCs w:val="21"/>
              </w:rPr>
              <w:t> </w:t>
            </w:r>
            <w:r>
              <w:rPr>
                <w:rFonts w:ascii="宋体" w:hAnsi="宋体" w:cs="宋体" w:eastAsia="宋体" w:hint="default"/>
                <w:sz w:val="21"/>
                <w:szCs w:val="21"/>
              </w:rPr>
              <w:t>监督测试要求。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6"/>
              <w:ind w:left="2" w:right="1"/>
              <w:jc w:val="both"/>
              <w:rPr>
                <w:rFonts w:ascii="宋体" w:hAnsi="宋体" w:cs="宋体" w:eastAsia="宋体" w:hint="default"/>
                <w:sz w:val="21"/>
                <w:szCs w:val="21"/>
              </w:rPr>
            </w:pPr>
            <w:r>
              <w:rPr>
                <w:rFonts w:ascii="宋体" w:hAnsi="宋体" w:cs="宋体" w:eastAsia="宋体" w:hint="default"/>
                <w:spacing w:val="8"/>
                <w:sz w:val="21"/>
                <w:szCs w:val="21"/>
              </w:rPr>
              <w:t>首套样机已经完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成试制，并完成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样</w:t>
            </w:r>
            <w:r>
              <w:rPr>
                <w:rFonts w:ascii="宋体" w:hAnsi="宋体" w:cs="宋体" w:eastAsia="宋体" w:hint="default"/>
                <w:spacing w:val="-50"/>
                <w:sz w:val="21"/>
                <w:szCs w:val="21"/>
              </w:rPr>
              <w:t> </w:t>
            </w:r>
            <w:r>
              <w:rPr>
                <w:rFonts w:ascii="宋体" w:hAnsi="宋体" w:cs="宋体" w:eastAsia="宋体" w:hint="default"/>
                <w:sz w:val="21"/>
                <w:szCs w:val="21"/>
              </w:rPr>
              <w:t>机</w:t>
            </w:r>
            <w:r>
              <w:rPr>
                <w:rFonts w:ascii="宋体" w:hAnsi="宋体" w:cs="宋体" w:eastAsia="宋体" w:hint="default"/>
                <w:spacing w:val="-50"/>
                <w:sz w:val="21"/>
                <w:szCs w:val="21"/>
              </w:rPr>
              <w:t> </w:t>
            </w:r>
            <w:r>
              <w:rPr>
                <w:rFonts w:ascii="宋体" w:hAnsi="宋体" w:cs="宋体" w:eastAsia="宋体" w:hint="default"/>
                <w:sz w:val="21"/>
                <w:szCs w:val="21"/>
              </w:rPr>
              <w:t>测</w:t>
            </w:r>
            <w:r>
              <w:rPr>
                <w:rFonts w:ascii="宋体" w:hAnsi="宋体" w:cs="宋体" w:eastAsia="宋体" w:hint="default"/>
                <w:spacing w:val="-50"/>
                <w:sz w:val="21"/>
                <w:szCs w:val="21"/>
              </w:rPr>
              <w:t> </w:t>
            </w:r>
            <w:r>
              <w:rPr>
                <w:rFonts w:ascii="宋体" w:hAnsi="宋体" w:cs="宋体" w:eastAsia="宋体" w:hint="default"/>
                <w:sz w:val="21"/>
                <w:szCs w:val="21"/>
              </w:rPr>
              <w:t>试</w:t>
            </w:r>
            <w:r>
              <w:rPr>
                <w:rFonts w:ascii="宋体" w:hAnsi="宋体" w:cs="宋体" w:eastAsia="宋体" w:hint="default"/>
                <w:spacing w:val="-49"/>
                <w:sz w:val="21"/>
                <w:szCs w:val="21"/>
              </w:rPr>
              <w:t> </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但</w:t>
            </w:r>
            <w:r>
              <w:rPr>
                <w:rFonts w:ascii="宋体" w:hAnsi="宋体" w:cs="宋体" w:eastAsia="宋体" w:hint="default"/>
                <w:sz w:val="21"/>
                <w:szCs w:val="21"/>
              </w:rPr>
              <w:t> </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季度，国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网的充电桩测试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的正式规范开始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执行，后续还要</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1"/>
              <w:jc w:val="both"/>
              <w:rPr>
                <w:rFonts w:ascii="宋体" w:hAnsi="宋体" w:cs="宋体" w:eastAsia="宋体" w:hint="default"/>
                <w:sz w:val="21"/>
                <w:szCs w:val="21"/>
              </w:rPr>
            </w:pPr>
            <w:r>
              <w:rPr>
                <w:rFonts w:ascii="宋体" w:hAnsi="宋体" w:cs="宋体" w:eastAsia="宋体" w:hint="default"/>
                <w:sz w:val="21"/>
                <w:szCs w:val="21"/>
              </w:rPr>
              <w:t>开发一系列能对电 动汽车的充电桩设 备进行现场检测的 测试仪。满足技术 监督系统对充电桩 的监督测试要求。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36"/>
              <w:ind w:left="2" w:right="0"/>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挥</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2"/>
                <w:sz w:val="21"/>
                <w:szCs w:val="21"/>
              </w:rPr>
              <w:t>在计</w:t>
            </w:r>
            <w:r>
              <w:rPr>
                <w:rFonts w:ascii="宋体" w:hAnsi="宋体" w:cs="宋体" w:eastAsia="宋体" w:hint="default"/>
                <w:spacing w:val="-79"/>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r>
              <w:rPr>
                <w:rFonts w:ascii="宋体" w:hAnsi="宋体" w:cs="宋体" w:eastAsia="宋体" w:hint="default"/>
                <w:spacing w:val="-7"/>
                <w:sz w:val="21"/>
                <w:szCs w:val="21"/>
              </w:rPr>
              <w:t>测试的优势，延伸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产品线，支持公司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的持续发展。</w:t>
            </w:r>
          </w:p>
        </w:tc>
      </w:tr>
    </w:tbl>
    <w:p>
      <w:pPr>
        <w:spacing w:after="0" w:line="271"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9"/>
        <w:gridCol w:w="1562"/>
        <w:gridCol w:w="1844"/>
        <w:gridCol w:w="1558"/>
        <w:gridCol w:w="1701"/>
        <w:gridCol w:w="1651"/>
      </w:tblGrid>
      <w:tr>
        <w:trPr>
          <w:trHeight w:val="1010" w:hRule="exact"/>
        </w:trPr>
        <w:tc>
          <w:tcPr>
            <w:tcW w:w="56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8"/>
                <w:sz w:val="21"/>
                <w:szCs w:val="21"/>
              </w:rPr>
              <w:t>完善改进，满足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规</w:t>
            </w:r>
            <w:r>
              <w:rPr>
                <w:rFonts w:ascii="宋体" w:hAnsi="宋体" w:cs="宋体" w:eastAsia="宋体" w:hint="default"/>
                <w:spacing w:val="-50"/>
                <w:sz w:val="21"/>
                <w:szCs w:val="21"/>
              </w:rPr>
              <w:t> </w:t>
            </w:r>
            <w:r>
              <w:rPr>
                <w:rFonts w:ascii="宋体" w:hAnsi="宋体" w:cs="宋体" w:eastAsia="宋体" w:hint="default"/>
                <w:sz w:val="21"/>
                <w:szCs w:val="21"/>
              </w:rPr>
              <w:t>范</w:t>
            </w:r>
            <w:r>
              <w:rPr>
                <w:rFonts w:ascii="宋体" w:hAnsi="宋体" w:cs="宋体" w:eastAsia="宋体" w:hint="default"/>
                <w:spacing w:val="-50"/>
                <w:sz w:val="21"/>
                <w:szCs w:val="21"/>
              </w:rPr>
              <w:t> </w:t>
            </w:r>
            <w:r>
              <w:rPr>
                <w:rFonts w:ascii="宋体" w:hAnsi="宋体" w:cs="宋体" w:eastAsia="宋体" w:hint="default"/>
                <w:sz w:val="21"/>
                <w:szCs w:val="21"/>
              </w:rPr>
              <w:t>的</w:t>
            </w:r>
            <w:r>
              <w:rPr>
                <w:rFonts w:ascii="宋体" w:hAnsi="宋体" w:cs="宋体" w:eastAsia="宋体" w:hint="default"/>
                <w:spacing w:val="-50"/>
                <w:sz w:val="21"/>
                <w:szCs w:val="21"/>
              </w:rPr>
              <w:t> </w:t>
            </w:r>
            <w:r>
              <w:rPr>
                <w:rFonts w:ascii="宋体" w:hAnsi="宋体" w:cs="宋体" w:eastAsia="宋体" w:hint="default"/>
                <w:sz w:val="21"/>
                <w:szCs w:val="21"/>
              </w:rPr>
              <w:t>具</w:t>
            </w:r>
            <w:r>
              <w:rPr>
                <w:rFonts w:ascii="宋体" w:hAnsi="宋体" w:cs="宋体" w:eastAsia="宋体" w:hint="default"/>
                <w:spacing w:val="-49"/>
                <w:sz w:val="21"/>
                <w:szCs w:val="21"/>
              </w:rPr>
              <w:t> </w:t>
            </w:r>
            <w:r>
              <w:rPr>
                <w:rFonts w:ascii="宋体" w:hAnsi="宋体" w:cs="宋体" w:eastAsia="宋体" w:hint="default"/>
                <w:sz w:val="21"/>
                <w:szCs w:val="21"/>
              </w:rPr>
              <w:t>体</w:t>
            </w:r>
            <w:r>
              <w:rPr>
                <w:rFonts w:ascii="宋体" w:hAnsi="宋体" w:cs="宋体" w:eastAsia="宋体" w:hint="default"/>
                <w:spacing w:val="-50"/>
                <w:sz w:val="21"/>
                <w:szCs w:val="21"/>
              </w:rPr>
              <w:t> </w:t>
            </w:r>
            <w:r>
              <w:rPr>
                <w:rFonts w:ascii="宋体" w:hAnsi="宋体" w:cs="宋体" w:eastAsia="宋体" w:hint="default"/>
                <w:sz w:val="21"/>
                <w:szCs w:val="21"/>
              </w:rPr>
              <w:t>要</w:t>
            </w:r>
            <w:r>
              <w:rPr>
                <w:rFonts w:ascii="宋体" w:hAnsi="宋体" w:cs="宋体" w:eastAsia="宋体" w:hint="default"/>
                <w:sz w:val="21"/>
                <w:szCs w:val="21"/>
              </w:rPr>
              <w:t> 求。</w:t>
            </w:r>
          </w:p>
        </w:tc>
        <w:tc>
          <w:tcPr>
            <w:tcW w:w="1701"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4796"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HPU2200-T20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智</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能 配 变 终</w:t>
            </w:r>
            <w:r>
              <w:rPr>
                <w:rFonts w:ascii="宋体" w:hAnsi="宋体" w:cs="宋体" w:eastAsia="宋体" w:hint="default"/>
                <w:spacing w:val="68"/>
                <w:sz w:val="21"/>
                <w:szCs w:val="21"/>
              </w:rPr>
              <w:t> </w:t>
            </w:r>
            <w:r>
              <w:rPr>
                <w:rFonts w:ascii="宋体" w:hAnsi="宋体" w:cs="宋体" w:eastAsia="宋体" w:hint="default"/>
                <w:sz w:val="21"/>
                <w:szCs w:val="21"/>
              </w:rPr>
              <w:t>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RD1803</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21"/>
              <w:jc w:val="both"/>
              <w:rPr>
                <w:rFonts w:ascii="宋体" w:hAnsi="宋体" w:cs="宋体" w:eastAsia="宋体" w:hint="default"/>
                <w:sz w:val="21"/>
                <w:szCs w:val="21"/>
              </w:rPr>
            </w:pPr>
            <w:r>
              <w:rPr>
                <w:rFonts w:ascii="宋体" w:hAnsi="宋体" w:cs="宋体" w:eastAsia="宋体" w:hint="default"/>
                <w:spacing w:val="16"/>
                <w:sz w:val="21"/>
                <w:szCs w:val="21"/>
              </w:rPr>
              <w:t>按国网</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pacing w:val="16"/>
                <w:sz w:val="21"/>
                <w:szCs w:val="21"/>
              </w:rPr>
              <w:t>年规范</w:t>
            </w:r>
            <w:r>
              <w:rPr>
                <w:rFonts w:ascii="宋体" w:hAnsi="宋体" w:cs="宋体" w:eastAsia="宋体" w:hint="default"/>
                <w:spacing w:val="-81"/>
                <w:sz w:val="21"/>
                <w:szCs w:val="21"/>
              </w:rPr>
              <w:t> </w:t>
            </w:r>
            <w:r>
              <w:rPr>
                <w:rFonts w:ascii="宋体" w:hAnsi="宋体" w:cs="宋体" w:eastAsia="宋体" w:hint="default"/>
                <w:spacing w:val="17"/>
                <w:sz w:val="21"/>
                <w:szCs w:val="21"/>
              </w:rPr>
              <w:t>开发适合的全新系</w:t>
            </w:r>
            <w:r>
              <w:rPr>
                <w:rFonts w:ascii="宋体" w:hAnsi="宋体" w:cs="宋体" w:eastAsia="宋体" w:hint="default"/>
                <w:spacing w:val="-101"/>
                <w:sz w:val="21"/>
                <w:szCs w:val="21"/>
              </w:rPr>
              <w:t> </w:t>
            </w:r>
            <w:r>
              <w:rPr>
                <w:rFonts w:ascii="宋体" w:hAnsi="宋体" w:cs="宋体" w:eastAsia="宋体" w:hint="default"/>
                <w:spacing w:val="-8"/>
                <w:sz w:val="21"/>
                <w:szCs w:val="21"/>
              </w:rPr>
              <w:t>列</w:t>
            </w:r>
            <w:r>
              <w:rPr>
                <w:rFonts w:ascii="Times New Roman" w:hAnsi="Times New Roman" w:cs="Times New Roman" w:eastAsia="Times New Roman" w:hint="default"/>
                <w:spacing w:val="-8"/>
                <w:sz w:val="21"/>
                <w:szCs w:val="21"/>
              </w:rPr>
              <w:t>DTU</w:t>
            </w:r>
            <w:r>
              <w:rPr>
                <w:rFonts w:ascii="宋体" w:hAnsi="宋体" w:cs="宋体" w:eastAsia="宋体" w:hint="default"/>
                <w:spacing w:val="-8"/>
                <w:sz w:val="21"/>
                <w:szCs w:val="21"/>
              </w:rPr>
              <w:t>产品，形成全</w:t>
            </w:r>
            <w:r>
              <w:rPr>
                <w:rFonts w:ascii="宋体" w:hAnsi="宋体" w:cs="宋体" w:eastAsia="宋体" w:hint="default"/>
                <w:sz w:val="21"/>
                <w:szCs w:val="21"/>
              </w:rPr>
              <w:t> </w:t>
            </w:r>
            <w:r>
              <w:rPr>
                <w:rFonts w:ascii="宋体" w:hAnsi="宋体" w:cs="宋体" w:eastAsia="宋体" w:hint="default"/>
                <w:spacing w:val="17"/>
                <w:sz w:val="21"/>
                <w:szCs w:val="21"/>
              </w:rPr>
              <w:t>系列的配电自动化</w:t>
            </w:r>
            <w:r>
              <w:rPr>
                <w:rFonts w:ascii="宋体" w:hAnsi="宋体" w:cs="宋体" w:eastAsia="宋体" w:hint="default"/>
                <w:spacing w:val="-101"/>
                <w:sz w:val="21"/>
                <w:szCs w:val="21"/>
              </w:rPr>
              <w:t> </w:t>
            </w:r>
            <w:r>
              <w:rPr>
                <w:rFonts w:ascii="宋体" w:hAnsi="宋体" w:cs="宋体" w:eastAsia="宋体" w:hint="default"/>
                <w:spacing w:val="-8"/>
                <w:sz w:val="21"/>
                <w:szCs w:val="21"/>
              </w:rPr>
              <w:t>终端产品线，满足客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户的要求。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0" w:hanging="1"/>
              <w:jc w:val="center"/>
              <w:rPr>
                <w:rFonts w:ascii="宋体" w:hAnsi="宋体" w:cs="宋体" w:eastAsia="宋体" w:hint="default"/>
                <w:sz w:val="21"/>
                <w:szCs w:val="21"/>
              </w:rPr>
            </w:pPr>
            <w:r>
              <w:rPr>
                <w:rFonts w:ascii="宋体" w:hAnsi="宋体" w:cs="宋体" w:eastAsia="宋体" w:hint="default"/>
                <w:sz w:val="21"/>
                <w:szCs w:val="21"/>
              </w:rPr>
              <w:t>常规</w:t>
            </w:r>
            <w:r>
              <w:rPr>
                <w:rFonts w:ascii="Times New Roman" w:hAnsi="Times New Roman" w:cs="Times New Roman" w:eastAsia="Times New Roman" w:hint="default"/>
                <w:sz w:val="21"/>
                <w:szCs w:val="21"/>
              </w:rPr>
              <w:t>DTU</w:t>
            </w:r>
            <w:r>
              <w:rPr>
                <w:rFonts w:ascii="宋体" w:hAnsi="宋体" w:cs="宋体" w:eastAsia="宋体" w:hint="default"/>
                <w:sz w:val="21"/>
                <w:szCs w:val="21"/>
              </w:rPr>
              <w:t>站所终 端按国网</w:t>
            </w:r>
            <w:r>
              <w:rPr>
                <w:rFonts w:ascii="Times New Roman" w:hAnsi="Times New Roman" w:cs="Times New Roman" w:eastAsia="Times New Roman" w:hint="default"/>
                <w:sz w:val="21"/>
                <w:szCs w:val="21"/>
              </w:rPr>
              <w:t>2017</w:t>
            </w:r>
            <w:r>
              <w:rPr>
                <w:rFonts w:ascii="宋体" w:hAnsi="宋体" w:cs="宋体" w:eastAsia="宋体" w:hint="default"/>
                <w:sz w:val="21"/>
                <w:szCs w:val="21"/>
              </w:rPr>
              <w:t>标 准规范的要求重 新设计，并通过 国网电科院的专 项检测，产品已 经投入批量生 产。</w:t>
            </w:r>
          </w:p>
          <w:p>
            <w:pPr>
              <w:pStyle w:val="TableParagraph"/>
              <w:spacing w:line="271" w:lineRule="auto" w:before="52"/>
              <w:ind w:left="2" w:right="0"/>
              <w:jc w:val="both"/>
              <w:rPr>
                <w:rFonts w:ascii="宋体" w:hAnsi="宋体" w:cs="宋体" w:eastAsia="宋体" w:hint="default"/>
                <w:sz w:val="21"/>
                <w:szCs w:val="21"/>
              </w:rPr>
            </w:pPr>
            <w:r>
              <w:rPr>
                <w:rFonts w:ascii="宋体" w:hAnsi="宋体" w:cs="宋体" w:eastAsia="宋体" w:hint="default"/>
                <w:spacing w:val="6"/>
                <w:sz w:val="21"/>
                <w:szCs w:val="21"/>
              </w:rPr>
              <w:t>一二次融合</w:t>
            </w:r>
            <w:r>
              <w:rPr>
                <w:rFonts w:ascii="Times New Roman" w:hAnsi="Times New Roman" w:cs="Times New Roman" w:eastAsia="Times New Roman" w:hint="default"/>
                <w:spacing w:val="6"/>
                <w:sz w:val="21"/>
                <w:szCs w:val="21"/>
              </w:rPr>
              <w:t>DTU</w:t>
            </w:r>
            <w:r>
              <w:rPr>
                <w:rFonts w:ascii="Times New Roman" w:hAnsi="Times New Roman" w:cs="Times New Roman" w:eastAsia="Times New Roman" w:hint="default"/>
                <w:spacing w:val="-47"/>
                <w:sz w:val="21"/>
                <w:szCs w:val="21"/>
              </w:rPr>
              <w:t> </w:t>
            </w:r>
            <w:r>
              <w:rPr>
                <w:rFonts w:ascii="宋体" w:hAnsi="宋体" w:cs="宋体" w:eastAsia="宋体" w:hint="default"/>
                <w:spacing w:val="8"/>
                <w:sz w:val="21"/>
                <w:szCs w:val="21"/>
              </w:rPr>
              <w:t>终端的设计和改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进已完成，专项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送检样机已准备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完成，本季度已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经</w:t>
            </w:r>
            <w:r>
              <w:rPr>
                <w:rFonts w:ascii="宋体" w:hAnsi="宋体" w:cs="宋体" w:eastAsia="宋体" w:hint="default"/>
                <w:spacing w:val="-50"/>
                <w:sz w:val="21"/>
                <w:szCs w:val="21"/>
              </w:rPr>
              <w:t> </w:t>
            </w:r>
            <w:r>
              <w:rPr>
                <w:rFonts w:ascii="宋体" w:hAnsi="宋体" w:cs="宋体" w:eastAsia="宋体" w:hint="default"/>
                <w:sz w:val="21"/>
                <w:szCs w:val="21"/>
              </w:rPr>
              <w:t>取</w:t>
            </w:r>
            <w:r>
              <w:rPr>
                <w:rFonts w:ascii="宋体" w:hAnsi="宋体" w:cs="宋体" w:eastAsia="宋体" w:hint="default"/>
                <w:spacing w:val="-50"/>
                <w:sz w:val="21"/>
                <w:szCs w:val="21"/>
              </w:rPr>
              <w:t> </w:t>
            </w:r>
            <w:r>
              <w:rPr>
                <w:rFonts w:ascii="宋体" w:hAnsi="宋体" w:cs="宋体" w:eastAsia="宋体" w:hint="default"/>
                <w:sz w:val="21"/>
                <w:szCs w:val="21"/>
              </w:rPr>
              <w:t>得</w:t>
            </w:r>
            <w:r>
              <w:rPr>
                <w:rFonts w:ascii="宋体" w:hAnsi="宋体" w:cs="宋体" w:eastAsia="宋体" w:hint="default"/>
                <w:spacing w:val="-50"/>
                <w:sz w:val="21"/>
                <w:szCs w:val="21"/>
              </w:rPr>
              <w:t> </w:t>
            </w:r>
            <w:r>
              <w:rPr>
                <w:rFonts w:ascii="宋体" w:hAnsi="宋体" w:cs="宋体" w:eastAsia="宋体" w:hint="default"/>
                <w:sz w:val="21"/>
                <w:szCs w:val="21"/>
              </w:rPr>
              <w:t>检</w:t>
            </w:r>
            <w:r>
              <w:rPr>
                <w:rFonts w:ascii="宋体" w:hAnsi="宋体" w:cs="宋体" w:eastAsia="宋体" w:hint="default"/>
                <w:spacing w:val="-49"/>
                <w:sz w:val="21"/>
                <w:szCs w:val="21"/>
              </w:rPr>
              <w:t> </w:t>
            </w:r>
            <w:r>
              <w:rPr>
                <w:rFonts w:ascii="宋体" w:hAnsi="宋体" w:cs="宋体" w:eastAsia="宋体" w:hint="default"/>
                <w:sz w:val="21"/>
                <w:szCs w:val="21"/>
              </w:rPr>
              <w:t>验</w:t>
            </w:r>
            <w:r>
              <w:rPr>
                <w:rFonts w:ascii="宋体" w:hAnsi="宋体" w:cs="宋体" w:eastAsia="宋体" w:hint="default"/>
                <w:spacing w:val="-50"/>
                <w:sz w:val="21"/>
                <w:szCs w:val="21"/>
              </w:rPr>
              <w:t> </w:t>
            </w:r>
            <w:r>
              <w:rPr>
                <w:rFonts w:ascii="宋体" w:hAnsi="宋体" w:cs="宋体" w:eastAsia="宋体" w:hint="default"/>
                <w:sz w:val="21"/>
                <w:szCs w:val="21"/>
              </w:rPr>
              <w:t>报</w:t>
            </w:r>
            <w:r>
              <w:rPr>
                <w:rFonts w:ascii="宋体" w:hAnsi="宋体" w:cs="宋体" w:eastAsia="宋体" w:hint="default"/>
                <w:sz w:val="21"/>
                <w:szCs w:val="21"/>
              </w:rPr>
              <w:t> 告。</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6"/>
              <w:ind w:left="2" w:right="3"/>
              <w:jc w:val="both"/>
              <w:rPr>
                <w:rFonts w:ascii="宋体" w:hAnsi="宋体" w:cs="宋体" w:eastAsia="宋体" w:hint="default"/>
                <w:sz w:val="21"/>
                <w:szCs w:val="21"/>
              </w:rPr>
            </w:pPr>
            <w:r>
              <w:rPr>
                <w:rFonts w:ascii="宋体" w:hAnsi="宋体" w:cs="宋体" w:eastAsia="宋体" w:hint="default"/>
                <w:spacing w:val="19"/>
                <w:sz w:val="21"/>
                <w:szCs w:val="21"/>
              </w:rPr>
              <w:t>完善</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DTU</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终</w:t>
            </w:r>
            <w:r>
              <w:rPr>
                <w:rFonts w:ascii="宋体" w:hAnsi="宋体" w:cs="宋体" w:eastAsia="宋体" w:hint="default"/>
                <w:spacing w:val="-65"/>
                <w:sz w:val="21"/>
                <w:szCs w:val="21"/>
              </w:rPr>
              <w:t> </w:t>
            </w:r>
            <w:r>
              <w:rPr>
                <w:rFonts w:ascii="宋体" w:hAnsi="宋体" w:cs="宋体" w:eastAsia="宋体" w:hint="default"/>
                <w:sz w:val="21"/>
                <w:szCs w:val="21"/>
              </w:rPr>
              <w:t>端</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z w:val="21"/>
                <w:szCs w:val="21"/>
              </w:rPr>
              <w:t> 产品系列，满足配 电自动化系统客户 的需求。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6"/>
              <w:ind w:left="2" w:right="-31"/>
              <w:jc w:val="both"/>
              <w:rPr>
                <w:rFonts w:ascii="宋体" w:hAnsi="宋体" w:cs="宋体" w:eastAsia="宋体" w:hint="default"/>
                <w:sz w:val="21"/>
                <w:szCs w:val="21"/>
              </w:rPr>
            </w:pPr>
            <w:r>
              <w:rPr>
                <w:rFonts w:ascii="宋体" w:hAnsi="宋体" w:cs="宋体" w:eastAsia="宋体" w:hint="default"/>
                <w:spacing w:val="21"/>
                <w:sz w:val="21"/>
                <w:szCs w:val="21"/>
              </w:rPr>
              <w:t>按国网</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1"/>
                <w:sz w:val="21"/>
                <w:szCs w:val="21"/>
              </w:rPr>
              <w:t> </w:t>
            </w:r>
            <w:r>
              <w:rPr>
                <w:rFonts w:ascii="宋体" w:hAnsi="宋体" w:cs="宋体" w:eastAsia="宋体" w:hint="default"/>
                <w:spacing w:val="16"/>
                <w:sz w:val="21"/>
                <w:szCs w:val="21"/>
              </w:rPr>
              <w:t>年规</w:t>
            </w:r>
            <w:r>
              <w:rPr>
                <w:rFonts w:ascii="宋体" w:hAnsi="宋体" w:cs="宋体" w:eastAsia="宋体" w:hint="default"/>
                <w:spacing w:val="-73"/>
                <w:sz w:val="21"/>
                <w:szCs w:val="21"/>
              </w:rPr>
              <w:t> </w:t>
            </w:r>
            <w:r>
              <w:rPr>
                <w:rFonts w:ascii="宋体" w:hAnsi="宋体" w:cs="宋体" w:eastAsia="宋体" w:hint="default"/>
                <w:spacing w:val="24"/>
                <w:sz w:val="21"/>
                <w:szCs w:val="21"/>
              </w:rPr>
              <w:t>范开发成功</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DTU</w:t>
            </w:r>
            <w:r>
              <w:rPr>
                <w:rFonts w:ascii="Times New Roman" w:hAnsi="Times New Roman" w:cs="Times New Roman" w:eastAsia="Times New Roman" w:hint="default"/>
                <w:w w:val="99"/>
                <w:sz w:val="21"/>
                <w:szCs w:val="21"/>
              </w:rPr>
              <w:t> </w:t>
            </w:r>
            <w:r>
              <w:rPr>
                <w:rFonts w:ascii="宋体" w:hAnsi="宋体" w:cs="宋体" w:eastAsia="宋体" w:hint="default"/>
                <w:spacing w:val="-7"/>
                <w:sz w:val="21"/>
                <w:szCs w:val="21"/>
              </w:rPr>
              <w:t>新产品，形成全系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列</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配</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pacing w:val="12"/>
                <w:sz w:val="21"/>
                <w:szCs w:val="21"/>
              </w:rPr>
              <w:t>自动</w:t>
            </w:r>
            <w:r>
              <w:rPr>
                <w:rFonts w:ascii="宋体" w:hAnsi="宋体" w:cs="宋体" w:eastAsia="宋体" w:hint="default"/>
                <w:spacing w:val="-79"/>
                <w:sz w:val="21"/>
                <w:szCs w:val="21"/>
              </w:rPr>
              <w:t> </w:t>
            </w:r>
            <w:r>
              <w:rPr>
                <w:rFonts w:ascii="宋体" w:hAnsi="宋体" w:cs="宋体" w:eastAsia="宋体" w:hint="default"/>
                <w:sz w:val="21"/>
                <w:szCs w:val="21"/>
              </w:rPr>
              <w:t>化</w:t>
            </w:r>
            <w:r>
              <w:rPr>
                <w:rFonts w:ascii="宋体" w:hAnsi="宋体" w:cs="宋体" w:eastAsia="宋体" w:hint="default"/>
                <w:sz w:val="21"/>
                <w:szCs w:val="21"/>
              </w:rPr>
              <w:t> </w:t>
            </w:r>
            <w:r>
              <w:rPr>
                <w:rFonts w:ascii="宋体" w:hAnsi="宋体" w:cs="宋体" w:eastAsia="宋体" w:hint="default"/>
                <w:spacing w:val="-7"/>
                <w:sz w:val="21"/>
                <w:szCs w:val="21"/>
              </w:rPr>
              <w:t>终端产品线，满足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客</w:t>
            </w:r>
            <w:r>
              <w:rPr>
                <w:rFonts w:ascii="宋体" w:hAnsi="宋体" w:cs="宋体" w:eastAsia="宋体" w:hint="default"/>
                <w:spacing w:val="-78"/>
                <w:sz w:val="21"/>
                <w:szCs w:val="21"/>
              </w:rPr>
              <w:t> </w:t>
            </w:r>
            <w:r>
              <w:rPr>
                <w:rFonts w:ascii="宋体" w:hAnsi="宋体" w:cs="宋体" w:eastAsia="宋体" w:hint="default"/>
                <w:sz w:val="21"/>
                <w:szCs w:val="21"/>
              </w:rPr>
              <w:t>户</w:t>
            </w:r>
            <w:r>
              <w:rPr>
                <w:rFonts w:ascii="宋体" w:hAnsi="宋体" w:cs="宋体" w:eastAsia="宋体" w:hint="default"/>
                <w:spacing w:val="-78"/>
                <w:sz w:val="21"/>
                <w:szCs w:val="21"/>
              </w:rPr>
              <w:t> </w:t>
            </w:r>
            <w:r>
              <w:rPr>
                <w:rFonts w:ascii="宋体" w:hAnsi="宋体" w:cs="宋体" w:eastAsia="宋体" w:hint="default"/>
                <w:spacing w:val="12"/>
                <w:sz w:val="21"/>
                <w:szCs w:val="21"/>
              </w:rPr>
              <w:t>的不</w:t>
            </w:r>
            <w:r>
              <w:rPr>
                <w:rFonts w:ascii="宋体" w:hAnsi="宋体" w:cs="宋体" w:eastAsia="宋体" w:hint="default"/>
                <w:spacing w:val="-79"/>
                <w:sz w:val="21"/>
                <w:szCs w:val="21"/>
              </w:rPr>
              <w:t> </w:t>
            </w:r>
            <w:r>
              <w:rPr>
                <w:rFonts w:ascii="宋体" w:hAnsi="宋体" w:cs="宋体" w:eastAsia="宋体" w:hint="default"/>
                <w:sz w:val="21"/>
                <w:szCs w:val="21"/>
              </w:rPr>
              <w:t>同</w:t>
            </w:r>
            <w:r>
              <w:rPr>
                <w:rFonts w:ascii="宋体" w:hAnsi="宋体" w:cs="宋体" w:eastAsia="宋体" w:hint="default"/>
                <w:sz w:val="21"/>
                <w:szCs w:val="21"/>
              </w:rPr>
              <w:t> </w:t>
            </w:r>
            <w:r>
              <w:rPr>
                <w:rFonts w:ascii="宋体" w:hAnsi="宋体" w:cs="宋体" w:eastAsia="宋体" w:hint="default"/>
                <w:spacing w:val="-7"/>
                <w:sz w:val="21"/>
                <w:szCs w:val="21"/>
              </w:rPr>
              <w:t>需求，提高公司竞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争力，支持公司持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续发展</w:t>
            </w:r>
          </w:p>
        </w:tc>
      </w:tr>
      <w:tr>
        <w:trPr>
          <w:trHeight w:val="3588" w:hRule="exact"/>
        </w:trPr>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HPU-FTU2200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钟</w:t>
            </w:r>
          </w:p>
          <w:p>
            <w:pPr>
              <w:pStyle w:val="TableParagraph"/>
              <w:spacing w:line="240" w:lineRule="auto" w:before="20"/>
              <w:ind w:left="2" w:right="-17"/>
              <w:jc w:val="left"/>
              <w:rPr>
                <w:rFonts w:ascii="宋体" w:hAnsi="宋体" w:cs="宋体" w:eastAsia="宋体" w:hint="default"/>
                <w:sz w:val="21"/>
                <w:szCs w:val="21"/>
              </w:rPr>
            </w:pPr>
            <w:r>
              <w:rPr>
                <w:rFonts w:ascii="宋体" w:hAnsi="宋体" w:cs="宋体" w:eastAsia="宋体" w:hint="default"/>
                <w:spacing w:val="44"/>
                <w:sz w:val="21"/>
                <w:szCs w:val="21"/>
              </w:rPr>
              <w:t>罩式馈线终</w:t>
            </w:r>
            <w:r>
              <w:rPr>
                <w:rFonts w:ascii="宋体" w:hAnsi="宋体" w:cs="宋体" w:eastAsia="宋体" w:hint="default"/>
                <w:spacing w:val="-45"/>
                <w:sz w:val="21"/>
                <w:szCs w:val="21"/>
              </w:rPr>
              <w:t> </w:t>
            </w:r>
            <w:r>
              <w:rPr>
                <w:rFonts w:ascii="宋体" w:hAnsi="宋体" w:cs="宋体" w:eastAsia="宋体" w:hint="default"/>
                <w:sz w:val="21"/>
                <w:szCs w:val="21"/>
              </w:rPr>
              <w:t>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RD1704</w:t>
            </w:r>
            <w:r>
              <w:rPr>
                <w:rFonts w:ascii="宋体" w:hAnsi="宋体" w:cs="宋体" w:eastAsia="宋体" w:hint="default"/>
                <w:sz w:val="21"/>
                <w:szCs w:val="21"/>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36"/>
              <w:ind w:left="2" w:right="-21"/>
              <w:jc w:val="both"/>
              <w:rPr>
                <w:rFonts w:ascii="宋体" w:hAnsi="宋体" w:cs="宋体" w:eastAsia="宋体" w:hint="default"/>
                <w:sz w:val="21"/>
                <w:szCs w:val="21"/>
              </w:rPr>
            </w:pPr>
            <w:r>
              <w:rPr>
                <w:rFonts w:ascii="宋体" w:hAnsi="宋体" w:cs="宋体" w:eastAsia="宋体" w:hint="default"/>
                <w:spacing w:val="16"/>
                <w:sz w:val="21"/>
                <w:szCs w:val="21"/>
              </w:rPr>
              <w:t>按国网</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pacing w:val="16"/>
                <w:sz w:val="21"/>
                <w:szCs w:val="21"/>
              </w:rPr>
              <w:t>年规范</w:t>
            </w:r>
            <w:r>
              <w:rPr>
                <w:rFonts w:ascii="宋体" w:hAnsi="宋体" w:cs="宋体" w:eastAsia="宋体" w:hint="default"/>
                <w:spacing w:val="-81"/>
                <w:sz w:val="21"/>
                <w:szCs w:val="21"/>
              </w:rPr>
              <w:t> </w:t>
            </w:r>
            <w:r>
              <w:rPr>
                <w:rFonts w:ascii="宋体" w:hAnsi="宋体" w:cs="宋体" w:eastAsia="宋体" w:hint="default"/>
                <w:spacing w:val="17"/>
                <w:sz w:val="21"/>
                <w:szCs w:val="21"/>
              </w:rPr>
              <w:t>开发适合的的特殊</w:t>
            </w:r>
            <w:r>
              <w:rPr>
                <w:rFonts w:ascii="宋体" w:hAnsi="宋体" w:cs="宋体" w:eastAsia="宋体" w:hint="default"/>
                <w:spacing w:val="-101"/>
                <w:sz w:val="21"/>
                <w:szCs w:val="21"/>
              </w:rPr>
              <w:t> </w:t>
            </w:r>
            <w:r>
              <w:rPr>
                <w:rFonts w:ascii="Times New Roman" w:hAnsi="Times New Roman" w:cs="Times New Roman" w:eastAsia="Times New Roman" w:hint="default"/>
                <w:spacing w:val="-5"/>
                <w:sz w:val="21"/>
                <w:szCs w:val="21"/>
              </w:rPr>
              <w:t>FTU</w:t>
            </w:r>
            <w:r>
              <w:rPr>
                <w:rFonts w:ascii="宋体" w:hAnsi="宋体" w:cs="宋体" w:eastAsia="宋体" w:hint="default"/>
                <w:spacing w:val="-5"/>
                <w:sz w:val="21"/>
                <w:szCs w:val="21"/>
              </w:rPr>
              <w:t>产品，满足国网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客户的特殊要求。</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36"/>
              <w:ind w:left="2" w:right="2"/>
              <w:jc w:val="both"/>
              <w:rPr>
                <w:rFonts w:ascii="宋体" w:hAnsi="宋体" w:cs="宋体" w:eastAsia="宋体" w:hint="default"/>
                <w:sz w:val="21"/>
                <w:szCs w:val="21"/>
              </w:rPr>
            </w:pPr>
            <w:r>
              <w:rPr>
                <w:rFonts w:ascii="Times New Roman" w:hAnsi="Times New Roman" w:cs="Times New Roman" w:eastAsia="Times New Roman" w:hint="default"/>
                <w:spacing w:val="10"/>
                <w:sz w:val="21"/>
                <w:szCs w:val="21"/>
              </w:rPr>
              <w:t>FTU</w:t>
            </w:r>
            <w:r>
              <w:rPr>
                <w:rFonts w:ascii="宋体" w:hAnsi="宋体" w:cs="宋体" w:eastAsia="宋体" w:hint="default"/>
                <w:spacing w:val="10"/>
                <w:sz w:val="21"/>
                <w:szCs w:val="21"/>
              </w:rPr>
              <w:t>馈线终端按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国网</w:t>
            </w:r>
            <w:r>
              <w:rPr>
                <w:rFonts w:ascii="Times New Roman" w:hAnsi="Times New Roman" w:cs="Times New Roman" w:eastAsia="Times New Roman" w:hint="default"/>
                <w:spacing w:val="7"/>
                <w:sz w:val="21"/>
                <w:szCs w:val="21"/>
              </w:rPr>
              <w:t>2017</w:t>
            </w:r>
            <w:r>
              <w:rPr>
                <w:rFonts w:ascii="宋体" w:hAnsi="宋体" w:cs="宋体" w:eastAsia="宋体" w:hint="default"/>
                <w:spacing w:val="7"/>
                <w:sz w:val="21"/>
                <w:szCs w:val="21"/>
              </w:rPr>
              <w:t>新标准</w:t>
            </w:r>
            <w:r>
              <w:rPr>
                <w:rFonts w:ascii="宋体" w:hAnsi="宋体" w:cs="宋体" w:eastAsia="宋体" w:hint="default"/>
                <w:sz w:val="21"/>
                <w:szCs w:val="21"/>
              </w:rPr>
              <w:t> </w:t>
            </w:r>
            <w:r>
              <w:rPr>
                <w:rFonts w:ascii="宋体" w:hAnsi="宋体" w:cs="宋体" w:eastAsia="宋体" w:hint="default"/>
                <w:spacing w:val="8"/>
                <w:sz w:val="21"/>
                <w:szCs w:val="21"/>
              </w:rPr>
              <w:t>规范的要求重新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设计，并通过国</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网电科院的专项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检测，产品已经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投入批量生产，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发往客户当地电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8"/>
                <w:sz w:val="21"/>
                <w:szCs w:val="21"/>
              </w:rPr>
              <w:t>科院进行抽检及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全检验收。</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3"/>
              <w:jc w:val="both"/>
              <w:rPr>
                <w:rFonts w:ascii="宋体" w:hAnsi="宋体" w:cs="宋体" w:eastAsia="宋体" w:hint="default"/>
                <w:sz w:val="21"/>
                <w:szCs w:val="21"/>
              </w:rPr>
            </w:pPr>
            <w:r>
              <w:rPr>
                <w:rFonts w:ascii="宋体" w:hAnsi="宋体" w:cs="宋体" w:eastAsia="宋体" w:hint="default"/>
                <w:spacing w:val="2"/>
                <w:sz w:val="21"/>
                <w:szCs w:val="21"/>
              </w:rPr>
              <w:t>完善</w:t>
            </w:r>
            <w:r>
              <w:rPr>
                <w:rFonts w:ascii="Times New Roman" w:hAnsi="Times New Roman" w:cs="Times New Roman" w:eastAsia="Times New Roman" w:hint="default"/>
                <w:spacing w:val="2"/>
                <w:sz w:val="21"/>
                <w:szCs w:val="21"/>
              </w:rPr>
              <w:t>FTU</w:t>
            </w:r>
            <w:r>
              <w:rPr>
                <w:rFonts w:ascii="宋体" w:hAnsi="宋体" w:cs="宋体" w:eastAsia="宋体" w:hint="default"/>
                <w:spacing w:val="2"/>
                <w:sz w:val="21"/>
                <w:szCs w:val="21"/>
              </w:rPr>
              <w:t>馈线终端</w:t>
            </w:r>
            <w:r>
              <w:rPr>
                <w:rFonts w:ascii="宋体" w:hAnsi="宋体" w:cs="宋体" w:eastAsia="宋体" w:hint="default"/>
                <w:sz w:val="21"/>
                <w:szCs w:val="21"/>
              </w:rPr>
              <w:t> 的产品线，满足配 电自动化系统客户 需求。</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36"/>
              <w:ind w:left="2" w:right="-31"/>
              <w:jc w:val="both"/>
              <w:rPr>
                <w:rFonts w:ascii="宋体" w:hAnsi="宋体" w:cs="宋体" w:eastAsia="宋体" w:hint="default"/>
                <w:sz w:val="21"/>
                <w:szCs w:val="21"/>
              </w:rPr>
            </w:pPr>
            <w:r>
              <w:rPr>
                <w:rFonts w:ascii="宋体" w:hAnsi="宋体" w:cs="宋体" w:eastAsia="宋体" w:hint="default"/>
                <w:spacing w:val="21"/>
                <w:sz w:val="21"/>
                <w:szCs w:val="21"/>
              </w:rPr>
              <w:t>按国网</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1"/>
                <w:sz w:val="21"/>
                <w:szCs w:val="21"/>
              </w:rPr>
              <w:t> </w:t>
            </w:r>
            <w:r>
              <w:rPr>
                <w:rFonts w:ascii="宋体" w:hAnsi="宋体" w:cs="宋体" w:eastAsia="宋体" w:hint="default"/>
                <w:spacing w:val="16"/>
                <w:sz w:val="21"/>
                <w:szCs w:val="21"/>
              </w:rPr>
              <w:t>年规</w:t>
            </w:r>
            <w:r>
              <w:rPr>
                <w:rFonts w:ascii="宋体" w:hAnsi="宋体" w:cs="宋体" w:eastAsia="宋体" w:hint="default"/>
                <w:spacing w:val="-73"/>
                <w:sz w:val="21"/>
                <w:szCs w:val="21"/>
              </w:rPr>
              <w:t> </w:t>
            </w:r>
            <w:r>
              <w:rPr>
                <w:rFonts w:ascii="宋体" w:hAnsi="宋体" w:cs="宋体" w:eastAsia="宋体" w:hint="default"/>
                <w:sz w:val="21"/>
                <w:szCs w:val="21"/>
              </w:rPr>
              <w:t>范</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9"/>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成</w:t>
            </w:r>
            <w:r>
              <w:rPr>
                <w:rFonts w:ascii="宋体" w:hAnsi="宋体" w:cs="宋体" w:eastAsia="宋体" w:hint="default"/>
                <w:spacing w:val="-78"/>
                <w:sz w:val="21"/>
                <w:szCs w:val="21"/>
              </w:rPr>
              <w:t> </w:t>
            </w:r>
            <w:r>
              <w:rPr>
                <w:rFonts w:ascii="宋体" w:hAnsi="宋体" w:cs="宋体" w:eastAsia="宋体" w:hint="default"/>
                <w:spacing w:val="12"/>
                <w:sz w:val="21"/>
                <w:szCs w:val="21"/>
              </w:rPr>
              <w:t>功特</w:t>
            </w:r>
            <w:r>
              <w:rPr>
                <w:rFonts w:ascii="宋体" w:hAnsi="宋体" w:cs="宋体" w:eastAsia="宋体" w:hint="default"/>
                <w:spacing w:val="-79"/>
                <w:sz w:val="21"/>
                <w:szCs w:val="21"/>
              </w:rPr>
              <w:t> </w:t>
            </w:r>
            <w:r>
              <w:rPr>
                <w:rFonts w:ascii="宋体" w:hAnsi="宋体" w:cs="宋体" w:eastAsia="宋体" w:hint="default"/>
                <w:sz w:val="21"/>
                <w:szCs w:val="21"/>
              </w:rPr>
              <w:t>殊</w:t>
            </w:r>
            <w:r>
              <w:rPr>
                <w:rFonts w:ascii="宋体" w:hAnsi="宋体" w:cs="宋体" w:eastAsia="宋体" w:hint="default"/>
                <w:sz w:val="21"/>
                <w:szCs w:val="21"/>
              </w:rPr>
              <w:t> </w:t>
            </w:r>
            <w:r>
              <w:rPr>
                <w:rFonts w:ascii="宋体" w:hAnsi="宋体" w:cs="宋体" w:eastAsia="宋体" w:hint="default"/>
                <w:spacing w:val="-3"/>
                <w:sz w:val="21"/>
                <w:szCs w:val="21"/>
              </w:rPr>
              <w:t>的</w:t>
            </w:r>
            <w:r>
              <w:rPr>
                <w:rFonts w:ascii="Times New Roman" w:hAnsi="Times New Roman" w:cs="Times New Roman" w:eastAsia="Times New Roman" w:hint="default"/>
                <w:spacing w:val="-3"/>
                <w:sz w:val="21"/>
                <w:szCs w:val="21"/>
              </w:rPr>
              <w:t>FTU</w:t>
            </w:r>
            <w:r>
              <w:rPr>
                <w:rFonts w:ascii="宋体" w:hAnsi="宋体" w:cs="宋体" w:eastAsia="宋体" w:hint="default"/>
                <w:spacing w:val="-3"/>
                <w:sz w:val="21"/>
                <w:szCs w:val="21"/>
              </w:rPr>
              <w:t>新产品，满</w:t>
            </w:r>
            <w:r>
              <w:rPr>
                <w:rFonts w:ascii="宋体" w:hAnsi="宋体" w:cs="宋体" w:eastAsia="宋体" w:hint="default"/>
                <w:sz w:val="21"/>
                <w:szCs w:val="21"/>
              </w:rPr>
              <w:t> 足</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9"/>
                <w:sz w:val="21"/>
                <w:szCs w:val="21"/>
              </w:rPr>
              <w:t> </w:t>
            </w:r>
            <w:r>
              <w:rPr>
                <w:rFonts w:ascii="宋体" w:hAnsi="宋体" w:cs="宋体" w:eastAsia="宋体" w:hint="default"/>
                <w:sz w:val="21"/>
                <w:szCs w:val="21"/>
              </w:rPr>
              <w:t>网</w:t>
            </w:r>
            <w:r>
              <w:rPr>
                <w:rFonts w:ascii="宋体" w:hAnsi="宋体" w:cs="宋体" w:eastAsia="宋体" w:hint="default"/>
                <w:spacing w:val="-78"/>
                <w:sz w:val="21"/>
                <w:szCs w:val="21"/>
              </w:rPr>
              <w:t> </w:t>
            </w:r>
            <w:r>
              <w:rPr>
                <w:rFonts w:ascii="宋体" w:hAnsi="宋体" w:cs="宋体" w:eastAsia="宋体" w:hint="default"/>
                <w:sz w:val="21"/>
                <w:szCs w:val="21"/>
              </w:rPr>
              <w:t>客</w:t>
            </w:r>
            <w:r>
              <w:rPr>
                <w:rFonts w:ascii="宋体" w:hAnsi="宋体" w:cs="宋体" w:eastAsia="宋体" w:hint="default"/>
                <w:spacing w:val="-78"/>
                <w:sz w:val="21"/>
                <w:szCs w:val="21"/>
              </w:rPr>
              <w:t> </w:t>
            </w:r>
            <w:r>
              <w:rPr>
                <w:rFonts w:ascii="宋体" w:hAnsi="宋体" w:cs="宋体" w:eastAsia="宋体" w:hint="default"/>
                <w:spacing w:val="12"/>
                <w:sz w:val="21"/>
                <w:szCs w:val="21"/>
              </w:rPr>
              <w:t>户的</w:t>
            </w:r>
            <w:r>
              <w:rPr>
                <w:rFonts w:ascii="宋体" w:hAnsi="宋体" w:cs="宋体" w:eastAsia="宋体" w:hint="default"/>
                <w:spacing w:val="-79"/>
                <w:sz w:val="21"/>
                <w:szCs w:val="21"/>
              </w:rPr>
              <w:t> </w:t>
            </w:r>
            <w:r>
              <w:rPr>
                <w:rFonts w:ascii="宋体" w:hAnsi="宋体" w:cs="宋体" w:eastAsia="宋体" w:hint="default"/>
                <w:sz w:val="21"/>
                <w:szCs w:val="21"/>
              </w:rPr>
              <w:t>不</w:t>
            </w:r>
            <w:r>
              <w:rPr>
                <w:rFonts w:ascii="宋体" w:hAnsi="宋体" w:cs="宋体" w:eastAsia="宋体" w:hint="default"/>
                <w:sz w:val="21"/>
                <w:szCs w:val="21"/>
              </w:rPr>
              <w:t> </w:t>
            </w:r>
            <w:r>
              <w:rPr>
                <w:rFonts w:ascii="宋体" w:hAnsi="宋体" w:cs="宋体" w:eastAsia="宋体" w:hint="default"/>
                <w:spacing w:val="-7"/>
                <w:sz w:val="21"/>
                <w:szCs w:val="21"/>
              </w:rPr>
              <w:t>同需求，提高公司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竞争力。支持公司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持续发展。</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118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65,932,160.45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46,784,352.23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26,780,407.38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4,099,498.48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2,836,367.30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1,161,123,365.75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874,391,083.84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1,123,865,915.65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577,362,267.15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37,257,450.10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297,028,816.69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7,094,092.86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808,863,604.59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42,934,916.32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1,783.93%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-801,769,511.73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-42,934,916.32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-1,767.41%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823,445,795.70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32,315,278.19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2,448.16%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310,466,645.74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203,250,997.08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512,979,149.96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-170,935,718.89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-251,579,056.20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83,094,221.57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-402.76%</w:t>
            </w:r>
            <w:r>
              <w:rPr>
                <w:rFonts w:ascii="Times New Roman"/>
                <w:sz w:val="18"/>
              </w:rPr>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7"/>
        <w:ind w:left="15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报告期，经营活动现金流入较上年同期增长了</w:t>
      </w:r>
      <w:r>
        <w:rPr>
          <w:rFonts w:ascii="Times New Roman" w:hAnsi="Times New Roman" w:cs="Times New Roman" w:eastAsia="Times New Roman" w:hint="default"/>
          <w:sz w:val="18"/>
          <w:szCs w:val="18"/>
        </w:rPr>
        <w:t>32.79%</w:t>
      </w:r>
      <w:r>
        <w:rPr>
          <w:rFonts w:ascii="宋体" w:hAnsi="宋体" w:cs="宋体" w:eastAsia="宋体" w:hint="default"/>
          <w:sz w:val="18"/>
          <w:szCs w:val="18"/>
        </w:rPr>
        <w:t>，增加了</w:t>
      </w:r>
      <w:r>
        <w:rPr>
          <w:rFonts w:ascii="Times New Roman" w:hAnsi="Times New Roman" w:cs="Times New Roman" w:eastAsia="Times New Roman" w:hint="default"/>
          <w:sz w:val="18"/>
          <w:szCs w:val="18"/>
        </w:rPr>
        <w:t>28,673.23</w:t>
      </w:r>
      <w:r>
        <w:rPr>
          <w:rFonts w:ascii="宋体" w:hAnsi="宋体" w:cs="宋体" w:eastAsia="宋体" w:hint="default"/>
          <w:sz w:val="18"/>
          <w:szCs w:val="18"/>
        </w:rPr>
        <w:t>万元。主要是销售商品、提供劳务收到的现金较上 </w:t>
      </w:r>
      <w:r>
        <w:rPr>
          <w:rFonts w:ascii="宋体" w:hAnsi="宋体" w:cs="宋体" w:eastAsia="宋体" w:hint="default"/>
          <w:spacing w:val="-3"/>
          <w:sz w:val="18"/>
          <w:szCs w:val="18"/>
        </w:rPr>
        <w:t>年同期增加了</w:t>
      </w:r>
      <w:r>
        <w:rPr>
          <w:rFonts w:ascii="Times New Roman" w:hAnsi="Times New Roman" w:cs="Times New Roman" w:eastAsia="Times New Roman" w:hint="default"/>
          <w:spacing w:val="-3"/>
          <w:sz w:val="18"/>
          <w:szCs w:val="18"/>
        </w:rPr>
        <w:t>28,482.41</w:t>
      </w:r>
      <w:r>
        <w:rPr>
          <w:rFonts w:ascii="宋体" w:hAnsi="宋体" w:cs="宋体" w:eastAsia="宋体" w:hint="default"/>
          <w:spacing w:val="-3"/>
          <w:sz w:val="18"/>
          <w:szCs w:val="18"/>
        </w:rPr>
        <w:t>万元。销售商品、提供劳务收到的现金较上年同期增长主要是受银川卧龙和星波通信合并因素的影响。</w:t>
      </w:r>
    </w:p>
    <w:p>
      <w:pPr>
        <w:spacing w:line="300" w:lineRule="auto" w:before="0"/>
        <w:ind w:left="154" w:right="10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年公司纳入了银川卧龙和星波通信</w:t>
      </w:r>
      <w:r>
        <w:rPr>
          <w:rFonts w:ascii="Times New Roman" w:hAnsi="Times New Roman" w:cs="Times New Roman" w:eastAsia="Times New Roman" w:hint="default"/>
          <w:sz w:val="18"/>
          <w:szCs w:val="18"/>
        </w:rPr>
        <w:t>1-12</w:t>
      </w:r>
      <w:r>
        <w:rPr>
          <w:rFonts w:ascii="宋体" w:hAnsi="宋体" w:cs="宋体" w:eastAsia="宋体" w:hint="default"/>
          <w:sz w:val="18"/>
          <w:szCs w:val="18"/>
        </w:rPr>
        <w:t>月全年的现金流；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年则仅纳入了</w:t>
      </w:r>
      <w:r>
        <w:rPr>
          <w:rFonts w:ascii="Times New Roman" w:hAnsi="Times New Roman" w:cs="Times New Roman" w:eastAsia="Times New Roman" w:hint="default"/>
          <w:sz w:val="18"/>
          <w:szCs w:val="18"/>
        </w:rPr>
        <w:t>9-12</w:t>
      </w:r>
      <w:r>
        <w:rPr>
          <w:rFonts w:ascii="宋体" w:hAnsi="宋体" w:cs="宋体" w:eastAsia="宋体" w:hint="default"/>
          <w:sz w:val="18"/>
          <w:szCs w:val="18"/>
        </w:rPr>
        <w:t>月的现金流。扣除这个因素的影响，电 </w:t>
      </w:r>
      <w:r>
        <w:rPr>
          <w:rFonts w:ascii="宋体" w:hAnsi="宋体" w:cs="宋体" w:eastAsia="宋体" w:hint="default"/>
          <w:spacing w:val="-4"/>
          <w:sz w:val="18"/>
          <w:szCs w:val="18"/>
        </w:rPr>
        <w:t>力板块的原合并主体的经营活动现金流入未发生重大变化，与上年同期基本持平。而银川卧龙和星波通信</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年度销售商品、</w:t>
      </w:r>
      <w:r>
        <w:rPr>
          <w:rFonts w:ascii="宋体" w:hAnsi="宋体" w:cs="宋体" w:eastAsia="宋体" w:hint="default"/>
          <w:spacing w:val="-35"/>
          <w:sz w:val="18"/>
          <w:szCs w:val="18"/>
        </w:rPr>
        <w:t> </w:t>
      </w:r>
      <w:r>
        <w:rPr>
          <w:rFonts w:ascii="宋体" w:hAnsi="宋体" w:cs="宋体" w:eastAsia="宋体" w:hint="default"/>
          <w:sz w:val="18"/>
          <w:szCs w:val="18"/>
        </w:rPr>
        <w:t>提供劳务收到现金较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年度略有增长。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报告期，经营活动现金流出较上年同期增长了</w:t>
      </w:r>
      <w:r>
        <w:rPr>
          <w:rFonts w:ascii="Times New Roman" w:hAnsi="Times New Roman" w:cs="Times New Roman" w:eastAsia="Times New Roman" w:hint="default"/>
          <w:sz w:val="18"/>
          <w:szCs w:val="18"/>
        </w:rPr>
        <w:t>94.66%</w:t>
      </w:r>
      <w:r>
        <w:rPr>
          <w:rFonts w:ascii="宋体" w:hAnsi="宋体" w:cs="宋体" w:eastAsia="宋体" w:hint="default"/>
          <w:sz w:val="18"/>
          <w:szCs w:val="18"/>
        </w:rPr>
        <w:t>，增加了</w:t>
      </w:r>
      <w:r>
        <w:rPr>
          <w:rFonts w:ascii="Times New Roman" w:hAnsi="Times New Roman" w:cs="Times New Roman" w:eastAsia="Times New Roman" w:hint="default"/>
          <w:sz w:val="18"/>
          <w:szCs w:val="18"/>
        </w:rPr>
        <w:t>54,650.36</w:t>
      </w:r>
      <w:r>
        <w:rPr>
          <w:rFonts w:ascii="宋体" w:hAnsi="宋体" w:cs="宋体" w:eastAsia="宋体" w:hint="default"/>
          <w:sz w:val="18"/>
          <w:szCs w:val="18"/>
        </w:rPr>
        <w:t>万元。主要是购买商品、接受劳务支付的现金较上 年同期增加了</w:t>
      </w:r>
      <w:r>
        <w:rPr>
          <w:rFonts w:ascii="Times New Roman" w:hAnsi="Times New Roman" w:cs="Times New Roman" w:eastAsia="Times New Roman" w:hint="default"/>
          <w:sz w:val="18"/>
          <w:szCs w:val="18"/>
        </w:rPr>
        <w:t>32,476.17</w:t>
      </w:r>
      <w:r>
        <w:rPr>
          <w:rFonts w:ascii="宋体" w:hAnsi="宋体" w:cs="宋体" w:eastAsia="宋体" w:hint="default"/>
          <w:sz w:val="18"/>
          <w:szCs w:val="18"/>
        </w:rPr>
        <w:t>万元，支付的各项税费较上年同期增加了</w:t>
      </w:r>
      <w:r>
        <w:rPr>
          <w:rFonts w:ascii="Times New Roman" w:hAnsi="Times New Roman" w:cs="Times New Roman" w:eastAsia="Times New Roman" w:hint="default"/>
          <w:sz w:val="18"/>
          <w:szCs w:val="18"/>
        </w:rPr>
        <w:t>7,898.17</w:t>
      </w:r>
      <w:r>
        <w:rPr>
          <w:rFonts w:ascii="宋体" w:hAnsi="宋体" w:cs="宋体" w:eastAsia="宋体" w:hint="default"/>
          <w:sz w:val="18"/>
          <w:szCs w:val="18"/>
        </w:rPr>
        <w:t>万元，</w:t>
      </w:r>
      <w:r>
        <w:rPr>
          <w:rFonts w:ascii="宋体" w:hAnsi="宋体" w:cs="宋体" w:eastAsia="宋体" w:hint="default"/>
          <w:spacing w:val="-61"/>
          <w:sz w:val="18"/>
          <w:szCs w:val="18"/>
        </w:rPr>
        <w:t> </w:t>
      </w:r>
      <w:r>
        <w:rPr>
          <w:rFonts w:ascii="宋体" w:hAnsi="宋体" w:cs="宋体" w:eastAsia="宋体" w:hint="default"/>
          <w:sz w:val="18"/>
          <w:szCs w:val="18"/>
        </w:rPr>
        <w:t>支付其他与经营活动有关的现金较上年同期</w:t>
      </w:r>
      <w:r>
        <w:rPr>
          <w:rFonts w:ascii="宋体" w:hAnsi="宋体" w:cs="宋体" w:eastAsia="宋体" w:hint="default"/>
          <w:sz w:val="18"/>
          <w:szCs w:val="18"/>
        </w:rPr>
        <w:t> 增加了</w:t>
      </w:r>
      <w:r>
        <w:rPr>
          <w:rFonts w:ascii="Times New Roman" w:hAnsi="Times New Roman" w:cs="Times New Roman" w:eastAsia="Times New Roman" w:hint="default"/>
          <w:sz w:val="18"/>
          <w:szCs w:val="18"/>
        </w:rPr>
        <w:t>9,113.33</w:t>
      </w:r>
      <w:r>
        <w:rPr>
          <w:rFonts w:ascii="宋体" w:hAnsi="宋体" w:cs="宋体" w:eastAsia="宋体" w:hint="default"/>
          <w:sz w:val="18"/>
          <w:szCs w:val="18"/>
        </w:rPr>
        <w:t>万元。以上变动主要是受银川卧龙和星波通信合并因素的影响；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年公司纳入了银川卧龙和星波通信</w:t>
      </w:r>
      <w:r>
        <w:rPr>
          <w:rFonts w:ascii="Times New Roman" w:hAnsi="Times New Roman" w:cs="Times New Roman" w:eastAsia="Times New Roman" w:hint="default"/>
          <w:sz w:val="18"/>
          <w:szCs w:val="18"/>
        </w:rPr>
        <w:t>1-12 </w:t>
      </w:r>
      <w:r>
        <w:rPr>
          <w:rFonts w:ascii="宋体" w:hAnsi="宋体" w:cs="宋体" w:eastAsia="宋体" w:hint="default"/>
          <w:sz w:val="18"/>
          <w:szCs w:val="18"/>
        </w:rPr>
        <w:t>月全年的现金流；</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年则仅纳入了</w:t>
      </w:r>
      <w:r>
        <w:rPr>
          <w:rFonts w:ascii="Times New Roman" w:hAnsi="Times New Roman" w:cs="Times New Roman" w:eastAsia="Times New Roman" w:hint="default"/>
          <w:sz w:val="18"/>
          <w:szCs w:val="18"/>
        </w:rPr>
        <w:t>9-12</w:t>
      </w:r>
      <w:r>
        <w:rPr>
          <w:rFonts w:ascii="宋体" w:hAnsi="宋体" w:cs="宋体" w:eastAsia="宋体" w:hint="default"/>
          <w:sz w:val="18"/>
          <w:szCs w:val="18"/>
        </w:rPr>
        <w:t>月的现金流。扣除银川卧龙和星波通信的影响，经营活动现金流出较上年同期增加 </w:t>
      </w:r>
      <w:r>
        <w:rPr>
          <w:rFonts w:ascii="宋体" w:hAnsi="宋体" w:cs="宋体" w:eastAsia="宋体" w:hint="default"/>
          <w:spacing w:val="-2"/>
          <w:sz w:val="18"/>
          <w:szCs w:val="18"/>
        </w:rPr>
        <w:t>了</w:t>
      </w:r>
      <w:r>
        <w:rPr>
          <w:rFonts w:ascii="Times New Roman" w:hAnsi="Times New Roman" w:cs="Times New Roman" w:eastAsia="Times New Roman" w:hint="default"/>
          <w:spacing w:val="-2"/>
          <w:sz w:val="18"/>
          <w:szCs w:val="18"/>
        </w:rPr>
        <w:t>13,993.26</w:t>
      </w:r>
      <w:r>
        <w:rPr>
          <w:rFonts w:ascii="宋体" w:hAnsi="宋体" w:cs="宋体" w:eastAsia="宋体" w:hint="default"/>
          <w:spacing w:val="-2"/>
          <w:sz w:val="18"/>
          <w:szCs w:val="18"/>
        </w:rPr>
        <w:t>万元，主要是电力板块的原合并主体的购买商品购买商品、接受劳务支付的现金较上年同期增加了</w:t>
      </w:r>
      <w:r>
        <w:rPr>
          <w:rFonts w:ascii="Times New Roman" w:hAnsi="Times New Roman" w:cs="Times New Roman" w:eastAsia="Times New Roman" w:hint="default"/>
          <w:spacing w:val="-2"/>
          <w:sz w:val="18"/>
          <w:szCs w:val="18"/>
        </w:rPr>
        <w:t>12,597.5</w:t>
      </w:r>
      <w:r>
        <w:rPr>
          <w:rFonts w:ascii="宋体" w:hAnsi="宋体" w:cs="宋体" w:eastAsia="宋体" w:hint="default"/>
          <w:spacing w:val="-2"/>
          <w:sz w:val="18"/>
          <w:szCs w:val="18"/>
        </w:rPr>
        <w:t>万元，</w:t>
      </w:r>
      <w:r>
        <w:rPr>
          <w:rFonts w:ascii="宋体" w:hAnsi="宋体" w:cs="宋体" w:eastAsia="宋体" w:hint="default"/>
          <w:spacing w:val="-48"/>
          <w:sz w:val="18"/>
          <w:szCs w:val="18"/>
        </w:rPr>
        <w:t> </w:t>
      </w:r>
      <w:r>
        <w:rPr>
          <w:rFonts w:ascii="宋体" w:hAnsi="宋体" w:cs="宋体" w:eastAsia="宋体" w:hint="default"/>
          <w:spacing w:val="-2"/>
          <w:sz w:val="18"/>
          <w:szCs w:val="18"/>
        </w:rPr>
        <w:t>主要是由于电力板块的原合并主体</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年因销售收入大幅增长相应的采购大幅增加导致的。而银川卧龙和星波通信</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年购</w:t>
      </w:r>
      <w:r>
        <w:rPr>
          <w:rFonts w:ascii="宋体" w:hAnsi="宋体" w:cs="宋体" w:eastAsia="宋体" w:hint="default"/>
          <w:spacing w:val="-56"/>
          <w:sz w:val="18"/>
          <w:szCs w:val="18"/>
        </w:rPr>
        <w:t> </w:t>
      </w:r>
      <w:r>
        <w:rPr>
          <w:rFonts w:ascii="宋体" w:hAnsi="宋体" w:cs="宋体" w:eastAsia="宋体" w:hint="default"/>
          <w:sz w:val="18"/>
          <w:szCs w:val="18"/>
        </w:rPr>
        <w:t>买商品、接受劳务支付的现金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年度略有增长。 </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报告期，投资活动现金流入较上年同期增加</w:t>
      </w:r>
      <w:r>
        <w:rPr>
          <w:rFonts w:ascii="Times New Roman" w:hAnsi="Times New Roman" w:cs="Times New Roman" w:eastAsia="Times New Roman" w:hint="default"/>
          <w:sz w:val="18"/>
          <w:szCs w:val="18"/>
        </w:rPr>
        <w:t>709.41</w:t>
      </w:r>
      <w:r>
        <w:rPr>
          <w:rFonts w:ascii="宋体" w:hAnsi="宋体" w:cs="宋体" w:eastAsia="宋体" w:hint="default"/>
          <w:sz w:val="18"/>
          <w:szCs w:val="18"/>
        </w:rPr>
        <w:t>万元。其主要是</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年子公司浙江涵普收到旧厂房处置的政府赔偿款。</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7" w:lineRule="auto" w:before="44"/>
        <w:ind w:left="154"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报告期，投资活动现金流出较上年同期增长</w:t>
      </w:r>
      <w:r>
        <w:rPr>
          <w:rFonts w:ascii="Times New Roman" w:hAnsi="Times New Roman" w:cs="Times New Roman" w:eastAsia="Times New Roman" w:hint="default"/>
          <w:sz w:val="18"/>
          <w:szCs w:val="18"/>
        </w:rPr>
        <w:t>1,783.93%</w:t>
      </w:r>
      <w:r>
        <w:rPr>
          <w:rFonts w:ascii="宋体" w:hAnsi="宋体" w:cs="宋体" w:eastAsia="宋体" w:hint="default"/>
          <w:sz w:val="18"/>
          <w:szCs w:val="18"/>
        </w:rPr>
        <w:t>，增加了</w:t>
      </w:r>
      <w:r>
        <w:rPr>
          <w:rFonts w:ascii="Times New Roman" w:hAnsi="Times New Roman" w:cs="Times New Roman" w:eastAsia="Times New Roman" w:hint="default"/>
          <w:sz w:val="18"/>
          <w:szCs w:val="18"/>
        </w:rPr>
        <w:t>76,592.87</w:t>
      </w:r>
      <w:r>
        <w:rPr>
          <w:rFonts w:ascii="宋体" w:hAnsi="宋体" w:cs="宋体" w:eastAsia="宋体" w:hint="default"/>
          <w:sz w:val="18"/>
          <w:szCs w:val="18"/>
        </w:rPr>
        <w:t>万元。主要报告期增加了收购银川卧龙和星波通 </w:t>
      </w:r>
      <w:r>
        <w:rPr>
          <w:rFonts w:ascii="宋体" w:hAnsi="宋体" w:cs="宋体" w:eastAsia="宋体" w:hint="default"/>
          <w:spacing w:val="-2"/>
          <w:sz w:val="18"/>
          <w:szCs w:val="18"/>
        </w:rPr>
        <w:t>信支付现金对价款</w:t>
      </w:r>
      <w:r>
        <w:rPr>
          <w:rFonts w:ascii="Times New Roman" w:hAnsi="Times New Roman" w:cs="Times New Roman" w:eastAsia="Times New Roman" w:hint="default"/>
          <w:spacing w:val="-2"/>
          <w:sz w:val="18"/>
          <w:szCs w:val="18"/>
        </w:rPr>
        <w:t>46,260.42</w:t>
      </w:r>
      <w:r>
        <w:rPr>
          <w:rFonts w:ascii="宋体" w:hAnsi="宋体" w:cs="宋体" w:eastAsia="宋体" w:hint="default"/>
          <w:spacing w:val="-2"/>
          <w:sz w:val="18"/>
          <w:szCs w:val="18"/>
        </w:rPr>
        <w:t>万元和购建固定资产无形资产长期资产的支付的现金增加了</w:t>
      </w:r>
      <w:r>
        <w:rPr>
          <w:rFonts w:ascii="Times New Roman" w:hAnsi="Times New Roman" w:cs="Times New Roman" w:eastAsia="Times New Roman" w:hint="default"/>
          <w:spacing w:val="-2"/>
          <w:sz w:val="18"/>
          <w:szCs w:val="18"/>
        </w:rPr>
        <w:t>31,904.64</w:t>
      </w:r>
      <w:r>
        <w:rPr>
          <w:rFonts w:ascii="宋体" w:hAnsi="宋体" w:cs="宋体" w:eastAsia="宋体" w:hint="default"/>
          <w:spacing w:val="-2"/>
          <w:sz w:val="18"/>
          <w:szCs w:val="18"/>
        </w:rPr>
        <w:t>万元。报告期增加的购建固</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定资产无形资产长期资产的支付的现金主要包括中宁新能源建设中宁风电项目的工程款和设备款、星波通信新厂房建设的工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程款和设备款、浙江涵普新厂房建设的工程款以及母公司采购的生产及研发设备款。 </w:t>
      </w:r>
      <w:r>
        <w:rPr>
          <w:rFonts w:ascii="Times New Roman" w:hAnsi="Times New Roman" w:cs="Times New Roman" w:eastAsia="Times New Roman" w:hint="default"/>
          <w:sz w:val="18"/>
          <w:szCs w:val="18"/>
        </w:rPr>
        <w:t>5.</w:t>
      </w:r>
      <w:r>
        <w:rPr>
          <w:rFonts w:ascii="宋体" w:hAnsi="宋体" w:cs="宋体" w:eastAsia="宋体" w:hint="default"/>
          <w:sz w:val="18"/>
          <w:szCs w:val="18"/>
        </w:rPr>
        <w:t>报告期，筹资活动现金流入较上年同期增长了</w:t>
      </w:r>
      <w:r>
        <w:rPr>
          <w:rFonts w:ascii="Times New Roman" w:hAnsi="Times New Roman" w:cs="Times New Roman" w:eastAsia="Times New Roman" w:hint="default"/>
          <w:sz w:val="18"/>
          <w:szCs w:val="18"/>
        </w:rPr>
        <w:t>2,448.16%</w:t>
      </w:r>
      <w:r>
        <w:rPr>
          <w:rFonts w:ascii="宋体" w:hAnsi="宋体" w:cs="宋体" w:eastAsia="宋体" w:hint="default"/>
          <w:sz w:val="18"/>
          <w:szCs w:val="18"/>
        </w:rPr>
        <w:t>，增加了</w:t>
      </w:r>
      <w:r>
        <w:rPr>
          <w:rFonts w:ascii="Times New Roman" w:hAnsi="Times New Roman" w:cs="Times New Roman" w:eastAsia="Times New Roman" w:hint="default"/>
          <w:sz w:val="18"/>
          <w:szCs w:val="18"/>
        </w:rPr>
        <w:t>79,113.05</w:t>
      </w:r>
      <w:r>
        <w:rPr>
          <w:rFonts w:ascii="宋体" w:hAnsi="宋体" w:cs="宋体" w:eastAsia="宋体" w:hint="default"/>
          <w:sz w:val="18"/>
          <w:szCs w:val="18"/>
        </w:rPr>
        <w:t>万元。主要是报告期增加了收购银川卧龙和星 波通信支付现金对价的并购贷款</w:t>
      </w:r>
      <w:r>
        <w:rPr>
          <w:rFonts w:ascii="Times New Roman" w:hAnsi="Times New Roman" w:cs="Times New Roman" w:eastAsia="Times New Roman" w:hint="default"/>
          <w:sz w:val="18"/>
          <w:szCs w:val="18"/>
        </w:rPr>
        <w:t>3</w:t>
      </w:r>
      <w:r>
        <w:rPr>
          <w:rFonts w:ascii="宋体" w:hAnsi="宋体" w:cs="宋体" w:eastAsia="宋体" w:hint="default"/>
          <w:sz w:val="18"/>
          <w:szCs w:val="18"/>
        </w:rPr>
        <w:t>亿元以及生产经营所需的流动贷款</w:t>
      </w:r>
      <w:r>
        <w:rPr>
          <w:rFonts w:ascii="Times New Roman" w:hAnsi="Times New Roman" w:cs="Times New Roman" w:eastAsia="Times New Roman" w:hint="default"/>
          <w:sz w:val="18"/>
          <w:szCs w:val="18"/>
        </w:rPr>
        <w:t>5.2</w:t>
      </w:r>
      <w:r>
        <w:rPr>
          <w:rFonts w:ascii="宋体" w:hAnsi="宋体" w:cs="宋体" w:eastAsia="宋体" w:hint="default"/>
          <w:sz w:val="18"/>
          <w:szCs w:val="18"/>
        </w:rPr>
        <w:t>亿。 </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报告期，筹资活动现金流出较上年同期增长了</w:t>
      </w:r>
      <w:r>
        <w:rPr>
          <w:rFonts w:ascii="Times New Roman" w:hAnsi="Times New Roman" w:cs="Times New Roman" w:eastAsia="Times New Roman" w:hint="default"/>
          <w:spacing w:val="-1"/>
          <w:sz w:val="18"/>
          <w:szCs w:val="18"/>
        </w:rPr>
        <w:t>52.75%</w:t>
      </w:r>
      <w:r>
        <w:rPr>
          <w:rFonts w:ascii="宋体" w:hAnsi="宋体" w:cs="宋体" w:eastAsia="宋体" w:hint="default"/>
          <w:spacing w:val="-1"/>
          <w:sz w:val="18"/>
          <w:szCs w:val="18"/>
        </w:rPr>
        <w:t>，增加了</w:t>
      </w:r>
      <w:r>
        <w:rPr>
          <w:rFonts w:ascii="Times New Roman" w:hAnsi="Times New Roman" w:cs="Times New Roman" w:eastAsia="Times New Roman" w:hint="default"/>
          <w:spacing w:val="-1"/>
          <w:sz w:val="18"/>
          <w:szCs w:val="18"/>
        </w:rPr>
        <w:t>10,721.56</w:t>
      </w:r>
      <w:r>
        <w:rPr>
          <w:rFonts w:ascii="宋体" w:hAnsi="宋体" w:cs="宋体" w:eastAsia="宋体" w:hint="default"/>
          <w:spacing w:val="-1"/>
          <w:sz w:val="18"/>
          <w:szCs w:val="18"/>
        </w:rPr>
        <w:t>万元。主要偿还债务支付的现金较上年同期增加了</w:t>
      </w:r>
    </w:p>
    <w:p>
      <w:pPr>
        <w:spacing w:line="300" w:lineRule="auto" w:before="7"/>
        <w:ind w:left="154" w:right="1132"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17,245.27</w:t>
      </w:r>
      <w:r>
        <w:rPr>
          <w:rFonts w:ascii="宋体" w:hAnsi="宋体" w:cs="宋体" w:eastAsia="宋体" w:hint="default"/>
          <w:spacing w:val="-2"/>
          <w:sz w:val="18"/>
          <w:szCs w:val="18"/>
        </w:rPr>
        <w:t>万元，分配股利、利润或偿付利息支付的现金较上年同期增加了</w:t>
      </w:r>
      <w:r>
        <w:rPr>
          <w:rFonts w:ascii="Times New Roman" w:hAnsi="Times New Roman" w:cs="Times New Roman" w:eastAsia="Times New Roman" w:hint="default"/>
          <w:spacing w:val="-2"/>
          <w:sz w:val="18"/>
          <w:szCs w:val="18"/>
        </w:rPr>
        <w:t>4,125.30</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万元以及支付其他与筹资活动有关的现金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较上年同期减少了</w:t>
      </w:r>
      <w:r>
        <w:rPr>
          <w:rFonts w:ascii="Times New Roman" w:hAnsi="Times New Roman" w:cs="Times New Roman" w:eastAsia="Times New Roman" w:hint="default"/>
          <w:spacing w:val="-1"/>
          <w:sz w:val="18"/>
          <w:szCs w:val="18"/>
        </w:rPr>
        <w:t>10649.01</w:t>
      </w:r>
      <w:r>
        <w:rPr>
          <w:rFonts w:ascii="宋体" w:hAnsi="宋体" w:cs="宋体" w:eastAsia="宋体" w:hint="default"/>
          <w:spacing w:val="-1"/>
          <w:sz w:val="18"/>
          <w:szCs w:val="18"/>
        </w:rPr>
        <w:t>万元。支付其他与筹资活动有关的现金减少主要是由于上年同期公司退回了重大资产重组收取的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投资者的保证金以及支付了与发行股份相关的中介机构的服务费，而报告期未未发生。</w:t>
      </w:r>
    </w:p>
    <w:p>
      <w:pPr>
        <w:spacing w:before="72"/>
        <w:ind w:left="154" w:right="81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28" w:lineRule="auto" w:before="117"/>
        <w:ind w:left="154" w:right="1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报告期内公司经营活动产生的现金净流量与本年度净利润存在差异的主要原因是经营性应收项目的减少和经营性应付项目 的增加。报告期内经营性应收项目增加</w:t>
      </w:r>
      <w:r>
        <w:rPr>
          <w:rFonts w:ascii="Times New Roman" w:hAnsi="Times New Roman" w:cs="Times New Roman" w:eastAsia="Times New Roman" w:hint="default"/>
          <w:sz w:val="18"/>
          <w:szCs w:val="18"/>
        </w:rPr>
        <w:t>35,681.06</w:t>
      </w:r>
      <w:r>
        <w:rPr>
          <w:rFonts w:ascii="宋体" w:hAnsi="宋体" w:cs="宋体" w:eastAsia="宋体" w:hint="default"/>
          <w:sz w:val="18"/>
          <w:szCs w:val="18"/>
        </w:rPr>
        <w:t>万元；经营性应付项目增加了</w:t>
      </w:r>
      <w:r>
        <w:rPr>
          <w:rFonts w:ascii="Times New Roman" w:hAnsi="Times New Roman" w:cs="Times New Roman" w:eastAsia="Times New Roman" w:hint="default"/>
          <w:sz w:val="18"/>
          <w:szCs w:val="18"/>
        </w:rPr>
        <w:t>10,678.23</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2"/>
        <w:spacing w:line="240" w:lineRule="auto"/>
        <w:ind w:right="817"/>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47,784,899.24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主要是应收账款坏账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1,190,771.42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主要是债务重组利得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420,392.15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32,786,757.10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817"/>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pacing w:val="-2"/>
                <w:sz w:val="18"/>
              </w:rPr>
              <w:t>311,118,247.11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539,543,984.07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1,098,024,109.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665,695,754.28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20.85%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9.19%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234,032,834.4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170,113,937.06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29,013,067.33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13,985,085.11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210,073,309.2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226,807,394.29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240,225,721.5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报告期末的在建工程主要为中宁新 能源正在投资建设的风电项目。</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435,445,795.7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227,218,695.5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013"/>
        <w:gridCol w:w="3669"/>
        <w:gridCol w:w="3032"/>
      </w:tblGrid>
      <w:tr>
        <w:trPr>
          <w:trHeight w:val="427" w:hRule="exact"/>
        </w:trPr>
        <w:tc>
          <w:tcPr>
            <w:tcW w:w="3013" w:type="dxa"/>
            <w:tcBorders>
              <w:top w:val="single" w:sz="6" w:space="0" w:color="000000"/>
              <w:left w:val="nil" w:sz="6" w:space="0" w:color="auto"/>
              <w:bottom w:val="single" w:sz="6" w:space="0" w:color="000000"/>
              <w:right w:val="nil" w:sz="6" w:space="0" w:color="auto"/>
            </w:tcBorders>
          </w:tcPr>
          <w:p>
            <w:pPr>
              <w:pStyle w:val="TableParagraph"/>
              <w:tabs>
                <w:tab w:pos="469" w:val="left" w:leader="none"/>
              </w:tabs>
              <w:spacing w:line="240" w:lineRule="auto" w:before="12"/>
              <w:ind w:left="24"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669"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140"/>
              <w:jc w:val="right"/>
              <w:rPr>
                <w:rFonts w:ascii="宋体" w:hAnsi="宋体" w:cs="宋体" w:eastAsia="宋体" w:hint="default"/>
                <w:sz w:val="24"/>
                <w:szCs w:val="24"/>
              </w:rPr>
            </w:pPr>
            <w:r>
              <w:rPr>
                <w:rFonts w:ascii="宋体" w:hAnsi="宋体" w:cs="宋体" w:eastAsia="宋体" w:hint="default"/>
                <w:b/>
                <w:bCs/>
                <w:w w:val="95"/>
                <w:sz w:val="24"/>
                <w:szCs w:val="24"/>
              </w:rPr>
              <w:t>期末账面价值</w:t>
            </w:r>
            <w:r>
              <w:rPr>
                <w:rFonts w:ascii="宋体" w:hAnsi="宋体" w:cs="宋体" w:eastAsia="宋体" w:hint="default"/>
                <w:sz w:val="24"/>
                <w:szCs w:val="24"/>
              </w:rPr>
            </w:r>
          </w:p>
        </w:tc>
        <w:tc>
          <w:tcPr>
            <w:tcW w:w="3032"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7"/>
              <w:jc w:val="right"/>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427" w:hRule="exact"/>
        </w:trPr>
        <w:tc>
          <w:tcPr>
            <w:tcW w:w="3013"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669" w:type="dxa"/>
            <w:tcBorders>
              <w:top w:val="single" w:sz="6" w:space="0" w:color="000000"/>
              <w:left w:val="nil" w:sz="6" w:space="0" w:color="auto"/>
              <w:bottom w:val="single" w:sz="6" w:space="0" w:color="000000"/>
              <w:right w:val="nil" w:sz="6" w:space="0" w:color="auto"/>
            </w:tcBorders>
          </w:tcPr>
          <w:p>
            <w:pPr>
              <w:pStyle w:val="TableParagraph"/>
              <w:spacing w:line="240" w:lineRule="auto" w:before="68"/>
              <w:ind w:right="138"/>
              <w:jc w:val="right"/>
              <w:rPr>
                <w:rFonts w:ascii="Times New Roman" w:hAnsi="Times New Roman" w:cs="Times New Roman" w:eastAsia="Times New Roman" w:hint="default"/>
                <w:sz w:val="24"/>
                <w:szCs w:val="24"/>
              </w:rPr>
            </w:pPr>
            <w:r>
              <w:rPr>
                <w:rFonts w:ascii="Times New Roman"/>
                <w:sz w:val="24"/>
              </w:rPr>
              <w:t>41,379,036.61</w:t>
            </w:r>
          </w:p>
        </w:tc>
        <w:tc>
          <w:tcPr>
            <w:tcW w:w="3032"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8"/>
              <w:jc w:val="right"/>
              <w:rPr>
                <w:rFonts w:ascii="宋体" w:hAnsi="宋体" w:cs="宋体" w:eastAsia="宋体" w:hint="default"/>
                <w:sz w:val="24"/>
                <w:szCs w:val="24"/>
              </w:rPr>
            </w:pPr>
            <w:r>
              <w:rPr>
                <w:rFonts w:ascii="宋体" w:hAnsi="宋体" w:cs="宋体" w:eastAsia="宋体" w:hint="default"/>
                <w:sz w:val="24"/>
                <w:szCs w:val="24"/>
              </w:rPr>
              <w:t>保函</w:t>
            </w:r>
            <w:r>
              <w:rPr>
                <w:rFonts w:ascii="Times New Roman" w:hAnsi="Times New Roman" w:cs="Times New Roman" w:eastAsia="Times New Roman" w:hint="default"/>
                <w:sz w:val="24"/>
                <w:szCs w:val="24"/>
              </w:rPr>
              <w:t>\</w:t>
            </w:r>
            <w:r>
              <w:rPr>
                <w:rFonts w:ascii="宋体" w:hAnsi="宋体" w:cs="宋体" w:eastAsia="宋体" w:hint="default"/>
                <w:sz w:val="24"/>
                <w:szCs w:val="24"/>
              </w:rPr>
              <w:t>票据保证</w:t>
            </w:r>
          </w:p>
        </w:tc>
      </w:tr>
      <w:tr>
        <w:trPr>
          <w:trHeight w:val="427" w:hRule="exact"/>
        </w:trPr>
        <w:tc>
          <w:tcPr>
            <w:tcW w:w="3013"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3669" w:type="dxa"/>
            <w:tcBorders>
              <w:top w:val="single" w:sz="6" w:space="0" w:color="000000"/>
              <w:left w:val="nil" w:sz="6" w:space="0" w:color="auto"/>
              <w:bottom w:val="single" w:sz="6" w:space="0" w:color="000000"/>
              <w:right w:val="nil" w:sz="6" w:space="0" w:color="auto"/>
            </w:tcBorders>
          </w:tcPr>
          <w:p>
            <w:pPr>
              <w:pStyle w:val="TableParagraph"/>
              <w:spacing w:line="240" w:lineRule="auto" w:before="68"/>
              <w:ind w:right="138"/>
              <w:jc w:val="right"/>
              <w:rPr>
                <w:rFonts w:ascii="Times New Roman" w:hAnsi="Times New Roman" w:cs="Times New Roman" w:eastAsia="Times New Roman" w:hint="default"/>
                <w:sz w:val="24"/>
                <w:szCs w:val="24"/>
              </w:rPr>
            </w:pPr>
            <w:r>
              <w:rPr>
                <w:rFonts w:ascii="Times New Roman"/>
                <w:sz w:val="24"/>
              </w:rPr>
              <w:t>2,695,600.00</w:t>
            </w:r>
          </w:p>
        </w:tc>
        <w:tc>
          <w:tcPr>
            <w:tcW w:w="3032"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9"/>
              <w:jc w:val="right"/>
              <w:rPr>
                <w:rFonts w:ascii="宋体" w:hAnsi="宋体" w:cs="宋体" w:eastAsia="宋体" w:hint="default"/>
                <w:sz w:val="24"/>
                <w:szCs w:val="24"/>
              </w:rPr>
            </w:pPr>
            <w:r>
              <w:rPr>
                <w:rFonts w:ascii="宋体" w:hAnsi="宋体" w:cs="宋体" w:eastAsia="宋体" w:hint="default"/>
                <w:sz w:val="24"/>
                <w:szCs w:val="24"/>
              </w:rPr>
              <w:t>票据质押开具银行承兑汇票</w:t>
            </w:r>
          </w:p>
        </w:tc>
      </w:tr>
      <w:tr>
        <w:trPr>
          <w:trHeight w:val="427" w:hRule="exact"/>
        </w:trPr>
        <w:tc>
          <w:tcPr>
            <w:tcW w:w="3013"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left="24"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669" w:type="dxa"/>
            <w:tcBorders>
              <w:top w:val="single" w:sz="6" w:space="0" w:color="000000"/>
              <w:left w:val="nil" w:sz="6" w:space="0" w:color="auto"/>
              <w:bottom w:val="single" w:sz="6" w:space="0" w:color="000000"/>
              <w:right w:val="nil" w:sz="6" w:space="0" w:color="auto"/>
            </w:tcBorders>
          </w:tcPr>
          <w:p>
            <w:pPr>
              <w:pStyle w:val="TableParagraph"/>
              <w:spacing w:line="240" w:lineRule="auto" w:before="68"/>
              <w:ind w:right="138"/>
              <w:jc w:val="right"/>
              <w:rPr>
                <w:rFonts w:ascii="Times New Roman" w:hAnsi="Times New Roman" w:cs="Times New Roman" w:eastAsia="Times New Roman" w:hint="default"/>
                <w:sz w:val="24"/>
                <w:szCs w:val="24"/>
              </w:rPr>
            </w:pPr>
            <w:r>
              <w:rPr>
                <w:rFonts w:ascii="Times New Roman"/>
                <w:sz w:val="24"/>
              </w:rPr>
              <w:t>106,336,675.73</w:t>
            </w:r>
          </w:p>
        </w:tc>
        <w:tc>
          <w:tcPr>
            <w:tcW w:w="3032"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8"/>
              <w:jc w:val="right"/>
              <w:rPr>
                <w:rFonts w:ascii="宋体" w:hAnsi="宋体" w:cs="宋体" w:eastAsia="宋体" w:hint="default"/>
                <w:sz w:val="24"/>
                <w:szCs w:val="24"/>
              </w:rPr>
            </w:pPr>
            <w:r>
              <w:rPr>
                <w:rFonts w:ascii="宋体" w:hAnsi="宋体" w:cs="宋体" w:eastAsia="宋体" w:hint="default"/>
                <w:sz w:val="24"/>
                <w:szCs w:val="24"/>
              </w:rPr>
              <w:t>金融机构借款抵押</w:t>
            </w:r>
          </w:p>
        </w:tc>
      </w:tr>
      <w:tr>
        <w:trPr>
          <w:trHeight w:val="428" w:hRule="exact"/>
        </w:trPr>
        <w:tc>
          <w:tcPr>
            <w:tcW w:w="3013"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left="24"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669" w:type="dxa"/>
            <w:tcBorders>
              <w:top w:val="single" w:sz="6" w:space="0" w:color="000000"/>
              <w:left w:val="nil" w:sz="6" w:space="0" w:color="auto"/>
              <w:bottom w:val="single" w:sz="6" w:space="0" w:color="000000"/>
              <w:right w:val="nil" w:sz="6" w:space="0" w:color="auto"/>
            </w:tcBorders>
          </w:tcPr>
          <w:p>
            <w:pPr>
              <w:pStyle w:val="TableParagraph"/>
              <w:spacing w:line="240" w:lineRule="auto" w:before="69"/>
              <w:ind w:right="138"/>
              <w:jc w:val="right"/>
              <w:rPr>
                <w:rFonts w:ascii="Times New Roman" w:hAnsi="Times New Roman" w:cs="Times New Roman" w:eastAsia="Times New Roman" w:hint="default"/>
                <w:sz w:val="24"/>
                <w:szCs w:val="24"/>
              </w:rPr>
            </w:pPr>
            <w:r>
              <w:rPr>
                <w:rFonts w:ascii="Times New Roman"/>
                <w:sz w:val="24"/>
              </w:rPr>
              <w:t>46,891,915.76</w:t>
            </w:r>
          </w:p>
        </w:tc>
        <w:tc>
          <w:tcPr>
            <w:tcW w:w="3032"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8"/>
              <w:jc w:val="right"/>
              <w:rPr>
                <w:rFonts w:ascii="宋体" w:hAnsi="宋体" w:cs="宋体" w:eastAsia="宋体" w:hint="default"/>
                <w:sz w:val="24"/>
                <w:szCs w:val="24"/>
              </w:rPr>
            </w:pPr>
            <w:r>
              <w:rPr>
                <w:rFonts w:ascii="宋体" w:hAnsi="宋体" w:cs="宋体" w:eastAsia="宋体" w:hint="default"/>
                <w:sz w:val="24"/>
                <w:szCs w:val="24"/>
              </w:rPr>
              <w:t>金融机构借款抵押</w:t>
            </w:r>
          </w:p>
        </w:tc>
      </w:tr>
      <w:tr>
        <w:trPr>
          <w:trHeight w:val="427" w:hRule="exact"/>
        </w:trPr>
        <w:tc>
          <w:tcPr>
            <w:tcW w:w="3013" w:type="dxa"/>
            <w:tcBorders>
              <w:top w:val="single" w:sz="6" w:space="0" w:color="000000"/>
              <w:left w:val="nil" w:sz="6" w:space="0" w:color="auto"/>
              <w:bottom w:val="single" w:sz="6" w:space="0" w:color="000000"/>
              <w:right w:val="nil" w:sz="6" w:space="0" w:color="auto"/>
            </w:tcBorders>
          </w:tcPr>
          <w:p>
            <w:pPr>
              <w:pStyle w:val="TableParagraph"/>
              <w:tabs>
                <w:tab w:pos="469" w:val="left" w:leader="none"/>
              </w:tabs>
              <w:spacing w:line="240" w:lineRule="auto" w:before="11"/>
              <w:ind w:left="24"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669" w:type="dxa"/>
            <w:tcBorders>
              <w:top w:val="single" w:sz="6" w:space="0" w:color="000000"/>
              <w:left w:val="nil" w:sz="6" w:space="0" w:color="auto"/>
              <w:bottom w:val="single" w:sz="6" w:space="0" w:color="000000"/>
              <w:right w:val="nil" w:sz="6" w:space="0" w:color="auto"/>
            </w:tcBorders>
          </w:tcPr>
          <w:p>
            <w:pPr>
              <w:pStyle w:val="TableParagraph"/>
              <w:spacing w:line="240" w:lineRule="auto" w:before="67"/>
              <w:ind w:right="138"/>
              <w:jc w:val="right"/>
              <w:rPr>
                <w:rFonts w:ascii="Times New Roman" w:hAnsi="Times New Roman" w:cs="Times New Roman" w:eastAsia="Times New Roman" w:hint="default"/>
                <w:sz w:val="24"/>
                <w:szCs w:val="24"/>
              </w:rPr>
            </w:pPr>
            <w:r>
              <w:rPr>
                <w:rFonts w:ascii="Times New Roman"/>
                <w:sz w:val="24"/>
              </w:rPr>
              <w:t>197,303,228.10</w:t>
            </w:r>
          </w:p>
        </w:tc>
        <w:tc>
          <w:tcPr>
            <w:tcW w:w="3032" w:type="dxa"/>
            <w:tcBorders>
              <w:top w:val="single" w:sz="6" w:space="0" w:color="000000"/>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817"/>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251,030,850.54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1,692,767,951.00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-85.17%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3"/>
        <w:gridCol w:w="782"/>
        <w:gridCol w:w="781"/>
        <w:gridCol w:w="716"/>
        <w:gridCol w:w="716"/>
        <w:gridCol w:w="716"/>
        <w:gridCol w:w="652"/>
        <w:gridCol w:w="652"/>
        <w:gridCol w:w="652"/>
        <w:gridCol w:w="652"/>
        <w:gridCol w:w="652"/>
        <w:gridCol w:w="640"/>
      </w:tblGrid>
      <w:tr>
        <w:trPr>
          <w:trHeight w:val="382"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5" w:right="0"/>
              <w:jc w:val="left"/>
              <w:rPr>
                <w:rFonts w:ascii="宋体" w:hAnsi="宋体" w:cs="宋体" w:eastAsia="宋体" w:hint="default"/>
                <w:sz w:val="18"/>
                <w:szCs w:val="18"/>
              </w:rPr>
            </w:pPr>
            <w:r>
              <w:rPr>
                <w:rFonts w:ascii="宋体" w:hAnsi="宋体" w:cs="宋体" w:eastAsia="宋体" w:hint="default"/>
                <w:sz w:val="18"/>
                <w:szCs w:val="18"/>
              </w:rPr>
              <w:t>是否为固</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5" w:right="0"/>
              <w:jc w:val="left"/>
              <w:rPr>
                <w:rFonts w:ascii="宋体" w:hAnsi="宋体" w:cs="宋体" w:eastAsia="宋体" w:hint="default"/>
                <w:sz w:val="18"/>
                <w:szCs w:val="18"/>
              </w:rPr>
            </w:pPr>
            <w:r>
              <w:rPr>
                <w:rFonts w:ascii="宋体" w:hAnsi="宋体" w:cs="宋体" w:eastAsia="宋体" w:hint="default"/>
                <w:sz w:val="18"/>
                <w:szCs w:val="18"/>
              </w:rPr>
              <w:t>投资项目</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2" w:right="0"/>
              <w:jc w:val="left"/>
              <w:rPr>
                <w:rFonts w:ascii="宋体" w:hAnsi="宋体" w:cs="宋体" w:eastAsia="宋体" w:hint="default"/>
                <w:sz w:val="18"/>
                <w:szCs w:val="18"/>
              </w:rPr>
            </w:pPr>
            <w:r>
              <w:rPr>
                <w:rFonts w:ascii="宋体" w:hAnsi="宋体" w:cs="宋体" w:eastAsia="宋体" w:hint="default"/>
                <w:sz w:val="18"/>
                <w:szCs w:val="18"/>
              </w:rPr>
              <w:t>本报告</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3" w:right="0"/>
              <w:jc w:val="left"/>
              <w:rPr>
                <w:rFonts w:ascii="宋体" w:hAnsi="宋体" w:cs="宋体" w:eastAsia="宋体" w:hint="default"/>
                <w:sz w:val="18"/>
                <w:szCs w:val="18"/>
              </w:rPr>
            </w:pPr>
            <w:r>
              <w:rPr>
                <w:rFonts w:ascii="宋体" w:hAnsi="宋体" w:cs="宋体" w:eastAsia="宋体" w:hint="default"/>
                <w:sz w:val="18"/>
                <w:szCs w:val="18"/>
              </w:rPr>
              <w:t>截至报</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3"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 w:right="0"/>
              <w:jc w:val="left"/>
              <w:rPr>
                <w:rFonts w:ascii="宋体" w:hAnsi="宋体" w:cs="宋体" w:eastAsia="宋体" w:hint="default"/>
                <w:sz w:val="18"/>
                <w:szCs w:val="18"/>
              </w:rPr>
            </w:pPr>
            <w:r>
              <w:rPr>
                <w:rFonts w:ascii="宋体" w:hAnsi="宋体" w:cs="宋体" w:eastAsia="宋体" w:hint="default"/>
                <w:sz w:val="18"/>
                <w:szCs w:val="18"/>
              </w:rPr>
              <w:t>项目进</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 w:right="0"/>
              <w:jc w:val="left"/>
              <w:rPr>
                <w:rFonts w:ascii="宋体" w:hAnsi="宋体" w:cs="宋体" w:eastAsia="宋体" w:hint="default"/>
                <w:sz w:val="18"/>
                <w:szCs w:val="18"/>
              </w:rPr>
            </w:pPr>
            <w:r>
              <w:rPr>
                <w:rFonts w:ascii="宋体" w:hAnsi="宋体" w:cs="宋体" w:eastAsia="宋体" w:hint="default"/>
                <w:sz w:val="18"/>
                <w:szCs w:val="18"/>
              </w:rPr>
              <w:t>预计收</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 w:right="0"/>
              <w:jc w:val="left"/>
              <w:rPr>
                <w:rFonts w:ascii="宋体" w:hAnsi="宋体" w:cs="宋体" w:eastAsia="宋体" w:hint="default"/>
                <w:sz w:val="18"/>
                <w:szCs w:val="18"/>
              </w:rPr>
            </w:pPr>
            <w:r>
              <w:rPr>
                <w:rFonts w:ascii="宋体" w:hAnsi="宋体" w:cs="宋体" w:eastAsia="宋体" w:hint="default"/>
                <w:sz w:val="18"/>
                <w:szCs w:val="18"/>
              </w:rPr>
              <w:t>未达到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4"/>
        <w:gridCol w:w="781"/>
        <w:gridCol w:w="781"/>
        <w:gridCol w:w="717"/>
        <w:gridCol w:w="716"/>
        <w:gridCol w:w="715"/>
        <w:gridCol w:w="653"/>
        <w:gridCol w:w="652"/>
        <w:gridCol w:w="652"/>
        <w:gridCol w:w="653"/>
        <w:gridCol w:w="652"/>
        <w:gridCol w:w="652"/>
      </w:tblGrid>
      <w:tr>
        <w:trPr>
          <w:trHeight w:val="1298"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24" w:hanging="270"/>
              <w:jc w:val="left"/>
              <w:rPr>
                <w:rFonts w:ascii="宋体" w:hAnsi="宋体" w:cs="宋体" w:eastAsia="宋体" w:hint="default"/>
                <w:sz w:val="18"/>
                <w:szCs w:val="18"/>
              </w:rPr>
            </w:pPr>
            <w:r>
              <w:rPr>
                <w:rFonts w:ascii="宋体" w:hAnsi="宋体" w:cs="宋体" w:eastAsia="宋体" w:hint="default"/>
                <w:sz w:val="18"/>
                <w:szCs w:val="18"/>
              </w:rPr>
              <w:t>定资产投 资</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涉及行业</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2" w:right="82" w:hanging="90"/>
              <w:jc w:val="left"/>
              <w:rPr>
                <w:rFonts w:ascii="宋体" w:hAnsi="宋体" w:cs="宋体" w:eastAsia="宋体" w:hint="default"/>
                <w:sz w:val="18"/>
                <w:szCs w:val="18"/>
              </w:rPr>
            </w:pPr>
            <w:r>
              <w:rPr>
                <w:rFonts w:ascii="宋体" w:hAnsi="宋体" w:cs="宋体" w:eastAsia="宋体" w:hint="default"/>
                <w:sz w:val="18"/>
                <w:szCs w:val="18"/>
              </w:rPr>
              <w:t>期投入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2" w:right="83"/>
              <w:jc w:val="both"/>
              <w:rPr>
                <w:rFonts w:ascii="宋体" w:hAnsi="宋体" w:cs="宋体" w:eastAsia="宋体" w:hint="default"/>
                <w:sz w:val="18"/>
                <w:szCs w:val="18"/>
              </w:rPr>
            </w:pPr>
            <w:r>
              <w:rPr>
                <w:rFonts w:ascii="宋体" w:hAnsi="宋体" w:cs="宋体" w:eastAsia="宋体" w:hint="default"/>
                <w:sz w:val="18"/>
                <w:szCs w:val="18"/>
              </w:rPr>
              <w:t>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62" w:right="0"/>
              <w:jc w:val="left"/>
              <w:rPr>
                <w:rFonts w:ascii="宋体" w:hAnsi="宋体" w:cs="宋体" w:eastAsia="宋体" w:hint="default"/>
                <w:sz w:val="18"/>
                <w:szCs w:val="18"/>
              </w:rPr>
            </w:pPr>
            <w:r>
              <w:rPr>
                <w:rFonts w:ascii="宋体" w:hAnsi="宋体" w:cs="宋体" w:eastAsia="宋体" w:hint="default"/>
                <w:sz w:val="18"/>
                <w:szCs w:val="18"/>
              </w:rPr>
              <w:t>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0" w:right="49"/>
              <w:jc w:val="center"/>
              <w:rPr>
                <w:rFonts w:ascii="宋体" w:hAnsi="宋体" w:cs="宋体" w:eastAsia="宋体" w:hint="default"/>
                <w:sz w:val="18"/>
                <w:szCs w:val="18"/>
              </w:rPr>
            </w:pPr>
            <w:r>
              <w:rPr>
                <w:rFonts w:ascii="宋体" w:hAnsi="宋体" w:cs="宋体" w:eastAsia="宋体" w:hint="default"/>
                <w:sz w:val="18"/>
                <w:szCs w:val="18"/>
              </w:rPr>
              <w:t>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0" w:right="50"/>
              <w:jc w:val="both"/>
              <w:rPr>
                <w:rFonts w:ascii="宋体" w:hAnsi="宋体" w:cs="宋体" w:eastAsia="宋体" w:hint="default"/>
                <w:sz w:val="18"/>
                <w:szCs w:val="18"/>
              </w:rPr>
            </w:pPr>
            <w:r>
              <w:rPr>
                <w:rFonts w:ascii="宋体" w:hAnsi="宋体" w:cs="宋体" w:eastAsia="宋体" w:hint="default"/>
                <w:sz w:val="18"/>
                <w:szCs w:val="18"/>
              </w:rPr>
              <w:t>计划进 度和预 计收益 的原因</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40" w:right="49" w:hanging="90"/>
              <w:jc w:val="left"/>
              <w:rPr>
                <w:rFonts w:ascii="宋体" w:hAnsi="宋体" w:cs="宋体" w:eastAsia="宋体" w:hint="default"/>
                <w:sz w:val="18"/>
                <w:szCs w:val="18"/>
              </w:rPr>
            </w:pPr>
            <w:r>
              <w:rPr>
                <w:rFonts w:ascii="宋体" w:hAnsi="宋体" w:cs="宋体" w:eastAsia="宋体" w:hint="default"/>
                <w:sz w:val="18"/>
                <w:szCs w:val="18"/>
              </w:rPr>
              <w:t>期（如 有）</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40" w:right="49" w:hanging="90"/>
              <w:jc w:val="left"/>
              <w:rPr>
                <w:rFonts w:ascii="宋体" w:hAnsi="宋体" w:cs="宋体" w:eastAsia="宋体" w:hint="default"/>
                <w:sz w:val="18"/>
                <w:szCs w:val="18"/>
              </w:rPr>
            </w:pPr>
            <w:r>
              <w:rPr>
                <w:rFonts w:ascii="宋体" w:hAnsi="宋体" w:cs="宋体" w:eastAsia="宋体" w:hint="default"/>
                <w:sz w:val="18"/>
                <w:szCs w:val="18"/>
              </w:rPr>
              <w:t>引（如 有）</w:t>
            </w:r>
          </w:p>
        </w:tc>
      </w:tr>
      <w:tr>
        <w:trPr>
          <w:trHeight w:val="1650"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8"/>
              <w:jc w:val="left"/>
              <w:rPr>
                <w:rFonts w:ascii="宋体" w:hAnsi="宋体" w:cs="宋体" w:eastAsia="宋体" w:hint="default"/>
                <w:sz w:val="18"/>
                <w:szCs w:val="18"/>
              </w:rPr>
            </w:pPr>
            <w:r>
              <w:rPr>
                <w:rFonts w:ascii="宋体" w:hAnsi="宋体" w:cs="宋体" w:eastAsia="宋体" w:hint="default"/>
                <w:sz w:val="18"/>
                <w:szCs w:val="18"/>
              </w:rPr>
              <w:t>中宁新堡风电 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89"/>
              <w:jc w:val="righ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078.65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078.65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0"/>
              <w:jc w:val="both"/>
              <w:rPr>
                <w:rFonts w:ascii="宋体" w:hAnsi="宋体" w:cs="宋体" w:eastAsia="宋体" w:hint="default"/>
                <w:sz w:val="18"/>
                <w:szCs w:val="18"/>
              </w:rPr>
            </w:pPr>
            <w:r>
              <w:rPr>
                <w:rFonts w:ascii="宋体" w:hAnsi="宋体" w:cs="宋体" w:eastAsia="宋体" w:hint="default"/>
                <w:sz w:val="18"/>
                <w:szCs w:val="18"/>
              </w:rPr>
              <w:t>自有资 金及借 款</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项目正 在进 行，尚 未投入 运营</w:t>
            </w:r>
          </w:p>
        </w:tc>
        <w:tc>
          <w:tcPr>
            <w:tcW w:w="652"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5"/>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078.65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078.65</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630,000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18,676.94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19,216.75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7,840.97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仿真试验 室募投项 目的保证 金尾款支 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18,676.94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19,216.75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7,840.97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41.98%</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16.33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号核准，并经深圳证券交易所同意，本公司由主承销商长江证券承销保 荐有限公司通过深圳证券交易所系统于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日采用全部向二级市场投资者定价配售方式，向社会公众公开发行</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日，本公司共募集资金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23,189.82</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18,676.94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万元。上述募集资金净额已经致同会计师事务所（特殊 </w:t>
            </w:r>
            <w:r>
              <w:rPr>
                <w:rFonts w:ascii="宋体" w:hAnsi="宋体" w:cs="宋体" w:eastAsia="宋体" w:hint="default"/>
                <w:spacing w:val="-4"/>
                <w:sz w:val="18"/>
                <w:szCs w:val="18"/>
              </w:rPr>
              <w:t>普通合伙）出具的致同验字（</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320ZA0005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号《验资报告》验证。公司对募集资金采取了专户存储制度。截至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19,216.75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一次设备状态检测、 监测产品生产改造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6,193.59</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以货币增资方式取 得浙江涵普电力科 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 股权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5,492.56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5,492.56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4,776.72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高压电气设备故障 仿真试验室建设项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计量装置检测、监测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设备生产改造项目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1,537.94</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3,045.7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103.03%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7,989.41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7,989.41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8,261.93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103.41%</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52.45</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19,216.7</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1,617.1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4,776.72</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19,216.7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4,776.72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258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、一次设备状态检测、监测产品生产改造项目 一次设备状态检测、监测产品生产改造项目于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年立项，该项目主要是完善一次设备状 </w:t>
            </w:r>
            <w:r>
              <w:rPr>
                <w:rFonts w:ascii="宋体" w:hAnsi="宋体" w:cs="宋体" w:eastAsia="宋体" w:hint="default"/>
                <w:spacing w:val="-2"/>
                <w:sz w:val="18"/>
                <w:szCs w:val="18"/>
              </w:rPr>
              <w:t>态检测、监测产品的生产工艺、提升产品检测水平、实验能力等。从项目立项至上市发行取</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得募集资金期间，外部的经济形势和市场环境发生了较大的变化，公司已经通过自筹资金投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入设备、委托生产等方式解决了大部分生产工艺提升的需求，并且一定程度上完善了产品检</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测和实验能力，</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年一次设备状态检测、监测产品销量分别为 </w:t>
            </w:r>
            <w:r>
              <w:rPr>
                <w:rFonts w:ascii="Times New Roman" w:hAnsi="Times New Roman" w:cs="Times New Roman" w:eastAsia="Times New Roman" w:hint="default"/>
                <w:sz w:val="18"/>
                <w:szCs w:val="18"/>
              </w:rPr>
              <w:t>235</w:t>
            </w:r>
            <w:r>
              <w:rPr>
                <w:rFonts w:ascii="Times New Roman" w:hAnsi="Times New Roman" w:cs="Times New Roman" w:eastAsia="Times New Roman" w:hint="default"/>
                <w:spacing w:val="30"/>
                <w:sz w:val="18"/>
                <w:szCs w:val="18"/>
              </w:rPr>
              <w:t> </w:t>
            </w:r>
            <w:r>
              <w:rPr>
                <w:rFonts w:ascii="宋体" w:hAnsi="宋体" w:cs="宋体" w:eastAsia="宋体" w:hint="default"/>
                <w:spacing w:val="-5"/>
                <w:sz w:val="18"/>
                <w:szCs w:val="18"/>
              </w:rPr>
              <w:t>标准台、</w:t>
            </w:r>
            <w:r>
              <w:rPr>
                <w:rFonts w:ascii="Times New Roman" w:hAnsi="Times New Roman" w:cs="Times New Roman" w:eastAsia="Times New Roman" w:hint="default"/>
                <w:spacing w:val="-5"/>
                <w:sz w:val="18"/>
                <w:szCs w:val="18"/>
              </w:rPr>
              <w:t>249</w:t>
            </w: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283 </w:t>
            </w:r>
            <w:r>
              <w:rPr>
                <w:rFonts w:ascii="宋体" w:hAnsi="宋体" w:cs="宋体" w:eastAsia="宋体" w:hint="default"/>
                <w:sz w:val="18"/>
                <w:szCs w:val="18"/>
              </w:rPr>
              <w:t>标准台，销量稳步提升。目前公司整体的产能及工艺、试验及检测能力预计 </w:t>
            </w:r>
            <w:r>
              <w:rPr>
                <w:rFonts w:ascii="宋体" w:hAnsi="宋体" w:cs="宋体" w:eastAsia="宋体" w:hint="default"/>
                <w:spacing w:val="-2"/>
                <w:sz w:val="18"/>
                <w:szCs w:val="18"/>
              </w:rPr>
              <w:t>能够满足公司现阶段及未来一段时间增长的市场需要。同时，由于公司产品生产工艺集中在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8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组装和调试环节，该部分的产能建设耗时较短，因此公司可以在需要时投入建设，及时满足</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需求。基于以上原因，为了更好的实现募集资金使用效益，提升公司的综合盈利能力，公司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月终止了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的建设，同时变更为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z w:val="18"/>
                <w:szCs w:val="18"/>
              </w:rPr>
              <w:t> 货币增资方式取得浙江涵普电力科技有限公司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月，公司分别于第三届 董事会第十四次会议以及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年第二次临时股东大会审议通过将</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 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已经使用的募集资金 </w:t>
            </w:r>
            <w:r>
              <w:rPr>
                <w:rFonts w:ascii="Times New Roman" w:hAnsi="Times New Roman" w:cs="Times New Roman" w:eastAsia="Times New Roman" w:hint="default"/>
                <w:sz w:val="18"/>
                <w:szCs w:val="18"/>
              </w:rPr>
              <w:t>51.68 </w:t>
            </w:r>
            <w:r>
              <w:rPr>
                <w:rFonts w:ascii="宋体" w:hAnsi="宋体" w:cs="宋体" w:eastAsia="宋体" w:hint="default"/>
                <w:sz w:val="18"/>
                <w:szCs w:val="18"/>
              </w:rPr>
              <w:t>万元以自有资金置换出来，以及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 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剩余的募集资金 </w:t>
            </w:r>
            <w:r>
              <w:rPr>
                <w:rFonts w:ascii="Times New Roman" w:hAnsi="Times New Roman" w:cs="Times New Roman" w:eastAsia="Times New Roman" w:hint="default"/>
                <w:sz w:val="18"/>
                <w:szCs w:val="18"/>
              </w:rPr>
              <w:t>758.79 </w:t>
            </w:r>
            <w:r>
              <w:rPr>
                <w:rFonts w:ascii="宋体" w:hAnsi="宋体" w:cs="宋体" w:eastAsia="宋体" w:hint="default"/>
                <w:spacing w:val="-4"/>
                <w:sz w:val="18"/>
                <w:szCs w:val="18"/>
              </w:rPr>
              <w:t>万元，共计剩余募集资金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810.47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、计量装置检测、监测设备生产改造项目</w:t>
            </w:r>
          </w:p>
          <w:p>
            <w:pPr>
              <w:pStyle w:val="TableParagraph"/>
              <w:spacing w:line="307" w:lineRule="auto" w:before="101"/>
              <w:ind w:left="23" w:right="-11"/>
              <w:jc w:val="both"/>
              <w:rPr>
                <w:rFonts w:ascii="宋体" w:hAnsi="宋体" w:cs="宋体" w:eastAsia="宋体" w:hint="default"/>
                <w:sz w:val="18"/>
                <w:szCs w:val="18"/>
              </w:rPr>
            </w:pPr>
            <w:r>
              <w:rPr>
                <w:rFonts w:ascii="宋体" w:hAnsi="宋体" w:cs="宋体" w:eastAsia="宋体" w:hint="default"/>
                <w:sz w:val="18"/>
                <w:szCs w:val="18"/>
              </w:rPr>
              <w:t>计量装置检测、监测设备生产改造项目于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年立项，该项目主要是完善计量装置检测、 </w:t>
            </w:r>
            <w:r>
              <w:rPr>
                <w:rFonts w:ascii="宋体" w:hAnsi="宋体" w:cs="宋体" w:eastAsia="宋体" w:hint="default"/>
                <w:spacing w:val="-2"/>
                <w:sz w:val="18"/>
                <w:szCs w:val="18"/>
              </w:rPr>
              <w:t>监测产品的生产工艺、提升产品检测水平、实验能力等。从项目立项至上市发行取得募集资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金期间，外部的经济形势和市场环境发生了较大变化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在公司内部，已经通过自筹资金投入设</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备、委托生产等方式解决了生产工艺的需求，并且提升了产品检测和实验能力，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307" w:lineRule="auto" w:before="7"/>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年计量装置检测、监测设备销量分别为 </w:t>
            </w:r>
            <w:r>
              <w:rPr>
                <w:rFonts w:ascii="Times New Roman" w:hAnsi="Times New Roman" w:cs="Times New Roman" w:eastAsia="Times New Roman" w:hint="default"/>
                <w:sz w:val="18"/>
                <w:szCs w:val="18"/>
              </w:rPr>
              <w:t>198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243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标准台。考</w:t>
            </w:r>
            <w:r>
              <w:rPr>
                <w:rFonts w:ascii="宋体" w:hAnsi="宋体" w:cs="宋体" w:eastAsia="宋体" w:hint="default"/>
                <w:w w:val="99"/>
                <w:sz w:val="18"/>
                <w:szCs w:val="18"/>
              </w:rPr>
              <w:t> </w:t>
            </w:r>
            <w:r>
              <w:rPr>
                <w:rFonts w:ascii="宋体" w:hAnsi="宋体" w:cs="宋体" w:eastAsia="宋体" w:hint="default"/>
                <w:spacing w:val="-2"/>
                <w:sz w:val="18"/>
                <w:szCs w:val="18"/>
              </w:rPr>
              <w:t>虑到公司现有的设备可以满足未来三年市场的发展需要，为了提升公司资金使用效益，提升</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公司的综合盈利能力，公司拟终止计量装置检测、监测设备生产改造项目，并将资金转投可</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以提升公司研发能力的</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月，公司分别于</w:t>
            </w:r>
            <w:r>
              <w:rPr>
                <w:rFonts w:ascii="宋体" w:hAnsi="宋体" w:cs="宋体" w:eastAsia="宋体" w:hint="default"/>
                <w:sz w:val="18"/>
                <w:szCs w:val="18"/>
              </w:rPr>
              <w:t> 第三届董事会第十四次会议以及</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年第二次临时股东大会审议通过了《关于终止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 </w:t>
            </w:r>
            <w:r>
              <w:rPr>
                <w:rFonts w:ascii="宋体" w:hAnsi="宋体" w:cs="宋体" w:eastAsia="宋体" w:hint="default"/>
                <w:spacing w:val="-3"/>
                <w:w w:val="100"/>
                <w:sz w:val="18"/>
                <w:szCs w:val="18"/>
              </w:rPr>
              <w:t>置检测、监测设备生产改造项目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及变更募集资金投资项目的议案》，终止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计量装置检测、</w:t>
            </w:r>
            <w:r>
              <w:rPr>
                <w:rFonts w:ascii="宋体" w:hAnsi="宋体" w:cs="宋体" w:eastAsia="宋体" w:hint="default"/>
                <w:spacing w:val="-58"/>
                <w:w w:val="100"/>
                <w:sz w:val="18"/>
                <w:szCs w:val="18"/>
              </w:rPr>
              <w:t> </w:t>
            </w:r>
            <w:r>
              <w:rPr>
                <w:rFonts w:ascii="宋体" w:hAnsi="宋体" w:cs="宋体" w:eastAsia="宋体" w:hint="default"/>
                <w:spacing w:val="-58"/>
                <w:w w:val="100"/>
                <w:sz w:val="18"/>
                <w:szCs w:val="18"/>
              </w:rPr>
            </w:r>
            <w:r>
              <w:rPr>
                <w:rFonts w:ascii="宋体" w:hAnsi="宋体" w:cs="宋体" w:eastAsia="宋体" w:hint="default"/>
                <w:sz w:val="18"/>
                <w:szCs w:val="18"/>
              </w:rPr>
              <w:t>监测设备生产改造项目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26" w:lineRule="auto" w:before="46"/>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、研发中心扩建项目及高压电气设备故障仿真试验室建设项目 </w:t>
            </w:r>
            <w:r>
              <w:rPr>
                <w:rFonts w:ascii="宋体" w:hAnsi="宋体" w:cs="宋体" w:eastAsia="宋体" w:hint="default"/>
                <w:spacing w:val="-2"/>
                <w:sz w:val="18"/>
                <w:szCs w:val="18"/>
              </w:rPr>
              <w:t>研发中心扩建项目及高压电气设备故障仿真试验室建设项目旨在提升公司综合研发实力，进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一步增强公司竞争力，为实现公司长远发展目标提供技术保障，因此该项目的效益无法反映</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在公司的整体效益中，无法单独核算。</w:t>
            </w:r>
          </w:p>
          <w:p>
            <w:pPr>
              <w:pStyle w:val="TableParagraph"/>
              <w:spacing w:line="338" w:lineRule="auto" w:before="51"/>
              <w:ind w:left="23" w:right="17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、补充营运资金 补充营运资金旨在提升公司整体运营能力，无法单独核算具体收益。</w:t>
            </w:r>
          </w:p>
        </w:tc>
      </w:tr>
      <w:tr>
        <w:trPr>
          <w:trHeight w:val="714" w:hRule="exact"/>
        </w:trPr>
        <w:tc>
          <w:tcPr>
            <w:tcW w:w="163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募投项目未达到计划进度或预计收益的情况及原因</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月，公司分别于第三届董事会第十次会议以及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 </w:t>
            </w:r>
            <w:r>
              <w:rPr>
                <w:rFonts w:ascii="宋体" w:hAnsi="宋体" w:cs="宋体" w:eastAsia="宋体" w:hint="default"/>
                <w:spacing w:val="-1"/>
                <w:sz w:val="18"/>
                <w:szCs w:val="18"/>
              </w:rPr>
              <w:t>过了《关于终止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一次设备状态检测、监测产品生产改造项目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及变更募集资金投资项目的议</w:t>
            </w:r>
            <w:r>
              <w:rPr>
                <w:rFonts w:ascii="宋体" w:hAnsi="宋体" w:cs="宋体" w:eastAsia="宋体" w:hint="default"/>
                <w:spacing w:val="-71"/>
                <w:sz w:val="18"/>
                <w:szCs w:val="18"/>
              </w:rPr>
              <w:t> </w:t>
            </w:r>
            <w:r>
              <w:rPr>
                <w:rFonts w:ascii="宋体" w:hAnsi="宋体" w:cs="宋体" w:eastAsia="宋体" w:hint="default"/>
                <w:spacing w:val="-3"/>
                <w:w w:val="100"/>
                <w:sz w:val="18"/>
                <w:szCs w:val="18"/>
              </w:rPr>
              <w:t>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一次设备状态检测、监测产品生产改造项目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的建设，同时变更为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以货币增资</w:t>
            </w:r>
            <w:r>
              <w:rPr>
                <w:rFonts w:ascii="宋体" w:hAnsi="宋体" w:cs="宋体" w:eastAsia="宋体" w:hint="default"/>
                <w:spacing w:val="-67"/>
                <w:w w:val="100"/>
                <w:sz w:val="18"/>
                <w:szCs w:val="18"/>
              </w:rPr>
              <w:t> </w:t>
            </w:r>
            <w:r>
              <w:rPr>
                <w:rFonts w:ascii="宋体" w:hAnsi="宋体" w:cs="宋体" w:eastAsia="宋体" w:hint="default"/>
                <w:spacing w:val="-67"/>
                <w:w w:val="100"/>
                <w:sz w:val="18"/>
                <w:szCs w:val="18"/>
              </w:rPr>
            </w:r>
            <w:r>
              <w:rPr>
                <w:rFonts w:ascii="宋体" w:hAnsi="宋体" w:cs="宋体" w:eastAsia="宋体" w:hint="default"/>
                <w:sz w:val="18"/>
                <w:szCs w:val="18"/>
              </w:rPr>
              <w:t>方式取得浙江涵普电力科技有限公司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。本次变更同时导致该项目的实施地点由福 建省厦门市变更为浙江省嘉兴市海盐县。</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7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月，公司分别于第三届董事会第十次会议以及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 </w:t>
            </w:r>
            <w:r>
              <w:rPr>
                <w:rFonts w:ascii="宋体" w:hAnsi="宋体" w:cs="宋体" w:eastAsia="宋体" w:hint="default"/>
                <w:spacing w:val="-1"/>
                <w:sz w:val="18"/>
                <w:szCs w:val="18"/>
              </w:rPr>
              <w:t>过了《关于终止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一次设备状态检测、监测产品生产改造项目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及变更募集资金投资项目的议</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192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9"/>
              <w:jc w:val="both"/>
              <w:rPr>
                <w:rFonts w:ascii="宋体" w:hAnsi="宋体" w:cs="宋体" w:eastAsia="宋体" w:hint="default"/>
                <w:sz w:val="18"/>
                <w:szCs w:val="18"/>
              </w:rPr>
            </w:pPr>
            <w:r>
              <w:rPr>
                <w:rFonts w:ascii="宋体" w:hAnsi="宋体" w:cs="宋体" w:eastAsia="宋体" w:hint="default"/>
                <w:spacing w:val="-3"/>
                <w:w w:val="100"/>
                <w:sz w:val="18"/>
                <w:szCs w:val="18"/>
              </w:rPr>
              <w:t>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一次设备状态检测、监测产品生产改造项目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的建设，同时变更为</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以货币增资</w:t>
            </w:r>
            <w:r>
              <w:rPr>
                <w:rFonts w:ascii="宋体" w:hAnsi="宋体" w:cs="宋体" w:eastAsia="宋体" w:hint="default"/>
                <w:spacing w:val="-67"/>
                <w:w w:val="100"/>
                <w:sz w:val="18"/>
                <w:szCs w:val="18"/>
              </w:rPr>
              <w:t> </w:t>
            </w:r>
            <w:r>
              <w:rPr>
                <w:rFonts w:ascii="宋体" w:hAnsi="宋体" w:cs="宋体" w:eastAsia="宋体" w:hint="default"/>
                <w:spacing w:val="-67"/>
                <w:w w:val="100"/>
                <w:sz w:val="18"/>
                <w:szCs w:val="18"/>
              </w:rPr>
            </w:r>
            <w:r>
              <w:rPr>
                <w:rFonts w:ascii="宋体" w:hAnsi="宋体" w:cs="宋体" w:eastAsia="宋体" w:hint="default"/>
                <w:sz w:val="18"/>
                <w:szCs w:val="18"/>
              </w:rPr>
              <w:t>方式取得浙江涵普电力科技有限公司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。本次变更同时导致该项目的实施地点由福 建省厦门市变更为浙江省嘉兴市海盐县。</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月，公司分别于第三届董事会第十四次会</w:t>
            </w:r>
            <w:r>
              <w:rPr>
                <w:rFonts w:ascii="宋体" w:hAnsi="宋体" w:cs="宋体" w:eastAsia="宋体" w:hint="default"/>
                <w:sz w:val="18"/>
                <w:szCs w:val="18"/>
              </w:rPr>
              <w:t> 议以及</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年第二次临时股东大会审议通过了《关于终止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计量装置检测、监测设备生产改 </w:t>
            </w:r>
            <w:r>
              <w:rPr>
                <w:rFonts w:ascii="宋体" w:hAnsi="宋体" w:cs="宋体" w:eastAsia="宋体" w:hint="default"/>
                <w:spacing w:val="-3"/>
                <w:w w:val="100"/>
                <w:sz w:val="18"/>
                <w:szCs w:val="18"/>
              </w:rPr>
              <w:t>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及变更募集资金投资项目的议案》，终止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计量装置检测、监测设备生产改造项目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w:t>
            </w:r>
            <w:r>
              <w:rPr>
                <w:rFonts w:ascii="宋体" w:hAnsi="宋体" w:cs="宋体" w:eastAsia="宋体" w:hint="default"/>
                <w:spacing w:val="-66"/>
                <w:w w:val="100"/>
                <w:sz w:val="18"/>
                <w:szCs w:val="18"/>
              </w:rPr>
              <w:t> </w:t>
            </w:r>
            <w:r>
              <w:rPr>
                <w:rFonts w:ascii="宋体" w:hAnsi="宋体" w:cs="宋体" w:eastAsia="宋体" w:hint="default"/>
                <w:sz w:val="18"/>
                <w:szCs w:val="18"/>
              </w:rPr>
              <w:t>建设，同时变更为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635"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日，存放于募集资金账户尚未使用的金额为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16.33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万元，其结余资金主</w:t>
            </w:r>
            <w:r>
              <w:rPr>
                <w:rFonts w:ascii="宋体" w:hAnsi="宋体" w:cs="宋体" w:eastAsia="宋体" w:hint="default"/>
                <w:sz w:val="18"/>
                <w:szCs w:val="18"/>
              </w:rPr>
              <w:t> 要系专户存储累计利息、短期理财收益扣除手续费的净额。</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尚未使用的募集资金将用于仿真试验室募投项目的保证金尾款支出。</w:t>
            </w:r>
          </w:p>
        </w:tc>
      </w:tr>
      <w:tr>
        <w:trPr>
          <w:trHeight w:val="746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发生变更前，该项</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目已投入募集资金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w:t>
            </w:r>
            <w:r>
              <w:rPr>
                <w:rFonts w:ascii="宋体" w:hAnsi="宋体" w:cs="宋体" w:eastAsia="宋体" w:hint="default"/>
                <w:spacing w:val="-2"/>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92"/>
                <w:sz w:val="18"/>
                <w:szCs w:val="18"/>
              </w:rPr>
              <w:t>，</w:t>
            </w:r>
            <w:r>
              <w:rPr>
                <w:rFonts w:ascii="宋体" w:hAnsi="宋体" w:cs="宋体" w:eastAsia="宋体" w:hint="default"/>
                <w:sz w:val="18"/>
                <w:szCs w:val="18"/>
              </w:rPr>
              <w:t>公司分别于第三届董事会第十四次会议以及</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p>
          <w:p>
            <w:pPr>
              <w:pStyle w:val="TableParagraph"/>
              <w:spacing w:line="302" w:lineRule="auto" w:before="63"/>
              <w:ind w:left="23" w:right="27"/>
              <w:jc w:val="both"/>
              <w:rPr>
                <w:rFonts w:ascii="宋体" w:hAnsi="宋体" w:cs="宋体" w:eastAsia="宋体" w:hint="default"/>
                <w:sz w:val="18"/>
                <w:szCs w:val="18"/>
              </w:rPr>
            </w:pPr>
            <w:r>
              <w:rPr>
                <w:rFonts w:ascii="宋体" w:hAnsi="宋体" w:cs="宋体" w:eastAsia="宋体" w:hint="default"/>
                <w:sz w:val="18"/>
                <w:szCs w:val="18"/>
              </w:rPr>
              <w:t>年第二次临时股东大会审议通过将该项目投入的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万元以自有资金进行置换。截止报告 期末，此项置换事项已执行完毕。</w:t>
            </w:r>
          </w:p>
          <w:p>
            <w:pPr>
              <w:pStyle w:val="TableParagraph"/>
              <w:spacing w:line="240" w:lineRule="auto" w:before="6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计量装置检测、监测设备生产改造项目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发生变更前，该项目已投入</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月，公司分别于第三届董事会第十四次会议以及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 </w:t>
            </w:r>
            <w:r>
              <w:rPr>
                <w:rFonts w:ascii="宋体" w:hAnsi="宋体" w:cs="宋体" w:eastAsia="宋体" w:hint="default"/>
                <w:spacing w:val="-1"/>
                <w:sz w:val="18"/>
                <w:szCs w:val="18"/>
              </w:rPr>
              <w:t>二次临时股东大会审议通过《关于终止</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计量装置检测、监测设备生产改造项目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及变更募集</w:t>
            </w:r>
            <w:r>
              <w:rPr>
                <w:rFonts w:ascii="宋体" w:hAnsi="宋体" w:cs="宋体" w:eastAsia="宋体" w:hint="default"/>
                <w:spacing w:val="-71"/>
                <w:sz w:val="18"/>
                <w:szCs w:val="18"/>
              </w:rPr>
              <w:t> </w:t>
            </w:r>
            <w:r>
              <w:rPr>
                <w:rFonts w:ascii="宋体" w:hAnsi="宋体" w:cs="宋体" w:eastAsia="宋体" w:hint="default"/>
                <w:spacing w:val="-3"/>
                <w:w w:val="100"/>
                <w:sz w:val="18"/>
                <w:szCs w:val="18"/>
              </w:rPr>
              <w:t>资金投资项目的议案》，终止了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计量装置检测、监测设备生产改造项目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的建设，同时变更</w:t>
            </w:r>
            <w:r>
              <w:rPr>
                <w:rFonts w:ascii="宋体" w:hAnsi="宋体" w:cs="宋体" w:eastAsia="宋体" w:hint="default"/>
                <w:spacing w:val="-58"/>
                <w:w w:val="100"/>
                <w:sz w:val="18"/>
                <w:szCs w:val="18"/>
              </w:rPr>
              <w:t> </w:t>
            </w: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，同时审议通过将该项目投入的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万元以自 有资金进行置换。截止报告期末，此项置换事项已执行完毕。</w:t>
            </w:r>
          </w:p>
          <w:p>
            <w:pPr>
              <w:pStyle w:val="TableParagraph"/>
              <w:spacing w:line="312" w:lineRule="auto" w:before="70"/>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补充营运资金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项目截至期末累计投入金额超过承诺投入金额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312.67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2"/>
                <w:sz w:val="18"/>
                <w:szCs w:val="18"/>
              </w:rPr>
              <w:t>年度补充营运资金项目投资理财产品产生的收益及银行利息扣除手续费的净额。截至报告期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末，该项目对应专项账户的募集资金已全部投入到募投项目，并完成了该专项账户的注销手</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续。</w:t>
            </w:r>
          </w:p>
          <w:p>
            <w:pPr>
              <w:pStyle w:val="TableParagraph"/>
              <w:spacing w:line="300" w:lineRule="auto" w:before="61"/>
              <w:ind w:left="23"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、高压电气设备故障仿真试验室建设项目拟投入资金为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万元，除</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 测设备生产改造项目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合计募集资金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2348.41</w:t>
            </w:r>
          </w:p>
          <w:p>
            <w:pPr>
              <w:pStyle w:val="TableParagraph"/>
              <w:spacing w:line="240" w:lineRule="auto" w:before="14"/>
              <w:ind w:left="23" w:right="0"/>
              <w:jc w:val="both"/>
              <w:rPr>
                <w:rFonts w:ascii="宋体" w:hAnsi="宋体" w:cs="宋体" w:eastAsia="宋体" w:hint="default"/>
                <w:sz w:val="18"/>
                <w:szCs w:val="18"/>
              </w:rPr>
            </w:pPr>
            <w:r>
              <w:rPr>
                <w:rFonts w:ascii="宋体" w:hAnsi="宋体" w:cs="宋体" w:eastAsia="宋体" w:hint="default"/>
                <w:sz w:val="18"/>
                <w:szCs w:val="18"/>
              </w:rPr>
              <w:t>万元投入外，其余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万元由公司自有资金投入。</w:t>
            </w:r>
          </w:p>
          <w:p>
            <w:pPr>
              <w:pStyle w:val="TableParagraph"/>
              <w:spacing w:line="307" w:lineRule="auto" w:before="102"/>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、研发中心扩建项目截至报告期末累计投入金额超过了承诺投入金额</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89.70</w:t>
            </w:r>
            <w:r>
              <w:rPr>
                <w:rFonts w:ascii="Times New Roman" w:hAnsi="Times New Roman" w:cs="Times New Roman" w:eastAsia="Times New Roman" w:hint="default"/>
                <w:spacing w:val="-18"/>
                <w:sz w:val="18"/>
                <w:szCs w:val="18"/>
              </w:rPr>
              <w:t> </w:t>
            </w:r>
            <w:r>
              <w:rPr>
                <w:rFonts w:ascii="宋体" w:hAnsi="宋体" w:cs="宋体" w:eastAsia="宋体" w:hint="default"/>
                <w:spacing w:val="-7"/>
                <w:sz w:val="18"/>
                <w:szCs w:val="18"/>
              </w:rPr>
              <w:t>万元，系该项目</w:t>
            </w:r>
            <w:r>
              <w:rPr>
                <w:rFonts w:ascii="宋体" w:hAnsi="宋体" w:cs="宋体" w:eastAsia="宋体" w:hint="default"/>
                <w:sz w:val="18"/>
                <w:szCs w:val="18"/>
              </w:rPr>
              <w:t> </w:t>
            </w:r>
            <w:r>
              <w:rPr>
                <w:rFonts w:ascii="宋体" w:hAnsi="宋体" w:cs="宋体" w:eastAsia="宋体" w:hint="default"/>
                <w:spacing w:val="-2"/>
                <w:sz w:val="18"/>
                <w:szCs w:val="18"/>
              </w:rPr>
              <w:t>闲置资金投资理财产品产生的收益及银行利息扣除手续费的净额（截至报告期末，理财产品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产生的收益及银行利息扣除手续费的净额累计为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129.85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万元）。研发中心扩建项目已按建设</w:t>
            </w:r>
            <w:r>
              <w:rPr>
                <w:rFonts w:ascii="宋体" w:hAnsi="宋体" w:cs="宋体" w:eastAsia="宋体" w:hint="default"/>
                <w:sz w:val="18"/>
                <w:szCs w:val="18"/>
              </w:rPr>
              <w:t> 期完工并投入使用，结余资金已用于补充流动资金。</w:t>
            </w:r>
          </w:p>
          <w:p>
            <w:pPr>
              <w:pStyle w:val="TableParagraph"/>
              <w:spacing w:line="240" w:lineRule="auto" w:before="6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高压电气设备故障仿真试验室项目截至报告期末已完工投入使用，尚有部分质保金尾款</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51.50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万元未支付。</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5"/>
        <w:ind w:left="154" w:right="817"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以货币增资 方式取得浙 江涵普电力 科技有限公 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 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both"/>
              <w:rPr>
                <w:rFonts w:ascii="宋体" w:hAnsi="宋体" w:cs="宋体" w:eastAsia="宋体" w:hint="default"/>
                <w:sz w:val="18"/>
                <w:szCs w:val="18"/>
              </w:rPr>
            </w:pPr>
            <w:r>
              <w:rPr>
                <w:rFonts w:ascii="宋体" w:hAnsi="宋体" w:cs="宋体" w:eastAsia="宋体" w:hint="default"/>
                <w:sz w:val="18"/>
                <w:szCs w:val="18"/>
              </w:rPr>
              <w:t>一次设备状 态检测、监 测产品生产 改造项目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高压电气设 备故障仿真 试验室建设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一次设备状 态检测、监 测产品生产 改造项目、 计量装置检 测、监测设 备生产改造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2,348.41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2,416.56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7,840.97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7,909.12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1,617.1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617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一、一次设备状态检测、监测产品生产改造项目</w:t>
            </w:r>
          </w:p>
          <w:p>
            <w:pPr>
              <w:pStyle w:val="TableParagraph"/>
              <w:spacing w:line="319" w:lineRule="auto" w:before="117"/>
              <w:ind w:left="23" w:right="93"/>
              <w:jc w:val="left"/>
              <w:rPr>
                <w:rFonts w:ascii="宋体" w:hAnsi="宋体" w:cs="宋体" w:eastAsia="宋体" w:hint="default"/>
                <w:sz w:val="18"/>
                <w:szCs w:val="18"/>
              </w:rPr>
            </w:pPr>
            <w:r>
              <w:rPr>
                <w:rFonts w:ascii="宋体" w:hAnsi="宋体" w:cs="宋体" w:eastAsia="宋体" w:hint="default"/>
                <w:sz w:val="18"/>
                <w:szCs w:val="18"/>
              </w:rPr>
              <w:t>（一）一次设备状态检测、监测产品生产改造项目变更主要有以下两方面原因</w:t>
            </w:r>
            <w:r>
              <w:rPr>
                <w:rFonts w:ascii="Times New Roman" w:hAnsi="Times New Roman" w:cs="Times New Roman" w:eastAsia="Times New Roman" w:hint="default"/>
                <w:sz w:val="18"/>
                <w:szCs w:val="18"/>
              </w:rPr>
              <w:t>: 1</w:t>
            </w:r>
            <w:r>
              <w:rPr>
                <w:rFonts w:ascii="宋体" w:hAnsi="宋体" w:cs="宋体" w:eastAsia="宋体" w:hint="default"/>
                <w:sz w:val="18"/>
                <w:szCs w:val="18"/>
              </w:rPr>
              <w:t>、公司已先期投入资金完善一次设备状态检测、监测产品生产环节，目前产能和工 艺能力基本能够满足现阶段及未来一段时间的需求，继续投入的紧迫性不大。</w:t>
            </w:r>
          </w:p>
          <w:p>
            <w:pPr>
              <w:pStyle w:val="TableParagraph"/>
              <w:spacing w:line="309" w:lineRule="auto" w:before="55"/>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、利用募集资金进行合适的外延式并购更有利于提升公司盈利能力。公司战略发展 </w:t>
            </w:r>
            <w:r>
              <w:rPr>
                <w:rFonts w:ascii="宋体" w:hAnsi="宋体" w:cs="宋体" w:eastAsia="宋体" w:hint="default"/>
                <w:spacing w:val="-1"/>
                <w:sz w:val="18"/>
                <w:szCs w:val="18"/>
              </w:rPr>
              <w:t>策略分为两个方向，一是围绕公司目前的核心产品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电力设备检测、监测产品在电网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以外的其他应用领域上进行拓展，包括在发电企业、铁路与轨道交通、军工、石油石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化等领域；二是利用公司在电网市场深厚的积淀，在该领域拓展十三五规划以及电力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体制改革发展方向上的产品和服务。根据公司发展战略，公司将通过包括并购在内的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各种方式在上述两个方向上快速获取优质资源，完善产品和市场覆盖能力。本次变更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募集资金投向，将原</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的资金投入变更为 </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项目，符合公司的战略发 展方向，能更有效的提高该部分资金使用效率，为全体股东带来更大收益。</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（二）决策程序</w:t>
            </w: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日召开的公司第三届董事会第十次会议、第三届监事会第六次会议及</w:t>
            </w:r>
          </w:p>
          <w:p>
            <w:pPr>
              <w:pStyle w:val="TableParagraph"/>
              <w:spacing w:line="300" w:lineRule="auto" w:before="6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年第五次临时股东大会审议通过了《关于终止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z w:val="18"/>
                <w:szCs w:val="18"/>
              </w:rPr>
              <w:t> </w:t>
            </w:r>
            <w:r>
              <w:rPr>
                <w:rFonts w:ascii="宋体" w:hAnsi="宋体" w:cs="宋体" w:eastAsia="宋体" w:hint="default"/>
                <w:spacing w:val="-3"/>
                <w:sz w:val="18"/>
                <w:szCs w:val="18"/>
              </w:rPr>
              <w:t>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及变更募集资金投资项目的议案》，终止实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施原计划中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一次设备状态检测、监测产品生产改造项目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，并将其中募集资金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5,492.56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以货币增资方式取得浙江涵普电力科技股份有限公司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59999pt;margin-top:-161.048294pt;width:479.3pt;height:330.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516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83"/>
                          <w:jc w:val="left"/>
                          <w:rPr>
                            <w:rFonts w:ascii="宋体" w:hAnsi="宋体" w:cs="宋体" w:eastAsia="宋体" w:hint="default"/>
                            <w:sz w:val="18"/>
                            <w:szCs w:val="18"/>
                          </w:rPr>
                        </w:pPr>
                        <w:r>
                          <w:rPr>
                            <w:rFonts w:ascii="宋体" w:hAnsi="宋体" w:cs="宋体" w:eastAsia="宋体" w:hint="default"/>
                            <w:sz w:val="18"/>
                            <w:szCs w:val="18"/>
                          </w:rPr>
                          <w:t>司独立董事、监事会以及保荐机构长江证券承销保荐有限公司对上述事项发表了意 见。</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（三）信息披露情况</w:t>
                        </w:r>
                      </w:p>
                      <w:p>
                        <w:pPr>
                          <w:pStyle w:val="TableParagraph"/>
                          <w:spacing w:line="302" w:lineRule="auto" w:before="115"/>
                          <w:ind w:left="23"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日，公司于中国证监会指定信息披露网站巨潮资讯网上披露了《独</w:t>
                        </w:r>
                        <w:r>
                          <w:rPr>
                            <w:rFonts w:ascii="宋体" w:hAnsi="宋体" w:cs="宋体" w:eastAsia="宋体" w:hint="default"/>
                            <w:sz w:val="18"/>
                            <w:szCs w:val="18"/>
                          </w:rPr>
                          <w:t> 立董事关于终止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及变更募集资金投资项 </w:t>
                        </w:r>
                        <w:r>
                          <w:rPr>
                            <w:rFonts w:ascii="宋体" w:hAnsi="宋体" w:cs="宋体" w:eastAsia="宋体" w:hint="default"/>
                            <w:spacing w:val="-10"/>
                            <w:sz w:val="18"/>
                            <w:szCs w:val="18"/>
                          </w:rPr>
                          <w:t>目的独立意见》、《关于变更部分募集资金用途暨对外投资之可行性分析》、《长江证券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承销保荐有限公司关于厦门红相电力设备股份有限公司终止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 </w:t>
                        </w:r>
                        <w:r>
                          <w:rPr>
                            <w:rFonts w:ascii="宋体" w:hAnsi="宋体" w:cs="宋体" w:eastAsia="宋体" w:hint="default"/>
                            <w:spacing w:val="-5"/>
                            <w:sz w:val="18"/>
                            <w:szCs w:val="18"/>
                          </w:rPr>
                          <w:t>测产品生产改造项目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及变更募集资金投资项目的核查意见》、《厦门红相电力设备股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份有限公司第三届董事会第十次会议决议公告》（公告编码</w:t>
                        </w:r>
                        <w:r>
                          <w:rPr>
                            <w:rFonts w:ascii="宋体" w:hAnsi="宋体" w:cs="宋体" w:eastAsia="宋体" w:hint="default"/>
                            <w:spacing w:val="-39"/>
                            <w:sz w:val="18"/>
                            <w:szCs w:val="18"/>
                          </w:rPr>
                          <w:t> </w:t>
                        </w:r>
                        <w:r>
                          <w:rPr>
                            <w:rFonts w:ascii="Times New Roman" w:hAnsi="Times New Roman" w:cs="Times New Roman" w:eastAsia="Times New Roman" w:hint="default"/>
                            <w:spacing w:val="-12"/>
                            <w:w w:val="100"/>
                            <w:sz w:val="18"/>
                            <w:szCs w:val="18"/>
                          </w:rPr>
                          <w:t>2015-062</w:t>
                        </w:r>
                        <w:r>
                          <w:rPr>
                            <w:rFonts w:ascii="宋体" w:hAnsi="宋体" w:cs="宋体" w:eastAsia="宋体" w:hint="default"/>
                            <w:spacing w:val="-12"/>
                            <w:w w:val="100"/>
                            <w:sz w:val="18"/>
                            <w:szCs w:val="18"/>
                          </w:rPr>
                          <w:t>）、《关于终止</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一</w:t>
                        </w:r>
                        <w:r>
                          <w:rPr>
                            <w:rFonts w:ascii="宋体" w:hAnsi="宋体" w:cs="宋体" w:eastAsia="宋体" w:hint="default"/>
                            <w:spacing w:val="-87"/>
                            <w:w w:val="100"/>
                            <w:sz w:val="18"/>
                            <w:szCs w:val="18"/>
                          </w:rPr>
                          <w:t> </w:t>
                        </w:r>
                        <w:r>
                          <w:rPr>
                            <w:rFonts w:ascii="宋体" w:hAnsi="宋体" w:cs="宋体" w:eastAsia="宋体" w:hint="default"/>
                            <w:spacing w:val="-3"/>
                            <w:sz w:val="18"/>
                            <w:szCs w:val="18"/>
                          </w:rPr>
                          <w:t>次设备状态检测、监测产品生产改造项目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及变更募集资金投资项目的公告》（公告编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码：</w:t>
                        </w:r>
                        <w:r>
                          <w:rPr>
                            <w:rFonts w:ascii="Times New Roman" w:hAnsi="Times New Roman" w:cs="Times New Roman" w:eastAsia="Times New Roman" w:hint="default"/>
                            <w:spacing w:val="-7"/>
                            <w:sz w:val="18"/>
                            <w:szCs w:val="18"/>
                          </w:rPr>
                          <w:t>2015-063</w:t>
                        </w:r>
                        <w:r>
                          <w:rPr>
                            <w:rFonts w:ascii="宋体" w:hAnsi="宋体" w:cs="宋体" w:eastAsia="宋体" w:hint="default"/>
                            <w:spacing w:val="-7"/>
                            <w:sz w:val="18"/>
                            <w:szCs w:val="18"/>
                          </w:rPr>
                          <w:t>）、《厦门红相电力设备股份有限公司第三届监事会第六次会议决议公告</w:t>
                        </w:r>
                      </w:p>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2015-065</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门红相电力设备股份有限公司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五</w:t>
                        </w:r>
                        <w:r>
                          <w:rPr>
                            <w:rFonts w:ascii="宋体" w:hAnsi="宋体" w:cs="宋体" w:eastAsia="宋体" w:hint="default"/>
                            <w:sz w:val="18"/>
                            <w:szCs w:val="18"/>
                          </w:rPr>
                          <w:t>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（公告编码：</w:t>
                        </w:r>
                      </w:p>
                      <w:p>
                        <w:pPr>
                          <w:pStyle w:val="TableParagraph"/>
                          <w:spacing w:line="30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2015-069</w:t>
                        </w:r>
                        <w:r>
                          <w:rPr>
                            <w:rFonts w:ascii="宋体" w:hAnsi="宋体" w:cs="宋体" w:eastAsia="宋体" w:hint="default"/>
                            <w:spacing w:val="-90"/>
                            <w:sz w:val="18"/>
                            <w:szCs w:val="18"/>
                          </w:rPr>
                          <w:t>）</w:t>
                        </w:r>
                        <w:r>
                          <w:rPr>
                            <w:rFonts w:ascii="宋体" w:hAnsi="宋体" w:cs="宋体" w:eastAsia="宋体" w:hint="default"/>
                            <w:spacing w:val="-168"/>
                            <w:sz w:val="18"/>
                            <w:szCs w:val="18"/>
                          </w:rPr>
                          <w:t>、</w:t>
                        </w:r>
                        <w:r>
                          <w:rPr>
                            <w:rFonts w:ascii="宋体" w:hAnsi="宋体" w:cs="宋体" w:eastAsia="宋体" w:hint="default"/>
                            <w:sz w:val="18"/>
                            <w:szCs w:val="18"/>
                          </w:rPr>
                          <w:t>《北京市尚公律师事务所关于厦门红相电力设备股份有限公司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 次临时股东大会的法律意见书</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2"/>
        <w:spacing w:line="240" w:lineRule="auto" w:before="26"/>
        <w:ind w:right="817"/>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出售重大资产情况" w:id="54"/>
      <w:bookmarkEnd w:id="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电力设备生 产及销售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69,551,701.0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245,505,726.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152,547,225.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150,537,563.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34,261,797.5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15,079,104.8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微波通信产 品生产及销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301,936,917.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259,272,043.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120,152,809.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57,078,272.4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33,293,851.7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变压器生产 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1,426,320,75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641,119,673.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690,040,931.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116,104,009.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99,677,475.6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before="41"/>
        <w:ind w:left="154" w:right="817" w:firstLine="0"/>
        <w:jc w:val="left"/>
        <w:rPr>
          <w:rFonts w:ascii="宋体" w:hAnsi="宋体" w:cs="宋体" w:eastAsia="宋体" w:hint="default"/>
          <w:sz w:val="18"/>
          <w:szCs w:val="18"/>
        </w:rPr>
      </w:pPr>
      <w:r>
        <w:rPr>
          <w:rFonts w:ascii="宋体" w:hAnsi="宋体" w:cs="宋体" w:eastAsia="宋体" w:hint="default"/>
          <w:sz w:val="18"/>
          <w:szCs w:val="18"/>
        </w:rPr>
        <w:t>以上各子公司的数据包括并购日的评估增值。</w:t>
      </w:r>
    </w:p>
    <w:p>
      <w:pPr>
        <w:spacing w:line="240" w:lineRule="auto" w:before="2"/>
        <w:rPr>
          <w:rFonts w:ascii="宋体" w:hAnsi="宋体" w:cs="宋体" w:eastAsia="宋体" w:hint="default"/>
          <w:sz w:val="25"/>
          <w:szCs w:val="25"/>
        </w:rPr>
      </w:pPr>
    </w:p>
    <w:p>
      <w:pPr>
        <w:pStyle w:val="Heading2"/>
        <w:spacing w:line="240" w:lineRule="auto"/>
        <w:ind w:right="817"/>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817"/>
        <w:jc w:val="left"/>
        <w:rPr>
          <w:b w:val="0"/>
          <w:bCs w:val="0"/>
        </w:rPr>
      </w:pPr>
      <w:bookmarkStart w:name="九、公司未来发展的展望" w:id="58"/>
      <w:bookmarkEnd w:id="58"/>
      <w:r>
        <w:rPr>
          <w:b w:val="0"/>
          <w:bCs w:val="0"/>
        </w:rPr>
      </w:r>
      <w:r>
        <w:rPr/>
        <w:t>九、公司未来发展的展望</w:t>
      </w:r>
      <w:r>
        <w:rPr>
          <w:b w:val="0"/>
          <w:bCs w:val="0"/>
        </w:rPr>
      </w:r>
    </w:p>
    <w:p>
      <w:pPr>
        <w:spacing w:line="430" w:lineRule="atLeast" w:before="165"/>
        <w:ind w:left="574" w:right="817" w:firstLine="2"/>
        <w:jc w:val="left"/>
        <w:rPr>
          <w:rFonts w:ascii="宋体" w:hAnsi="宋体" w:cs="宋体" w:eastAsia="宋体" w:hint="default"/>
          <w:sz w:val="21"/>
          <w:szCs w:val="21"/>
        </w:rPr>
      </w:pPr>
      <w:r>
        <w:rPr>
          <w:rFonts w:ascii="宋体" w:hAnsi="宋体" w:cs="宋体" w:eastAsia="宋体" w:hint="default"/>
          <w:b/>
          <w:bCs/>
          <w:sz w:val="21"/>
          <w:szCs w:val="21"/>
        </w:rPr>
        <w:t>（一）公司发展规划</w:t>
      </w:r>
      <w:r>
        <w:rPr>
          <w:rFonts w:ascii="宋体" w:hAnsi="宋体" w:cs="宋体" w:eastAsia="宋体" w:hint="default"/>
          <w:b/>
          <w:bCs/>
          <w:w w:val="99"/>
          <w:sz w:val="21"/>
          <w:szCs w:val="21"/>
        </w:rPr>
        <w:t> </w:t>
      </w:r>
      <w:r>
        <w:rPr>
          <w:rFonts w:ascii="宋体" w:hAnsi="宋体" w:cs="宋体" w:eastAsia="宋体" w:hint="default"/>
          <w:spacing w:val="-1"/>
          <w:sz w:val="21"/>
          <w:szCs w:val="21"/>
        </w:rPr>
        <w:t>未来，公司将沿着纵向和横向两个方向不断进行深化：一方面，通过持续加大的研发投入，深化对现</w:t>
      </w:r>
    </w:p>
    <w:p>
      <w:pPr>
        <w:spacing w:line="273" w:lineRule="auto" w:before="37"/>
        <w:ind w:left="154" w:right="1023" w:firstLine="0"/>
        <w:jc w:val="left"/>
        <w:rPr>
          <w:rFonts w:ascii="宋体" w:hAnsi="宋体" w:cs="宋体" w:eastAsia="宋体" w:hint="default"/>
          <w:sz w:val="21"/>
          <w:szCs w:val="21"/>
        </w:rPr>
      </w:pPr>
      <w:r>
        <w:rPr>
          <w:rFonts w:ascii="宋体" w:hAnsi="宋体" w:cs="宋体" w:eastAsia="宋体" w:hint="default"/>
          <w:spacing w:val="-3"/>
          <w:sz w:val="21"/>
          <w:szCs w:val="21"/>
        </w:rPr>
        <w:t>有产品的技术创新和工艺改进，不断提升产品的科技含量和技术壁垒，增强产品的市场竞争力和盈利能力。</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另一方面，充分利用现有电力、军工、铁路与轨道交通板块的技术和渠道资源，不断丰富现有产业格局下</w:t>
      </w:r>
      <w:r>
        <w:rPr>
          <w:rFonts w:ascii="宋体" w:hAnsi="宋体" w:cs="宋体" w:eastAsia="宋体" w:hint="default"/>
          <w:sz w:val="21"/>
          <w:szCs w:val="21"/>
        </w:rPr>
        <w:t> 的业务种类，同时挖掘、整合各板块及企业间的协同效应，充分发挥产业集群优势，提升公司整体盈利能 力和抗风险能力。</w:t>
      </w:r>
    </w:p>
    <w:p>
      <w:pPr>
        <w:spacing w:before="128"/>
        <w:ind w:left="576" w:right="817"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年经营计划</w:t>
      </w:r>
      <w:r>
        <w:rPr>
          <w:rFonts w:ascii="宋体" w:hAnsi="宋体" w:cs="宋体" w:eastAsia="宋体" w:hint="default"/>
          <w:sz w:val="21"/>
          <w:szCs w:val="21"/>
        </w:rPr>
      </w:r>
    </w:p>
    <w:p>
      <w:pPr>
        <w:spacing w:before="141"/>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、自主创新能力建设计划</w:t>
      </w:r>
    </w:p>
    <w:p>
      <w:pPr>
        <w:spacing w:line="266" w:lineRule="auto" w:before="141"/>
        <w:ind w:left="154" w:right="1109"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年，公司将进一步理顺公司研发机制，增强研发与销售部门的互动，落实以市场需求导向的研发</w:t>
      </w:r>
      <w:r>
        <w:rPr>
          <w:rFonts w:ascii="宋体" w:hAnsi="宋体" w:cs="宋体" w:eastAsia="宋体" w:hint="default"/>
          <w:sz w:val="21"/>
          <w:szCs w:val="21"/>
        </w:rPr>
        <w:t> </w:t>
      </w:r>
      <w:r>
        <w:rPr>
          <w:rFonts w:ascii="宋体" w:hAnsi="宋体" w:cs="宋体" w:eastAsia="宋体" w:hint="default"/>
          <w:spacing w:val="-1"/>
          <w:sz w:val="21"/>
          <w:szCs w:val="21"/>
        </w:rPr>
        <w:t>战略，优化技术开发和产品开发两级开发体系。完善公司研发基础平台，为公司的研发项目提供实验和测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试支持，加快新技术的实际应用和产业化速度，提高企业的基础检测水平，进一步提高研发效率和质量； 在营销体系中培养和增加一定的技术研发力量，及时响应客户个性化需求。</w:t>
      </w:r>
    </w:p>
    <w:p>
      <w:pPr>
        <w:spacing w:line="273" w:lineRule="auto" w:before="134"/>
        <w:ind w:left="154" w:right="1027" w:firstLine="420"/>
        <w:jc w:val="both"/>
        <w:rPr>
          <w:rFonts w:ascii="宋体" w:hAnsi="宋体" w:cs="宋体" w:eastAsia="宋体" w:hint="default"/>
          <w:sz w:val="21"/>
          <w:szCs w:val="21"/>
        </w:rPr>
      </w:pPr>
      <w:r>
        <w:rPr>
          <w:rFonts w:ascii="宋体" w:hAnsi="宋体" w:cs="宋体" w:eastAsia="宋体" w:hint="default"/>
          <w:spacing w:val="-3"/>
          <w:sz w:val="21"/>
          <w:szCs w:val="21"/>
        </w:rPr>
        <w:t>同时，公司坚持以加强内部人才培养与建立广泛技术合作联盟相结合的技术开发资源平台，建立灵活、</w:t>
      </w:r>
      <w:r>
        <w:rPr>
          <w:rFonts w:ascii="宋体" w:hAnsi="宋体" w:cs="宋体" w:eastAsia="宋体" w:hint="default"/>
          <w:sz w:val="21"/>
          <w:szCs w:val="21"/>
        </w:rPr>
        <w:t> 高效、规范的技术开发项目运作流程，加强项目目标、计划和过程管理，确保项目完成率和交付率质量。</w:t>
      </w:r>
    </w:p>
    <w:p>
      <w:pPr>
        <w:spacing w:before="1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、营销与市场开拓计划</w:t>
      </w:r>
    </w:p>
    <w:p>
      <w:pPr>
        <w:spacing w:line="357" w:lineRule="auto" w:before="141"/>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及时把握行业政策动向，积极实施市场开拓</w:t>
      </w:r>
      <w:r>
        <w:rPr>
          <w:rFonts w:ascii="宋体" w:hAnsi="宋体" w:cs="宋体" w:eastAsia="宋体" w:hint="default"/>
          <w:sz w:val="21"/>
          <w:szCs w:val="21"/>
        </w:rPr>
        <w:t> </w:t>
      </w:r>
      <w:r>
        <w:rPr>
          <w:rFonts w:ascii="宋体" w:hAnsi="宋体" w:cs="宋体" w:eastAsia="宋体" w:hint="default"/>
          <w:spacing w:val="-1"/>
          <w:sz w:val="21"/>
          <w:szCs w:val="21"/>
        </w:rPr>
        <w:t>根据国家电力十三五规划、军民融合发展战略、铁路十三五规划等既有规划路线，积极做好电力、军</w:t>
      </w:r>
    </w:p>
    <w:p>
      <w:pPr>
        <w:spacing w:line="209"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工、铁路与轨道交通三大板块契合未来重点投资方向的技术开发和业务布局，及时把握市场机遇。</w:t>
      </w:r>
    </w:p>
    <w:p>
      <w:pPr>
        <w:spacing w:line="357" w:lineRule="auto" w:before="157"/>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）优化激励和考核机制，提高营销团队市场开拓积极性 </w:t>
      </w:r>
      <w:r>
        <w:rPr>
          <w:rFonts w:ascii="宋体" w:hAnsi="宋体" w:cs="宋体" w:eastAsia="宋体" w:hint="default"/>
          <w:spacing w:val="-1"/>
          <w:sz w:val="21"/>
          <w:szCs w:val="21"/>
        </w:rPr>
        <w:t>公司将营销目标任务层层分解，落实到人，实行定期与临时重大事项考核相结合的方式。结合销售目</w:t>
      </w:r>
    </w:p>
    <w:p>
      <w:pPr>
        <w:spacing w:line="209"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标的完成、应收账款回收、客户满意度的提升及新项目的开拓等情况进行全员考核和激励，严格执行优胜</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劣汰机制。利用良好的激励机制充分激发营销团队的工作热情，提升营销水平，为市场扩展工作的稳步持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续发展奠定基础。</w:t>
      </w:r>
    </w:p>
    <w:p>
      <w:pPr>
        <w:spacing w:line="357" w:lineRule="auto" w:before="1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、人力资源开发及组织结构优化计划 </w:t>
      </w:r>
      <w:r>
        <w:rPr>
          <w:rFonts w:ascii="宋体" w:hAnsi="宋体" w:cs="宋体" w:eastAsia="宋体" w:hint="default"/>
          <w:spacing w:val="-1"/>
          <w:sz w:val="21"/>
          <w:szCs w:val="21"/>
        </w:rPr>
        <w:t>随着公司外延式并购等资本运作，公司规模不断扩大，公司将不断加大人力资源开发和管理力度，进</w:t>
      </w:r>
    </w:p>
    <w:p>
      <w:pPr>
        <w:spacing w:after="0" w:line="357"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一步加强管理团队建设，增强公司人才优势及管理优势。</w:t>
      </w:r>
    </w:p>
    <w:p>
      <w:pPr>
        <w:spacing w:line="357" w:lineRule="auto" w:before="157"/>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）深化调整组织结构 </w:t>
      </w:r>
      <w:r>
        <w:rPr>
          <w:rFonts w:ascii="宋体" w:hAnsi="宋体" w:cs="宋体" w:eastAsia="宋体" w:hint="default"/>
          <w:spacing w:val="-1"/>
          <w:sz w:val="21"/>
          <w:szCs w:val="21"/>
        </w:rPr>
        <w:t>进一步完善公司法人治理结构，完善公司经理层工作制度，建立科学有效的公司决策机制、市场快速</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反应机制和风险防范机制。加速信息化系统建设，在公司及其子公司范围内深化工作流程改革，保证资源</w:t>
      </w:r>
    </w:p>
    <w:p>
      <w:pPr>
        <w:spacing w:before="37"/>
        <w:ind w:left="154" w:right="0" w:firstLine="0"/>
        <w:jc w:val="both"/>
        <w:rPr>
          <w:rFonts w:ascii="宋体" w:hAnsi="宋体" w:cs="宋体" w:eastAsia="宋体" w:hint="default"/>
          <w:sz w:val="21"/>
          <w:szCs w:val="21"/>
        </w:rPr>
      </w:pPr>
      <w:r>
        <w:rPr>
          <w:rFonts w:ascii="宋体" w:hAnsi="宋体" w:cs="宋体" w:eastAsia="宋体" w:hint="default"/>
          <w:spacing w:val="-3"/>
          <w:sz w:val="21"/>
          <w:szCs w:val="21"/>
        </w:rPr>
        <w:t>的合理利用和信息的有效及时传递，提升整体效率，实现企业信息化管理，使公司组织运作更高效、灵活。</w:t>
      </w:r>
    </w:p>
    <w:p>
      <w:pPr>
        <w:spacing w:line="357" w:lineRule="auto" w:before="157"/>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）引进和培养人才相结合，注重人才结构优化 </w:t>
      </w:r>
      <w:r>
        <w:rPr>
          <w:rFonts w:ascii="宋体" w:hAnsi="宋体" w:cs="宋体" w:eastAsia="宋体" w:hint="default"/>
          <w:spacing w:val="-1"/>
          <w:sz w:val="21"/>
          <w:szCs w:val="21"/>
        </w:rPr>
        <w:t>为满足公司规模扩张、市场开拓等因素产生的高级人才需求，公司进一步加强管理团队建设，通过内</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部培养与外部引进两种方式建立业务队伍，一方面积极引进高素质的技术开发人才，另一方面公司内部积</w:t>
      </w:r>
    </w:p>
    <w:p>
      <w:pPr>
        <w:spacing w:line="273" w:lineRule="auto" w:before="37"/>
        <w:ind w:left="154" w:right="1092" w:firstLine="0"/>
        <w:jc w:val="left"/>
        <w:rPr>
          <w:rFonts w:ascii="宋体" w:hAnsi="宋体" w:cs="宋体" w:eastAsia="宋体" w:hint="default"/>
          <w:sz w:val="21"/>
          <w:szCs w:val="21"/>
        </w:rPr>
      </w:pPr>
      <w:r>
        <w:rPr>
          <w:rFonts w:ascii="宋体" w:hAnsi="宋体" w:cs="宋体" w:eastAsia="宋体" w:hint="default"/>
          <w:sz w:val="21"/>
          <w:szCs w:val="21"/>
        </w:rPr>
        <w:t>极培养、选拔、引进营销人才、管理人才。在人才结构方面，注重协调研发、营销、服务、技术、生产、 管理等方面的人员比例，注意不同年龄结构配比，科学、合理配置和优化人才结构。</w:t>
      </w:r>
    </w:p>
    <w:p>
      <w:pPr>
        <w:spacing w:line="357" w:lineRule="auto" w:before="127"/>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）完善岗位责任制和绩效评价体系 </w:t>
      </w:r>
      <w:r>
        <w:rPr>
          <w:rFonts w:ascii="宋体" w:hAnsi="宋体" w:cs="宋体" w:eastAsia="宋体" w:hint="default"/>
          <w:spacing w:val="-1"/>
          <w:sz w:val="21"/>
          <w:szCs w:val="21"/>
        </w:rPr>
        <w:t>建立有序的岗位竞争、激励、淘汰机制，增加岗位流通性，充分发挥员工的主观能动性，为员工提供</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职业发展的广阔空间与平台。</w:t>
      </w:r>
    </w:p>
    <w:p>
      <w:pPr>
        <w:spacing w:line="357" w:lineRule="auto" w:before="15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、稳步实施公司外延式并购战略 </w:t>
      </w:r>
      <w:r>
        <w:rPr>
          <w:rFonts w:ascii="宋体" w:hAnsi="宋体" w:cs="宋体" w:eastAsia="宋体" w:hint="default"/>
          <w:spacing w:val="-1"/>
          <w:sz w:val="21"/>
          <w:szCs w:val="21"/>
        </w:rPr>
        <w:t>为加快自身发展，公司在坚持自主研发和生产的基础上，积极把握适当的外部并购机会。公司积极寻</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求在技术上、成本上以及客户资源等方面能为公司提供协同价值的企业。公司通过自主发展和外部并购相</w:t>
      </w:r>
    </w:p>
    <w:p>
      <w:pPr>
        <w:spacing w:before="37"/>
        <w:ind w:left="154" w:right="0" w:firstLine="0"/>
        <w:jc w:val="both"/>
        <w:rPr>
          <w:rFonts w:ascii="宋体" w:hAnsi="宋体" w:cs="宋体" w:eastAsia="宋体" w:hint="default"/>
          <w:sz w:val="21"/>
          <w:szCs w:val="21"/>
        </w:rPr>
      </w:pPr>
      <w:r>
        <w:rPr>
          <w:rFonts w:ascii="宋体" w:hAnsi="宋体" w:cs="宋体" w:eastAsia="宋体" w:hint="default"/>
          <w:sz w:val="21"/>
          <w:szCs w:val="21"/>
        </w:rPr>
        <w:t>结合的战略，不断扩大自身产品体系，为客户提供更加全面的服务。</w:t>
      </w:r>
    </w:p>
    <w:p>
      <w:pPr>
        <w:spacing w:before="157"/>
        <w:ind w:left="576" w:right="817" w:firstLine="0"/>
        <w:jc w:val="left"/>
        <w:rPr>
          <w:rFonts w:ascii="宋体" w:hAnsi="宋体" w:cs="宋体" w:eastAsia="宋体" w:hint="default"/>
          <w:sz w:val="21"/>
          <w:szCs w:val="21"/>
        </w:rPr>
      </w:pPr>
      <w:r>
        <w:rPr>
          <w:rFonts w:ascii="宋体" w:hAnsi="宋体" w:cs="宋体" w:eastAsia="宋体" w:hint="default"/>
          <w:b/>
          <w:bCs/>
          <w:sz w:val="21"/>
          <w:szCs w:val="21"/>
        </w:rPr>
        <w:t>（三）可能面对的风险</w:t>
      </w:r>
      <w:r>
        <w:rPr>
          <w:rFonts w:ascii="宋体" w:hAnsi="宋体" w:cs="宋体" w:eastAsia="宋体" w:hint="default"/>
          <w:sz w:val="21"/>
          <w:szCs w:val="21"/>
        </w:rPr>
      </w:r>
    </w:p>
    <w:p>
      <w:pPr>
        <w:spacing w:line="357" w:lineRule="auto" w:before="15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、未来电力、军工、铁路与轨道交通产业投资可能存在低于预期的风险 </w:t>
      </w:r>
      <w:r>
        <w:rPr>
          <w:rFonts w:ascii="宋体" w:hAnsi="宋体" w:cs="宋体" w:eastAsia="宋体" w:hint="default"/>
          <w:spacing w:val="-1"/>
          <w:sz w:val="21"/>
          <w:szCs w:val="21"/>
        </w:rPr>
        <w:t>公司主要业务一定程度上依赖于国家对电力、军工、铁路与轨道交通的投资建设力度，并较大程度依</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赖于国家电网、南方电网、铁路总公司、军工科研院所等直接客户的经营战略和采购政策。如果以上产业</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受宏观环境、国家产业政策等因素影响而发生不利变化，或上述客户单位的经营战略和采购政策发生重大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不利变化，则会对公司产生不利的影响。</w:t>
      </w:r>
    </w:p>
    <w:p>
      <w:pPr>
        <w:spacing w:line="432" w:lineRule="exact" w:before="27"/>
        <w:ind w:left="574" w:right="11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、备货生产增加导致期末库存无法及时结转销售收入的风险 公司主要通过招投标方式取得销售合同，并主要采取</w:t>
      </w:r>
      <w:r>
        <w:rPr>
          <w:rFonts w:ascii="Times New Roman" w:hAnsi="Times New Roman" w:cs="Times New Roman" w:eastAsia="Times New Roman" w:hint="default"/>
          <w:sz w:val="21"/>
          <w:szCs w:val="21"/>
        </w:rPr>
        <w:t>“</w:t>
      </w:r>
      <w:r>
        <w:rPr>
          <w:rFonts w:ascii="宋体" w:hAnsi="宋体" w:cs="宋体" w:eastAsia="宋体" w:hint="default"/>
          <w:sz w:val="21"/>
          <w:szCs w:val="21"/>
        </w:rPr>
        <w:t>以销定产</w:t>
      </w:r>
      <w:r>
        <w:rPr>
          <w:rFonts w:ascii="Times New Roman" w:hAnsi="Times New Roman" w:cs="Times New Roman" w:eastAsia="Times New Roman" w:hint="default"/>
          <w:sz w:val="21"/>
          <w:szCs w:val="21"/>
        </w:rPr>
        <w:t>”</w:t>
      </w:r>
      <w:r>
        <w:rPr>
          <w:rFonts w:ascii="宋体" w:hAnsi="宋体" w:cs="宋体" w:eastAsia="宋体" w:hint="default"/>
          <w:sz w:val="21"/>
          <w:szCs w:val="21"/>
        </w:rPr>
        <w:t>的模式组织生产。但随着市场需求的</w:t>
      </w:r>
    </w:p>
    <w:p>
      <w:pPr>
        <w:spacing w:line="255"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增加，公司为确保如期交货，根据市场潜在需求以及预期中标成功率情况，提前安排销售把握较大产品的</w:t>
      </w:r>
    </w:p>
    <w:p>
      <w:pPr>
        <w:spacing w:line="273" w:lineRule="auto" w:before="37"/>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生产。公司库存商品与发出商品期末余额的高低主要取决于生产交货、客户验收确认速度的快慢以及预先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备货生产项目的增减变动。公司报告期期末存货的总体金额不大，但随着备货生产的增加，公司存在因客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户项目取消、变更以及未能成功中标等情况而无法及时结转销售收入的风险。</w:t>
      </w:r>
    </w:p>
    <w:p>
      <w:pPr>
        <w:spacing w:line="357" w:lineRule="auto" w:before="1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、应收账款无法及时收回的风险 </w:t>
      </w:r>
      <w:r>
        <w:rPr>
          <w:rFonts w:ascii="宋体" w:hAnsi="宋体" w:cs="宋体" w:eastAsia="宋体" w:hint="default"/>
          <w:spacing w:val="-1"/>
          <w:sz w:val="21"/>
          <w:szCs w:val="21"/>
        </w:rPr>
        <w:t>公司主要客户来自电力、军工、铁路等国有大型企业和部分海外客户，受到其结算惯例的影响，公司</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应收账款收款周期相对较长，导致期末应收账款相对较高。随着公司经营规模的不断扩大，应收账款的规</w:t>
      </w:r>
    </w:p>
    <w:p>
      <w:pPr>
        <w:spacing w:line="273" w:lineRule="auto" w:before="37"/>
        <w:ind w:left="154" w:right="1023" w:firstLine="0"/>
        <w:jc w:val="left"/>
        <w:rPr>
          <w:rFonts w:ascii="宋体" w:hAnsi="宋体" w:cs="宋体" w:eastAsia="宋体" w:hint="default"/>
          <w:sz w:val="21"/>
          <w:szCs w:val="21"/>
        </w:rPr>
      </w:pPr>
      <w:r>
        <w:rPr>
          <w:rFonts w:ascii="宋体" w:hAnsi="宋体" w:cs="宋体" w:eastAsia="宋体" w:hint="default"/>
          <w:spacing w:val="-3"/>
          <w:sz w:val="21"/>
          <w:szCs w:val="21"/>
        </w:rPr>
        <w:t>模可能会持续增长，如果国内外经济环境、客户信用状况等发生变化，公司存在应收账款不能够及时回收，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从而影响公司资金流动性和利用效率的风险。</w:t>
      </w:r>
    </w:p>
    <w:p>
      <w:pPr>
        <w:spacing w:line="357" w:lineRule="auto" w:before="128"/>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、技术跟不上行业发展的风险 </w:t>
      </w:r>
      <w:r>
        <w:rPr>
          <w:rFonts w:ascii="宋体" w:hAnsi="宋体" w:cs="宋体" w:eastAsia="宋体" w:hint="default"/>
          <w:spacing w:val="-1"/>
          <w:sz w:val="21"/>
          <w:szCs w:val="21"/>
        </w:rPr>
        <w:t>公司在电力、军工、铁路与轨道交通三大板块的主营业务均属于技术密集型产品，不仅涉及电力电子</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技术、信号处理技术、通信技术、控制技术、计算机技术等前沿学科，自身存在多学科交叉、融合的技术</w:t>
      </w:r>
    </w:p>
    <w:p>
      <w:pPr>
        <w:spacing w:before="37"/>
        <w:ind w:left="154" w:right="0" w:firstLine="0"/>
        <w:jc w:val="both"/>
        <w:rPr>
          <w:rFonts w:ascii="宋体" w:hAnsi="宋体" w:cs="宋体" w:eastAsia="宋体" w:hint="default"/>
          <w:sz w:val="21"/>
          <w:szCs w:val="21"/>
        </w:rPr>
      </w:pPr>
      <w:r>
        <w:rPr>
          <w:rFonts w:ascii="宋体" w:hAnsi="宋体" w:cs="宋体" w:eastAsia="宋体" w:hint="default"/>
          <w:sz w:val="21"/>
          <w:szCs w:val="21"/>
        </w:rPr>
        <w:t>特征，而且所面向的客户对象均属于对科学技术发展动向有迫切跟踪、追赶、超越需求的重大行业，产品</w:t>
      </w:r>
    </w:p>
    <w:p>
      <w:pPr>
        <w:spacing w:after="0"/>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的自我技术更迭周期较短。如果公司未来在研发的基础平台、研发的人员数量、研发人员的知识结构更新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无法跟上上述相关领域技术发展的趋势或者公司研发项目储备、研发投入不足，则可能导致公司的技术研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发能力无法跟上整个行业发展步伐，从而给公司的可持续发展带来不利影响。</w:t>
      </w:r>
    </w:p>
    <w:p>
      <w:pPr>
        <w:spacing w:line="357" w:lineRule="auto" w:before="1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、规模快速扩张引致的风险 </w:t>
      </w:r>
      <w:r>
        <w:rPr>
          <w:rFonts w:ascii="宋体" w:hAnsi="宋体" w:cs="宋体" w:eastAsia="宋体" w:hint="default"/>
          <w:spacing w:val="-1"/>
          <w:sz w:val="21"/>
          <w:szCs w:val="21"/>
        </w:rPr>
        <w:t>随着公司战略发展规划的实施，公司的组织架构、业务种类、资产规模和人员数量等都快速扩张，这</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将对公司现有的战略规划、制度建设、组织设置、营运管理、财务管理、内部控制等方面带来较大挑战。</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如果公司管理层不能及时调整公司管理体制，未能良好把握调整时机或者选任相关职位的管理人员决策不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当，都可能阻碍公司业务的正常开展或者错失发展良机。</w:t>
      </w:r>
    </w:p>
    <w:p>
      <w:pPr>
        <w:spacing w:line="357" w:lineRule="auto" w:before="1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、人才流失的风险 </w:t>
      </w:r>
      <w:r>
        <w:rPr>
          <w:rFonts w:ascii="宋体" w:hAnsi="宋体" w:cs="宋体" w:eastAsia="宋体" w:hint="default"/>
          <w:spacing w:val="-1"/>
          <w:sz w:val="21"/>
          <w:szCs w:val="21"/>
        </w:rPr>
        <w:t>人才是企业发展的基石。公司之前的发展与公司建立起的高管团队、营销团队及研发团队有着密切的</w:t>
      </w:r>
    </w:p>
    <w:p>
      <w:pPr>
        <w:spacing w:line="209"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关系。随着公司发展战略的逐步实施，公司对生产、管理、技术、研发、销售等方面的人才的需求将会逐</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步增加。如果公司无法制定行之有效的人力资源管理制度来留住人才、吸引人才，那么，公司将会面临人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才流失的风险和无法引进优秀人才的风险，从而影响公司的长远发展。</w:t>
      </w:r>
    </w:p>
    <w:p>
      <w:pPr>
        <w:spacing w:line="432" w:lineRule="exact" w:before="2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、商誉减值的风险 </w:t>
      </w:r>
      <w:r>
        <w:rPr>
          <w:rFonts w:ascii="宋体" w:hAnsi="宋体" w:cs="宋体" w:eastAsia="宋体" w:hint="default"/>
          <w:spacing w:val="-3"/>
          <w:sz w:val="21"/>
          <w:szCs w:val="21"/>
        </w:rPr>
        <w:t>公司于</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月，完成收购银川卧龙</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股权和星波通信</w:t>
      </w:r>
      <w:r>
        <w:rPr>
          <w:rFonts w:ascii="Times New Roman" w:hAnsi="Times New Roman" w:cs="Times New Roman" w:eastAsia="Times New Roman" w:hint="default"/>
          <w:spacing w:val="-3"/>
          <w:sz w:val="21"/>
          <w:szCs w:val="21"/>
        </w:rPr>
        <w:t>67.54%</w:t>
      </w:r>
      <w:r>
        <w:rPr>
          <w:rFonts w:ascii="宋体" w:hAnsi="宋体" w:cs="宋体" w:eastAsia="宋体" w:hint="default"/>
          <w:spacing w:val="-3"/>
          <w:sz w:val="21"/>
          <w:szCs w:val="21"/>
        </w:rPr>
        <w:t>股权，在并购过程中形成较大商誉，</w:t>
      </w:r>
    </w:p>
    <w:p>
      <w:pPr>
        <w:spacing w:line="255"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根据《企业会计准则》规定，本次交易形成的商誉不作摊销处理，但需在每年年末进行减值测试。若被并</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购公司所处行业、金融政策、宏观经济环境等发生重大不利变化，导致盈利不及预期，继而面临潜在的商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誉减值风险，将对公司未来的经营业绩造成不利影响。</w:t>
      </w:r>
    </w:p>
    <w:p>
      <w:pPr>
        <w:spacing w:line="273" w:lineRule="auto" w:before="127"/>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应对措施：公司将积极加强并购后资源整合，推进协同效应，切实提高并购公司市场竞争力及抗风险</w:t>
      </w:r>
      <w:r>
        <w:rPr>
          <w:rFonts w:ascii="宋体" w:hAnsi="宋体" w:cs="宋体" w:eastAsia="宋体" w:hint="default"/>
          <w:sz w:val="21"/>
          <w:szCs w:val="21"/>
        </w:rPr>
        <w:t> </w:t>
      </w:r>
      <w:r>
        <w:rPr>
          <w:rFonts w:ascii="宋体" w:hAnsi="宋体" w:cs="宋体" w:eastAsia="宋体" w:hint="default"/>
          <w:spacing w:val="-1"/>
          <w:sz w:val="21"/>
          <w:szCs w:val="21"/>
        </w:rPr>
        <w:t>能力，推进并购公司实现预期盈利目标，最大限度地降低商誉减值风险。同时，公司将密切关注可能出现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的风险因素的动态变化，关注本行业、相关领域及上、下游行业、领域的变化趋势。若风险因素已经较明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显显现，公司将采取调整规划、调整规划实施方案等措施，并采用多渠道、多种灵活方式实现公司战略目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报告期内接待调研、沟通、采访等活动登记表"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730.219971pt;width:290.95pt;height:20.75pt;mso-position-horizontal-relative:page;mso-position-vertical-relative:page;z-index:-1265464" coordorigin="4857,14604" coordsize="5819,415">
            <v:group style="position:absolute;left:4868;top:14616;width:2;height:392" coordorigin="4868,14616" coordsize="2,392">
              <v:shape style="position:absolute;left:4868;top:14616;width:2;height:392" coordorigin="4868,14616" coordsize="0,392" path="m4868,14616l4868,15007e" filled="false" stroked="true" strokeweight="1.160pt" strokecolor="#ffffff">
                <v:path arrowok="t"/>
              </v:shape>
            </v:group>
            <v:group style="position:absolute;left:4880;top:14616;width:5796;height:392" coordorigin="4880,14616" coordsize="5796,392">
              <v:shape style="position:absolute;left:4880;top:14616;width:5796;height:392" coordorigin="4880,14616" coordsize="5796,392" path="m4880,15007l10675,15007,10675,14616,4880,14616,4880,1500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01"/>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7"/>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156"/>
        <w:ind w:left="154" w:right="1131" w:firstLine="420"/>
        <w:jc w:val="both"/>
        <w:rPr>
          <w:rFonts w:ascii="宋体" w:hAnsi="宋体" w:cs="宋体" w:eastAsia="宋体" w:hint="default"/>
          <w:sz w:val="21"/>
          <w:szCs w:val="21"/>
        </w:rPr>
      </w:pPr>
      <w:r>
        <w:rPr>
          <w:rFonts w:ascii="宋体" w:hAnsi="宋体" w:cs="宋体" w:eastAsia="宋体" w:hint="default"/>
          <w:sz w:val="21"/>
          <w:szCs w:val="21"/>
        </w:rPr>
        <w:t>报告期内，公司严格按照《公司章程》、股利分配政策及</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年年度股东大会 </w:t>
      </w:r>
      <w:r>
        <w:rPr>
          <w:rFonts w:ascii="宋体" w:hAnsi="宋体" w:cs="宋体" w:eastAsia="宋体" w:hint="default"/>
          <w:spacing w:val="-2"/>
          <w:sz w:val="21"/>
          <w:szCs w:val="21"/>
        </w:rPr>
        <w:t>审议通过的《关于公司未来三年（</w:t>
      </w:r>
      <w:r>
        <w:rPr>
          <w:rFonts w:ascii="Times New Roman" w:hAnsi="Times New Roman" w:cs="Times New Roman" w:eastAsia="Times New Roman" w:hint="default"/>
          <w:spacing w:val="-2"/>
          <w:sz w:val="21"/>
          <w:szCs w:val="21"/>
        </w:rPr>
        <w:t>2017-2019</w:t>
      </w:r>
      <w:r>
        <w:rPr>
          <w:rFonts w:ascii="宋体" w:hAnsi="宋体" w:cs="宋体" w:eastAsia="宋体" w:hint="default"/>
          <w:spacing w:val="-2"/>
          <w:sz w:val="21"/>
          <w:szCs w:val="21"/>
        </w:rPr>
        <w:t>年度）股东分红回报规划的议案》，制定利润分配方案。《关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于公司</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年度利润分配预案的议案》经由公司董事会、监事会和股东大会审议通过，独立董事发表独立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意见，并在规定时间内实施，切实保证了全体股东的利益。</w:t>
      </w:r>
    </w:p>
    <w:p>
      <w:pPr>
        <w:spacing w:line="256" w:lineRule="auto" w:before="142"/>
        <w:ind w:left="154" w:right="1130" w:firstLine="420"/>
        <w:jc w:val="both"/>
        <w:rPr>
          <w:rFonts w:ascii="宋体" w:hAnsi="宋体" w:cs="宋体" w:eastAsia="宋体" w:hint="default"/>
          <w:sz w:val="21"/>
          <w:szCs w:val="21"/>
        </w:rPr>
      </w:pPr>
      <w:r>
        <w:rPr>
          <w:rFonts w:ascii="宋体" w:hAnsi="宋体" w:cs="宋体" w:eastAsia="宋体" w:hint="default"/>
          <w:spacing w:val="-1"/>
          <w:sz w:val="21"/>
          <w:szCs w:val="21"/>
        </w:rPr>
        <w:t>公司于</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28</w:t>
      </w:r>
      <w:r>
        <w:rPr>
          <w:rFonts w:ascii="宋体" w:hAnsi="宋体" w:cs="宋体" w:eastAsia="宋体" w:hint="default"/>
          <w:spacing w:val="-1"/>
          <w:sz w:val="21"/>
          <w:szCs w:val="21"/>
        </w:rPr>
        <w:t>日召开的第四届董事会第六次会议、第四届监事会第六次会议及</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日召</w:t>
      </w:r>
      <w:r>
        <w:rPr>
          <w:rFonts w:ascii="宋体" w:hAnsi="宋体" w:cs="宋体" w:eastAsia="宋体" w:hint="default"/>
          <w:sz w:val="21"/>
          <w:szCs w:val="21"/>
        </w:rPr>
        <w:t> </w:t>
      </w:r>
      <w:r>
        <w:rPr>
          <w:rFonts w:ascii="宋体" w:hAnsi="宋体" w:cs="宋体" w:eastAsia="宋体" w:hint="default"/>
          <w:spacing w:val="11"/>
          <w:sz w:val="21"/>
          <w:szCs w:val="21"/>
        </w:rPr>
        <w:t>开的</w:t>
      </w:r>
      <w:r>
        <w:rPr>
          <w:rFonts w:ascii="Times New Roman" w:hAnsi="Times New Roman" w:cs="Times New Roman" w:eastAsia="Times New Roman" w:hint="default"/>
          <w:spacing w:val="11"/>
          <w:sz w:val="21"/>
          <w:szCs w:val="21"/>
        </w:rPr>
        <w:t>2017</w:t>
      </w:r>
      <w:r>
        <w:rPr>
          <w:rFonts w:ascii="宋体" w:hAnsi="宋体" w:cs="宋体" w:eastAsia="宋体" w:hint="default"/>
          <w:spacing w:val="11"/>
          <w:sz w:val="21"/>
          <w:szCs w:val="21"/>
        </w:rPr>
        <w:t>年年度股东大会审议通过的</w:t>
      </w:r>
      <w:r>
        <w:rPr>
          <w:rFonts w:ascii="Times New Roman" w:hAnsi="Times New Roman" w:cs="Times New Roman" w:eastAsia="Times New Roman" w:hint="default"/>
          <w:spacing w:val="11"/>
          <w:sz w:val="21"/>
          <w:szCs w:val="21"/>
        </w:rPr>
        <w:t>2017</w:t>
      </w:r>
      <w:r>
        <w:rPr>
          <w:rFonts w:ascii="宋体" w:hAnsi="宋体" w:cs="宋体" w:eastAsia="宋体" w:hint="default"/>
          <w:spacing w:val="11"/>
          <w:sz w:val="21"/>
          <w:szCs w:val="21"/>
        </w:rPr>
        <w:t>年度利润分配方案为：以截止</w:t>
      </w:r>
      <w:r>
        <w:rPr>
          <w:rFonts w:ascii="Times New Roman" w:hAnsi="Times New Roman" w:cs="Times New Roman" w:eastAsia="Times New Roman" w:hint="default"/>
          <w:spacing w:val="11"/>
          <w:sz w:val="21"/>
          <w:szCs w:val="21"/>
        </w:rPr>
        <w:t>2017</w:t>
      </w:r>
      <w:r>
        <w:rPr>
          <w:rFonts w:ascii="宋体" w:hAnsi="宋体" w:cs="宋体" w:eastAsia="宋体" w:hint="default"/>
          <w:spacing w:val="11"/>
          <w:sz w:val="21"/>
          <w:szCs w:val="21"/>
        </w:rPr>
        <w:t>年</w:t>
      </w:r>
      <w:r>
        <w:rPr>
          <w:rFonts w:ascii="Times New Roman" w:hAnsi="Times New Roman" w:cs="Times New Roman" w:eastAsia="Times New Roman" w:hint="default"/>
          <w:spacing w:val="11"/>
          <w:sz w:val="21"/>
          <w:szCs w:val="21"/>
        </w:rPr>
        <w:t>12</w:t>
      </w:r>
      <w:r>
        <w:rPr>
          <w:rFonts w:ascii="宋体" w:hAnsi="宋体" w:cs="宋体" w:eastAsia="宋体" w:hint="default"/>
          <w:spacing w:val="11"/>
          <w:sz w:val="21"/>
          <w:szCs w:val="21"/>
        </w:rPr>
        <w:t>月</w:t>
      </w:r>
      <w:r>
        <w:rPr>
          <w:rFonts w:ascii="Times New Roman" w:hAnsi="Times New Roman" w:cs="Times New Roman" w:eastAsia="Times New Roman" w:hint="default"/>
          <w:spacing w:val="11"/>
          <w:sz w:val="21"/>
          <w:szCs w:val="21"/>
        </w:rPr>
        <w:t>31</w:t>
      </w:r>
      <w:r>
        <w:rPr>
          <w:rFonts w:ascii="宋体" w:hAnsi="宋体" w:cs="宋体" w:eastAsia="宋体" w:hint="default"/>
          <w:spacing w:val="11"/>
          <w:sz w:val="21"/>
          <w:szCs w:val="21"/>
        </w:rPr>
        <w:t>日公司总股本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Times New Roman" w:hAnsi="Times New Roman" w:cs="Times New Roman" w:eastAsia="Times New Roman" w:hint="default"/>
          <w:sz w:val="21"/>
          <w:szCs w:val="21"/>
        </w:rPr>
        <w:t>352,586,786</w:t>
      </w:r>
      <w:r>
        <w:rPr>
          <w:rFonts w:ascii="宋体" w:hAnsi="宋体" w:cs="宋体" w:eastAsia="宋体" w:hint="default"/>
          <w:sz w:val="21"/>
          <w:szCs w:val="21"/>
        </w:rPr>
        <w:t>股为基数，以未分配利润向全体股东每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w:t>
      </w:r>
      <w:r>
        <w:rPr>
          <w:rFonts w:ascii="Times New Roman" w:hAnsi="Times New Roman" w:cs="Times New Roman" w:eastAsia="Times New Roman" w:hint="default"/>
          <w:sz w:val="21"/>
          <w:szCs w:val="21"/>
        </w:rPr>
        <w:t>0.73</w:t>
      </w:r>
      <w:r>
        <w:rPr>
          <w:rFonts w:ascii="宋体" w:hAnsi="宋体" w:cs="宋体" w:eastAsia="宋体" w:hint="default"/>
          <w:sz w:val="21"/>
          <w:szCs w:val="21"/>
        </w:rPr>
        <w:t>元（含税），共计派发股利人民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币</w:t>
      </w:r>
      <w:r>
        <w:rPr>
          <w:rFonts w:ascii="Times New Roman" w:hAnsi="Times New Roman" w:cs="Times New Roman" w:eastAsia="Times New Roman" w:hint="default"/>
          <w:sz w:val="21"/>
          <w:szCs w:val="21"/>
        </w:rPr>
        <w:t>25,738,835.38</w:t>
      </w:r>
      <w:r>
        <w:rPr>
          <w:rFonts w:ascii="宋体" w:hAnsi="宋体" w:cs="宋体" w:eastAsia="宋体" w:hint="default"/>
          <w:sz w:val="21"/>
          <w:szCs w:val="21"/>
        </w:rPr>
        <w:t>元。</w:t>
      </w:r>
    </w:p>
    <w:p>
      <w:pPr>
        <w:spacing w:line="256" w:lineRule="auto" w:before="125"/>
        <w:ind w:left="154" w:right="1130"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日，公司在中国证监会指定信息披露网站巨潮资讯网刊登了《</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年年度权益分派实施公</w:t>
      </w:r>
      <w:r>
        <w:rPr>
          <w:rFonts w:ascii="宋体" w:hAnsi="宋体" w:cs="宋体" w:eastAsia="宋体" w:hint="default"/>
          <w:sz w:val="21"/>
          <w:szCs w:val="21"/>
        </w:rPr>
        <w:t> 告》。本次权益分派股权登记日为</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日，除权除息日为</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p>
      <w:pPr>
        <w:spacing w:line="240" w:lineRule="auto" w:before="9"/>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358,340,754</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46,225,957.27</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46,225,957.27</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86,864,715.67</w:t>
            </w:r>
          </w:p>
        </w:tc>
      </w:tr>
      <w:tr>
        <w:trPr>
          <w:trHeight w:val="714"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年利润分配预案如下：经致同会计师事务所（特殊普通合伙）审计，母公司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年实现净利润为人民币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96,516,350.74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元，合并报表归属母公司所有者净利润为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229,398,154.36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元。根据《公司章程》等相关规定，扣除应计提的法定盈余公积</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即人民币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9,651,635.07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元后，当年可供股东分配的利润为人民币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86,864,715.67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元，加上以前年度累计可供分配利润，</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母公司累计可供股东分配的利润为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312,559,426.07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元，资本公积余额为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1,077,883,895.33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元。鉴于公司正处于发展期，统筹</w:t>
            </w:r>
            <w:r>
              <w:rPr>
                <w:rFonts w:ascii="宋体" w:hAnsi="宋体" w:cs="宋体" w:eastAsia="宋体" w:hint="default"/>
                <w:sz w:val="18"/>
                <w:szCs w:val="18"/>
              </w:rPr>
              <w:t> 考虑公司资金使用情况，</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年度利润分配预案为：以公司现有总股本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358,340,754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股为基数，以未分配利润向全体股东 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元（含税），共计派发股利人民币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46,225,957.27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56" w:lineRule="auto" w:before="77"/>
        <w:ind w:left="154" w:right="1129" w:firstLine="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年度，经致同会计师事务所（特殊普通合伙）审计，母公司</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年实现净利润为人民币</w:t>
      </w:r>
      <w:r>
        <w:rPr>
          <w:rFonts w:ascii="Times New Roman" w:hAnsi="Times New Roman" w:cs="Times New Roman" w:eastAsia="Times New Roman" w:hint="default"/>
          <w:spacing w:val="-5"/>
          <w:sz w:val="21"/>
          <w:szCs w:val="21"/>
        </w:rPr>
        <w:t>67,309,560.16</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73,815,900.17</w:t>
      </w:r>
      <w:r>
        <w:rPr>
          <w:rFonts w:ascii="Times New Roman" w:hAnsi="Times New Roman" w:cs="Times New Roman" w:eastAsia="Times New Roman" w:hint="default"/>
          <w:spacing w:val="40"/>
          <w:sz w:val="21"/>
          <w:szCs w:val="21"/>
        </w:rPr>
        <w:t> </w:t>
      </w:r>
      <w:r>
        <w:rPr>
          <w:rFonts w:ascii="宋体" w:hAnsi="宋体" w:cs="宋体" w:eastAsia="宋体" w:hint="default"/>
          <w:spacing w:val="-3"/>
          <w:sz w:val="21"/>
          <w:szCs w:val="21"/>
        </w:rPr>
        <w:t>元。根据《公司章程》等相关规定，扣除应计提的</w:t>
      </w:r>
      <w:r>
        <w:rPr>
          <w:rFonts w:ascii="宋体" w:hAnsi="宋体" w:cs="宋体" w:eastAsia="宋体" w:hint="default"/>
          <w:sz w:val="21"/>
          <w:szCs w:val="21"/>
        </w:rPr>
        <w:t> 法定盈余公积</w:t>
      </w:r>
      <w:r>
        <w:rPr>
          <w:rFonts w:ascii="Times New Roman" w:hAnsi="Times New Roman" w:cs="Times New Roman" w:eastAsia="Times New Roman" w:hint="default"/>
          <w:sz w:val="21"/>
          <w:szCs w:val="21"/>
        </w:rPr>
        <w:t>10%</w:t>
      </w:r>
      <w:r>
        <w:rPr>
          <w:rFonts w:ascii="宋体" w:hAnsi="宋体" w:cs="宋体" w:eastAsia="宋体" w:hint="default"/>
          <w:sz w:val="21"/>
          <w:szCs w:val="21"/>
        </w:rPr>
        <w:t>即人民币</w:t>
      </w:r>
      <w:r>
        <w:rPr>
          <w:rFonts w:ascii="Times New Roman" w:hAnsi="Times New Roman" w:cs="Times New Roman" w:eastAsia="Times New Roman" w:hint="default"/>
          <w:sz w:val="21"/>
          <w:szCs w:val="21"/>
        </w:rPr>
        <w:t>6,730,956.02 </w:t>
      </w:r>
      <w:r>
        <w:rPr>
          <w:rFonts w:ascii="宋体" w:hAnsi="宋体" w:cs="宋体" w:eastAsia="宋体" w:hint="default"/>
          <w:spacing w:val="-3"/>
          <w:sz w:val="21"/>
          <w:szCs w:val="21"/>
        </w:rPr>
        <w:t>元后，当年可供股东分配的利润为人民币</w:t>
      </w:r>
      <w:r>
        <w:rPr>
          <w:rFonts w:ascii="Times New Roman" w:hAnsi="Times New Roman" w:cs="Times New Roman" w:eastAsia="Times New Roman" w:hint="default"/>
          <w:spacing w:val="-3"/>
          <w:sz w:val="21"/>
          <w:szCs w:val="21"/>
        </w:rPr>
        <w:t>60,578,604.14</w:t>
      </w:r>
      <w:r>
        <w:rPr>
          <w:rFonts w:ascii="宋体" w:hAnsi="宋体" w:cs="宋体" w:eastAsia="宋体" w:hint="default"/>
          <w:spacing w:val="-3"/>
          <w:sz w:val="21"/>
          <w:szCs w:val="21"/>
        </w:rPr>
        <w:t>元，加上以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9"/>
          <w:sz w:val="21"/>
          <w:szCs w:val="21"/>
        </w:rPr>
        <w:t>前年度累计可供分配利润，</w:t>
      </w:r>
      <w:r>
        <w:rPr>
          <w:rFonts w:ascii="宋体" w:hAnsi="宋体" w:cs="宋体" w:eastAsia="宋体" w:hint="default"/>
          <w:spacing w:val="-82"/>
          <w:sz w:val="21"/>
          <w:szCs w:val="21"/>
        </w:rPr>
        <w:t> </w:t>
      </w:r>
      <w:r>
        <w:rPr>
          <w:rFonts w:ascii="宋体" w:hAnsi="宋体" w:cs="宋体" w:eastAsia="宋体" w:hint="default"/>
          <w:spacing w:val="19"/>
          <w:sz w:val="21"/>
          <w:szCs w:val="21"/>
        </w:rPr>
        <w:t>母公司累计可供股东分配的利润为</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234,535,729.59</w:t>
      </w:r>
      <w:r>
        <w:rPr>
          <w:rFonts w:ascii="Times New Roman" w:hAnsi="Times New Roman" w:cs="Times New Roman" w:eastAsia="Times New Roman" w:hint="default"/>
          <w:spacing w:val="-29"/>
          <w:sz w:val="21"/>
          <w:szCs w:val="21"/>
        </w:rPr>
        <w:t> </w:t>
      </w:r>
      <w:r>
        <w:rPr>
          <w:rFonts w:ascii="宋体" w:hAnsi="宋体" w:cs="宋体" w:eastAsia="宋体" w:hint="default"/>
          <w:spacing w:val="10"/>
          <w:sz w:val="21"/>
          <w:szCs w:val="21"/>
        </w:rPr>
        <w:t>元，</w:t>
      </w:r>
      <w:r>
        <w:rPr>
          <w:rFonts w:ascii="宋体" w:hAnsi="宋体" w:cs="宋体" w:eastAsia="宋体" w:hint="default"/>
          <w:spacing w:val="-83"/>
          <w:sz w:val="21"/>
          <w:szCs w:val="21"/>
        </w:rPr>
        <w:t> </w:t>
      </w:r>
      <w:r>
        <w:rPr>
          <w:rFonts w:ascii="宋体" w:hAnsi="宋体" w:cs="宋体" w:eastAsia="宋体" w:hint="default"/>
          <w:spacing w:val="17"/>
          <w:sz w:val="21"/>
          <w:szCs w:val="21"/>
        </w:rPr>
        <w:t>资本公积余额为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pacing w:val="-2"/>
          <w:sz w:val="21"/>
          <w:szCs w:val="21"/>
        </w:rPr>
        <w:t>4,450,557.81</w:t>
      </w:r>
      <w:r>
        <w:rPr>
          <w:rFonts w:ascii="宋体" w:hAnsi="宋体" w:cs="宋体" w:eastAsia="宋体" w:hint="default"/>
          <w:spacing w:val="-2"/>
          <w:sz w:val="21"/>
          <w:szCs w:val="21"/>
        </w:rPr>
        <w:t>元。鉴于公司正处于发展期，统筹考虑公司资金使用情况及公司控股股东、实际控制人的合理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提议，</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年利润分配预案为：以截止</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日公司总股本</w:t>
      </w:r>
      <w:r>
        <w:rPr>
          <w:rFonts w:ascii="Times New Roman" w:hAnsi="Times New Roman" w:cs="Times New Roman" w:eastAsia="Times New Roman" w:hint="default"/>
          <w:spacing w:val="-2"/>
          <w:sz w:val="21"/>
          <w:szCs w:val="21"/>
        </w:rPr>
        <w:t>28374.4</w:t>
      </w:r>
      <w:r>
        <w:rPr>
          <w:rFonts w:ascii="宋体" w:hAnsi="宋体" w:cs="宋体" w:eastAsia="宋体" w:hint="default"/>
          <w:spacing w:val="-2"/>
          <w:sz w:val="21"/>
          <w:szCs w:val="21"/>
        </w:rPr>
        <w:t>万股为基数，以未分配利润向全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w:t>
      </w:r>
      <w:r>
        <w:rPr>
          <w:rFonts w:ascii="Times New Roman" w:hAnsi="Times New Roman" w:cs="Times New Roman" w:eastAsia="Times New Roman" w:hint="default"/>
          <w:sz w:val="21"/>
          <w:szCs w:val="21"/>
        </w:rPr>
        <w:t>0.45</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12,768,480</w:t>
      </w:r>
      <w:r>
        <w:rPr>
          <w:rFonts w:ascii="宋体" w:hAnsi="宋体" w:cs="宋体" w:eastAsia="宋体" w:hint="default"/>
          <w:sz w:val="21"/>
          <w:szCs w:val="21"/>
        </w:rPr>
        <w:t>元。</w:t>
      </w:r>
    </w:p>
    <w:p>
      <w:pPr>
        <w:spacing w:line="240" w:lineRule="auto" w:before="3"/>
        <w:rPr>
          <w:rFonts w:ascii="宋体" w:hAnsi="宋体" w:cs="宋体" w:eastAsia="宋体" w:hint="default"/>
          <w:sz w:val="24"/>
          <w:szCs w:val="24"/>
        </w:rPr>
      </w:pPr>
    </w:p>
    <w:p>
      <w:pPr>
        <w:spacing w:line="256" w:lineRule="auto" w:before="0"/>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年利润分配预案如下：经致同会计师事务所（特殊普通合伙）审计，母公司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年实现净利润为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人民币</w:t>
      </w:r>
      <w:r>
        <w:rPr>
          <w:rFonts w:ascii="Times New Roman" w:hAnsi="Times New Roman" w:cs="Times New Roman" w:eastAsia="Times New Roman" w:hint="default"/>
          <w:sz w:val="21"/>
          <w:szCs w:val="21"/>
        </w:rPr>
        <w:t>32,961,907.78</w:t>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117,949,954.85 </w:t>
      </w:r>
      <w:r>
        <w:rPr>
          <w:rFonts w:ascii="宋体" w:hAnsi="宋体" w:cs="宋体" w:eastAsia="宋体" w:hint="default"/>
          <w:spacing w:val="2"/>
          <w:sz w:val="21"/>
          <w:szCs w:val="21"/>
        </w:rPr>
        <w:t>元。根据《公司章程》等相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6"/>
          <w:sz w:val="21"/>
          <w:szCs w:val="21"/>
        </w:rPr>
        <w:t>关规定，扣除应计提的法定盈余公积</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即人民币</w:t>
      </w:r>
      <w:r>
        <w:rPr>
          <w:rFonts w:ascii="Times New Roman" w:hAnsi="Times New Roman" w:cs="Times New Roman" w:eastAsia="Times New Roman" w:hint="default"/>
          <w:spacing w:val="6"/>
          <w:sz w:val="21"/>
          <w:szCs w:val="21"/>
        </w:rPr>
        <w:t>3,296,190.78</w:t>
      </w:r>
      <w:r>
        <w:rPr>
          <w:rFonts w:ascii="宋体" w:hAnsi="宋体" w:cs="宋体" w:eastAsia="宋体" w:hint="default"/>
          <w:spacing w:val="6"/>
          <w:sz w:val="21"/>
          <w:szCs w:val="21"/>
        </w:rPr>
        <w:t>元后，当年可供股东分配的利润为人民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Times New Roman" w:hAnsi="Times New Roman" w:cs="Times New Roman" w:eastAsia="Times New Roman" w:hint="default"/>
          <w:sz w:val="21"/>
          <w:szCs w:val="21"/>
        </w:rPr>
        <w:t>29,665,717.00</w:t>
      </w:r>
      <w:r>
        <w:rPr>
          <w:rFonts w:ascii="宋体" w:hAnsi="宋体" w:cs="宋体" w:eastAsia="宋体" w:hint="default"/>
          <w:sz w:val="21"/>
          <w:szCs w:val="21"/>
        </w:rPr>
        <w:t>元，加上以前年度累计可供分配利润，母公司累计可供股东分配的利润为</w:t>
      </w:r>
      <w:r>
        <w:rPr>
          <w:rFonts w:ascii="Times New Roman" w:hAnsi="Times New Roman" w:cs="Times New Roman" w:eastAsia="Times New Roman" w:hint="default"/>
          <w:sz w:val="21"/>
          <w:szCs w:val="21"/>
        </w:rPr>
        <w:t>251,432,966.59</w:t>
      </w:r>
      <w:r>
        <w:rPr>
          <w:rFonts w:ascii="宋体" w:hAnsi="宋体" w:cs="宋体" w:eastAsia="宋体" w:hint="default"/>
          <w:sz w:val="21"/>
          <w:szCs w:val="21"/>
        </w:rPr>
        <w:t>元， </w:t>
      </w:r>
      <w:r>
        <w:rPr>
          <w:rFonts w:ascii="宋体" w:hAnsi="宋体" w:cs="宋体" w:eastAsia="宋体" w:hint="default"/>
          <w:spacing w:val="-3"/>
          <w:sz w:val="21"/>
          <w:szCs w:val="21"/>
        </w:rPr>
        <w:t>资本公积余额为</w:t>
      </w:r>
      <w:r>
        <w:rPr>
          <w:rFonts w:ascii="Times New Roman" w:hAnsi="Times New Roman" w:cs="Times New Roman" w:eastAsia="Times New Roman" w:hint="default"/>
          <w:spacing w:val="-3"/>
          <w:sz w:val="21"/>
          <w:szCs w:val="21"/>
        </w:rPr>
        <w:t>1,077,883,895.33</w:t>
      </w:r>
      <w:r>
        <w:rPr>
          <w:rFonts w:ascii="宋体" w:hAnsi="宋体" w:cs="宋体" w:eastAsia="宋体" w:hint="default"/>
          <w:spacing w:val="-3"/>
          <w:sz w:val="21"/>
          <w:szCs w:val="21"/>
        </w:rPr>
        <w:t>元。鉴于公司正处于发展期，统筹考虑公司资金使用情况及公司控股股东、</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实际控制人的合理提议，</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年利润分配预案为：以截止</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日公司总股本</w:t>
      </w:r>
      <w:r>
        <w:rPr>
          <w:rFonts w:ascii="Times New Roman" w:hAnsi="Times New Roman" w:cs="Times New Roman" w:eastAsia="Times New Roman" w:hint="default"/>
          <w:spacing w:val="-3"/>
          <w:sz w:val="21"/>
          <w:szCs w:val="21"/>
        </w:rPr>
        <w:t>352,586,786</w:t>
      </w:r>
      <w:r>
        <w:rPr>
          <w:rFonts w:ascii="宋体" w:hAnsi="宋体" w:cs="宋体" w:eastAsia="宋体" w:hint="default"/>
          <w:spacing w:val="-3"/>
          <w:sz w:val="21"/>
          <w:szCs w:val="21"/>
        </w:rPr>
        <w:t>股为基数，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以未分配利润向全体股东每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w:t>
      </w:r>
      <w:r>
        <w:rPr>
          <w:rFonts w:ascii="Times New Roman" w:hAnsi="Times New Roman" w:cs="Times New Roman" w:eastAsia="Times New Roman" w:hint="default"/>
          <w:sz w:val="21"/>
          <w:szCs w:val="21"/>
        </w:rPr>
        <w:t>0.73</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25,738,835.38</w:t>
      </w:r>
      <w:r>
        <w:rPr>
          <w:rFonts w:ascii="宋体" w:hAnsi="宋体" w:cs="宋体" w:eastAsia="宋体" w:hint="default"/>
          <w:sz w:val="21"/>
          <w:szCs w:val="21"/>
        </w:rPr>
        <w:t>元。</w:t>
      </w:r>
    </w:p>
    <w:p>
      <w:pPr>
        <w:spacing w:line="240" w:lineRule="auto" w:before="3"/>
        <w:rPr>
          <w:rFonts w:ascii="宋体" w:hAnsi="宋体" w:cs="宋体" w:eastAsia="宋体" w:hint="default"/>
          <w:sz w:val="24"/>
          <w:szCs w:val="24"/>
        </w:rPr>
      </w:pPr>
    </w:p>
    <w:p>
      <w:pPr>
        <w:spacing w:line="256" w:lineRule="auto" w:before="0"/>
        <w:ind w:left="154" w:right="110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年利润分配预案如下：经致同会计师事务所（特殊普通合伙）审计，母公司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年实现净利润为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1"/>
          <w:sz w:val="21"/>
          <w:szCs w:val="21"/>
        </w:rPr>
        <w:t>人民币</w:t>
      </w:r>
      <w:r>
        <w:rPr>
          <w:rFonts w:ascii="Times New Roman" w:hAnsi="Times New Roman" w:cs="Times New Roman" w:eastAsia="Times New Roman" w:hint="default"/>
          <w:spacing w:val="-1"/>
          <w:sz w:val="21"/>
          <w:szCs w:val="21"/>
        </w:rPr>
        <w:t>96,516,350.74</w:t>
      </w:r>
      <w:r>
        <w:rPr>
          <w:rFonts w:ascii="宋体" w:hAnsi="宋体" w:cs="宋体" w:eastAsia="宋体" w:hint="default"/>
          <w:spacing w:val="-1"/>
          <w:sz w:val="21"/>
          <w:szCs w:val="21"/>
        </w:rPr>
        <w:t>元，合并报表归属母公司所有者净利润为</w:t>
      </w:r>
      <w:r>
        <w:rPr>
          <w:rFonts w:ascii="Times New Roman" w:hAnsi="Times New Roman" w:cs="Times New Roman" w:eastAsia="Times New Roman" w:hint="default"/>
          <w:spacing w:val="-1"/>
          <w:sz w:val="21"/>
          <w:szCs w:val="21"/>
        </w:rPr>
        <w:t>229,398,154.36</w:t>
      </w:r>
      <w:r>
        <w:rPr>
          <w:rFonts w:ascii="宋体" w:hAnsi="宋体" w:cs="宋体" w:eastAsia="宋体" w:hint="default"/>
          <w:spacing w:val="-1"/>
          <w:sz w:val="21"/>
          <w:szCs w:val="21"/>
        </w:rPr>
        <w:t>元。根据《公司章程》等相关</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规定，扣除应计提的法定盈余公积</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即人民币</w:t>
      </w:r>
      <w:r>
        <w:rPr>
          <w:rFonts w:ascii="Times New Roman" w:hAnsi="Times New Roman" w:cs="Times New Roman" w:eastAsia="Times New Roman" w:hint="default"/>
          <w:spacing w:val="6"/>
          <w:sz w:val="21"/>
          <w:szCs w:val="21"/>
        </w:rPr>
        <w:t>9,651,635.07</w:t>
      </w:r>
      <w:r>
        <w:rPr>
          <w:rFonts w:ascii="宋体" w:hAnsi="宋体" w:cs="宋体" w:eastAsia="宋体" w:hint="default"/>
          <w:spacing w:val="6"/>
          <w:sz w:val="21"/>
          <w:szCs w:val="21"/>
        </w:rPr>
        <w:t>元后，当年可供股东分配的利润为人民币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Times New Roman" w:hAnsi="Times New Roman" w:cs="Times New Roman" w:eastAsia="Times New Roman" w:hint="default"/>
          <w:sz w:val="21"/>
          <w:szCs w:val="21"/>
        </w:rPr>
        <w:t>86,864,715.67</w:t>
      </w:r>
      <w:r>
        <w:rPr>
          <w:rFonts w:ascii="宋体" w:hAnsi="宋体" w:cs="宋体" w:eastAsia="宋体" w:hint="default"/>
          <w:sz w:val="21"/>
          <w:szCs w:val="21"/>
        </w:rPr>
        <w:t>元，加上以前年度累计可供分配利润，母公司累计可供股东分配的利润为</w:t>
      </w:r>
      <w:r>
        <w:rPr>
          <w:rFonts w:ascii="Times New Roman" w:hAnsi="Times New Roman" w:cs="Times New Roman" w:eastAsia="Times New Roman" w:hint="default"/>
          <w:sz w:val="21"/>
          <w:szCs w:val="21"/>
        </w:rPr>
        <w:t>312,559,426.07</w:t>
      </w:r>
      <w:r>
        <w:rPr>
          <w:rFonts w:ascii="宋体" w:hAnsi="宋体" w:cs="宋体" w:eastAsia="宋体" w:hint="default"/>
          <w:sz w:val="21"/>
          <w:szCs w:val="21"/>
        </w:rPr>
        <w:t>元， </w:t>
      </w:r>
      <w:r>
        <w:rPr>
          <w:rFonts w:ascii="宋体" w:hAnsi="宋体" w:cs="宋体" w:eastAsia="宋体" w:hint="default"/>
          <w:spacing w:val="-1"/>
          <w:sz w:val="21"/>
          <w:szCs w:val="21"/>
        </w:rPr>
        <w:t>资本公积余额为</w:t>
      </w:r>
      <w:r>
        <w:rPr>
          <w:rFonts w:ascii="Times New Roman" w:hAnsi="Times New Roman" w:cs="Times New Roman" w:eastAsia="Times New Roman" w:hint="default"/>
          <w:spacing w:val="-1"/>
          <w:sz w:val="21"/>
          <w:szCs w:val="21"/>
        </w:rPr>
        <w:t>1,077,883,895.33</w:t>
      </w:r>
      <w:r>
        <w:rPr>
          <w:rFonts w:ascii="宋体" w:hAnsi="宋体" w:cs="宋体" w:eastAsia="宋体" w:hint="default"/>
          <w:spacing w:val="-1"/>
          <w:sz w:val="21"/>
          <w:szCs w:val="21"/>
        </w:rPr>
        <w:t>元。鉴于公司正处于发展期，统筹考虑公司资金使用情况，</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年度利润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分配预案为：以公司现有总股本</w:t>
      </w:r>
      <w:r>
        <w:rPr>
          <w:rFonts w:ascii="Times New Roman" w:hAnsi="Times New Roman" w:cs="Times New Roman" w:eastAsia="Times New Roman" w:hint="default"/>
          <w:sz w:val="21"/>
          <w:szCs w:val="21"/>
        </w:rPr>
        <w:t>358,340,754</w:t>
      </w:r>
      <w:r>
        <w:rPr>
          <w:rFonts w:ascii="宋体" w:hAnsi="宋体" w:cs="宋体" w:eastAsia="宋体" w:hint="default"/>
          <w:sz w:val="21"/>
          <w:szCs w:val="21"/>
        </w:rPr>
        <w:t>股为基数，以未分配利润向全体股东每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w:t>
      </w:r>
      <w:r>
        <w:rPr>
          <w:rFonts w:ascii="Times New Roman" w:hAnsi="Times New Roman" w:cs="Times New Roman" w:eastAsia="Times New Roman" w:hint="default"/>
          <w:sz w:val="21"/>
          <w:szCs w:val="21"/>
        </w:rPr>
        <w:t>1.29</w:t>
      </w:r>
      <w:r>
        <w:rPr>
          <w:rFonts w:ascii="宋体" w:hAnsi="宋体" w:cs="宋体" w:eastAsia="宋体" w:hint="default"/>
          <w:sz w:val="21"/>
          <w:szCs w:val="21"/>
        </w:rPr>
        <w:t>元</w:t>
      </w:r>
    </w:p>
    <w:p>
      <w:pPr>
        <w:spacing w:before="5"/>
        <w:ind w:left="154" w:right="0" w:firstLine="0"/>
        <w:jc w:val="both"/>
        <w:rPr>
          <w:rFonts w:ascii="宋体" w:hAnsi="宋体" w:cs="宋体" w:eastAsia="宋体" w:hint="default"/>
          <w:sz w:val="21"/>
          <w:szCs w:val="21"/>
        </w:rPr>
      </w:pPr>
      <w:r>
        <w:rPr>
          <w:rFonts w:ascii="宋体" w:hAnsi="宋体" w:cs="宋体" w:eastAsia="宋体" w:hint="default"/>
          <w:sz w:val="21"/>
          <w:szCs w:val="21"/>
        </w:rPr>
        <w:t>（含税），共计派发股利人民币</w:t>
      </w:r>
      <w:r>
        <w:rPr>
          <w:rFonts w:ascii="Times New Roman" w:hAnsi="Times New Roman" w:cs="Times New Roman" w:eastAsia="Times New Roman" w:hint="default"/>
          <w:sz w:val="21"/>
          <w:szCs w:val="21"/>
        </w:rPr>
        <w:t>46,225,957.27</w:t>
      </w:r>
      <w:r>
        <w:rPr>
          <w:rFonts w:ascii="宋体" w:hAnsi="宋体" w:cs="宋体" w:eastAsia="宋体" w:hint="default"/>
          <w:sz w:val="21"/>
          <w:szCs w:val="21"/>
        </w:rPr>
        <w:t>元。</w:t>
      </w:r>
    </w:p>
    <w:p>
      <w:pPr>
        <w:spacing w:before="87"/>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9"/>
        <w:gridCol w:w="1183"/>
        <w:gridCol w:w="1196"/>
        <w:gridCol w:w="1196"/>
        <w:gridCol w:w="1196"/>
        <w:gridCol w:w="1196"/>
        <w:gridCol w:w="1196"/>
        <w:gridCol w:w="1184"/>
      </w:tblGrid>
      <w:tr>
        <w:trPr>
          <w:trHeight w:val="15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right="1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53" w:right="50"/>
              <w:jc w:val="left"/>
              <w:rPr>
                <w:rFonts w:ascii="宋体" w:hAnsi="宋体" w:cs="宋体" w:eastAsia="宋体" w:hint="default"/>
                <w:sz w:val="18"/>
                <w:szCs w:val="18"/>
              </w:rPr>
            </w:pPr>
            <w:r>
              <w:rPr>
                <w:rFonts w:ascii="宋体" w:hAnsi="宋体" w:cs="宋体" w:eastAsia="宋体" w:hint="default"/>
                <w:sz w:val="18"/>
                <w:szCs w:val="18"/>
              </w:rPr>
              <w:t>分红年度合并 报表中归属于</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52" w:right="51"/>
              <w:jc w:val="left"/>
              <w:rPr>
                <w:rFonts w:ascii="宋体" w:hAnsi="宋体" w:cs="宋体" w:eastAsia="宋体" w:hint="default"/>
                <w:sz w:val="18"/>
                <w:szCs w:val="18"/>
              </w:rPr>
            </w:pPr>
            <w:r>
              <w:rPr>
                <w:rFonts w:ascii="宋体" w:hAnsi="宋体" w:cs="宋体" w:eastAsia="宋体" w:hint="default"/>
                <w:sz w:val="18"/>
                <w:szCs w:val="18"/>
              </w:rPr>
              <w:t>现金分红金额 占合并报表中</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43" w:right="0"/>
              <w:jc w:val="left"/>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240" w:lineRule="auto" w:before="75"/>
              <w:ind w:left="143" w:right="0"/>
              <w:jc w:val="left"/>
              <w:rPr>
                <w:rFonts w:ascii="宋体" w:hAnsi="宋体" w:cs="宋体" w:eastAsia="宋体" w:hint="default"/>
                <w:sz w:val="18"/>
                <w:szCs w:val="18"/>
              </w:rPr>
            </w:pPr>
            <w:r>
              <w:rPr>
                <w:rFonts w:ascii="宋体" w:hAnsi="宋体" w:cs="宋体" w:eastAsia="宋体" w:hint="default"/>
                <w:sz w:val="18"/>
                <w:szCs w:val="18"/>
              </w:rPr>
              <w:t>（如回购股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53" w:right="51"/>
              <w:jc w:val="left"/>
              <w:rPr>
                <w:rFonts w:ascii="宋体" w:hAnsi="宋体" w:cs="宋体" w:eastAsia="宋体" w:hint="default"/>
                <w:sz w:val="18"/>
                <w:szCs w:val="18"/>
              </w:rPr>
            </w:pPr>
            <w:r>
              <w:rPr>
                <w:rFonts w:ascii="宋体" w:hAnsi="宋体" w:cs="宋体" w:eastAsia="宋体" w:hint="default"/>
                <w:sz w:val="18"/>
                <w:szCs w:val="18"/>
              </w:rPr>
              <w:t>以其他方式现 金分红金额占</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5"/>
              <w:ind w:left="142" w:right="0"/>
              <w:jc w:val="left"/>
              <w:rPr>
                <w:rFonts w:ascii="宋体" w:hAnsi="宋体" w:cs="宋体" w:eastAsia="宋体" w:hint="default"/>
                <w:sz w:val="18"/>
                <w:szCs w:val="18"/>
              </w:rPr>
            </w:pPr>
            <w:r>
              <w:rPr>
                <w:rFonts w:ascii="宋体" w:hAnsi="宋体" w:cs="宋体" w:eastAsia="宋体" w:hint="default"/>
                <w:sz w:val="18"/>
                <w:szCs w:val="18"/>
              </w:rPr>
              <w:t>（含其他方</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5"/>
              <w:ind w:left="143" w:right="0"/>
              <w:jc w:val="left"/>
              <w:rPr>
                <w:rFonts w:ascii="宋体" w:hAnsi="宋体" w:cs="宋体" w:eastAsia="宋体" w:hint="default"/>
                <w:sz w:val="18"/>
                <w:szCs w:val="18"/>
              </w:rPr>
            </w:pPr>
            <w:r>
              <w:rPr>
                <w:rFonts w:ascii="宋体" w:hAnsi="宋体" w:cs="宋体" w:eastAsia="宋体" w:hint="default"/>
                <w:sz w:val="18"/>
                <w:szCs w:val="18"/>
              </w:rPr>
              <w:t>（含其他方</w:t>
            </w:r>
          </w:p>
        </w:tc>
      </w:tr>
      <w:tr>
        <w:trPr>
          <w:trHeight w:val="392"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358"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3" w:right="50"/>
              <w:jc w:val="center"/>
              <w:rPr>
                <w:rFonts w:ascii="宋体" w:hAnsi="宋体" w:cs="宋体" w:eastAsia="宋体" w:hint="default"/>
                <w:sz w:val="18"/>
                <w:szCs w:val="18"/>
              </w:rPr>
            </w:pPr>
            <w:r>
              <w:rPr>
                <w:rFonts w:ascii="宋体" w:hAnsi="宋体" w:cs="宋体" w:eastAsia="宋体" w:hint="default"/>
                <w:sz w:val="18"/>
                <w:szCs w:val="18"/>
              </w:rPr>
              <w:t>上市公司普通 股股东的净利 润</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53" w:hanging="1"/>
              <w:jc w:val="center"/>
              <w:rPr>
                <w:rFonts w:ascii="宋体" w:hAnsi="宋体" w:cs="宋体" w:eastAsia="宋体" w:hint="default"/>
                <w:sz w:val="18"/>
                <w:szCs w:val="18"/>
              </w:rPr>
            </w:pPr>
            <w:r>
              <w:rPr>
                <w:rFonts w:ascii="宋体" w:hAnsi="宋体" w:cs="宋体" w:eastAsia="宋体" w:hint="default"/>
                <w:sz w:val="18"/>
                <w:szCs w:val="18"/>
              </w:rPr>
              <w:t>归属于上市公 司普通股股东 的净利润的比 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22" w:right="50" w:hanging="270"/>
              <w:jc w:val="left"/>
              <w:rPr>
                <w:rFonts w:ascii="宋体" w:hAnsi="宋体" w:cs="宋体" w:eastAsia="宋体" w:hint="default"/>
                <w:sz w:val="18"/>
                <w:szCs w:val="18"/>
              </w:rPr>
            </w:pPr>
            <w:r>
              <w:rPr>
                <w:rFonts w:ascii="宋体" w:hAnsi="宋体" w:cs="宋体" w:eastAsia="宋体" w:hint="default"/>
                <w:sz w:val="18"/>
                <w:szCs w:val="18"/>
              </w:rPr>
              <w:t>份）现金分红 的金额</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3" w:right="51"/>
              <w:jc w:val="both"/>
              <w:rPr>
                <w:rFonts w:ascii="宋体" w:hAnsi="宋体" w:cs="宋体" w:eastAsia="宋体" w:hint="default"/>
                <w:sz w:val="18"/>
                <w:szCs w:val="18"/>
              </w:rPr>
            </w:pPr>
            <w:r>
              <w:rPr>
                <w:rFonts w:ascii="宋体" w:hAnsi="宋体" w:cs="宋体" w:eastAsia="宋体" w:hint="default"/>
                <w:sz w:val="18"/>
                <w:szCs w:val="18"/>
              </w:rPr>
              <w:t>合并报表中归 属于上市公司 普通股股东的 净利润的比例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式）</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52" w:right="50"/>
              <w:jc w:val="center"/>
              <w:rPr>
                <w:rFonts w:ascii="宋体" w:hAnsi="宋体" w:cs="宋体" w:eastAsia="宋体" w:hint="default"/>
                <w:sz w:val="18"/>
                <w:szCs w:val="18"/>
              </w:rPr>
            </w:pPr>
            <w:r>
              <w:rPr>
                <w:rFonts w:ascii="宋体" w:hAnsi="宋体" w:cs="宋体" w:eastAsia="宋体" w:hint="default"/>
                <w:sz w:val="18"/>
                <w:szCs w:val="18"/>
              </w:rPr>
              <w:t>式）占合并报 表中归属于上 市公司普通股 股东的净利润 的比率</w:t>
            </w: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2"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17"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46,225,957.27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229,398,154.36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46,225,957.27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25,738,835.38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117,949,954.85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25,738,835.38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12,768,480.00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73,815,900.71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12,768,480.00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4" w:right="817" w:firstLine="0"/>
        <w:jc w:val="left"/>
        <w:rPr>
          <w:rFonts w:ascii="宋体" w:hAnsi="宋体" w:cs="宋体" w:eastAsia="宋体" w:hint="default"/>
          <w:sz w:val="21"/>
          <w:szCs w:val="21"/>
        </w:rPr>
      </w:pPr>
      <w:bookmarkStart w:name="1、公司实际控制人、股东、关联方、收购人以及公司等承诺相关方在报告期内履行完毕及" w:id="65"/>
      <w:bookmarkEnd w:id="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276" w:type="dxa"/>
            <w:tcBorders>
              <w:top w:val="single" w:sz="4" w:space="0" w:color="000000"/>
              <w:left w:val="single" w:sz="9" w:space="0" w:color="D2D2D2"/>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950"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减少和规范关联交易的承诺：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、不利用实际控制人的身份 影响银川卧龙、星波通信的独 立性，保持银川卧龙、星波通 信及其下属子公司在资产、人 员、财务、机构和业务方面的 完整性和独立性；不利用银川 卧龙、星波通信及其下属子公 司违规向本人及本人所投资 的其他企业提供任何形式的 担保，不占用银川卧龙、星波 通信及其下属子公司的资金、 资产；保证不利用关联交易非 法转移银川卧龙、星波通信及 其下属子公司的资金、利润， 不利用实际控制人身份谋取 不当的利益，不利用关联交易 损害银川卧龙、星波通信及其 下属子公司及星波通信其他 股东的利益。本人及本人控制 的其他公司、企业或者其他经</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0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276" w:type="dxa"/>
            <w:vMerge/>
            <w:tcBorders>
              <w:left w:val="single" w:sz="9" w:space="0" w:color="D2D2D2"/>
              <w:right w:val="single" w:sz="4" w:space="0" w:color="000000"/>
            </w:tcBorders>
          </w:tcPr>
          <w:p>
            <w:pPr/>
          </w:p>
        </w:tc>
        <w:tc>
          <w:tcPr>
            <w:tcW w:w="993" w:type="dxa"/>
            <w:vMerge/>
            <w:tcBorders>
              <w:left w:val="single" w:sz="4" w:space="0" w:color="000000"/>
              <w:right w:val="single" w:sz="4" w:space="0" w:color="000000"/>
            </w:tcBorders>
          </w:tcPr>
          <w:p>
            <w:pPr/>
          </w:p>
        </w:tc>
        <w:tc>
          <w:tcPr>
            <w:tcW w:w="238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949"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38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10"/>
      </w:tblGrid>
      <w:tr>
        <w:trPr>
          <w:trHeight w:val="629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济组织将减少并规范与红相 </w:t>
            </w:r>
            <w:r>
              <w:rPr>
                <w:rFonts w:ascii="宋体" w:hAnsi="宋体" w:cs="宋体" w:eastAsia="宋体" w:hint="default"/>
                <w:spacing w:val="-1"/>
                <w:sz w:val="18"/>
                <w:szCs w:val="18"/>
              </w:rPr>
              <w:t>电力、银川卧龙、星波通信及</w:t>
            </w:r>
            <w:r>
              <w:rPr>
                <w:rFonts w:ascii="宋体" w:hAnsi="宋体" w:cs="宋体" w:eastAsia="宋体" w:hint="default"/>
                <w:sz w:val="18"/>
                <w:szCs w:val="18"/>
              </w:rPr>
              <w:t> </w:t>
            </w:r>
            <w:r>
              <w:rPr>
                <w:rFonts w:ascii="宋体" w:hAnsi="宋体" w:cs="宋体" w:eastAsia="宋体" w:hint="default"/>
                <w:spacing w:val="-1"/>
                <w:sz w:val="18"/>
                <w:szCs w:val="18"/>
              </w:rPr>
              <w:t>其控制的其他公司、企业或者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其他经济组织之间的关联交 </w:t>
            </w:r>
            <w:r>
              <w:rPr>
                <w:rFonts w:ascii="宋体" w:hAnsi="宋体" w:cs="宋体" w:eastAsia="宋体" w:hint="default"/>
                <w:spacing w:val="-1"/>
                <w:sz w:val="18"/>
                <w:szCs w:val="18"/>
              </w:rPr>
              <w:t>易。对于无法避免或有合理原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因而发生的关联交易，本人及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本人控制的其他公司、企业或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者其他经济组织将遵循市场 </w:t>
            </w:r>
            <w:r>
              <w:rPr>
                <w:rFonts w:ascii="宋体" w:hAnsi="宋体" w:cs="宋体" w:eastAsia="宋体" w:hint="default"/>
                <w:spacing w:val="-1"/>
                <w:sz w:val="18"/>
                <w:szCs w:val="18"/>
              </w:rPr>
              <w:t>原则，以公允、合理的市场价</w:t>
            </w:r>
            <w:r>
              <w:rPr>
                <w:rFonts w:ascii="宋体" w:hAnsi="宋体" w:cs="宋体" w:eastAsia="宋体" w:hint="default"/>
                <w:sz w:val="18"/>
                <w:szCs w:val="18"/>
              </w:rPr>
              <w:t> </w:t>
            </w:r>
            <w:r>
              <w:rPr>
                <w:rFonts w:ascii="宋体" w:hAnsi="宋体" w:cs="宋体" w:eastAsia="宋体" w:hint="default"/>
                <w:spacing w:val="-1"/>
                <w:sz w:val="18"/>
                <w:szCs w:val="18"/>
              </w:rPr>
              <w:t>格进行，根据有关法律、法规</w:t>
            </w:r>
            <w:r>
              <w:rPr>
                <w:rFonts w:ascii="宋体" w:hAnsi="宋体" w:cs="宋体" w:eastAsia="宋体" w:hint="default"/>
                <w:sz w:val="18"/>
                <w:szCs w:val="18"/>
              </w:rPr>
              <w:t> 及规范性文件的规定履行关 </w:t>
            </w:r>
            <w:r>
              <w:rPr>
                <w:rFonts w:ascii="宋体" w:hAnsi="宋体" w:cs="宋体" w:eastAsia="宋体" w:hint="default"/>
                <w:spacing w:val="-1"/>
                <w:sz w:val="18"/>
                <w:szCs w:val="18"/>
              </w:rPr>
              <w:t>联交易决策程序，依法履行信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息披露义务和办理有关报批 </w:t>
            </w:r>
            <w:r>
              <w:rPr>
                <w:rFonts w:ascii="宋体" w:hAnsi="宋体" w:cs="宋体" w:eastAsia="宋体" w:hint="default"/>
                <w:spacing w:val="-1"/>
                <w:sz w:val="18"/>
                <w:szCs w:val="18"/>
              </w:rPr>
              <w:t>手续，不损害银川卧龙、星波</w:t>
            </w:r>
            <w:r>
              <w:rPr>
                <w:rFonts w:ascii="宋体" w:hAnsi="宋体" w:cs="宋体" w:eastAsia="宋体" w:hint="default"/>
                <w:sz w:val="18"/>
                <w:szCs w:val="18"/>
              </w:rPr>
              <w:t> </w:t>
            </w:r>
            <w:r>
              <w:rPr>
                <w:rFonts w:ascii="宋体" w:hAnsi="宋体" w:cs="宋体" w:eastAsia="宋体" w:hint="default"/>
                <w:spacing w:val="-1"/>
                <w:sz w:val="18"/>
                <w:szCs w:val="18"/>
              </w:rPr>
              <w:t>通信、红相电力及其他股东的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、本人若违反上 </w:t>
            </w:r>
            <w:r>
              <w:rPr>
                <w:rFonts w:ascii="宋体" w:hAnsi="宋体" w:cs="宋体" w:eastAsia="宋体" w:hint="default"/>
                <w:spacing w:val="-1"/>
                <w:sz w:val="18"/>
                <w:szCs w:val="18"/>
              </w:rPr>
              <w:t>述承诺，将承担因此而给红相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电力、银川卧龙、星波通信及</w:t>
            </w:r>
            <w:r>
              <w:rPr>
                <w:rFonts w:ascii="宋体" w:hAnsi="宋体" w:cs="宋体" w:eastAsia="宋体" w:hint="default"/>
                <w:sz w:val="18"/>
                <w:szCs w:val="18"/>
              </w:rPr>
              <w:t> </w:t>
            </w:r>
            <w:r>
              <w:rPr>
                <w:rFonts w:ascii="宋体" w:hAnsi="宋体" w:cs="宋体" w:eastAsia="宋体" w:hint="default"/>
                <w:spacing w:val="-1"/>
                <w:sz w:val="18"/>
                <w:szCs w:val="18"/>
              </w:rPr>
              <w:t>其控制的其他公司、企业或者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其他经济组织造成的损失。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减少和规范关联交易的承诺：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、本公司不利用控股股东的 身份影响银川卧龙、星波通信 的独立性，保持银川卧龙、星 波通信及其下属子公司在资 产、人员、财务、机构和业务 方面的完整性和独立性；不利 用银川卧龙、星波通信及其下 属子公司违规向本公司及本 公司所投资的其他企业提供 任何形式的担保，不违规占用 银川卧龙、星波通信及其下属 子公司的资金、资产；保证不 利用关联交易非法转移银川 卧龙、星波通信及其下属子公 司的资金、利润，不利用控股 股东身份谋取不当的利益，不 利用关联交易损害银川卧龙、 星波通信及其下属子公司的 利益。本公司及本公司控制的 其他公司、企业或者其他经济 组织将减少并规范与银川卧 龙、星波通信及其控制的其他 公司、企业或者其他经济组织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0011pt;margin-top:546.039978pt;width:80pt;height:217.4pt;mso-position-horizontal-relative:page;mso-position-vertical-relative:page;z-index:-1265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法规、</w:t>
                  </w:r>
                </w:p>
              </w:txbxContent>
            </v:textbox>
            <w10:wrap type="none"/>
          </v:shape>
        </w:pict>
      </w:r>
      <w:r>
        <w:rPr/>
        <w:pict>
          <v:group style="position:absolute;margin-left:367.660004pt;margin-top:546.039978pt;width:55.85pt;height:217.4pt;mso-position-horizontal-relative:page;mso-position-vertical-relative:page;z-index:-1265416" coordorigin="7353,10921" coordsize="1117,4348">
            <v:shape style="position:absolute;left:7353;top:10921;width:1117;height:4348" coordorigin="7353,10921" coordsize="1117,4348" path="m7353,15269l8470,15269,8470,10921,7353,10921,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之间的关联交易。对于无法避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免或有合理原因而发生的关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联交易，本公司及本公司控制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济组织将遵循市场原则，以公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允、合理的市场价格进行，根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据有关法律、法规及规范性文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件的规定履行关联交易决策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程序，依法履行信息披露义务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和办理有关报批手续，不损害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银川卧龙、星波通信的合法权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、本公司若违反上述承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诺，将承担因此产生的一切法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律责任。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减少和规范关联交易的承诺：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织将尽量避免和减少与红相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电力、银川卧龙及红相电力其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他控股子公司之间的关联交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易。本公司及本公司控制的其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织将严格避免向红相电力及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其控股子公司拆借、占用红相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电力及其控股子公司资金或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采取由红相电力及其控股子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公司代垫款、代偿债务等方式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侵占上市公司资金；</w:t>
            </w:r>
            <w:r>
              <w:rPr>
                <w:rFonts w:ascii="Times New Roman" w:hAnsi="Times New Roman" w:cs="Times New Roman" w:eastAsia="Times New Roman" w:hint="default"/>
                <w:sz w:val="18"/>
                <w:szCs w:val="18"/>
              </w:rPr>
              <w:t>2</w:t>
            </w:r>
            <w:r>
              <w:rPr>
                <w:rFonts w:ascii="宋体" w:hAnsi="宋体" w:cs="宋体" w:eastAsia="宋体" w:hint="default"/>
                <w:sz w:val="18"/>
                <w:szCs w:val="18"/>
              </w:rPr>
              <w:t>、对于 本公司及本公司控制的其他 </w:t>
            </w:r>
            <w:r>
              <w:rPr>
                <w:rFonts w:ascii="宋体" w:hAnsi="宋体" w:cs="宋体" w:eastAsia="宋体" w:hint="default"/>
                <w:spacing w:val="-1"/>
                <w:sz w:val="18"/>
                <w:szCs w:val="18"/>
              </w:rPr>
              <w:t>公司、企业或者其他经济组织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与红相电力及其控股子公司 之间无法避免或者有合理原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因而发生的关联交易，均将严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格遵守市场原则，本着平等互</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利、等价有偿的一般原则，公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平合理地进行。本公司及本公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司控制的其他公司、企业或者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其他经济组织与红相电力及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其控股子公司之间的关联交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易，将依法签订协议，履行合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法程序，按照有关法律、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规范性文件、及红相电力公司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章程等公司治理制度的有关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规定履行信息披露义务，保证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10"/>
      </w:tblGrid>
      <w:tr>
        <w:trPr>
          <w:trHeight w:val="5355"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不通过关联交易损害上市公 司及广大中小股东的合法权 益；</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、本公司在红相电力权 力机构审议涉及本公司及本 </w:t>
            </w:r>
            <w:r>
              <w:rPr>
                <w:rFonts w:ascii="宋体" w:hAnsi="宋体" w:cs="宋体" w:eastAsia="宋体" w:hint="default"/>
                <w:spacing w:val="-1"/>
                <w:sz w:val="18"/>
                <w:szCs w:val="18"/>
              </w:rPr>
              <w:t>公司控制的其他公司、企业或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者其他经济组织的关联交易 事项时将主动依法履行回避 </w:t>
            </w:r>
            <w:r>
              <w:rPr>
                <w:rFonts w:ascii="宋体" w:hAnsi="宋体" w:cs="宋体" w:eastAsia="宋体" w:hint="default"/>
                <w:spacing w:val="-1"/>
                <w:sz w:val="18"/>
                <w:szCs w:val="18"/>
              </w:rPr>
              <w:t>义务，且交易须在有权机构审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议通过后方可执行；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、本公 司保证不通过关联交易取得 任何不正当的利益或使红相 电力及其控股子公司承担任 </w:t>
            </w:r>
            <w:r>
              <w:rPr>
                <w:rFonts w:ascii="宋体" w:hAnsi="宋体" w:cs="宋体" w:eastAsia="宋体" w:hint="default"/>
                <w:spacing w:val="-1"/>
                <w:sz w:val="18"/>
                <w:szCs w:val="18"/>
              </w:rPr>
              <w:t>何不正当的义务。如果因违反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上述承诺导致红相电力或其 </w:t>
            </w:r>
            <w:r>
              <w:rPr>
                <w:rFonts w:ascii="宋体" w:hAnsi="宋体" w:cs="宋体" w:eastAsia="宋体" w:hint="default"/>
                <w:spacing w:val="-1"/>
                <w:sz w:val="18"/>
                <w:szCs w:val="18"/>
              </w:rPr>
              <w:t>控股子公司损失的，红相电力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及其控股子公司的损失由本 人承担赔偿责任。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减少和规范关联交易的承诺：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、本人及本人控制或影响的 企业将尽量避免和减少与红 相电力、银川卧龙及红相电力 其他控股子公司之间的关联 交易。本人控制或影响的企业 将严格避免向红相电力及其 控股子公司拆借、占用红相电 力及其控股子公司资金或采 取由红相电力及其控股子公 司代垫款、代偿债务等方式侵 占上市公司资金；</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 人及本人控制或影响的企业 与红相电力及其控股子公司 之间无法避免或者有合理原 因而发生的关联交易，均将严 格遵守市场原则，本着平等互 利、等价有偿的一般原则，公 平合理地进行。本人及本人控 制或影响的企业与红相电力 及其控股子公司之间的关联 交易，将依法签订协议，履行 合法程序，按照有关法律、法 规、规范性文件、及红相电力 公司章程等公司治理制度的 有关规定履行信息披露义务， 保证不通过关联交易损害上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473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市公司及广大中小股东的合 法权益；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、本人在红相电力 权力机构审议涉及本人及本 人控制或影响的企业的关联 交易事项时将主动依法履行 </w:t>
            </w:r>
            <w:r>
              <w:rPr>
                <w:rFonts w:ascii="宋体" w:hAnsi="宋体" w:cs="宋体" w:eastAsia="宋体" w:hint="default"/>
                <w:spacing w:val="-1"/>
                <w:sz w:val="18"/>
                <w:szCs w:val="18"/>
              </w:rPr>
              <w:t>回避义务，且交易须在有权机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构审议通过后方可执行；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本人保证不通过关联交易取 得任何不正当的利益或使红 相电力及其控股子公司承担 </w:t>
            </w:r>
            <w:r>
              <w:rPr>
                <w:rFonts w:ascii="宋体" w:hAnsi="宋体" w:cs="宋体" w:eastAsia="宋体" w:hint="default"/>
                <w:spacing w:val="-1"/>
                <w:sz w:val="18"/>
                <w:szCs w:val="18"/>
              </w:rPr>
              <w:t>任何不正当的义务。如果因违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反上述承诺导致红相电力或 </w:t>
            </w:r>
            <w:r>
              <w:rPr>
                <w:rFonts w:ascii="宋体" w:hAnsi="宋体" w:cs="宋体" w:eastAsia="宋体" w:hint="default"/>
                <w:spacing w:val="-1"/>
                <w:sz w:val="18"/>
                <w:szCs w:val="18"/>
              </w:rPr>
              <w:t>其控股子公司损失的，红相电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力及其控股子公司的损失由 本人承担赔偿责任。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1"/>
              <w:jc w:val="left"/>
              <w:rPr>
                <w:rFonts w:ascii="宋体" w:hAnsi="宋体" w:cs="宋体" w:eastAsia="宋体" w:hint="default"/>
                <w:sz w:val="18"/>
                <w:szCs w:val="18"/>
              </w:rPr>
            </w:pPr>
            <w:r>
              <w:rPr>
                <w:rFonts w:ascii="宋体" w:hAnsi="宋体" w:cs="宋体" w:eastAsia="宋体" w:hint="default"/>
                <w:sz w:val="18"/>
                <w:szCs w:val="18"/>
              </w:rPr>
              <w:t>席立功、何东 武、吴国敏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减少和规范关联交易的承诺：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、本人及本人控制或影响的 企业将尽量避免和减少与红 相电力、银川卧龙及红相电力 其他控股子公司之间的关联 交易。本人控制或影响的企业 将严格避免向红相电力及其 控股子公司拆借、占用红相电 力及其控股子公司资金或采 取由红相电力及其控股子公 司代垫款、代偿债务等方式侵 占上市公司资金；</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 人及本人控制或影响的企业 与红相电力及其控股子公司 之间无法避免或者有合理原 因而发生的关联交易，均将严 格遵守市场原则，本着平等互 利、等价有偿的一般原则，公 平合理地进行。本人及本人控 制或影响的企业与红相电力 及其控股子公司之间的关联 交易，将依法签订协议，履行 合法程序，按照有关法律、法 规、规范性文件、及红相电力 公司章程等公司治理制度的 有关规定履行信息披露义务， 保证不通过关联交易损害上 市公司及广大中小股东的合 法权益；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、本人在红相电力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10"/>
      </w:tblGrid>
      <w:tr>
        <w:trPr>
          <w:trHeight w:val="410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权力机构审议涉及本人及本 人控制或影响的企业的关联 交易事项时将主动依法履行 </w:t>
            </w:r>
            <w:r>
              <w:rPr>
                <w:rFonts w:ascii="宋体" w:hAnsi="宋体" w:cs="宋体" w:eastAsia="宋体" w:hint="default"/>
                <w:spacing w:val="-1"/>
                <w:sz w:val="18"/>
                <w:szCs w:val="18"/>
              </w:rPr>
              <w:t>回避义务，且交易须在有权机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构审议通过后方可执行；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本人保证不通过关联交易取 得任何不正当的利益或使红 相电力及其控股子公司承担 </w:t>
            </w:r>
            <w:r>
              <w:rPr>
                <w:rFonts w:ascii="宋体" w:hAnsi="宋体" w:cs="宋体" w:eastAsia="宋体" w:hint="default"/>
                <w:spacing w:val="-1"/>
                <w:sz w:val="18"/>
                <w:szCs w:val="18"/>
              </w:rPr>
              <w:t>任何不正当的义务。如果因违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反上述承诺导致红相电力或 </w:t>
            </w:r>
            <w:r>
              <w:rPr>
                <w:rFonts w:ascii="宋体" w:hAnsi="宋体" w:cs="宋体" w:eastAsia="宋体" w:hint="default"/>
                <w:spacing w:val="-1"/>
                <w:sz w:val="18"/>
                <w:szCs w:val="18"/>
              </w:rPr>
              <w:t>其控股子公司损失的，红相电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力及其控股子公司的损失由 本人承担赔偿责任。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陈剑虹、张青、 吴松、徐建平、 王长乐、刘宏 </w:t>
            </w:r>
            <w:r>
              <w:rPr>
                <w:rFonts w:ascii="宋体" w:hAnsi="宋体" w:cs="宋体" w:eastAsia="宋体" w:hint="default"/>
                <w:spacing w:val="-6"/>
                <w:sz w:val="18"/>
                <w:szCs w:val="18"/>
              </w:rPr>
              <w:t>胜、陈小杰、左</w:t>
            </w:r>
            <w:r>
              <w:rPr>
                <w:rFonts w:ascii="宋体" w:hAnsi="宋体" w:cs="宋体" w:eastAsia="宋体" w:hint="default"/>
                <w:sz w:val="18"/>
                <w:szCs w:val="18"/>
              </w:rPr>
              <w:t> 克刚、胡万云、 谢安安、王加 </w:t>
            </w:r>
            <w:r>
              <w:rPr>
                <w:rFonts w:ascii="宋体" w:hAnsi="宋体" w:cs="宋体" w:eastAsia="宋体" w:hint="default"/>
                <w:spacing w:val="-6"/>
                <w:sz w:val="18"/>
                <w:szCs w:val="18"/>
              </w:rPr>
              <w:t>玉、王延慧、魏</w:t>
            </w:r>
            <w:r>
              <w:rPr>
                <w:rFonts w:ascii="宋体" w:hAnsi="宋体" w:cs="宋体" w:eastAsia="宋体" w:hint="default"/>
                <w:sz w:val="18"/>
                <w:szCs w:val="18"/>
              </w:rPr>
              <w:t> 京保、奚银春、 蒋磊、袁长亮、 </w:t>
            </w:r>
            <w:r>
              <w:rPr>
                <w:rFonts w:ascii="宋体" w:hAnsi="宋体" w:cs="宋体" w:eastAsia="宋体" w:hint="default"/>
                <w:spacing w:val="-6"/>
                <w:sz w:val="18"/>
                <w:szCs w:val="18"/>
              </w:rPr>
              <w:t>刘朝、刘玉、邢</w:t>
            </w:r>
            <w:r>
              <w:rPr>
                <w:rFonts w:ascii="宋体" w:hAnsi="宋体" w:cs="宋体" w:eastAsia="宋体" w:hint="default"/>
                <w:sz w:val="18"/>
                <w:szCs w:val="18"/>
              </w:rPr>
              <w:t> 成林</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6"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减少和规范关联交易的承诺：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、本人及本人控制或影响的 企业将尽量避免和减少与红 相电力、星波通信及红相电力 其他控股子公司之间的关联 交易。本人控制或影响的企业 将严格避免向红相电力及其 控股子公司拆借、占用红相电 力及其控股子公司资金或采 取由红相电力及其控股子公 司代垫款、代偿债务等方式侵 占上市公司资金；</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 人及本人控制或影响的企业 与红相电力及其控股子公司 之间无法避免或者有合理原 因而发生的关联交易，均将严 格遵守市场原则，本着平等互 利、等价有偿的一般原则，公 平合理地进行。本人及本人控 制或影响的企业与红相电力 及其控股子公司之间的关联 交易，将依法签订协议，履行 合法程序，按照有关法律、法 规、规范性文件、及红相电力 公司章程等公司治理制度的 有关规定履行信息披露义务， 保证不通过关联交易损害上 市公司及广大中小股东的合 法权益；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、本人在红相电力 权力机构审议涉及本人及本 人控制或影响的企业的关联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7.47699pt;margin-top:522.639954pt;width:116.05pt;height:240.8pt;mso-position-horizontal-relative:page;mso-position-vertical-relative:page;z-index:-1265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违反上述承诺，</w:t>
                  </w:r>
                </w:p>
              </w:txbxContent>
            </v:textbox>
            <w10:wrap type="none"/>
          </v:shape>
        </w:pict>
      </w:r>
      <w:r>
        <w:rPr/>
        <w:pict>
          <v:group style="position:absolute;margin-left:367.660004pt;margin-top:522.639954pt;width:55.85pt;height:240.8pt;mso-position-horizontal-relative:page;mso-position-vertical-relative:page;z-index:-1265368" coordorigin="7353,10453" coordsize="1117,4816">
            <v:shape style="position:absolute;left:7353;top:10453;width:1117;height:4816" coordorigin="7353,10453" coordsize="1117,4816" path="m7353,15269l8470,15269,8470,10453,7353,10453,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交易事项时将主动依法履行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回避义务，且交易须在有权机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构审议通过后方可执行；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本人保证不通过关联交易取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得任何不正当的利益或使红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相电力及其控股子公司承担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任何不正当的义务。如果因违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反上述承诺导致红相电力或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其控股子公司损失的，红相电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力及其控股子公司的损失由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本人承担赔偿责任。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至本承诺函签署日，本人及本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人控制的其他公司、企业或者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其他经济组织未从事与红相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电力、银川卧龙、星波通信及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其控制的其他公司、企业或者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其他经济组织存在同业竞争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、在作为红相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电力的控股股东和实际控制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人期间，本人及本人控制的其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织将避免从事任何与红相电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力、银川卧龙、星波通信及其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控制的其他公司、企业或者其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他经济组织相同或相似且构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58"/>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成或可能构成竞争关系的业 </w:t>
            </w:r>
            <w:r>
              <w:rPr>
                <w:rFonts w:ascii="宋体" w:hAnsi="宋体" w:cs="宋体" w:eastAsia="宋体" w:hint="default"/>
                <w:spacing w:val="-1"/>
                <w:sz w:val="18"/>
                <w:szCs w:val="18"/>
              </w:rPr>
              <w:t>务，亦不从事任何可能损害红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相电力、银川卧龙、星波通信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1"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及其控制的其他公司、企业或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者其他经济组织利益的活动。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如本人及本人控制的其他公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到红相电力、银川卧龙、星波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通信及其控制的其他公司、企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业或者其他经济组织主营业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务范围内的业务机会，本人及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本人控制的其他公司、企业或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者其他经济组织将该等合作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机会让予红相电力、银川卧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龙、星波通信及其控制的其他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w:t>
            </w:r>
            <w:r>
              <w:rPr>
                <w:rFonts w:ascii="Times New Roman" w:hAnsi="Times New Roman" w:cs="Times New Roman" w:eastAsia="Times New Roman" w:hint="default"/>
                <w:sz w:val="18"/>
                <w:szCs w:val="18"/>
              </w:rPr>
              <w:t>3</w:t>
            </w:r>
            <w:r>
              <w:rPr>
                <w:rFonts w:ascii="宋体" w:hAnsi="宋体" w:cs="宋体" w:eastAsia="宋体" w:hint="default"/>
                <w:sz w:val="18"/>
                <w:szCs w:val="18"/>
              </w:rPr>
              <w:t>、本人若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将承担因此给红相电力、银川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98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1"/>
                <w:sz w:val="18"/>
                <w:szCs w:val="18"/>
              </w:rPr>
              <w:t>卧龙、星波通信及其控制的其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他公司、企业或者其他经济组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织造成的损失。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、自 </w:t>
            </w:r>
            <w:r>
              <w:rPr>
                <w:rFonts w:ascii="宋体" w:hAnsi="宋体" w:cs="宋体" w:eastAsia="宋体" w:hint="default"/>
                <w:spacing w:val="-1"/>
                <w:sz w:val="18"/>
                <w:szCs w:val="18"/>
              </w:rPr>
              <w:t>银川卧龙股权交割日起，本承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诺人承诺放弃铁路牵引变压 </w:t>
            </w:r>
            <w:r>
              <w:rPr>
                <w:rFonts w:ascii="宋体" w:hAnsi="宋体" w:cs="宋体" w:eastAsia="宋体" w:hint="default"/>
                <w:spacing w:val="-1"/>
                <w:sz w:val="18"/>
                <w:szCs w:val="18"/>
              </w:rPr>
              <w:t>器业务市场，保证不以任何直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接或间接方式从事铁路牵引 </w:t>
            </w:r>
            <w:r>
              <w:rPr>
                <w:rFonts w:ascii="宋体" w:hAnsi="宋体" w:cs="宋体" w:eastAsia="宋体" w:hint="default"/>
                <w:spacing w:val="-1"/>
                <w:sz w:val="18"/>
                <w:szCs w:val="18"/>
              </w:rPr>
              <w:t>变压器业务，包括但不限于本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承诺人控制的卧龙电气集团 </w:t>
            </w:r>
            <w:r>
              <w:rPr>
                <w:rFonts w:ascii="宋体" w:hAnsi="宋体" w:cs="宋体" w:eastAsia="宋体" w:hint="default"/>
                <w:spacing w:val="-1"/>
                <w:sz w:val="18"/>
                <w:szCs w:val="18"/>
              </w:rPr>
              <w:t>北京华泰变压器有限公司（以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w w:val="100"/>
                <w:sz w:val="18"/>
                <w:szCs w:val="18"/>
              </w:rPr>
              <w:t>下简称</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华泰变压器</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）、卧龙电</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气烟台东源变压器有限公司</w:t>
            </w:r>
          </w:p>
          <w:p>
            <w:pPr>
              <w:pStyle w:val="TableParagraph"/>
              <w:spacing w:line="314" w:lineRule="auto" w:before="20"/>
              <w:ind w:left="22" w:right="11"/>
              <w:jc w:val="left"/>
              <w:rPr>
                <w:rFonts w:ascii="宋体" w:hAnsi="宋体" w:cs="宋体" w:eastAsia="宋体" w:hint="default"/>
                <w:sz w:val="18"/>
                <w:szCs w:val="18"/>
              </w:rPr>
            </w:pPr>
            <w:r>
              <w:rPr>
                <w:rFonts w:ascii="宋体" w:hAnsi="宋体" w:cs="宋体" w:eastAsia="宋体" w:hint="default"/>
                <w:spacing w:val="-12"/>
                <w:w w:val="100"/>
                <w:sz w:val="18"/>
                <w:szCs w:val="18"/>
              </w:rPr>
              <w:t>（以下简称</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东源变压器</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）、卧</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龙电气集团浙江变压器有限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浙变</w:t>
            </w:r>
            <w:r>
              <w:rPr>
                <w:rFonts w:ascii="Times New Roman" w:hAnsi="Times New Roman" w:cs="Times New Roman" w:eastAsia="Times New Roman" w:hint="default"/>
                <w:sz w:val="18"/>
                <w:szCs w:val="18"/>
              </w:rPr>
              <w:t>”</w:t>
            </w:r>
            <w:r>
              <w:rPr>
                <w:rFonts w:ascii="宋体" w:hAnsi="宋体" w:cs="宋体" w:eastAsia="宋体" w:hint="default"/>
                <w:sz w:val="18"/>
                <w:szCs w:val="18"/>
              </w:rPr>
              <w:t>）等所 有关联公司或机构均不得以 任何直接或间接方式从事牵 引变压器业务；自银川卧龙股 权交割日起，本承诺人计划在 两年内，通过合法合规方式逐 步剥离卧龙电气除银川卧龙 以外变压器资产，不再从事电 力变压器的生产和销售业务。 </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、本承诺人保证上述承诺为 真实、准确及完整的，如上述 承诺被证明是不真实、不准确 或不完整的，本承诺人将承担 由此产生的所有直接和间接 损失，并承担相应的法律责 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10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、自 </w:t>
            </w:r>
            <w:r>
              <w:rPr>
                <w:rFonts w:ascii="宋体" w:hAnsi="宋体" w:cs="宋体" w:eastAsia="宋体" w:hint="default"/>
                <w:spacing w:val="-1"/>
                <w:sz w:val="18"/>
                <w:szCs w:val="18"/>
              </w:rPr>
              <w:t>银川卧龙股权交割日起，本承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诺人承诺放弃铁路牵引变压 </w:t>
            </w:r>
            <w:r>
              <w:rPr>
                <w:rFonts w:ascii="宋体" w:hAnsi="宋体" w:cs="宋体" w:eastAsia="宋体" w:hint="default"/>
                <w:spacing w:val="-1"/>
                <w:sz w:val="18"/>
                <w:szCs w:val="18"/>
              </w:rPr>
              <w:t>器业务市场，保证不以任何直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接或间接方式从事铁路牵引 </w:t>
            </w:r>
            <w:r>
              <w:rPr>
                <w:rFonts w:ascii="宋体" w:hAnsi="宋体" w:cs="宋体" w:eastAsia="宋体" w:hint="default"/>
                <w:spacing w:val="-1"/>
                <w:sz w:val="18"/>
                <w:szCs w:val="18"/>
              </w:rPr>
              <w:t>变压器业务，包括但不限于本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承诺人控制的卧龙电气集团 </w:t>
            </w:r>
            <w:r>
              <w:rPr>
                <w:rFonts w:ascii="宋体" w:hAnsi="宋体" w:cs="宋体" w:eastAsia="宋体" w:hint="default"/>
                <w:spacing w:val="-1"/>
                <w:sz w:val="18"/>
                <w:szCs w:val="18"/>
              </w:rPr>
              <w:t>北京华泰变压器有限公司（以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w w:val="100"/>
                <w:sz w:val="18"/>
                <w:szCs w:val="18"/>
              </w:rPr>
              <w:t>下简称</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华泰变压器</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）、卧龙电</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气烟台东源变压器有限公司</w:t>
            </w:r>
          </w:p>
          <w:p>
            <w:pPr>
              <w:pStyle w:val="TableParagraph"/>
              <w:spacing w:line="309" w:lineRule="auto" w:before="20"/>
              <w:ind w:left="22" w:right="20"/>
              <w:jc w:val="left"/>
              <w:rPr>
                <w:rFonts w:ascii="宋体" w:hAnsi="宋体" w:cs="宋体" w:eastAsia="宋体" w:hint="default"/>
                <w:sz w:val="18"/>
                <w:szCs w:val="18"/>
              </w:rPr>
            </w:pPr>
            <w:r>
              <w:rPr>
                <w:rFonts w:ascii="宋体" w:hAnsi="宋体" w:cs="宋体" w:eastAsia="宋体" w:hint="default"/>
                <w:spacing w:val="-12"/>
                <w:w w:val="100"/>
                <w:sz w:val="18"/>
                <w:szCs w:val="18"/>
              </w:rPr>
              <w:t>（以下简称</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东源变压器</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）、卧</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龙电气集团浙江变压器有限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浙变</w:t>
            </w:r>
            <w:r>
              <w:rPr>
                <w:rFonts w:ascii="Times New Roman" w:hAnsi="Times New Roman" w:cs="Times New Roman" w:eastAsia="Times New Roman" w:hint="default"/>
                <w:sz w:val="18"/>
                <w:szCs w:val="18"/>
              </w:rPr>
              <w:t>”</w:t>
            </w:r>
            <w:r>
              <w:rPr>
                <w:rFonts w:ascii="宋体" w:hAnsi="宋体" w:cs="宋体" w:eastAsia="宋体" w:hint="default"/>
                <w:sz w:val="18"/>
                <w:szCs w:val="18"/>
              </w:rPr>
              <w:t>）等所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473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有关联公司或机构均不得以 任何直接或间接方式从事牵 引变压器业务；自银川卧龙股 权交割日起，本承诺人计划在 两年内，通过合法合规方式逐 步剥离卧龙电气除银川卧龙 以外变压器资产，不再从事电 力变压器的生产和销售业务。 </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、本承诺人保证上述承诺为 真实、准确及完整的，如上述 承诺被证明是不真实、不准确 或不完整的，本承诺人将承担 由此产生的所有直接和间接 损失，并承担相应的法律责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陈剑虹、张青、 吴松、徐建平、 王长乐、刘宏 </w:t>
            </w:r>
            <w:r>
              <w:rPr>
                <w:rFonts w:ascii="宋体" w:hAnsi="宋体" w:cs="宋体" w:eastAsia="宋体" w:hint="default"/>
                <w:spacing w:val="-6"/>
                <w:sz w:val="18"/>
                <w:szCs w:val="18"/>
              </w:rPr>
              <w:t>胜、陈小杰、左</w:t>
            </w:r>
            <w:r>
              <w:rPr>
                <w:rFonts w:ascii="宋体" w:hAnsi="宋体" w:cs="宋体" w:eastAsia="宋体" w:hint="default"/>
                <w:sz w:val="18"/>
                <w:szCs w:val="18"/>
              </w:rPr>
              <w:t> 克刚、胡万云、 谢安安、王加 </w:t>
            </w:r>
            <w:r>
              <w:rPr>
                <w:rFonts w:ascii="宋体" w:hAnsi="宋体" w:cs="宋体" w:eastAsia="宋体" w:hint="default"/>
                <w:spacing w:val="-6"/>
                <w:sz w:val="18"/>
                <w:szCs w:val="18"/>
              </w:rPr>
              <w:t>玉、王延慧、魏</w:t>
            </w:r>
            <w:r>
              <w:rPr>
                <w:rFonts w:ascii="宋体" w:hAnsi="宋体" w:cs="宋体" w:eastAsia="宋体" w:hint="default"/>
                <w:sz w:val="18"/>
                <w:szCs w:val="18"/>
              </w:rPr>
              <w:t> 京保、奚银春、 蒋磊、袁长亮、 </w:t>
            </w:r>
            <w:r>
              <w:rPr>
                <w:rFonts w:ascii="宋体" w:hAnsi="宋体" w:cs="宋体" w:eastAsia="宋体" w:hint="default"/>
                <w:spacing w:val="-6"/>
                <w:sz w:val="18"/>
                <w:szCs w:val="18"/>
              </w:rPr>
              <w:t>刘朝、刘玉、邢</w:t>
            </w:r>
            <w:r>
              <w:rPr>
                <w:rFonts w:ascii="宋体" w:hAnsi="宋体" w:cs="宋体" w:eastAsia="宋体" w:hint="default"/>
                <w:sz w:val="18"/>
                <w:szCs w:val="18"/>
              </w:rPr>
              <w:t> 成林</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16"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人及本人控制的其他企业不 会以任何直接或间接的方式 </w:t>
            </w:r>
            <w:r>
              <w:rPr>
                <w:rFonts w:ascii="宋体" w:hAnsi="宋体" w:cs="宋体" w:eastAsia="宋体" w:hint="default"/>
                <w:spacing w:val="-1"/>
                <w:sz w:val="18"/>
                <w:szCs w:val="18"/>
              </w:rPr>
              <w:t>从事与红相电力、星波通信及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红相电力其他控股子公司主 </w:t>
            </w:r>
            <w:r>
              <w:rPr>
                <w:rFonts w:ascii="宋体" w:hAnsi="宋体" w:cs="宋体" w:eastAsia="宋体" w:hint="default"/>
                <w:spacing w:val="-1"/>
                <w:sz w:val="18"/>
                <w:szCs w:val="18"/>
              </w:rPr>
              <w:t>营业务相同或相似的业务，亦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不会在中国境内通过投资、收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购、联营、兼并、受托经营等</w:t>
            </w:r>
            <w:r>
              <w:rPr>
                <w:rFonts w:ascii="宋体" w:hAnsi="宋体" w:cs="宋体" w:eastAsia="宋体" w:hint="default"/>
                <w:sz w:val="18"/>
                <w:szCs w:val="18"/>
              </w:rPr>
              <w:t> </w:t>
            </w:r>
            <w:r>
              <w:rPr>
                <w:rFonts w:ascii="宋体" w:hAnsi="宋体" w:cs="宋体" w:eastAsia="宋体" w:hint="default"/>
                <w:spacing w:val="-1"/>
                <w:sz w:val="18"/>
                <w:szCs w:val="18"/>
              </w:rPr>
              <w:t>方式从事与红相电力、星波通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信及红相电力其他控股子公 司主营业务相同或相似的业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、如本人及本人控制的 其他企业未来从任何第三方 获得的任何商业机会与红相 </w:t>
            </w:r>
            <w:r>
              <w:rPr>
                <w:rFonts w:ascii="宋体" w:hAnsi="宋体" w:cs="宋体" w:eastAsia="宋体" w:hint="default"/>
                <w:spacing w:val="-1"/>
                <w:sz w:val="18"/>
                <w:szCs w:val="18"/>
              </w:rPr>
              <w:t>电力、星波通信及红相电力其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他控股子公司主营业务有竞 </w:t>
            </w:r>
            <w:r>
              <w:rPr>
                <w:rFonts w:ascii="宋体" w:hAnsi="宋体" w:cs="宋体" w:eastAsia="宋体" w:hint="default"/>
                <w:spacing w:val="-1"/>
                <w:sz w:val="18"/>
                <w:szCs w:val="18"/>
              </w:rPr>
              <w:t>争或可能存在竞争，则本人及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本人控制的其他企业将立即 </w:t>
            </w:r>
            <w:r>
              <w:rPr>
                <w:rFonts w:ascii="宋体" w:hAnsi="宋体" w:cs="宋体" w:eastAsia="宋体" w:hint="default"/>
                <w:spacing w:val="-1"/>
                <w:sz w:val="18"/>
                <w:szCs w:val="18"/>
              </w:rPr>
              <w:t>通知红相电力、星波通信及红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相电力其他控股子公司，并尽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力将该商业机会让渡于红相 </w:t>
            </w:r>
            <w:r>
              <w:rPr>
                <w:rFonts w:ascii="宋体" w:hAnsi="宋体" w:cs="宋体" w:eastAsia="宋体" w:hint="default"/>
                <w:spacing w:val="-1"/>
                <w:sz w:val="18"/>
                <w:szCs w:val="18"/>
              </w:rPr>
              <w:t>电力、星波通信及红相电力其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他控股子公司。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、本人若因 不履行或不适当履行上述承 </w:t>
            </w:r>
            <w:r>
              <w:rPr>
                <w:rFonts w:ascii="宋体" w:hAnsi="宋体" w:cs="宋体" w:eastAsia="宋体" w:hint="default"/>
                <w:spacing w:val="-1"/>
                <w:sz w:val="18"/>
                <w:szCs w:val="18"/>
              </w:rPr>
              <w:t>诺，给红相电力及其相关方造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成损失的，本人以现金方式全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额承担该等损失。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67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卧龙电气、席立</w:t>
            </w:r>
            <w:r>
              <w:rPr>
                <w:rFonts w:ascii="宋体" w:hAnsi="宋体" w:cs="宋体" w:eastAsia="宋体" w:hint="default"/>
                <w:sz w:val="18"/>
                <w:szCs w:val="18"/>
              </w:rPr>
              <w:t> </w:t>
            </w:r>
            <w:r>
              <w:rPr>
                <w:rFonts w:ascii="宋体" w:hAnsi="宋体" w:cs="宋体" w:eastAsia="宋体" w:hint="default"/>
                <w:spacing w:val="-6"/>
                <w:sz w:val="18"/>
                <w:szCs w:val="18"/>
              </w:rPr>
              <w:t>功、何东武、吴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股份锁定的承诺：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本人通过本次交易获取的红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4.480011pt;margin-top:90.11998pt;width:89pt;height:265.25pt;mso-position-horizontal-relative:page;mso-position-vertical-relative:page;z-index:-1265344"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（本人）</w:t>
                  </w:r>
                </w:p>
              </w:txbxContent>
            </v:textbox>
            <w10:wrap type="none"/>
          </v:shape>
        </w:pict>
      </w:r>
      <w:r>
        <w:rPr/>
        <w:pict>
          <v:group style="position:absolute;margin-left:367.660004pt;margin-top:90.11998pt;width:55.85pt;height:451.9pt;mso-position-horizontal-relative:page;mso-position-vertical-relative:page;z-index:-1265320" coordorigin="7353,1802" coordsize="1117,9038">
            <v:group style="position:absolute;left:7353;top:1802;width:1117;height:5305" coordorigin="7353,1802" coordsize="1117,5305">
              <v:shape style="position:absolute;left:7353;top:1802;width:1117;height:5305" coordorigin="7353,1802" coordsize="1117,5305" path="m7353,7107l8470,7107,8470,1802,7353,1802,7353,7107xe" filled="true" fillcolor="#ffffff" stroked="false">
                <v:path arrowok="t"/>
                <v:fill type="solid"/>
              </v:shape>
            </v:group>
            <v:group style="position:absolute;left:7353;top:7116;width:1117;height:3724" coordorigin="7353,7116" coordsize="1117,3724">
              <v:shape style="position:absolute;left:7353;top:7116;width:1117;height:3724" coordorigin="7353,7116" coordsize="1117,3724" path="m7353,10840l8470,10840,8470,7116,7353,7116,7353,1084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566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相电力的全部股份，自本次交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易增发的股份上市之日起满 </w:t>
            </w:r>
            <w:r>
              <w:rPr>
                <w:rFonts w:ascii="宋体" w:hAnsi="宋体" w:cs="宋体" w:eastAsia="宋体" w:hint="default"/>
                <w:spacing w:val="-6"/>
                <w:sz w:val="18"/>
                <w:szCs w:val="18"/>
              </w:rPr>
              <w:t>三十六个月内，本公司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不转让或者委托他人管理所 </w:t>
            </w:r>
            <w:r>
              <w:rPr>
                <w:rFonts w:ascii="宋体" w:hAnsi="宋体" w:cs="宋体" w:eastAsia="宋体" w:hint="default"/>
                <w:spacing w:val="-1"/>
                <w:sz w:val="18"/>
                <w:szCs w:val="18"/>
              </w:rPr>
              <w:t>持有的红相电力的股份，也不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由红相电力回购本公司（本 </w:t>
            </w:r>
            <w:r>
              <w:rPr>
                <w:rFonts w:ascii="宋体" w:hAnsi="宋体" w:cs="宋体" w:eastAsia="宋体" w:hint="default"/>
                <w:spacing w:val="-1"/>
                <w:sz w:val="18"/>
                <w:szCs w:val="18"/>
              </w:rPr>
              <w:t>人）本次作为交易对手方所获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得的红相电力的股份。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本人通过本次交易获取 的红相电力的股份因红相电 </w:t>
            </w:r>
            <w:r>
              <w:rPr>
                <w:rFonts w:ascii="宋体" w:hAnsi="宋体" w:cs="宋体" w:eastAsia="宋体" w:hint="default"/>
                <w:spacing w:val="-1"/>
                <w:sz w:val="18"/>
                <w:szCs w:val="18"/>
              </w:rPr>
              <w:t>力分配股票股利、资本公积转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增股本等情形所衍生取得的 股份亦应遵守上述股份锁定 安排。</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本人因本次 交易取得的红相电力股份在 锁定期届满后按照届时有效 的法律和深圳证券交易所的 有关规定执行。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pacing w:val="-6"/>
                <w:sz w:val="18"/>
                <w:szCs w:val="18"/>
              </w:rPr>
              <w:t>张青、吴松、刘</w:t>
            </w:r>
            <w:r>
              <w:rPr>
                <w:rFonts w:ascii="宋体" w:hAnsi="宋体" w:cs="宋体" w:eastAsia="宋体" w:hint="default"/>
                <w:sz w:val="18"/>
                <w:szCs w:val="18"/>
              </w:rPr>
              <w:t> 宏胜、徐建平、 </w:t>
            </w:r>
            <w:r>
              <w:rPr>
                <w:rFonts w:ascii="宋体" w:hAnsi="宋体" w:cs="宋体" w:eastAsia="宋体" w:hint="default"/>
                <w:spacing w:val="-6"/>
                <w:sz w:val="18"/>
                <w:szCs w:val="18"/>
              </w:rPr>
              <w:t>陈小杰、王长乐</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16"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股份锁定的承诺：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、若星波 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年实际净利润不低 </w:t>
            </w:r>
            <w:r>
              <w:rPr>
                <w:rFonts w:ascii="宋体" w:hAnsi="宋体" w:cs="宋体" w:eastAsia="宋体" w:hint="default"/>
                <w:spacing w:val="-1"/>
                <w:sz w:val="18"/>
                <w:szCs w:val="18"/>
              </w:rPr>
              <w:t>于承诺净利润，或者星波通信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年实际净利润低于承诺 </w:t>
            </w:r>
            <w:r>
              <w:rPr>
                <w:rFonts w:ascii="宋体" w:hAnsi="宋体" w:cs="宋体" w:eastAsia="宋体" w:hint="default"/>
                <w:spacing w:val="-1"/>
                <w:sz w:val="18"/>
                <w:szCs w:val="18"/>
              </w:rPr>
              <w:t>净利润，但已履行完毕业绩补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偿义务，以持有星波通信股份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认购而取得的红相电力股份 中的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，在扣除已补偿股份</w:t>
            </w:r>
          </w:p>
          <w:p>
            <w:pPr>
              <w:pStyle w:val="TableParagraph"/>
              <w:spacing w:line="309" w:lineRule="auto" w:before="5"/>
              <w:ind w:left="22" w:right="-32"/>
              <w:jc w:val="left"/>
              <w:rPr>
                <w:rFonts w:ascii="宋体" w:hAnsi="宋体" w:cs="宋体" w:eastAsia="宋体" w:hint="default"/>
                <w:sz w:val="18"/>
                <w:szCs w:val="18"/>
              </w:rPr>
            </w:pPr>
            <w:r>
              <w:rPr>
                <w:rFonts w:ascii="宋体" w:hAnsi="宋体" w:cs="宋体" w:eastAsia="宋体" w:hint="default"/>
                <w:sz w:val="18"/>
                <w:szCs w:val="18"/>
              </w:rPr>
              <w:t>（若有）的数量后，自股份发 行结束之日起十二个月后（与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年审计报告出具日孰后） 后可以解锁；</w:t>
            </w:r>
            <w:r>
              <w:rPr>
                <w:rFonts w:ascii="Times New Roman" w:hAnsi="Times New Roman" w:cs="Times New Roman" w:eastAsia="Times New Roman" w:hint="default"/>
                <w:sz w:val="18"/>
                <w:szCs w:val="18"/>
              </w:rPr>
              <w:t>2</w:t>
            </w:r>
            <w:r>
              <w:rPr>
                <w:rFonts w:ascii="宋体" w:hAnsi="宋体" w:cs="宋体" w:eastAsia="宋体" w:hint="default"/>
                <w:sz w:val="18"/>
                <w:szCs w:val="18"/>
              </w:rPr>
              <w:t>、若星波通信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年累计实际净 利润不低于累计承诺净利润， 或者星波通信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年累计实际净利润低于累计 承诺净利润，但已履行完毕业 绩补偿义务，以持有星波通信 股份认购而取得的红相电力 股份中的累计</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，在扣除已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补偿股份（若有）的数量后， 自股份发行结束之日起二十 四个月后（与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年审计报 告出具日孰后）后可以解锁； </w:t>
            </w:r>
            <w:r>
              <w:rPr>
                <w:rFonts w:ascii="Times New Roman" w:hAnsi="Times New Roman" w:cs="Times New Roman" w:eastAsia="Times New Roman" w:hint="default"/>
                <w:sz w:val="18"/>
                <w:szCs w:val="18"/>
              </w:rPr>
              <w:t>3</w:t>
            </w:r>
            <w:r>
              <w:rPr>
                <w:rFonts w:ascii="宋体" w:hAnsi="宋体" w:cs="宋体" w:eastAsia="宋体" w:hint="default"/>
                <w:sz w:val="18"/>
                <w:szCs w:val="18"/>
              </w:rPr>
              <w:t>、若星波通信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年累计实际净利润不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10"/>
      </w:tblGrid>
      <w:tr>
        <w:trPr>
          <w:trHeight w:val="660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低于累计承诺净利润，或者星 波通信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年、</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年、</w:t>
            </w:r>
            <w:r>
              <w:rPr>
                <w:rFonts w:ascii="Times New Roman" w:hAnsi="Times New Roman" w:cs="Times New Roman" w:eastAsia="Times New Roman" w:hint="default"/>
                <w:spacing w:val="-1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年累计实际净利润低于累计 承诺净利润，但已履行完毕业 绩补偿义务，以持有星波通信 股份认购而取得的红相电力 股份中的累计</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60%</w:t>
            </w:r>
            <w:r>
              <w:rPr>
                <w:rFonts w:ascii="宋体" w:hAnsi="宋体" w:cs="宋体" w:eastAsia="宋体" w:hint="default"/>
                <w:spacing w:val="-4"/>
                <w:sz w:val="18"/>
                <w:szCs w:val="18"/>
              </w:rPr>
              <w:t>，在扣除已</w:t>
            </w:r>
            <w:r>
              <w:rPr>
                <w:rFonts w:ascii="宋体" w:hAnsi="宋体" w:cs="宋体" w:eastAsia="宋体" w:hint="default"/>
                <w:sz w:val="18"/>
                <w:szCs w:val="18"/>
              </w:rPr>
              <w:t> 补偿股份（若有）的数量后， 自股份发行结束之日起三十 六个月后（与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年审计报 告出具日孰后）后可以解锁； </w:t>
            </w:r>
            <w:r>
              <w:rPr>
                <w:rFonts w:ascii="Times New Roman" w:hAnsi="Times New Roman" w:cs="Times New Roman" w:eastAsia="Times New Roman" w:hint="default"/>
                <w:sz w:val="18"/>
                <w:szCs w:val="18"/>
              </w:rPr>
              <w:t>4</w:t>
            </w:r>
            <w:r>
              <w:rPr>
                <w:rFonts w:ascii="宋体" w:hAnsi="宋体" w:cs="宋体" w:eastAsia="宋体" w:hint="default"/>
                <w:sz w:val="18"/>
                <w:szCs w:val="18"/>
              </w:rPr>
              <w:t>、以持有星波通信股份认购 而取得的红相电力累计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的股份数量，在扣除已补偿股 份（若有）的数量后，自股份 发行结束之日起四十八个月 后可以解锁；</w:t>
            </w:r>
            <w:r>
              <w:rPr>
                <w:rFonts w:ascii="Times New Roman" w:hAnsi="Times New Roman" w:cs="Times New Roman" w:eastAsia="Times New Roman" w:hint="default"/>
                <w:sz w:val="18"/>
                <w:szCs w:val="18"/>
              </w:rPr>
              <w:t>5</w:t>
            </w:r>
            <w:r>
              <w:rPr>
                <w:rFonts w:ascii="宋体" w:hAnsi="宋体" w:cs="宋体" w:eastAsia="宋体" w:hint="default"/>
                <w:sz w:val="18"/>
                <w:szCs w:val="18"/>
              </w:rPr>
              <w:t>、以持有星波 通信股份认购而取得的红相 电力全部剩余股份数量，自股 份发行结束之日起六十个月 后可以解锁。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pacing w:val="-6"/>
                <w:sz w:val="18"/>
                <w:szCs w:val="18"/>
              </w:rPr>
              <w:t>兴皖创投、刘启</w:t>
            </w:r>
            <w:r>
              <w:rPr>
                <w:rFonts w:ascii="宋体" w:hAnsi="宋体" w:cs="宋体" w:eastAsia="宋体" w:hint="default"/>
                <w:sz w:val="18"/>
                <w:szCs w:val="18"/>
              </w:rPr>
              <w:t> 斌、程小虎</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股份锁定的承诺：以持有星波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通信股份认购而取得的红相 </w:t>
            </w:r>
            <w:r>
              <w:rPr>
                <w:rFonts w:ascii="宋体" w:hAnsi="宋体" w:cs="宋体" w:eastAsia="宋体" w:hint="default"/>
                <w:spacing w:val="-1"/>
                <w:sz w:val="18"/>
                <w:szCs w:val="18"/>
              </w:rPr>
              <w:t>电力股份，自股份发行结束之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日起十二个月后可以解禁。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834"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兆戈投资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股份锁定的承诺：截至股份发 行结束之日，如其拥有星波通 信股份的持续时间不足十二 个月的，自股份发行结束之日 起三十六个月内不转让其因 本次交易获得的红相电力股 份；截至股份发行结束之日， 如其拥有星波通信股份的持 续时间超过十二个月的，自股 份发行结束之日起十二个月 内不转让其因本次交易获得 的红相电力股份。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92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pacing w:val="-6"/>
                <w:sz w:val="18"/>
                <w:szCs w:val="18"/>
              </w:rPr>
              <w:t>合肥星睿、左克</w:t>
            </w:r>
            <w:r>
              <w:rPr>
                <w:rFonts w:ascii="宋体" w:hAnsi="宋体" w:cs="宋体" w:eastAsia="宋体" w:hint="default"/>
                <w:sz w:val="18"/>
                <w:szCs w:val="18"/>
              </w:rPr>
              <w:t> </w:t>
            </w:r>
            <w:r>
              <w:rPr>
                <w:rFonts w:ascii="宋体" w:hAnsi="宋体" w:cs="宋体" w:eastAsia="宋体" w:hint="default"/>
                <w:spacing w:val="-6"/>
                <w:sz w:val="18"/>
                <w:szCs w:val="18"/>
              </w:rPr>
              <w:t>刚、胡万云、谢</w:t>
            </w:r>
            <w:r>
              <w:rPr>
                <w:rFonts w:ascii="宋体" w:hAnsi="宋体" w:cs="宋体" w:eastAsia="宋体" w:hint="default"/>
                <w:sz w:val="18"/>
                <w:szCs w:val="18"/>
              </w:rPr>
              <w:t> 安安、王加玉、 王延慧、魏京 </w:t>
            </w:r>
            <w:r>
              <w:rPr>
                <w:rFonts w:ascii="宋体" w:hAnsi="宋体" w:cs="宋体" w:eastAsia="宋体" w:hint="default"/>
                <w:spacing w:val="-6"/>
                <w:sz w:val="18"/>
                <w:szCs w:val="18"/>
              </w:rPr>
              <w:t>保、奚银春、蒋</w:t>
            </w:r>
            <w:r>
              <w:rPr>
                <w:rFonts w:ascii="宋体" w:hAnsi="宋体" w:cs="宋体" w:eastAsia="宋体" w:hint="default"/>
                <w:sz w:val="18"/>
                <w:szCs w:val="18"/>
              </w:rPr>
              <w:t> </w:t>
            </w:r>
            <w:r>
              <w:rPr>
                <w:rFonts w:ascii="宋体" w:hAnsi="宋体" w:cs="宋体" w:eastAsia="宋体" w:hint="default"/>
                <w:spacing w:val="-6"/>
                <w:sz w:val="18"/>
                <w:szCs w:val="18"/>
              </w:rPr>
              <w:t>磊、袁长亮、刘</w:t>
            </w:r>
          </w:p>
        </w:tc>
        <w:tc>
          <w:tcPr>
            <w:tcW w:w="9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1"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股份锁定的承诺：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、若星波 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年累计实际净利润不低于累 </w:t>
            </w:r>
            <w:r>
              <w:rPr>
                <w:rFonts w:ascii="宋体" w:hAnsi="宋体" w:cs="宋体" w:eastAsia="宋体" w:hint="default"/>
                <w:spacing w:val="-1"/>
                <w:sz w:val="18"/>
                <w:szCs w:val="18"/>
              </w:rPr>
              <w:t>计承诺净利润，或者星波通信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年累 计实际净利润低于累计承诺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5.480011pt;margin-top:72.47998pt;width:98pt;height:282.9pt;mso-position-horizontal-relative:page;mso-position-vertical-relative:page;z-index:-1265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的数量后，</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10"/>
      </w:tblGrid>
      <w:tr>
        <w:trPr>
          <w:trHeight w:val="566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6"/>
                <w:sz w:val="18"/>
                <w:szCs w:val="18"/>
              </w:rPr>
              <w:t>朝、刘玉、邢成</w:t>
            </w:r>
            <w:r>
              <w:rPr>
                <w:rFonts w:ascii="宋体" w:hAnsi="宋体" w:cs="宋体" w:eastAsia="宋体" w:hint="default"/>
                <w:sz w:val="18"/>
                <w:szCs w:val="18"/>
              </w:rPr>
              <w:t> 林</w:t>
            </w: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净利润，但已履行完毕业绩补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偿义务，以持有星波通信股份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认购而取得的红相电力股份 中的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部分，在扣除已补偿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股份（若有）的数量后，自股</w:t>
            </w:r>
            <w:r>
              <w:rPr>
                <w:rFonts w:ascii="宋体" w:hAnsi="宋体" w:cs="宋体" w:eastAsia="宋体" w:hint="default"/>
                <w:sz w:val="18"/>
                <w:szCs w:val="18"/>
              </w:rPr>
              <w:t> 份发行结束之日起三十六个 月后（与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年审计报告出 具日孰后）可以解锁；</w:t>
            </w:r>
            <w:r>
              <w:rPr>
                <w:rFonts w:ascii="Times New Roman" w:hAnsi="Times New Roman" w:cs="Times New Roman" w:eastAsia="Times New Roman" w:hint="default"/>
                <w:sz w:val="18"/>
                <w:szCs w:val="18"/>
              </w:rPr>
              <w:t>2</w:t>
            </w:r>
            <w:r>
              <w:rPr>
                <w:rFonts w:ascii="宋体" w:hAnsi="宋体" w:cs="宋体" w:eastAsia="宋体" w:hint="default"/>
                <w:sz w:val="18"/>
                <w:szCs w:val="18"/>
              </w:rPr>
              <w:t>、以 持有星波通信股份认购而取 得的红相电力股份中的累计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部分的股份数量，在扣除 </w:t>
            </w:r>
            <w:r>
              <w:rPr>
                <w:rFonts w:ascii="宋体" w:hAnsi="宋体" w:cs="宋体" w:eastAsia="宋体" w:hint="default"/>
                <w:spacing w:val="-6"/>
                <w:sz w:val="18"/>
                <w:szCs w:val="18"/>
              </w:rPr>
              <w:t>已补偿股份（若有）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自股份发行结束之日起四十 八个月后可以解锁；</w:t>
            </w:r>
            <w:r>
              <w:rPr>
                <w:rFonts w:ascii="Times New Roman" w:hAnsi="Times New Roman" w:cs="Times New Roman" w:eastAsia="Times New Roman" w:hint="default"/>
                <w:sz w:val="18"/>
                <w:szCs w:val="18"/>
              </w:rPr>
              <w:t>3</w:t>
            </w:r>
            <w:r>
              <w:rPr>
                <w:rFonts w:ascii="宋体" w:hAnsi="宋体" w:cs="宋体" w:eastAsia="宋体" w:hint="default"/>
                <w:sz w:val="18"/>
                <w:szCs w:val="18"/>
              </w:rPr>
              <w:t>、以持 有星波通信股份认购而取得 的红相电力全部剩余股份数 </w:t>
            </w:r>
            <w:r>
              <w:rPr>
                <w:rFonts w:ascii="宋体" w:hAnsi="宋体" w:cs="宋体" w:eastAsia="宋体" w:hint="default"/>
                <w:spacing w:val="-1"/>
                <w:sz w:val="18"/>
                <w:szCs w:val="18"/>
              </w:rPr>
              <w:t>量，自股份发行结束之日起六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十个月后可以解锁。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565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55.85pt;height:282.9pt;mso-position-horizontal-relative:char;mso-position-vertical-relative:line" coordorigin="0,0" coordsize="1117,5658">
                  <v:group style="position:absolute;left:0;top:0;width:1117;height:5658" coordorigin="0,0" coordsize="1117,5658">
                    <v:shape style="position:absolute;left:0;top:0;width:1117;height:5658" coordorigin="0,0" coordsize="1117,5658" path="m0,5657l1116,5657,1116,0,0,0,0,5657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、本公司承诺本公司及本公 司相关人员遵守《中华人民共 </w:t>
            </w:r>
            <w:r>
              <w:rPr>
                <w:rFonts w:ascii="宋体" w:hAnsi="宋体" w:cs="宋体" w:eastAsia="宋体" w:hint="default"/>
                <w:spacing w:val="-14"/>
                <w:sz w:val="18"/>
                <w:szCs w:val="18"/>
              </w:rPr>
              <w:t>和国保守国家秘密法》、《中华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人民共和国保守国家秘密法 </w:t>
            </w:r>
            <w:r>
              <w:rPr>
                <w:rFonts w:ascii="宋体" w:hAnsi="宋体" w:cs="宋体" w:eastAsia="宋体" w:hint="default"/>
                <w:spacing w:val="-14"/>
                <w:sz w:val="18"/>
                <w:szCs w:val="18"/>
              </w:rPr>
              <w:t>实施条例》、《武器装备科研生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产许可管理条例》、《武器装备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科研生产许可实施办法》、《中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共中央保密委员会办公室、国</w:t>
            </w:r>
            <w:r>
              <w:rPr>
                <w:rFonts w:ascii="宋体" w:hAnsi="宋体" w:cs="宋体" w:eastAsia="宋体" w:hint="default"/>
                <w:sz w:val="18"/>
                <w:szCs w:val="18"/>
              </w:rPr>
              <w:t> 家保密局关于国家秘密载体 </w:t>
            </w:r>
            <w:r>
              <w:rPr>
                <w:rFonts w:ascii="宋体" w:hAnsi="宋体" w:cs="宋体" w:eastAsia="宋体" w:hint="default"/>
                <w:spacing w:val="-7"/>
                <w:sz w:val="18"/>
                <w:szCs w:val="18"/>
              </w:rPr>
              <w:t>保密管理的规定》、国防科工</w:t>
            </w:r>
            <w:r>
              <w:rPr>
                <w:rFonts w:ascii="宋体" w:hAnsi="宋体" w:cs="宋体" w:eastAsia="宋体" w:hint="default"/>
                <w:sz w:val="18"/>
                <w:szCs w:val="18"/>
              </w:rPr>
              <w:t> 局《涉军企事业单位重组上市 </w:t>
            </w:r>
            <w:r>
              <w:rPr>
                <w:rFonts w:ascii="宋体" w:hAnsi="宋体" w:cs="宋体" w:eastAsia="宋体" w:hint="default"/>
                <w:spacing w:val="-7"/>
                <w:sz w:val="18"/>
                <w:szCs w:val="18"/>
              </w:rPr>
              <w:t>军工事项审查暂行办法》（科</w:t>
            </w:r>
            <w:r>
              <w:rPr>
                <w:rFonts w:ascii="宋体" w:hAnsi="宋体" w:cs="宋体" w:eastAsia="宋体" w:hint="default"/>
                <w:sz w:val="18"/>
                <w:szCs w:val="18"/>
              </w:rPr>
              <w:t> </w:t>
            </w:r>
            <w:r>
              <w:rPr>
                <w:rFonts w:ascii="宋体" w:hAnsi="宋体" w:cs="宋体" w:eastAsia="宋体" w:hint="default"/>
                <w:spacing w:val="-1"/>
                <w:sz w:val="18"/>
                <w:szCs w:val="18"/>
              </w:rPr>
              <w:t>工财审</w:t>
            </w:r>
            <w:r>
              <w:rPr>
                <w:rFonts w:ascii="Times New Roman" w:hAnsi="Times New Roman" w:cs="Times New Roman" w:eastAsia="Times New Roman" w:hint="default"/>
                <w:spacing w:val="-1"/>
                <w:sz w:val="18"/>
                <w:szCs w:val="18"/>
              </w:rPr>
              <w:t>[2014]1718</w:t>
            </w:r>
            <w:r>
              <w:rPr>
                <w:rFonts w:ascii="Times New Roman" w:hAnsi="Times New Roman" w:cs="Times New Roman" w:eastAsia="Times New Roman" w:hint="default"/>
                <w:sz w:val="18"/>
                <w:szCs w:val="18"/>
              </w:rPr>
              <w:t> </w:t>
            </w:r>
            <w:r>
              <w:rPr>
                <w:rFonts w:ascii="宋体" w:hAnsi="宋体" w:cs="宋体" w:eastAsia="宋体" w:hint="default"/>
                <w:spacing w:val="-30"/>
                <w:sz w:val="18"/>
                <w:szCs w:val="18"/>
              </w:rPr>
              <w:t>号）、《军工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企业对外融资特殊财务信息 </w:t>
            </w:r>
            <w:r>
              <w:rPr>
                <w:rFonts w:ascii="宋体" w:hAnsi="宋体" w:cs="宋体" w:eastAsia="宋体" w:hint="default"/>
                <w:spacing w:val="-8"/>
                <w:sz w:val="18"/>
                <w:szCs w:val="18"/>
              </w:rPr>
              <w:t>披露管理办法》（科工财审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[2008]702 </w:t>
            </w:r>
            <w:r>
              <w:rPr>
                <w:rFonts w:ascii="宋体" w:hAnsi="宋体" w:cs="宋体" w:eastAsia="宋体" w:hint="default"/>
                <w:spacing w:val="-10"/>
                <w:sz w:val="18"/>
                <w:szCs w:val="18"/>
              </w:rPr>
              <w:t>号）等相关法律、法</w:t>
            </w:r>
            <w:r>
              <w:rPr>
                <w:rFonts w:ascii="宋体" w:hAnsi="宋体" w:cs="宋体" w:eastAsia="宋体" w:hint="default"/>
                <w:sz w:val="18"/>
                <w:szCs w:val="18"/>
              </w:rPr>
              <w:t> 规和规范性文件以及星波通 信相关保密规章的规定。</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本公司承诺在本次收购星波 通信股权事宜完成后，本公司 将按照相关国防、军工、保密 要求修改《厦门红相电力设备 </w:t>
            </w:r>
            <w:r>
              <w:rPr>
                <w:rFonts w:ascii="宋体" w:hAnsi="宋体" w:cs="宋体" w:eastAsia="宋体" w:hint="default"/>
                <w:spacing w:val="-7"/>
                <w:sz w:val="18"/>
                <w:szCs w:val="18"/>
              </w:rPr>
              <w:t>股份有限公司章程》，增设保</w:t>
            </w:r>
            <w:r>
              <w:rPr>
                <w:rFonts w:ascii="宋体" w:hAnsi="宋体" w:cs="宋体" w:eastAsia="宋体" w:hint="default"/>
                <w:sz w:val="18"/>
                <w:szCs w:val="18"/>
              </w:rPr>
              <w:t> 军特别条款，增加保密工作制 度、军工关键设备设施管理、 核心管理人员变动、国防专利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594.339966pt;width:62pt;height:46.8pt;mso-position-horizontal-relative:page;mso-position-vertical-relative:page;z-index:-1265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594.339966pt;width:55.85pt;height:46.8pt;mso-position-horizontal-relative:page;mso-position-vertical-relative:page;z-index:-1265224" coordorigin="7353,11887" coordsize="1117,936">
            <v:shape style="position:absolute;left:7353;top:11887;width:1117;height:936" coordorigin="7353,11887" coordsize="1117,936" path="m7353,12823l8470,12823,8470,11887,7353,11887,7353,1282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申请等相关内容，使《厦门红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相电力设备股份有限公司章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程》符合国防、军工、保密相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关规定，并向相关主管部门报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、本公司承诺在本次收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购星波通信股权事宜完成后，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本公司将根据国防、军工、保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密相关规定要求制定符合法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律、法规、规范性文件的保密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、本公司承诺在本次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收购星波通信股权事宜完成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后，本公司及本公司相关人员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将在适当的时机申报相关保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密资质和资格并获得相述资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质和资格，使本公司在有效控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股星波通信的同时符合国防、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军工、保密的相关规定。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、本次交易完成之后，本人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不再对星波通信拥有控制权，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红相电力将作为星波通信的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控股股东及实际控制人，按公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司章程的规定履行相应职权；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、本人作为星波通信的小股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东，在符合红相电力及星波通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陈剑虹</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信核心利益，且不影响星波通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信持续稳定经营的基础上，同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意星波通信达成的各项合法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有效的董事会及股东会决议；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、在星波通信日常经营及重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大事项决策过程中，若需本人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配合出具相关文件，本人将尽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力配合，以确保星波通信公司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治理和生产经营的稳定性。</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如陈剑虹届时不足以支付《盈</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利预测补偿协议》及其补充协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议约定的业绩补偿款（如有）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本人愿意向陈剑虹提供借款 用于补足陈剑虹应付业绩补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偿款的不足部分，以确保上市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公司及星波通信的利益不受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1"/>
                <w:sz w:val="18"/>
                <w:szCs w:val="18"/>
              </w:rPr>
              <w:t>本次交易完成后，本公司将不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再继续向卧龙电气集团股份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737.609985pt;width:54.65pt;height:18.75pt;mso-position-horizontal-relative:page;mso-position-vertical-relative:page;z-index:-1265200" coordorigin="7353,14752" coordsize="1093,375">
            <v:group style="position:absolute;left:7365;top:14764;width:2;height:352" coordorigin="7365,14764" coordsize="2,352">
              <v:shape style="position:absolute;left:7365;top:14764;width:2;height:352" coordorigin="7365,14764" coordsize="0,352" path="m7365,14764l7365,15115e" filled="false" stroked="true" strokeweight="1.140pt" strokecolor="#ffffff">
                <v:path arrowok="t"/>
              </v:shape>
            </v:group>
            <v:group style="position:absolute;left:7376;top:14764;width:1070;height:352" coordorigin="7376,14764" coordsize="1070,352">
              <v:shape style="position:absolute;left:7376;top:14764;width:1070;height:352" coordorigin="7376,14764" coordsize="1070,352" path="m7376,15115l8446,15115,8446,14764,7376,14764,7376,151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36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有限公司购买资产。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本次交易完成后，本公司将不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再继续向厦门红相电力设备 股份有限公司出售资产。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卧龙电气同意在实际业绩考</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核过程中，将剔除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对应收款项坏账准备计提的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会计估计变更对业绩承诺的 影响，即使用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年调整前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的会计估计对承诺期内实际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业绩进行调整，以落实业绩考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核安排。</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自本次交易完成后，本公司及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本公司一致行动人不通过任 何方式谋求对红相电力的控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51"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制权地位。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、电机及控制装置业务为公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司的核心业务，是公司集中优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势资源重点发展的产业。公司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不存在退出电机及控制业务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的任何安排。</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、关于变压器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业务，公司已承诺自银川卧龙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股权交割日起，不以任何直接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或间接方式从事铁路牵引变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压器业务，且在两年内通过合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法合规方式逐步剥离公司除 </w:t>
            </w:r>
            <w:r>
              <w:rPr>
                <w:rFonts w:ascii="宋体" w:hAnsi="宋体" w:cs="宋体" w:eastAsia="宋体" w:hint="default"/>
                <w:spacing w:val="-1"/>
                <w:sz w:val="18"/>
                <w:szCs w:val="18"/>
              </w:rPr>
              <w:t>银川卧龙以外变压器资产，不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再从事电力变压器的生产和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销售业务。</w:t>
            </w:r>
            <w:r>
              <w:rPr>
                <w:rFonts w:ascii="Times New Roman" w:hAnsi="Times New Roman" w:cs="Times New Roman" w:eastAsia="Times New Roman" w:hint="default"/>
                <w:sz w:val="18"/>
                <w:szCs w:val="18"/>
              </w:rPr>
              <w:t>3</w:t>
            </w:r>
            <w:r>
              <w:rPr>
                <w:rFonts w:ascii="宋体" w:hAnsi="宋体" w:cs="宋体" w:eastAsia="宋体" w:hint="default"/>
                <w:sz w:val="18"/>
                <w:szCs w:val="18"/>
              </w:rPr>
              <w:t>、除变压器以外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的公司其他非核心业务，为更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好地服务于公司聚焦电机及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控制业务的战略思路，公司拟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选择合适时机以合法合规方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式处置。</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、公司不存在通过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剥离资产方式以致使公司成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为无实际业务的控股型公司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的计划或相关情形。</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自本次交易完成后，本人及本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人一致行动人不通过任何方 式谋求对红相电力的控制权</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51" w:hRule="exact"/>
        </w:trPr>
        <w:tc>
          <w:tcPr>
            <w:tcW w:w="1560"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地位。</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33"/>
              <w:jc w:val="left"/>
              <w:rPr>
                <w:rFonts w:ascii="宋体" w:hAnsi="宋体" w:cs="宋体" w:eastAsia="宋体" w:hint="default"/>
                <w:sz w:val="18"/>
                <w:szCs w:val="18"/>
              </w:rPr>
            </w:pPr>
            <w:r>
              <w:rPr>
                <w:rFonts w:ascii="宋体" w:hAnsi="宋体" w:cs="宋体" w:eastAsia="宋体" w:hint="default"/>
                <w:sz w:val="18"/>
                <w:szCs w:val="18"/>
              </w:rPr>
              <w:t>自本次交易完成后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个月内，</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本人不放弃红相电力的实际 控制权。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杨保田、杨成、 杨力</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6" w:right="58"/>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股份锁定的承诺：除本次公开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发售的股份，自公司股票上市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之日起三十六个月内，不转让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或者委托他人管理所持有的 公司公开发行股票前已发行 </w:t>
            </w:r>
            <w:r>
              <w:rPr>
                <w:rFonts w:ascii="宋体" w:hAnsi="宋体" w:cs="宋体" w:eastAsia="宋体" w:hint="default"/>
                <w:spacing w:val="-1"/>
                <w:sz w:val="18"/>
                <w:szCs w:val="18"/>
              </w:rPr>
              <w:t>的股份，也不由公司回购所持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有的公司公开发行股票前已 </w:t>
            </w:r>
            <w:r>
              <w:rPr>
                <w:rFonts w:ascii="宋体" w:hAnsi="宋体" w:cs="宋体" w:eastAsia="宋体" w:hint="default"/>
                <w:spacing w:val="-1"/>
                <w:sz w:val="18"/>
                <w:szCs w:val="18"/>
              </w:rPr>
              <w:t>发行的股份。若本人未履行上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述承诺，所转让公司股份的收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益应归公司所有。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4"/>
              <w:jc w:val="left"/>
              <w:rPr>
                <w:rFonts w:ascii="宋体" w:hAnsi="宋体" w:cs="宋体" w:eastAsia="宋体" w:hint="default"/>
                <w:sz w:val="18"/>
                <w:szCs w:val="18"/>
              </w:rPr>
            </w:pPr>
            <w:r>
              <w:rPr>
                <w:rFonts w:ascii="宋体" w:hAnsi="宋体" w:cs="宋体" w:eastAsia="宋体" w:hint="default"/>
                <w:sz w:val="18"/>
                <w:szCs w:val="18"/>
              </w:rPr>
              <w:t>杨保田、杨成、 杨力</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6" w:right="58"/>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在公司上市后将严格遵守所 做出的股份锁定及减持限制 </w:t>
            </w:r>
            <w:r>
              <w:rPr>
                <w:rFonts w:ascii="宋体" w:hAnsi="宋体" w:cs="宋体" w:eastAsia="宋体" w:hint="default"/>
                <w:spacing w:val="-1"/>
                <w:sz w:val="18"/>
                <w:szCs w:val="18"/>
              </w:rPr>
              <w:t>措施承诺，本人所持有的公司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股份在锁定期满后两年内减 </w:t>
            </w:r>
            <w:r>
              <w:rPr>
                <w:rFonts w:ascii="宋体" w:hAnsi="宋体" w:cs="宋体" w:eastAsia="宋体" w:hint="default"/>
                <w:spacing w:val="-1"/>
                <w:sz w:val="18"/>
                <w:szCs w:val="18"/>
              </w:rPr>
              <w:t>持的，每年减持数量不超过本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人持有的公司股份的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，且</w:t>
            </w:r>
            <w:r>
              <w:rPr>
                <w:rFonts w:ascii="宋体" w:hAnsi="宋体" w:cs="宋体" w:eastAsia="宋体" w:hint="default"/>
                <w:spacing w:val="-26"/>
                <w:sz w:val="18"/>
                <w:szCs w:val="18"/>
              </w:rPr>
              <w:t> </w:t>
            </w:r>
            <w:r>
              <w:rPr>
                <w:rFonts w:ascii="宋体" w:hAnsi="宋体" w:cs="宋体" w:eastAsia="宋体" w:hint="default"/>
                <w:spacing w:val="-1"/>
                <w:sz w:val="18"/>
                <w:szCs w:val="18"/>
              </w:rPr>
              <w:t>减持价格不低于发行价格；如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遇除权除息事项，上述发行价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作相应调整。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770"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稳定股价的承诺：公司自股票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上市之日起三年内，若出现连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个交易日公司股票收盘 价均低于公司上一个会计年 </w:t>
            </w:r>
            <w:r>
              <w:rPr>
                <w:rFonts w:ascii="宋体" w:hAnsi="宋体" w:cs="宋体" w:eastAsia="宋体" w:hint="default"/>
                <w:spacing w:val="-1"/>
                <w:sz w:val="18"/>
                <w:szCs w:val="18"/>
              </w:rPr>
              <w:t>度末经审计的每股净资产（每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合并财务报表中归 属于母公司普通股股东的所 有者权益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 </w:t>
            </w:r>
            <w:r>
              <w:rPr>
                <w:rFonts w:ascii="宋体" w:hAnsi="宋体" w:cs="宋体" w:eastAsia="宋体" w:hint="default"/>
                <w:spacing w:val="-1"/>
                <w:sz w:val="18"/>
                <w:szCs w:val="18"/>
              </w:rPr>
              <w:t>数，下同）的情形（若因除权</w:t>
            </w:r>
            <w:r>
              <w:rPr>
                <w:rFonts w:ascii="宋体" w:hAnsi="宋体" w:cs="宋体" w:eastAsia="宋体" w:hint="default"/>
                <w:sz w:val="18"/>
                <w:szCs w:val="18"/>
              </w:rPr>
              <w:t> 除息等事项致使上述股票收 盘价与公司上一会计年度末 经审计的每股净资产不具可 </w:t>
            </w:r>
            <w:r>
              <w:rPr>
                <w:rFonts w:ascii="宋体" w:hAnsi="宋体" w:cs="宋体" w:eastAsia="宋体" w:hint="default"/>
                <w:spacing w:val="-1"/>
                <w:sz w:val="18"/>
                <w:szCs w:val="18"/>
              </w:rPr>
              <w:t>比性的，上述股票收盘价应做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相应调整）则立即启动股价稳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定预案。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3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公司承诺：招股说明书有虚假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记载、误导性陈述或者重大遗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漏，对判断公司是否符合法律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规定的发行条件构成重大、实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质影响的，公司将依法回购首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次公开发行的全部新股。回购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价格为发行价格加上同期银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10"/>
      </w:tblGrid>
      <w:tr>
        <w:trPr>
          <w:trHeight w:val="972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行存款利息。公司上市后发生 派发股利、送股、转增股本等 除权除息事项的，上述回购价 格和回购股份数量将进行相 应调整。公司将在收到中国证 监会等有权部门作出的有关 违法事实认定的当日进行公 </w:t>
            </w:r>
            <w:r>
              <w:rPr>
                <w:rFonts w:ascii="宋体" w:hAnsi="宋体" w:cs="宋体" w:eastAsia="宋体" w:hint="default"/>
                <w:spacing w:val="-3"/>
                <w:sz w:val="18"/>
                <w:szCs w:val="18"/>
              </w:rPr>
              <w:t>告，并在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个交易日内根据相 关法律、法规及公司章程的规 定召开董事会并发出召开临 时股东大会的通知，审议具体 回购方案；在股东大会审议通 过回购公司股票的方案后，公 司将依法通知债权人，并向中 国证监会、证券交易所等主管 部门报送相关材料，办理审批 或备案手续，然后启动并实施 股份回购程序。如公司招股说 明书有虚假记载、误导性陈述 或者重大遗漏，致使投资者在 证券交易中遭受损失的，公司 将依法赔偿投资者损失。如公 司届时未履行上述公开承诺， 公司将在未履行上述承诺的 事实得到确认后的次一交易 日公告相关情况，公司法定代 表人将在证监会指定的信息 披露媒体上公开作出解释并 向投资者道歉。同时，公司将 按照法律法规的规定及监管 部门的要求承担相应的责任。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利润分配政策的承诺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48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填补被摊薄即期回报的措施 及承诺： 若本次公开发行并 在创业板上市成功，将获取募 集资金并扩大公司股本规模， 但募集资金到位当期无法立 即产生效益，因此会影响公司 该期间的每股收益及净资产 收益率；同时，若公司公开发 行并在创业板上市后未能实 现募投项目计划贡献率，且公 司原有业务未能获得相应幅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2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度的增长，公司每股收益和净</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资产收益率等指标有可能在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短期内会出现下降，请投资者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注意公司即期回报被摊薄的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风险。填补被摊薄即期回报的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、加快募投项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目实施，提升投资回报 。本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次募集资金拟投资于一次设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备状态检测、监测产品生产改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造项目，计量装置检测、监测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设备生产改造项目，研发中心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扩建项目以及补充营运资金，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募投项目的实施可以有效解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决产能瓶颈，提升销售规模。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公司已对上述募投项目进行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可行性研究论证，符合行业发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展趋势，若募投项目顺利实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施，将大幅提高公司的盈利能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力。公司将加快募投项目实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施，提升投资回报，降低上市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后即期回报被摊薄的风险。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、加强募集资金管理。为规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范募集资金的管理和使用，确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保本次发行募集资金专款专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用，公司将根据相关法律、法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规和规范性文件的规定以及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限公司募集资金管理制度》的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要求，将募集资金存放于董事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会指定的专用账户进行存储，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做到专款专用。同时，公司将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严格按照相关法律、法规和规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范性文件的规定以及《厦门红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相电力设备股份有限公司募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集资金管理制度》的要求使用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募集资金，并接受保荐机构、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开户银行、证券交易所和其他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有权部门的监督。  </w:t>
            </w:r>
            <w:r>
              <w:rPr>
                <w:rFonts w:ascii="Times New Roman" w:hAnsi="Times New Roman" w:cs="Times New Roman" w:eastAsia="Times New Roman" w:hint="default"/>
                <w:sz w:val="18"/>
                <w:szCs w:val="18"/>
              </w:rPr>
              <w:t>3</w:t>
            </w:r>
            <w:r>
              <w:rPr>
                <w:rFonts w:ascii="宋体" w:hAnsi="宋体" w:cs="宋体" w:eastAsia="宋体" w:hint="default"/>
                <w:sz w:val="18"/>
                <w:szCs w:val="18"/>
              </w:rPr>
              <w:t>、保持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并发展公司现有业务。本公司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主要从事电力设备状态检测、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监测产品和电能表的研发、生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产和销售，并提供相关技术服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2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务。未来，公司将充分利用智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3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能电网建设所带来的机遇，立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161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足自己的优势产品，突出发展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重点，保持并进一步发展公司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业务，提升公司盈利能力，以</w:t>
            </w:r>
            <w:r>
              <w:rPr>
                <w:rFonts w:ascii="宋体" w:hAnsi="宋体" w:cs="宋体" w:eastAsia="宋体" w:hint="default"/>
                <w:sz w:val="18"/>
                <w:szCs w:val="18"/>
              </w:rPr>
              <w:t> 降低上市后即期回报被摊薄 的风险。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560"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长江成长资本 投资有限公司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在公司上市后将严格遵守所 做出的股份锁定及减持限制 </w:t>
            </w:r>
            <w:r>
              <w:rPr>
                <w:rFonts w:ascii="宋体" w:hAnsi="宋体" w:cs="宋体" w:eastAsia="宋体" w:hint="default"/>
                <w:spacing w:val="-1"/>
                <w:sz w:val="18"/>
                <w:szCs w:val="18"/>
              </w:rPr>
              <w:t>措施承诺，长江资本所持有的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公司股份在锁定期满后两年 </w:t>
            </w:r>
            <w:r>
              <w:rPr>
                <w:rFonts w:ascii="宋体" w:hAnsi="宋体" w:cs="宋体" w:eastAsia="宋体" w:hint="default"/>
                <w:spacing w:val="-1"/>
                <w:sz w:val="18"/>
                <w:szCs w:val="18"/>
              </w:rPr>
              <w:t>内减持的，每年减持数量不超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过长江资本所持有的公司股 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89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8"/>
              <w:jc w:val="both"/>
              <w:rPr>
                <w:rFonts w:ascii="宋体" w:hAnsi="宋体" w:cs="宋体" w:eastAsia="宋体" w:hint="default"/>
                <w:sz w:val="18"/>
                <w:szCs w:val="18"/>
              </w:rPr>
            </w:pPr>
            <w:r>
              <w:rPr>
                <w:rFonts w:ascii="宋体" w:hAnsi="宋体" w:cs="宋体" w:eastAsia="宋体" w:hint="default"/>
                <w:sz w:val="18"/>
                <w:szCs w:val="18"/>
              </w:rPr>
              <w:t>股份锁定及 减持限制措 施承诺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在公司上市后将严格遵守所 做出的股份锁定及减持限制 </w:t>
            </w:r>
            <w:r>
              <w:rPr>
                <w:rFonts w:ascii="宋体" w:hAnsi="宋体" w:cs="宋体" w:eastAsia="宋体" w:hint="default"/>
                <w:spacing w:val="-1"/>
                <w:sz w:val="18"/>
                <w:szCs w:val="18"/>
              </w:rPr>
              <w:t>措施承诺，本人所持有的公司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股份在锁定期满后两年内减 </w:t>
            </w:r>
            <w:r>
              <w:rPr>
                <w:rFonts w:ascii="宋体" w:hAnsi="宋体" w:cs="宋体" w:eastAsia="宋体" w:hint="default"/>
                <w:spacing w:val="-1"/>
                <w:sz w:val="18"/>
                <w:szCs w:val="18"/>
              </w:rPr>
              <w:t>持的，每年减持数量不超过本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人持有的公司股份的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，且</w:t>
            </w:r>
            <w:r>
              <w:rPr>
                <w:rFonts w:ascii="宋体" w:hAnsi="宋体" w:cs="宋体" w:eastAsia="宋体" w:hint="default"/>
                <w:spacing w:val="-26"/>
                <w:sz w:val="18"/>
                <w:szCs w:val="18"/>
              </w:rPr>
              <w:t> </w:t>
            </w:r>
            <w:r>
              <w:rPr>
                <w:rFonts w:ascii="宋体" w:hAnsi="宋体" w:cs="宋体" w:eastAsia="宋体" w:hint="default"/>
                <w:spacing w:val="-1"/>
                <w:sz w:val="18"/>
                <w:szCs w:val="18"/>
              </w:rPr>
              <w:t>减持价格不低于发行价格；如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遇除权除息事项，上述发行价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作相应调整。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2" w:right="87"/>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为维护公司及公司其他股东 的合法权益，避免未来可能发 生的同业竞争，公司控股股东 杨保田、实际控制人杨保田及 杨成已于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向公司提交了书面承诺函。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73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针对公司可能面临的因社会 保险和住房公积金缴交不规 范而可能受到有关主管部门 </w:t>
            </w:r>
            <w:r>
              <w:rPr>
                <w:rFonts w:ascii="宋体" w:hAnsi="宋体" w:cs="宋体" w:eastAsia="宋体" w:hint="default"/>
                <w:spacing w:val="-1"/>
                <w:sz w:val="18"/>
                <w:szCs w:val="18"/>
              </w:rPr>
              <w:t>追缴或处罚等情况，公司实际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控制人杨保田和杨成已作出 承诺：</w:t>
            </w:r>
            <w:r>
              <w:rPr>
                <w:rFonts w:ascii="Times New Roman" w:hAnsi="Times New Roman" w:cs="Times New Roman" w:eastAsia="Times New Roman" w:hint="default"/>
                <w:sz w:val="18"/>
                <w:szCs w:val="18"/>
              </w:rPr>
              <w:t>“</w:t>
            </w:r>
            <w:r>
              <w:rPr>
                <w:rFonts w:ascii="宋体" w:hAnsi="宋体" w:cs="宋体" w:eastAsia="宋体" w:hint="default"/>
                <w:sz w:val="18"/>
                <w:szCs w:val="18"/>
              </w:rPr>
              <w:t>若厦门红相电力设备 股份有限公司因上市前社会 保险和住房公积金缴交不规 范而受到有关主管部门的追 </w:t>
            </w:r>
            <w:r>
              <w:rPr>
                <w:rFonts w:ascii="宋体" w:hAnsi="宋体" w:cs="宋体" w:eastAsia="宋体" w:hint="default"/>
                <w:spacing w:val="-1"/>
                <w:sz w:val="18"/>
                <w:szCs w:val="18"/>
              </w:rPr>
              <w:t>缴或处罚，或任何利益相关方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以此为由向公司提出权利要 </w:t>
            </w:r>
            <w:r>
              <w:rPr>
                <w:rFonts w:ascii="宋体" w:hAnsi="宋体" w:cs="宋体" w:eastAsia="宋体" w:hint="default"/>
                <w:spacing w:val="-1"/>
                <w:sz w:val="18"/>
                <w:szCs w:val="18"/>
              </w:rPr>
              <w:t>求，且该等要求获得主管部门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支持，则公司利益受到的一切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损失均由杨保田及杨成全额 </w:t>
            </w:r>
            <w:r>
              <w:rPr>
                <w:rFonts w:ascii="宋体" w:hAnsi="宋体" w:cs="宋体" w:eastAsia="宋体" w:hint="default"/>
                <w:spacing w:val="-1"/>
                <w:sz w:val="18"/>
                <w:szCs w:val="18"/>
              </w:rPr>
              <w:t>承担，且杨保田与杨成之间互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2386"/>
        <w:gridCol w:w="1126"/>
        <w:gridCol w:w="1121"/>
        <w:gridCol w:w="1108"/>
      </w:tblGrid>
      <w:tr>
        <w:trPr>
          <w:trHeight w:val="36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相承担连带责任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自本承诺函出具之日起，</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月内不通过集中竞价和大宗 交易方式在二级市场减持本 人所持有的公司首发前个人 限售股。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0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817" w:firstLine="0"/>
        <w:jc w:val="left"/>
        <w:rPr>
          <w:rFonts w:ascii="宋体" w:hAnsi="宋体" w:cs="宋体" w:eastAsia="宋体" w:hint="default"/>
          <w:sz w:val="21"/>
          <w:szCs w:val="21"/>
        </w:rPr>
      </w:pPr>
      <w:bookmarkStart w:name="2、公司资产或项目存在盈利预测，且报告期仍处在盈利预测期间，公司就资产或项目达到" w:id="66"/>
      <w:bookmarkEnd w:id="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卧龙电气银川 变压器有限公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10,643.27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发行股份及支 付现金购买资 产并募集配套 资金暨关联交 易报告书（草 </w:t>
            </w:r>
            <w:r>
              <w:rPr>
                <w:rFonts w:ascii="宋体" w:hAnsi="宋体" w:cs="宋体" w:eastAsia="宋体" w:hint="default"/>
                <w:spacing w:val="-30"/>
                <w:sz w:val="18"/>
                <w:szCs w:val="18"/>
              </w:rPr>
              <w:t>案）》</w:t>
            </w:r>
          </w:p>
        </w:tc>
      </w:tr>
      <w:tr>
        <w:trPr>
          <w:trHeight w:val="2899"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合肥星波通信 技术有限公司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发行股份及支 付现金购买资 产并募集配套 资金暨关联交 易报告书（草 </w:t>
            </w:r>
            <w:r>
              <w:rPr>
                <w:rFonts w:ascii="宋体" w:hAnsi="宋体" w:cs="宋体" w:eastAsia="宋体" w:hint="default"/>
                <w:spacing w:val="-30"/>
                <w:sz w:val="18"/>
                <w:szCs w:val="18"/>
              </w:rPr>
              <w:t>案）》</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6"/>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55" w:lineRule="auto" w:before="157"/>
        <w:ind w:left="574" w:right="817" w:firstLine="0"/>
        <w:jc w:val="left"/>
        <w:rPr>
          <w:rFonts w:ascii="宋体" w:hAnsi="宋体" w:cs="宋体" w:eastAsia="宋体" w:hint="default"/>
          <w:sz w:val="21"/>
          <w:szCs w:val="21"/>
        </w:rPr>
      </w:pPr>
      <w:r>
        <w:rPr>
          <w:rFonts w:ascii="宋体" w:hAnsi="宋体" w:cs="宋体" w:eastAsia="宋体" w:hint="default"/>
          <w:sz w:val="21"/>
          <w:szCs w:val="21"/>
        </w:rPr>
        <w:t>在重大资产重组中，本公司交易对手方对置入资产</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年度业绩曾作出承诺。业绩承诺内容如下： </w:t>
      </w:r>
      <w:r>
        <w:rPr>
          <w:rFonts w:ascii="Times New Roman" w:hAnsi="Times New Roman" w:cs="Times New Roman" w:eastAsia="Times New Roman" w:hint="default"/>
          <w:sz w:val="21"/>
          <w:szCs w:val="21"/>
        </w:rPr>
        <w:t>1</w:t>
      </w:r>
      <w:r>
        <w:rPr>
          <w:rFonts w:ascii="宋体" w:hAnsi="宋体" w:cs="宋体" w:eastAsia="宋体" w:hint="default"/>
          <w:sz w:val="21"/>
          <w:szCs w:val="21"/>
        </w:rPr>
        <w:t>、银川卧龙业绩承诺 </w:t>
      </w:r>
      <w:r>
        <w:rPr>
          <w:rFonts w:ascii="宋体" w:hAnsi="宋体" w:cs="宋体" w:eastAsia="宋体" w:hint="default"/>
          <w:spacing w:val="-1"/>
          <w:sz w:val="21"/>
          <w:szCs w:val="21"/>
        </w:rPr>
        <w:t>根据交易各方达成的约定，银川卧龙补偿义务人卧龙电气的业绩承诺系以业绩承诺期届满累计净利润</w:t>
      </w:r>
    </w:p>
    <w:p>
      <w:pPr>
        <w:spacing w:line="211"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为指标，口径为归属于母公司所有者未扣除非经常性损益的净利润，如银川卧龙承诺期届满的累计实现金</w:t>
      </w:r>
    </w:p>
    <w:p>
      <w:pPr>
        <w:spacing w:before="37"/>
        <w:ind w:left="154" w:right="817" w:firstLine="0"/>
        <w:jc w:val="left"/>
        <w:rPr>
          <w:rFonts w:ascii="宋体" w:hAnsi="宋体" w:cs="宋体" w:eastAsia="宋体" w:hint="default"/>
          <w:sz w:val="21"/>
          <w:szCs w:val="21"/>
        </w:rPr>
      </w:pPr>
      <w:r>
        <w:rPr>
          <w:rFonts w:ascii="宋体" w:hAnsi="宋体" w:cs="宋体" w:eastAsia="宋体" w:hint="default"/>
          <w:sz w:val="21"/>
          <w:szCs w:val="21"/>
        </w:rPr>
        <w:t>额高于（含等于）承诺总额的</w:t>
      </w:r>
      <w:r>
        <w:rPr>
          <w:rFonts w:ascii="Times New Roman" w:hAnsi="Times New Roman" w:cs="Times New Roman" w:eastAsia="Times New Roman" w:hint="default"/>
          <w:sz w:val="21"/>
          <w:szCs w:val="21"/>
        </w:rPr>
        <w:t>90%</w:t>
      </w:r>
      <w:r>
        <w:rPr>
          <w:rFonts w:ascii="宋体" w:hAnsi="宋体" w:cs="宋体" w:eastAsia="宋体" w:hint="default"/>
          <w:sz w:val="21"/>
          <w:szCs w:val="21"/>
        </w:rPr>
        <w:t>视为达到业绩承诺：</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56" w:lineRule="auto" w:before="35"/>
        <w:ind w:left="154" w:right="1127" w:firstLine="42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年度实现的归属于母公司所有者的净利润不低于</w:t>
      </w:r>
      <w:r>
        <w:rPr>
          <w:rFonts w:ascii="Times New Roman" w:hAnsi="Times New Roman" w:cs="Times New Roman" w:eastAsia="Times New Roman" w:hint="default"/>
          <w:sz w:val="21"/>
          <w:szCs w:val="21"/>
        </w:rPr>
        <w:t>9,000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年度实现的归属于母公司所 有者的净利润不低于</w:t>
      </w:r>
      <w:r>
        <w:rPr>
          <w:rFonts w:ascii="Times New Roman" w:hAnsi="Times New Roman" w:cs="Times New Roman" w:eastAsia="Times New Roman" w:hint="default"/>
          <w:sz w:val="21"/>
          <w:szCs w:val="21"/>
        </w:rPr>
        <w:t>10,600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年实现的归属于母公司所有者的净利润不低于</w:t>
      </w:r>
      <w:r>
        <w:rPr>
          <w:rFonts w:ascii="Times New Roman" w:hAnsi="Times New Roman" w:cs="Times New Roman" w:eastAsia="Times New Roman" w:hint="default"/>
          <w:sz w:val="21"/>
          <w:szCs w:val="21"/>
        </w:rPr>
        <w:t>12,000</w:t>
      </w:r>
      <w:r>
        <w:rPr>
          <w:rFonts w:ascii="宋体" w:hAnsi="宋体" w:cs="宋体" w:eastAsia="宋体" w:hint="default"/>
          <w:sz w:val="21"/>
          <w:szCs w:val="21"/>
        </w:rPr>
        <w:t>万元；</w:t>
      </w:r>
    </w:p>
    <w:p>
      <w:pPr>
        <w:spacing w:line="432" w:lineRule="exact" w:before="24"/>
        <w:ind w:left="574" w:right="8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②</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2019</w:t>
      </w:r>
      <w:r>
        <w:rPr>
          <w:rFonts w:ascii="宋体" w:hAnsi="宋体" w:cs="宋体" w:eastAsia="宋体" w:hint="default"/>
          <w:sz w:val="21"/>
          <w:szCs w:val="21"/>
        </w:rPr>
        <w:t>年三个年度实现的归属于母公司所有者的净利润累积不低于</w:t>
      </w:r>
      <w:r>
        <w:rPr>
          <w:rFonts w:ascii="Times New Roman" w:hAnsi="Times New Roman" w:cs="Times New Roman" w:eastAsia="Times New Roman" w:hint="default"/>
          <w:sz w:val="21"/>
          <w:szCs w:val="21"/>
        </w:rPr>
        <w:t>31,600</w:t>
      </w:r>
      <w:r>
        <w:rPr>
          <w:rFonts w:ascii="宋体" w:hAnsi="宋体" w:cs="宋体" w:eastAsia="宋体" w:hint="default"/>
          <w:sz w:val="21"/>
          <w:szCs w:val="21"/>
        </w:rPr>
        <w:t>万元人民币。 </w:t>
      </w:r>
      <w:r>
        <w:rPr>
          <w:rFonts w:ascii="Times New Roman" w:hAnsi="Times New Roman" w:cs="Times New Roman" w:eastAsia="Times New Roman" w:hint="default"/>
          <w:sz w:val="21"/>
          <w:szCs w:val="21"/>
        </w:rPr>
        <w:t>2</w:t>
      </w:r>
      <w:r>
        <w:rPr>
          <w:rFonts w:ascii="宋体" w:hAnsi="宋体" w:cs="宋体" w:eastAsia="宋体" w:hint="default"/>
          <w:sz w:val="21"/>
          <w:szCs w:val="21"/>
        </w:rPr>
        <w:t>、星波通信业绩承诺 </w:t>
      </w:r>
      <w:r>
        <w:rPr>
          <w:rFonts w:ascii="宋体" w:hAnsi="宋体" w:cs="宋体" w:eastAsia="宋体" w:hint="default"/>
          <w:spacing w:val="-5"/>
          <w:sz w:val="21"/>
          <w:szCs w:val="21"/>
        </w:rPr>
        <w:t>根据交易各方达成的约定，星波通信补偿义务人及陈剑虹承诺：星波通信于</w:t>
      </w:r>
      <w:r>
        <w:rPr>
          <w:rFonts w:ascii="Times New Roman" w:hAnsi="Times New Roman" w:cs="Times New Roman" w:eastAsia="Times New Roman" w:hint="default"/>
          <w:spacing w:val="-5"/>
          <w:sz w:val="21"/>
          <w:szCs w:val="21"/>
        </w:rPr>
        <w:t>2017</w:t>
      </w:r>
      <w:r>
        <w:rPr>
          <w:rFonts w:ascii="宋体" w:hAnsi="宋体" w:cs="宋体" w:eastAsia="宋体" w:hint="default"/>
          <w:spacing w:val="-5"/>
          <w:sz w:val="21"/>
          <w:szCs w:val="21"/>
        </w:rPr>
        <w:t>年度、</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年度、</w:t>
      </w:r>
      <w:r>
        <w:rPr>
          <w:rFonts w:ascii="Times New Roman" w:hAnsi="Times New Roman" w:cs="Times New Roman" w:eastAsia="Times New Roman" w:hint="default"/>
          <w:spacing w:val="-5"/>
          <w:sz w:val="21"/>
          <w:szCs w:val="21"/>
        </w:rPr>
        <w:t>2019</w:t>
      </w:r>
    </w:p>
    <w:p>
      <w:pPr>
        <w:spacing w:line="271"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年度实现的扣除非经常性损益后归属于母公司所有者的净利润分别不低于</w:t>
      </w:r>
      <w:r>
        <w:rPr>
          <w:rFonts w:ascii="Times New Roman" w:hAnsi="Times New Roman" w:cs="Times New Roman" w:eastAsia="Times New Roman" w:hint="default"/>
          <w:sz w:val="21"/>
          <w:szCs w:val="21"/>
        </w:rPr>
        <w:t>4,300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5,160</w:t>
      </w:r>
      <w:r>
        <w:rPr>
          <w:rFonts w:ascii="宋体" w:hAnsi="宋体" w:cs="宋体" w:eastAsia="宋体" w:hint="default"/>
          <w:sz w:val="21"/>
          <w:szCs w:val="21"/>
        </w:rPr>
        <w:t>万元、</w:t>
      </w:r>
      <w:r>
        <w:rPr>
          <w:rFonts w:ascii="Times New Roman" w:hAnsi="Times New Roman" w:cs="Times New Roman" w:eastAsia="Times New Roman" w:hint="default"/>
          <w:sz w:val="21"/>
          <w:szCs w:val="21"/>
        </w:rPr>
        <w:t>6,192</w:t>
      </w:r>
      <w:r>
        <w:rPr>
          <w:rFonts w:ascii="宋体" w:hAnsi="宋体" w:cs="宋体" w:eastAsia="宋体" w:hint="default"/>
          <w:sz w:val="21"/>
          <w:szCs w:val="21"/>
        </w:rPr>
        <w:t>万</w:t>
      </w:r>
    </w:p>
    <w:p>
      <w:pPr>
        <w:spacing w:before="21"/>
        <w:ind w:left="154" w:right="817"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1"/>
        <w:rPr>
          <w:rFonts w:ascii="宋体" w:hAnsi="宋体" w:cs="宋体" w:eastAsia="宋体" w:hint="default"/>
          <w:sz w:val="13"/>
          <w:szCs w:val="13"/>
        </w:rPr>
      </w:pPr>
    </w:p>
    <w:p>
      <w:pPr>
        <w:spacing w:before="0"/>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、银川卧龙</w:t>
      </w:r>
    </w:p>
    <w:p>
      <w:pPr>
        <w:pStyle w:val="BodyText"/>
        <w:spacing w:line="312" w:lineRule="exact" w:before="146"/>
        <w:ind w:right="817" w:firstLine="576"/>
        <w:jc w:val="left"/>
      </w:pPr>
      <w:r>
        <w:rPr>
          <w:spacing w:val="-2"/>
        </w:rPr>
        <w:t>经审计的银川卧龙</w:t>
      </w:r>
      <w:r>
        <w:rPr>
          <w:rFonts w:ascii="Times New Roman" w:hAnsi="Times New Roman" w:cs="Times New Roman" w:eastAsia="Times New Roman" w:hint="default"/>
          <w:spacing w:val="-2"/>
        </w:rPr>
        <w:t>2018</w:t>
      </w:r>
      <w:r>
        <w:rPr>
          <w:spacing w:val="-2"/>
        </w:rPr>
        <w:t>年度归属母公司的净利润为</w:t>
      </w:r>
      <w:r>
        <w:rPr>
          <w:rFonts w:ascii="Times New Roman" w:hAnsi="Times New Roman" w:cs="Times New Roman" w:eastAsia="Times New Roman" w:hint="default"/>
          <w:spacing w:val="-2"/>
        </w:rPr>
        <w:t>10,643.27</w:t>
      </w:r>
      <w:r>
        <w:rPr>
          <w:spacing w:val="-2"/>
        </w:rPr>
        <w:t>万元，占</w:t>
      </w:r>
      <w:r>
        <w:rPr>
          <w:rFonts w:ascii="Times New Roman" w:hAnsi="Times New Roman" w:cs="Times New Roman" w:eastAsia="Times New Roman" w:hint="default"/>
          <w:spacing w:val="-2"/>
        </w:rPr>
        <w:t>2018</w:t>
      </w:r>
      <w:r>
        <w:rPr>
          <w:spacing w:val="-2"/>
        </w:rPr>
        <w:t>年度业绩承诺</w:t>
      </w:r>
      <w:r>
        <w:rPr/>
        <w:t> 数</w:t>
      </w:r>
      <w:r>
        <w:rPr>
          <w:rFonts w:ascii="Times New Roman" w:hAnsi="Times New Roman" w:cs="Times New Roman" w:eastAsia="Times New Roman" w:hint="default"/>
        </w:rPr>
        <w:t>10,600.00</w:t>
      </w:r>
      <w:r>
        <w:rPr/>
        <w:t>万元的</w:t>
      </w:r>
      <w:r>
        <w:rPr>
          <w:rFonts w:ascii="Times New Roman" w:hAnsi="Times New Roman" w:cs="Times New Roman" w:eastAsia="Times New Roman" w:hint="default"/>
        </w:rPr>
        <w:t>100.40%</w:t>
      </w:r>
      <w:r>
        <w:rPr/>
        <w:t>，完成当年业绩承诺。</w:t>
      </w:r>
    </w:p>
    <w:p>
      <w:pPr>
        <w:pStyle w:val="BodyText"/>
        <w:spacing w:line="291" w:lineRule="exact"/>
        <w:ind w:left="423" w:right="9143"/>
        <w:jc w:val="center"/>
      </w:pPr>
      <w:r>
        <w:rPr>
          <w:rFonts w:ascii="Times New Roman" w:hAnsi="Times New Roman" w:cs="Times New Roman" w:eastAsia="Times New Roman" w:hint="default"/>
        </w:rPr>
        <w:t>2</w:t>
      </w:r>
      <w:r>
        <w:rPr/>
        <w:t>、星波通信</w:t>
      </w:r>
    </w:p>
    <w:p>
      <w:pPr>
        <w:pStyle w:val="BodyText"/>
        <w:spacing w:line="312" w:lineRule="exact" w:before="20"/>
        <w:ind w:right="817" w:firstLine="480"/>
        <w:jc w:val="left"/>
      </w:pPr>
      <w:r>
        <w:rPr>
          <w:spacing w:val="19"/>
        </w:rPr>
        <w:t>经审计的星波通信</w:t>
      </w:r>
      <w:r>
        <w:rPr>
          <w:spacing w:val="-9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4"/>
        </w:rPr>
        <w:t> </w:t>
      </w:r>
      <w:r>
        <w:rPr>
          <w:spacing w:val="21"/>
        </w:rPr>
        <w:t>年度扣除非经常性损益后归属于母公司所有者的净利润为</w:t>
      </w:r>
      <w:r>
        <w:rPr/>
        <w:t> </w:t>
      </w:r>
      <w:r>
        <w:rPr>
          <w:rFonts w:ascii="Times New Roman" w:hAnsi="Times New Roman" w:cs="Times New Roman" w:eastAsia="Times New Roman" w:hint="default"/>
        </w:rPr>
        <w:t>5170.56</w:t>
      </w:r>
      <w:r>
        <w:rPr/>
        <w:t>万元，占</w:t>
      </w:r>
      <w:r>
        <w:rPr>
          <w:rFonts w:ascii="Times New Roman" w:hAnsi="Times New Roman" w:cs="Times New Roman" w:eastAsia="Times New Roman" w:hint="default"/>
        </w:rPr>
        <w:t>2018</w:t>
      </w:r>
      <w:r>
        <w:rPr/>
        <w:t>年度业绩承诺数</w:t>
      </w:r>
      <w:r>
        <w:rPr>
          <w:rFonts w:ascii="Times New Roman" w:hAnsi="Times New Roman" w:cs="Times New Roman" w:eastAsia="Times New Roman" w:hint="default"/>
        </w:rPr>
        <w:t>5160</w:t>
      </w:r>
      <w:r>
        <w:rPr/>
        <w:t>万元的</w:t>
      </w:r>
      <w:r>
        <w:rPr>
          <w:rFonts w:ascii="Times New Roman" w:hAnsi="Times New Roman" w:cs="Times New Roman" w:eastAsia="Times New Roman" w:hint="default"/>
        </w:rPr>
        <w:t>100.20%</w:t>
      </w:r>
      <w:r>
        <w:rPr/>
        <w:t>，完成当年业绩承诺。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1"/>
          <w:szCs w:val="31"/>
        </w:rPr>
      </w:pPr>
    </w:p>
    <w:p>
      <w:pPr>
        <w:pStyle w:val="Heading2"/>
        <w:spacing w:line="240" w:lineRule="auto"/>
        <w:ind w:right="817"/>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817"/>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1"/>
        <w:ind w:right="817"/>
        <w:jc w:val="left"/>
      </w:pPr>
      <w:r>
        <w:rPr/>
        <w:t>（一）会计政策变更</w:t>
      </w:r>
    </w:p>
    <w:p>
      <w:pPr>
        <w:spacing w:line="240" w:lineRule="auto" w:before="10"/>
        <w:rPr>
          <w:rFonts w:ascii="宋体" w:hAnsi="宋体" w:cs="宋体" w:eastAsia="宋体" w:hint="default"/>
          <w:sz w:val="18"/>
          <w:szCs w:val="18"/>
        </w:rPr>
      </w:pPr>
    </w:p>
    <w:p>
      <w:pPr>
        <w:pStyle w:val="BodyText"/>
        <w:spacing w:line="312" w:lineRule="exact"/>
        <w:ind w:right="992"/>
        <w:jc w:val="left"/>
      </w:pPr>
      <w:r>
        <w:rPr/>
        <w:t>①根据财政部《关于修订印发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 经第四届董事会第十二次会议通过，本公司对财务报表格式进行了以下修订：</w:t>
      </w:r>
    </w:p>
    <w:p>
      <w:pPr>
        <w:pStyle w:val="BodyText"/>
        <w:spacing w:line="240" w:lineRule="auto" w:before="185"/>
        <w:ind w:right="817"/>
        <w:jc w:val="left"/>
      </w:pPr>
      <w:r>
        <w:rPr>
          <w:rFonts w:ascii="Times New Roman" w:hAnsi="Times New Roman" w:cs="Times New Roman" w:eastAsia="Times New Roman" w:hint="default"/>
        </w:rPr>
        <w:t>A</w:t>
      </w:r>
      <w:r>
        <w:rPr/>
        <w:t>、资产负债表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81" w:lineRule="auto" w:before="26"/>
        <w:ind w:right="3153"/>
        <w:jc w:val="left"/>
      </w:pPr>
      <w:r>
        <w:rPr/>
        <w:t>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381" w:lineRule="auto" w:before="39"/>
        <w:ind w:right="6726"/>
        <w:jc w:val="left"/>
      </w:pPr>
      <w:r>
        <w:rPr>
          <w:rFonts w:ascii="Times New Roman" w:hAnsi="Times New Roman" w:cs="Times New Roman" w:eastAsia="Times New Roman" w:hint="default"/>
        </w:rPr>
        <w:t>B</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39"/>
        <w:ind w:right="817"/>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240" w:lineRule="auto" w:before="195"/>
        <w:ind w:right="817"/>
        <w:jc w:val="left"/>
      </w:pPr>
      <w:r>
        <w:rPr>
          <w:rFonts w:ascii="Times New Roman" w:hAnsi="Times New Roman" w:cs="Times New Roman" w:eastAsia="Times New Roman" w:hint="default"/>
        </w:rPr>
        <w:t>C</w:t>
      </w:r>
      <w:r>
        <w:rPr/>
        <w:t>、股东权益变动表</w:t>
      </w:r>
    </w:p>
    <w:p>
      <w:pPr>
        <w:spacing w:line="240" w:lineRule="auto" w:before="4"/>
        <w:rPr>
          <w:rFonts w:ascii="宋体" w:hAnsi="宋体" w:cs="宋体" w:eastAsia="宋体" w:hint="default"/>
          <w:sz w:val="17"/>
          <w:szCs w:val="17"/>
        </w:rPr>
      </w:pPr>
    </w:p>
    <w:p>
      <w:pPr>
        <w:pStyle w:val="BodyText"/>
        <w:spacing w:line="312" w:lineRule="exact"/>
        <w:ind w:right="1114"/>
        <w:jc w:val="left"/>
      </w:pPr>
      <w:r>
        <w:rPr>
          <w:spacing w:val="-1"/>
        </w:rPr>
        <w:t>在</w:t>
      </w:r>
      <w:r>
        <w:rPr>
          <w:rFonts w:ascii="Times New Roman" w:hAnsi="Times New Roman" w:cs="Times New Roman" w:eastAsia="Times New Roman" w:hint="default"/>
          <w:spacing w:val="-1"/>
        </w:rPr>
        <w:t>“</w:t>
      </w:r>
      <w:r>
        <w:rPr>
          <w:spacing w:val="-1"/>
        </w:rPr>
        <w:t>股东权益内部结转</w:t>
      </w:r>
      <w:r>
        <w:rPr>
          <w:rFonts w:ascii="Times New Roman" w:hAnsi="Times New Roman" w:cs="Times New Roman" w:eastAsia="Times New Roman" w:hint="default"/>
          <w:spacing w:val="-1"/>
        </w:rPr>
        <w:t>”</w:t>
      </w:r>
      <w:r>
        <w:rPr>
          <w:spacing w:val="-1"/>
        </w:rPr>
        <w:t>行项目下，将原</w:t>
      </w:r>
      <w:r>
        <w:rPr>
          <w:rFonts w:ascii="Times New Roman" w:hAnsi="Times New Roman" w:cs="Times New Roman" w:eastAsia="Times New Roman" w:hint="default"/>
          <w:spacing w:val="-1"/>
        </w:rPr>
        <w:t>“</w:t>
      </w:r>
      <w:r>
        <w:rPr>
          <w:spacing w:val="-1"/>
        </w:rPr>
        <w:t>结转重新计量设定受益计划净负债或净资产所产生的</w:t>
      </w:r>
      <w:r>
        <w:rPr/>
        <w:t> 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w:t>
      </w:r>
    </w:p>
    <w:p>
      <w:pPr>
        <w:pStyle w:val="BodyText"/>
        <w:spacing w:line="381" w:lineRule="auto" w:before="185"/>
        <w:ind w:right="1392"/>
        <w:jc w:val="left"/>
      </w:pPr>
      <w:r>
        <w:rPr/>
        <w:t>本公司对可比期间的比较数据按照财会</w:t>
      </w:r>
      <w:r>
        <w:rPr>
          <w:rFonts w:ascii="Times New Roman" w:hAnsi="Times New Roman" w:cs="Times New Roman" w:eastAsia="Times New Roman" w:hint="default"/>
        </w:rPr>
        <w:t>[2018]15</w:t>
      </w:r>
      <w:r>
        <w:rPr/>
        <w:t>号文进行调整。 财务报表格式的修订对本公司的资产总额、负债总额、净利润、其他综合收益等无影响。</w:t>
      </w:r>
    </w:p>
    <w:p>
      <w:pPr>
        <w:pStyle w:val="BodyText"/>
        <w:spacing w:line="312" w:lineRule="exact" w:before="103"/>
        <w:ind w:right="1131"/>
        <w:jc w:val="both"/>
      </w:pPr>
      <w:r>
        <w:rPr/>
        <w:t>②本集团实际收到的政府补助，无论是与资产相关还是与收益相关，在编制现金流量表时均 </w:t>
      </w:r>
      <w:r>
        <w:rPr>
          <w:spacing w:val="-2"/>
        </w:rPr>
        <w:t>作为经营活动产生的现金流量列报，对可比期间的比较数据进行调整，调增</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w:t>
      </w:r>
      <w:r>
        <w:rPr>
          <w:spacing w:val="-2"/>
        </w:rPr>
        <w:t>收到其</w:t>
      </w:r>
      <w:r>
        <w:rPr>
          <w:spacing w:val="-103"/>
        </w:rPr>
        <w:t> </w:t>
      </w:r>
      <w:r>
        <w:rPr>
          <w:spacing w:val="-3"/>
          <w:w w:val="100"/>
        </w:rPr>
        <w:t>他与经营活动有关的现金</w:t>
      </w:r>
      <w:r>
        <w:rPr>
          <w:rFonts w:ascii="Times New Roman" w:hAnsi="Times New Roman" w:cs="Times New Roman" w:eastAsia="Times New Roman" w:hint="default"/>
          <w:spacing w:val="-3"/>
          <w:w w:val="100"/>
        </w:rPr>
        <w:t>”</w:t>
      </w:r>
      <w:r>
        <w:rPr>
          <w:spacing w:val="-3"/>
          <w:w w:val="100"/>
        </w:rPr>
        <w:t>现金流量</w:t>
      </w:r>
      <w:r>
        <w:rPr>
          <w:rFonts w:ascii="Times New Roman" w:hAnsi="Times New Roman" w:cs="Times New Roman" w:eastAsia="Times New Roman" w:hint="default"/>
          <w:spacing w:val="-3"/>
          <w:w w:val="100"/>
        </w:rPr>
        <w:t>370.70</w:t>
      </w:r>
      <w:r>
        <w:rPr>
          <w:spacing w:val="-3"/>
          <w:w w:val="100"/>
        </w:rPr>
        <w:t>万元，调减</w:t>
      </w:r>
      <w:r>
        <w:rPr>
          <w:rFonts w:ascii="Times New Roman" w:hAnsi="Times New Roman" w:cs="Times New Roman" w:eastAsia="Times New Roman" w:hint="default"/>
          <w:spacing w:val="-3"/>
          <w:w w:val="100"/>
        </w:rPr>
        <w:t>2017</w:t>
      </w:r>
      <w:r>
        <w:rPr>
          <w:spacing w:val="-3"/>
          <w:w w:val="100"/>
        </w:rPr>
        <w:t>年度</w:t>
      </w:r>
      <w:r>
        <w:rPr>
          <w:rFonts w:ascii="Times New Roman" w:hAnsi="Times New Roman" w:cs="Times New Roman" w:eastAsia="Times New Roman" w:hint="default"/>
          <w:spacing w:val="-3"/>
          <w:w w:val="100"/>
        </w:rPr>
        <w:t>“</w:t>
      </w:r>
      <w:r>
        <w:rPr>
          <w:spacing w:val="-3"/>
          <w:w w:val="100"/>
        </w:rPr>
        <w:t>收到其他与投资活动有关的现</w:t>
      </w:r>
      <w:r>
        <w:rPr>
          <w:spacing w:val="-96"/>
          <w:w w:val="100"/>
        </w:rPr>
        <w:t> </w:t>
      </w:r>
      <w:r>
        <w:rPr/>
        <w:t>金</w:t>
      </w:r>
      <w:r>
        <w:rPr>
          <w:rFonts w:ascii="Times New Roman" w:hAnsi="Times New Roman" w:cs="Times New Roman" w:eastAsia="Times New Roman" w:hint="default"/>
        </w:rPr>
        <w:t>”</w:t>
      </w:r>
      <w:r>
        <w:rPr/>
        <w:t>现金流量</w:t>
      </w:r>
      <w:r>
        <w:rPr>
          <w:rFonts w:ascii="Times New Roman" w:hAnsi="Times New Roman" w:cs="Times New Roman" w:eastAsia="Times New Roman" w:hint="default"/>
        </w:rPr>
        <w:t>370.70</w:t>
      </w:r>
      <w:r>
        <w:rPr/>
        <w:t>万元。</w:t>
      </w:r>
    </w:p>
    <w:p>
      <w:pPr>
        <w:pStyle w:val="BodyText"/>
        <w:spacing w:line="528" w:lineRule="exact" w:before="43"/>
        <w:ind w:left="720" w:right="817" w:hanging="375"/>
        <w:jc w:val="left"/>
      </w:pPr>
      <w:r>
        <w:rPr/>
        <w:t>（二）会计估计变更 </w:t>
      </w:r>
      <w:r>
        <w:rPr>
          <w:spacing w:val="-2"/>
        </w:rPr>
        <w:t>随着商业承兑汇票的广泛应用，公司下游客户使用商业承兑汇票支付货款的情况越来越</w:t>
      </w:r>
    </w:p>
    <w:p>
      <w:pPr>
        <w:pStyle w:val="BodyText"/>
        <w:spacing w:line="239" w:lineRule="exact"/>
        <w:ind w:right="817"/>
        <w:jc w:val="left"/>
      </w:pPr>
      <w:r>
        <w:rPr/>
        <w:t>普遍，虽然公司主要接受国内知名国企、央企的商业承兑汇票，但本着谨慎原则，公司对商</w:t>
      </w:r>
    </w:p>
    <w:p>
      <w:pPr>
        <w:pStyle w:val="BodyText"/>
        <w:spacing w:line="312" w:lineRule="exact" w:before="29"/>
        <w:ind w:left="578" w:right="3553" w:hanging="425"/>
        <w:jc w:val="left"/>
      </w:pPr>
      <w:r>
        <w:rPr/>
        <w:t>业承兑汇票参照应收账款的坏账准备计提政策及估计计提坏账准备： </w:t>
      </w:r>
      <w:r>
        <w:rPr>
          <w:rFonts w:ascii="Times New Roman" w:hAnsi="Times New Roman" w:cs="Times New Roman" w:eastAsia="Times New Roman" w:hint="default"/>
        </w:rPr>
        <w:t>1</w:t>
      </w:r>
      <w:r>
        <w:rPr/>
        <w:t>、变更前采用的会计估计 本次变更前，公司商业承兑汇票按个别认定法计提坏账准备。 </w:t>
      </w:r>
      <w:r>
        <w:rPr>
          <w:rFonts w:ascii="Times New Roman" w:hAnsi="Times New Roman" w:cs="Times New Roman" w:eastAsia="Times New Roman" w:hint="default"/>
        </w:rPr>
        <w:t>2</w:t>
      </w:r>
      <w:r>
        <w:rPr/>
        <w:t>、变更后采用的会计估计 本次变更后，公司商业承兑汇票按账龄分析法计提坏账准备：</w:t>
      </w:r>
    </w:p>
    <w:tbl>
      <w:tblPr>
        <w:tblW w:w="0" w:type="auto"/>
        <w:jc w:val="left"/>
        <w:tblInd w:w="153" w:type="dxa"/>
        <w:tblLayout w:type="fixed"/>
        <w:tblCellMar>
          <w:top w:w="0" w:type="dxa"/>
          <w:left w:w="0" w:type="dxa"/>
          <w:bottom w:w="0" w:type="dxa"/>
          <w:right w:w="0" w:type="dxa"/>
        </w:tblCellMar>
        <w:tblLook w:val="01E0"/>
      </w:tblPr>
      <w:tblGrid>
        <w:gridCol w:w="4088"/>
        <w:gridCol w:w="2978"/>
        <w:gridCol w:w="1791"/>
      </w:tblGrid>
      <w:tr>
        <w:trPr>
          <w:trHeight w:val="661" w:hRule="exact"/>
        </w:trPr>
        <w:tc>
          <w:tcPr>
            <w:tcW w:w="4088"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组合类型</w:t>
            </w:r>
            <w:r>
              <w:rPr>
                <w:rFonts w:ascii="宋体" w:hAnsi="宋体" w:cs="宋体" w:eastAsia="宋体" w:hint="default"/>
                <w:sz w:val="24"/>
                <w:szCs w:val="24"/>
              </w:rPr>
            </w:r>
          </w:p>
        </w:tc>
        <w:tc>
          <w:tcPr>
            <w:tcW w:w="2978"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94"/>
              <w:jc w:val="right"/>
              <w:rPr>
                <w:rFonts w:ascii="宋体" w:hAnsi="宋体" w:cs="宋体" w:eastAsia="宋体" w:hint="default"/>
                <w:sz w:val="24"/>
                <w:szCs w:val="24"/>
              </w:rPr>
            </w:pPr>
            <w:r>
              <w:rPr>
                <w:rFonts w:ascii="宋体" w:hAnsi="宋体" w:cs="宋体" w:eastAsia="宋体" w:hint="default"/>
                <w:b/>
                <w:bCs/>
                <w:w w:val="95"/>
                <w:sz w:val="24"/>
                <w:szCs w:val="24"/>
              </w:rPr>
              <w:t>确定组合的依据</w:t>
            </w:r>
            <w:r>
              <w:rPr>
                <w:rFonts w:ascii="宋体" w:hAnsi="宋体" w:cs="宋体" w:eastAsia="宋体" w:hint="default"/>
                <w:sz w:val="24"/>
                <w:szCs w:val="24"/>
              </w:rPr>
            </w:r>
          </w:p>
        </w:tc>
        <w:tc>
          <w:tcPr>
            <w:tcW w:w="1791" w:type="dxa"/>
            <w:tcBorders>
              <w:top w:val="single" w:sz="6" w:space="0" w:color="000000"/>
              <w:left w:val="nil" w:sz="6" w:space="0" w:color="auto"/>
              <w:bottom w:val="single" w:sz="8" w:space="0" w:color="000000"/>
              <w:right w:val="nil" w:sz="6" w:space="0" w:color="auto"/>
            </w:tcBorders>
          </w:tcPr>
          <w:p>
            <w:pPr>
              <w:pStyle w:val="TableParagraph"/>
              <w:spacing w:line="312" w:lineRule="exact" w:before="2"/>
              <w:ind w:left="92" w:right="11"/>
              <w:jc w:val="left"/>
              <w:rPr>
                <w:rFonts w:ascii="宋体" w:hAnsi="宋体" w:cs="宋体" w:eastAsia="宋体" w:hint="default"/>
                <w:sz w:val="24"/>
                <w:szCs w:val="24"/>
              </w:rPr>
            </w:pPr>
            <w:r>
              <w:rPr>
                <w:rFonts w:ascii="宋体" w:hAnsi="宋体" w:cs="宋体" w:eastAsia="宋体" w:hint="default"/>
                <w:b/>
                <w:bCs/>
                <w:w w:val="95"/>
                <w:sz w:val="24"/>
                <w:szCs w:val="24"/>
              </w:rPr>
              <w:t>按组合计提坏账</w:t>
            </w:r>
            <w:r>
              <w:rPr>
                <w:rFonts w:ascii="宋体" w:hAnsi="宋体" w:cs="宋体" w:eastAsia="宋体" w:hint="default"/>
                <w:b/>
                <w:bCs/>
                <w:spacing w:val="-38"/>
                <w:w w:val="95"/>
                <w:sz w:val="24"/>
                <w:szCs w:val="24"/>
              </w:rPr>
              <w:t> </w:t>
            </w:r>
            <w:r>
              <w:rPr>
                <w:rFonts w:ascii="宋体" w:hAnsi="宋体" w:cs="宋体" w:eastAsia="宋体" w:hint="default"/>
                <w:b/>
                <w:bCs/>
                <w:w w:val="95"/>
                <w:sz w:val="24"/>
                <w:szCs w:val="24"/>
              </w:rPr>
              <w:t>准备的计提方法</w:t>
            </w:r>
            <w:r>
              <w:rPr>
                <w:rFonts w:ascii="宋体" w:hAnsi="宋体" w:cs="宋体" w:eastAsia="宋体" w:hint="default"/>
                <w:sz w:val="24"/>
                <w:szCs w:val="24"/>
              </w:rPr>
            </w:r>
          </w:p>
        </w:tc>
      </w:tr>
      <w:tr>
        <w:trPr>
          <w:trHeight w:val="348" w:hRule="exact"/>
        </w:trPr>
        <w:tc>
          <w:tcPr>
            <w:tcW w:w="40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未逾期的应收商业承兑汇票</w:t>
            </w:r>
          </w:p>
        </w:tc>
        <w:tc>
          <w:tcPr>
            <w:tcW w:w="2978"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90"/>
              <w:jc w:val="right"/>
              <w:rPr>
                <w:rFonts w:ascii="宋体" w:hAnsi="宋体" w:cs="宋体" w:eastAsia="宋体" w:hint="default"/>
                <w:sz w:val="24"/>
                <w:szCs w:val="24"/>
              </w:rPr>
            </w:pPr>
            <w:r>
              <w:rPr>
                <w:rFonts w:ascii="宋体" w:hAnsi="宋体" w:cs="宋体" w:eastAsia="宋体" w:hint="default"/>
                <w:sz w:val="24"/>
                <w:szCs w:val="24"/>
              </w:rPr>
              <w:t>账龄状态</w:t>
            </w:r>
          </w:p>
        </w:tc>
        <w:tc>
          <w:tcPr>
            <w:tcW w:w="179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579"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bl>
    <w:p>
      <w:pPr>
        <w:pStyle w:val="BodyText"/>
        <w:spacing w:line="312" w:lineRule="exact"/>
        <w:ind w:right="1139"/>
        <w:jc w:val="both"/>
      </w:pPr>
      <w:r>
        <w:rPr>
          <w:rFonts w:ascii="Times New Roman" w:hAnsi="Times New Roman" w:cs="Times New Roman" w:eastAsia="Times New Roman" w:hint="default"/>
          <w:spacing w:val="2"/>
        </w:rPr>
        <w:t>A</w:t>
      </w:r>
      <w:r>
        <w:rPr>
          <w:spacing w:val="2"/>
        </w:rPr>
        <w:t>、未逾期的应收商业承兑汇票，根据持有商业承兑汇票的集团内各公司所归属经营管理分</w:t>
      </w:r>
      <w:r>
        <w:rPr>
          <w:spacing w:val="-116"/>
        </w:rPr>
        <w:t> </w:t>
      </w:r>
      <w:r>
        <w:rPr>
          <w:spacing w:val="-116"/>
        </w:rPr>
      </w:r>
      <w:r>
        <w:rPr/>
        <w:t>部类型（电力板块、铁路与轨道交通板块、军工板块）的不同，按照各经营管理分部对应的 应收款项的坏账准备计提政策及估计计提。</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538" w:right="817" w:hanging="384"/>
        <w:jc w:val="left"/>
      </w:pPr>
      <w:r>
        <w:rPr>
          <w:rFonts w:ascii="Times New Roman" w:hAnsi="Times New Roman" w:cs="Times New Roman" w:eastAsia="Times New Roman" w:hint="default"/>
          <w:spacing w:val="-1"/>
        </w:rPr>
        <w:t>B</w:t>
      </w:r>
      <w:r>
        <w:rPr>
          <w:spacing w:val="-1"/>
        </w:rPr>
        <w:t>、逾期的应收商业承兑汇票转入应收账款，按应收账款计提政策计提坏账，账龄连续计算。</w:t>
      </w:r>
      <w:r>
        <w:rPr>
          <w:spacing w:val="-86"/>
        </w:rPr>
        <w:t> </w:t>
      </w:r>
      <w:r>
        <w:rPr>
          <w:spacing w:val="-86"/>
        </w:rPr>
      </w:r>
      <w:r>
        <w:rPr>
          <w:rFonts w:ascii="Times New Roman" w:hAnsi="Times New Roman" w:cs="Times New Roman" w:eastAsia="Times New Roman" w:hint="default"/>
        </w:rPr>
        <w:t>3</w:t>
      </w:r>
      <w:r>
        <w:rPr/>
        <w:t>、本次会计估计的变更将减少公司</w:t>
      </w:r>
      <w:r>
        <w:rPr>
          <w:rFonts w:ascii="Times New Roman" w:hAnsi="Times New Roman" w:cs="Times New Roman" w:eastAsia="Times New Roman" w:hint="default"/>
        </w:rPr>
        <w:t>2018</w:t>
      </w:r>
      <w:r>
        <w:rPr/>
        <w:t>年度利润总额</w:t>
      </w:r>
      <w:r>
        <w:rPr>
          <w:rFonts w:ascii="Times New Roman" w:hAnsi="Times New Roman" w:cs="Times New Roman" w:eastAsia="Times New Roman" w:hint="default"/>
        </w:rPr>
        <w:t>387.98</w:t>
      </w:r>
      <w:r>
        <w:rPr/>
        <w:t>万，对公司财务状况、经营</w:t>
      </w:r>
    </w:p>
    <w:p>
      <w:pPr>
        <w:pStyle w:val="BodyText"/>
        <w:spacing w:line="283" w:lineRule="exact"/>
        <w:ind w:right="817"/>
        <w:jc w:val="left"/>
      </w:pPr>
      <w:r>
        <w:rPr/>
        <w:t>成果和现金流量无重大影响。</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2"/>
        <w:spacing w:line="240" w:lineRule="auto"/>
        <w:ind w:right="817"/>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pStyle w:val="BodyText"/>
        <w:spacing w:line="312" w:lineRule="exact"/>
        <w:ind w:right="817"/>
        <w:jc w:val="left"/>
      </w:pPr>
      <w:r>
        <w:rPr>
          <w:rFonts w:ascii="Times New Roman" w:hAnsi="Times New Roman" w:cs="Times New Roman" w:eastAsia="Times New Roman" w:hint="default"/>
          <w:spacing w:val="4"/>
        </w:rPr>
        <w:t>1.</w:t>
      </w:r>
      <w:r>
        <w:rPr>
          <w:spacing w:val="4"/>
        </w:rPr>
        <w:t>子公司涵普电力公司于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月份成立全资子公司涵普新能源公司，纳入本年度合并范</w:t>
      </w:r>
      <w:r>
        <w:rPr>
          <w:spacing w:val="-105"/>
        </w:rPr>
        <w:t> </w:t>
      </w:r>
      <w:r>
        <w:rPr>
          <w:spacing w:val="-105"/>
        </w:rPr>
      </w:r>
      <w:r>
        <w:rPr/>
        <w:t>围。</w:t>
      </w:r>
    </w:p>
    <w:p>
      <w:pPr>
        <w:spacing w:line="240" w:lineRule="auto" w:before="7"/>
        <w:rPr>
          <w:rFonts w:ascii="宋体" w:hAnsi="宋体" w:cs="宋体" w:eastAsia="宋体" w:hint="default"/>
          <w:sz w:val="16"/>
          <w:szCs w:val="16"/>
        </w:rPr>
      </w:pPr>
    </w:p>
    <w:p>
      <w:pPr>
        <w:pStyle w:val="BodyText"/>
        <w:spacing w:line="312" w:lineRule="exact"/>
        <w:ind w:right="817"/>
        <w:jc w:val="left"/>
      </w:pPr>
      <w:r>
        <w:rPr>
          <w:rFonts w:ascii="Times New Roman" w:hAnsi="Times New Roman" w:cs="Times New Roman" w:eastAsia="Times New Roman" w:hint="default"/>
        </w:rPr>
        <w:t>2.</w:t>
      </w:r>
      <w:r>
        <w:rPr/>
        <w:t>子公司银川卧龙公司于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月份分别设立全资子公司宁夏新能源公司、</w:t>
      </w:r>
      <w:r>
        <w:rPr>
          <w:spacing w:val="-36"/>
        </w:rPr>
        <w:t> </w:t>
      </w:r>
      <w:r>
        <w:rPr>
          <w:spacing w:val="-36"/>
        </w:rPr>
      </w:r>
      <w:r>
        <w:rPr/>
        <w:t>宁夏银相公司，纳入本年度合并范围。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1"/>
        <w:ind w:right="817"/>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张凌雯、巫宝才</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0"/>
        <w:ind w:left="154" w:right="18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本年度，公司因筹划非公开发行事项，聘请中信建投证券股份有限公司为保荐机构，期间共支付</w:t>
      </w:r>
      <w:r>
        <w:rPr>
          <w:rFonts w:ascii="Times New Roman" w:hAnsi="Times New Roman" w:cs="Times New Roman" w:eastAsia="Times New Roman" w:hint="default"/>
          <w:sz w:val="18"/>
          <w:szCs w:val="18"/>
        </w:rPr>
        <w:t>1,449,999.94</w:t>
      </w:r>
      <w:r>
        <w:rPr>
          <w:rFonts w:ascii="宋体" w:hAnsi="宋体" w:cs="宋体" w:eastAsia="宋体" w:hint="default"/>
          <w:sz w:val="18"/>
          <w:szCs w:val="18"/>
        </w:rPr>
        <w:t>元。</w:t>
      </w:r>
    </w:p>
    <w:p>
      <w:pPr>
        <w:spacing w:line="240" w:lineRule="auto" w:before="11"/>
        <w:rPr>
          <w:rFonts w:ascii="宋体" w:hAnsi="宋体" w:cs="宋体" w:eastAsia="宋体" w:hint="default"/>
          <w:sz w:val="17"/>
          <w:szCs w:val="17"/>
        </w:rPr>
      </w:pPr>
    </w:p>
    <w:p>
      <w:pPr>
        <w:pStyle w:val="Heading2"/>
        <w:spacing w:line="240" w:lineRule="auto"/>
        <w:ind w:right="817"/>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5"/>
        <w:rPr>
          <w:rFonts w:ascii="宋体" w:hAnsi="宋体" w:cs="宋体" w:eastAsia="宋体" w:hint="default"/>
          <w:sz w:val="19"/>
          <w:szCs w:val="19"/>
        </w:rPr>
      </w:pPr>
    </w:p>
    <w:p>
      <w:pPr>
        <w:pStyle w:val="Heading2"/>
        <w:spacing w:line="240" w:lineRule="auto"/>
        <w:ind w:right="817"/>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本年度公司无重大诉讼、仲裁事项。</w:t>
      </w:r>
    </w:p>
    <w:p>
      <w:pPr>
        <w:spacing w:line="240" w:lineRule="auto" w:before="13"/>
        <w:rPr>
          <w:rFonts w:ascii="宋体" w:hAnsi="宋体" w:cs="宋体" w:eastAsia="宋体" w:hint="default"/>
          <w:sz w:val="24"/>
          <w:szCs w:val="24"/>
        </w:rPr>
      </w:pPr>
    </w:p>
    <w:p>
      <w:pPr>
        <w:pStyle w:val="Heading2"/>
        <w:spacing w:line="240" w:lineRule="auto"/>
        <w:ind w:right="817"/>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817"/>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817"/>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817"/>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与日常经营相关的关联交易" w:id="80"/>
      <w:bookmarkEnd w:id="8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45"/>
              <w:jc w:val="both"/>
              <w:rPr>
                <w:rFonts w:ascii="宋体" w:hAnsi="宋体" w:cs="宋体" w:eastAsia="宋体" w:hint="default"/>
                <w:sz w:val="18"/>
                <w:szCs w:val="18"/>
              </w:rPr>
            </w:pPr>
            <w:r>
              <w:rPr>
                <w:rFonts w:ascii="宋体" w:hAnsi="宋体" w:cs="宋体" w:eastAsia="宋体" w:hint="default"/>
                <w:sz w:val="18"/>
                <w:szCs w:val="18"/>
              </w:rPr>
              <w:t>浙江白云 浙变电气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2" w:right="102"/>
              <w:jc w:val="left"/>
              <w:rPr>
                <w:rFonts w:ascii="宋体" w:hAnsi="宋体" w:cs="宋体" w:eastAsia="宋体" w:hint="default"/>
                <w:sz w:val="18"/>
                <w:szCs w:val="18"/>
              </w:rPr>
            </w:pPr>
            <w:r>
              <w:rPr>
                <w:rFonts w:ascii="宋体" w:hAnsi="宋体" w:cs="宋体" w:eastAsia="宋体" w:hint="default"/>
                <w:sz w:val="18"/>
                <w:szCs w:val="18"/>
              </w:rPr>
              <w:t>持有公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份的股 东的联 营企业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1,076,2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25.54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按交货 进度结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与交易 价格相 近</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以上交 易是银 川卧龙 并入红 相股份 之前签 订的合 同，在 并表之 后执行 的情 况。</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45"/>
              <w:jc w:val="both"/>
              <w:rPr>
                <w:rFonts w:ascii="宋体" w:hAnsi="宋体" w:cs="宋体" w:eastAsia="宋体" w:hint="default"/>
                <w:sz w:val="18"/>
                <w:szCs w:val="18"/>
              </w:rPr>
            </w:pPr>
            <w:r>
              <w:rPr>
                <w:rFonts w:ascii="宋体" w:hAnsi="宋体" w:cs="宋体" w:eastAsia="宋体" w:hint="default"/>
                <w:sz w:val="18"/>
                <w:szCs w:val="18"/>
              </w:rPr>
              <w:t>卧龙电气 烟台东源 变压器有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持有公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份的股 东控股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653,965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按交货 进度结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98"/>
              <w:jc w:val="both"/>
              <w:rPr>
                <w:rFonts w:ascii="宋体" w:hAnsi="宋体" w:cs="宋体" w:eastAsia="宋体" w:hint="default"/>
                <w:sz w:val="18"/>
                <w:szCs w:val="18"/>
              </w:rPr>
            </w:pPr>
            <w:r>
              <w:rPr>
                <w:rFonts w:ascii="宋体" w:hAnsi="宋体" w:cs="宋体" w:eastAsia="宋体" w:hint="default"/>
                <w:sz w:val="18"/>
                <w:szCs w:val="18"/>
              </w:rPr>
              <w:t>与交易 价格相 近</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1"/>
              <w:jc w:val="both"/>
              <w:rPr>
                <w:rFonts w:ascii="宋体" w:hAnsi="宋体" w:cs="宋体" w:eastAsia="宋体" w:hint="default"/>
                <w:sz w:val="18"/>
                <w:szCs w:val="18"/>
              </w:rPr>
            </w:pPr>
            <w:r>
              <w:rPr>
                <w:rFonts w:ascii="宋体" w:hAnsi="宋体" w:cs="宋体" w:eastAsia="宋体" w:hint="default"/>
                <w:sz w:val="18"/>
                <w:szCs w:val="18"/>
              </w:rPr>
              <w:t>以上交 易是银 川卧龙 并入红 相股份 之前签</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92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订的合 同，在 并表之 后执行 的情 况。</w:t>
            </w: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1,730,1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91.06</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资产或股权收购、出售发生的关联交易" w:id="81"/>
      <w:bookmarkEnd w:id="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3、共同对外投资的关联交易" w:id="82"/>
      <w:bookmarkEnd w:id="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4、关联债权债务往来" w:id="83"/>
      <w:bookmarkEnd w:id="8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5、其他重大关联交易" w:id="84"/>
      <w:bookmarkEnd w:id="8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817"/>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托管、承包、租赁事项情况" w:id="86"/>
      <w:bookmarkEnd w:id="8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承包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3）租赁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92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before="14"/>
        <w:ind w:left="574" w:right="817" w:firstLine="0"/>
        <w:jc w:val="left"/>
        <w:rPr>
          <w:rFonts w:ascii="宋体" w:hAnsi="宋体" w:cs="宋体" w:eastAsia="宋体" w:hint="default"/>
          <w:sz w:val="21"/>
          <w:szCs w:val="21"/>
        </w:rPr>
      </w:pPr>
      <w:r>
        <w:rPr>
          <w:rFonts w:ascii="宋体" w:hAnsi="宋体" w:cs="宋体" w:eastAsia="宋体" w:hint="default"/>
          <w:sz w:val="21"/>
          <w:szCs w:val="21"/>
        </w:rPr>
        <w:t>报告期内，公司及子公司出租及承租的房产情况如下：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568"/>
        <w:gridCol w:w="1701"/>
        <w:gridCol w:w="568"/>
        <w:gridCol w:w="992"/>
        <w:gridCol w:w="1559"/>
        <w:gridCol w:w="1985"/>
      </w:tblGrid>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44" w:right="0"/>
              <w:jc w:val="left"/>
              <w:rPr>
                <w:rFonts w:ascii="宋体" w:hAnsi="宋体" w:cs="宋体" w:eastAsia="宋体" w:hint="default"/>
                <w:sz w:val="21"/>
                <w:szCs w:val="21"/>
              </w:rPr>
            </w:pPr>
            <w:r>
              <w:rPr>
                <w:rFonts w:ascii="宋体" w:hAnsi="宋体" w:cs="宋体" w:eastAsia="宋体" w:hint="default"/>
                <w:sz w:val="21"/>
                <w:szCs w:val="21"/>
              </w:rPr>
              <w:t>出租方</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1" w:right="65" w:hanging="105"/>
              <w:jc w:val="left"/>
              <w:rPr>
                <w:rFonts w:ascii="宋体" w:hAnsi="宋体" w:cs="宋体" w:eastAsia="宋体" w:hint="default"/>
                <w:sz w:val="21"/>
                <w:szCs w:val="21"/>
              </w:rPr>
            </w:pPr>
            <w:r>
              <w:rPr>
                <w:rFonts w:ascii="宋体" w:hAnsi="宋体" w:cs="宋体" w:eastAsia="宋体" w:hint="default"/>
                <w:sz w:val="21"/>
                <w:szCs w:val="21"/>
              </w:rPr>
              <w:t>承租 方</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房屋位置</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房屋 用途</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8" w:right="0"/>
              <w:jc w:val="left"/>
              <w:rPr>
                <w:rFonts w:ascii="宋体" w:hAnsi="宋体" w:cs="宋体" w:eastAsia="宋体" w:hint="default"/>
                <w:sz w:val="21"/>
                <w:szCs w:val="21"/>
              </w:rPr>
            </w:pPr>
            <w:r>
              <w:rPr>
                <w:rFonts w:ascii="宋体" w:hAnsi="宋体" w:cs="宋体" w:eastAsia="宋体" w:hint="default"/>
                <w:sz w:val="21"/>
                <w:szCs w:val="21"/>
              </w:rPr>
              <w:t>租赁面积</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（平方米</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租赁期限</w:t>
            </w:r>
          </w:p>
          <w:p>
            <w:pPr>
              <w:pStyle w:val="TableParagraph"/>
              <w:spacing w:line="240" w:lineRule="auto" w:before="37"/>
              <w:ind w:left="-150" w:right="0"/>
              <w:jc w:val="left"/>
              <w:rPr>
                <w:rFonts w:ascii="宋体" w:hAnsi="宋体" w:cs="宋体" w:eastAsia="宋体" w:hint="default"/>
                <w:sz w:val="21"/>
                <w:szCs w:val="21"/>
              </w:rPr>
            </w:pPr>
            <w:r>
              <w:rPr>
                <w:rFonts w:ascii="宋体" w:hAnsi="宋体" w:cs="宋体" w:eastAsia="宋体" w:hint="default"/>
                <w:sz w:val="21"/>
                <w:szCs w:val="21"/>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租金</w:t>
            </w:r>
          </w:p>
        </w:tc>
      </w:tr>
      <w:tr>
        <w:trPr>
          <w:trHeight w:val="190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厦门新日精 工投资管理 </w:t>
            </w:r>
            <w:r>
              <w:rPr>
                <w:rFonts w:ascii="宋体" w:hAnsi="宋体" w:cs="宋体" w:eastAsia="宋体" w:hint="default"/>
                <w:sz w:val="21"/>
                <w:szCs w:val="21"/>
              </w:rPr>
              <w:t>有限公司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厦门市思明区南投 路</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r>
              <w:rPr>
                <w:rFonts w:ascii="Times New Roman" w:hAnsi="Times New Roman" w:cs="Times New Roman" w:eastAsia="Times New Roman" w:hint="default"/>
                <w:sz w:val="21"/>
                <w:szCs w:val="21"/>
              </w:rPr>
              <w:t>1002</w:t>
            </w:r>
            <w:r>
              <w:rPr>
                <w:rFonts w:ascii="宋体" w:hAnsi="宋体" w:cs="宋体" w:eastAsia="宋体" w:hint="default"/>
                <w:sz w:val="21"/>
                <w:szCs w:val="21"/>
              </w:rPr>
              <w:t>单元</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1858.04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pacing w:val="11"/>
                <w:sz w:val="21"/>
                <w:szCs w:val="21"/>
              </w:rPr>
              <w:t>日至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56" w:lineRule="auto" w:before="21"/>
              <w:ind w:left="2" w:right="-9"/>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2018</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31</w:t>
            </w:r>
            <w:r>
              <w:rPr>
                <w:rFonts w:ascii="宋体" w:hAnsi="宋体" w:cs="宋体" w:eastAsia="宋体" w:hint="default"/>
                <w:spacing w:val="6"/>
                <w:sz w:val="21"/>
                <w:szCs w:val="21"/>
              </w:rPr>
              <w:t>日的月</w:t>
            </w:r>
            <w:r>
              <w:rPr>
                <w:rFonts w:ascii="宋体" w:hAnsi="宋体" w:cs="宋体" w:eastAsia="宋体" w:hint="default"/>
                <w:spacing w:val="-103"/>
                <w:sz w:val="21"/>
                <w:szCs w:val="21"/>
              </w:rPr>
              <w:t> </w:t>
            </w:r>
            <w:r>
              <w:rPr>
                <w:rFonts w:ascii="宋体" w:hAnsi="宋体" w:cs="宋体" w:eastAsia="宋体" w:hint="default"/>
                <w:sz w:val="21"/>
                <w:szCs w:val="21"/>
              </w:rPr>
              <w:t>租金为</w:t>
            </w:r>
            <w:r>
              <w:rPr>
                <w:rFonts w:ascii="Times New Roman" w:hAnsi="Times New Roman" w:cs="Times New Roman" w:eastAsia="Times New Roman" w:hint="default"/>
                <w:sz w:val="21"/>
                <w:szCs w:val="21"/>
              </w:rPr>
              <w:t>74,321.60</w:t>
            </w:r>
            <w:r>
              <w:rPr>
                <w:rFonts w:ascii="宋体" w:hAnsi="宋体" w:cs="宋体" w:eastAsia="宋体" w:hint="default"/>
                <w:sz w:val="21"/>
                <w:szCs w:val="21"/>
              </w:rPr>
              <w:t>元</w:t>
            </w:r>
          </w:p>
          <w:p>
            <w:pPr>
              <w:pStyle w:val="TableParagraph"/>
              <w:spacing w:line="240" w:lineRule="auto" w:before="5"/>
              <w:ind w:left="2"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0"/>
                <w:sz w:val="21"/>
                <w:szCs w:val="21"/>
              </w:rPr>
              <w:t> </w:t>
            </w:r>
            <w:r>
              <w:rPr>
                <w:rFonts w:ascii="宋体" w:hAnsi="宋体" w:cs="宋体" w:eastAsia="宋体" w:hint="default"/>
                <w:spacing w:val="11"/>
                <w:sz w:val="21"/>
                <w:szCs w:val="21"/>
              </w:rPr>
              <w:t>日至</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56" w:lineRule="auto" w:before="21"/>
              <w:ind w:left="2" w:right="-9"/>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2020</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31</w:t>
            </w:r>
            <w:r>
              <w:rPr>
                <w:rFonts w:ascii="宋体" w:hAnsi="宋体" w:cs="宋体" w:eastAsia="宋体" w:hint="default"/>
                <w:spacing w:val="6"/>
                <w:sz w:val="21"/>
                <w:szCs w:val="21"/>
              </w:rPr>
              <w:t>日的月</w:t>
            </w:r>
            <w:r>
              <w:rPr>
                <w:rFonts w:ascii="宋体" w:hAnsi="宋体" w:cs="宋体" w:eastAsia="宋体" w:hint="default"/>
                <w:spacing w:val="-103"/>
                <w:sz w:val="21"/>
                <w:szCs w:val="21"/>
              </w:rPr>
              <w:t> </w:t>
            </w:r>
            <w:r>
              <w:rPr>
                <w:rFonts w:ascii="宋体" w:hAnsi="宋体" w:cs="宋体" w:eastAsia="宋体" w:hint="default"/>
                <w:sz w:val="21"/>
                <w:szCs w:val="21"/>
              </w:rPr>
              <w:t>租金为</w:t>
            </w:r>
            <w:r>
              <w:rPr>
                <w:rFonts w:ascii="Times New Roman" w:hAnsi="Times New Roman" w:cs="Times New Roman" w:eastAsia="Times New Roman" w:hint="default"/>
                <w:sz w:val="21"/>
                <w:szCs w:val="21"/>
              </w:rPr>
              <w:t>81,753.76</w:t>
            </w:r>
            <w:r>
              <w:rPr>
                <w:rFonts w:ascii="宋体" w:hAnsi="宋体" w:cs="宋体" w:eastAsia="宋体" w:hint="default"/>
                <w:sz w:val="21"/>
                <w:szCs w:val="21"/>
              </w:rPr>
              <w:t>元</w:t>
            </w:r>
          </w:p>
        </w:tc>
      </w:tr>
      <w:tr>
        <w:trPr>
          <w:trHeight w:val="2220"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北京瑞聚德 投资有限公 </w:t>
            </w:r>
            <w:r>
              <w:rPr>
                <w:rFonts w:ascii="宋体" w:hAnsi="宋体" w:cs="宋体" w:eastAsia="宋体" w:hint="default"/>
                <w:sz w:val="21"/>
                <w:szCs w:val="21"/>
              </w:rPr>
              <w:t>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北京市西城区广安 门南滨河路</w:t>
            </w:r>
            <w:r>
              <w:rPr>
                <w:rFonts w:ascii="Times New Roman" w:hAnsi="Times New Roman" w:cs="Times New Roman" w:eastAsia="Times New Roman" w:hint="default"/>
                <w:sz w:val="21"/>
                <w:szCs w:val="21"/>
              </w:rPr>
              <w:t>31</w:t>
            </w:r>
            <w:r>
              <w:rPr>
                <w:rFonts w:ascii="宋体" w:hAnsi="宋体" w:cs="宋体" w:eastAsia="宋体" w:hint="default"/>
                <w:sz w:val="21"/>
                <w:szCs w:val="21"/>
              </w:rPr>
              <w:t>号华 享大厦</w:t>
            </w:r>
            <w:r>
              <w:rPr>
                <w:rFonts w:ascii="Times New Roman" w:hAnsi="Times New Roman" w:cs="Times New Roman" w:eastAsia="Times New Roman" w:hint="default"/>
                <w:sz w:val="21"/>
                <w:szCs w:val="21"/>
              </w:rPr>
              <w:t>1</w:t>
            </w:r>
            <w:r>
              <w:rPr>
                <w:rFonts w:ascii="宋体" w:hAnsi="宋体" w:cs="宋体" w:eastAsia="宋体" w:hint="default"/>
                <w:sz w:val="21"/>
                <w:szCs w:val="21"/>
              </w:rPr>
              <w:t>幢</w:t>
            </w:r>
            <w:r>
              <w:rPr>
                <w:rFonts w:ascii="Times New Roman" w:hAnsi="Times New Roman" w:cs="Times New Roman" w:eastAsia="Times New Roman" w:hint="default"/>
                <w:sz w:val="21"/>
                <w:szCs w:val="21"/>
              </w:rPr>
              <w:t>718</w:t>
            </w:r>
            <w:r>
              <w:rPr>
                <w:rFonts w:ascii="宋体" w:hAnsi="宋体" w:cs="宋体" w:eastAsia="宋体" w:hint="default"/>
                <w:sz w:val="21"/>
                <w:szCs w:val="21"/>
              </w:rPr>
              <w:t>号房</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1757" w:val="left" w:leader="none"/>
              </w:tabs>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w:t>
            </w:r>
          </w:p>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2017.11.1-2018.10.30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7,592</w:t>
            </w:r>
            <w:r>
              <w:rPr>
                <w:rFonts w:ascii="宋体" w:hAnsi="宋体" w:cs="宋体" w:eastAsia="宋体" w:hint="default"/>
                <w:sz w:val="21"/>
                <w:szCs w:val="21"/>
              </w:rPr>
              <w:t>元。</w:t>
            </w:r>
          </w:p>
          <w:p>
            <w:pPr>
              <w:pStyle w:val="TableParagraph"/>
              <w:tabs>
                <w:tab w:pos="1757" w:val="left" w:leader="none"/>
              </w:tabs>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tab/>
            </w:r>
            <w:r>
              <w:rPr>
                <w:rFonts w:ascii="宋体" w:hAnsi="宋体" w:cs="宋体" w:eastAsia="宋体" w:hint="default"/>
                <w:sz w:val="21"/>
                <w:szCs w:val="21"/>
              </w:rPr>
              <w:t>、</w:t>
            </w:r>
          </w:p>
          <w:p>
            <w:pPr>
              <w:pStyle w:val="TableParagraph"/>
              <w:spacing w:line="240" w:lineRule="auto" w:before="71"/>
              <w:ind w:left="2" w:right="0"/>
              <w:jc w:val="left"/>
              <w:rPr>
                <w:rFonts w:ascii="Times New Roman" w:hAnsi="Times New Roman" w:cs="Times New Roman" w:eastAsia="Times New Roman" w:hint="default"/>
                <w:sz w:val="21"/>
                <w:szCs w:val="21"/>
              </w:rPr>
            </w:pPr>
            <w:r>
              <w:rPr>
                <w:rFonts w:ascii="Times New Roman"/>
                <w:sz w:val="21"/>
              </w:rPr>
              <w:t>2018.11.1-2019.10.30</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pacing w:val="17"/>
                <w:sz w:val="21"/>
                <w:szCs w:val="21"/>
              </w:rPr>
              <w:t>每月租金约为</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8,176</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窦同力</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22"/>
                <w:sz w:val="21"/>
                <w:szCs w:val="21"/>
              </w:rPr>
              <w:t> </w:t>
            </w:r>
            <w:r>
              <w:rPr>
                <w:rFonts w:ascii="宋体" w:hAnsi="宋体" w:cs="宋体" w:eastAsia="宋体" w:hint="default"/>
                <w:sz w:val="21"/>
                <w:szCs w:val="21"/>
              </w:rPr>
              <w:t>海</w:t>
            </w:r>
            <w:r>
              <w:rPr>
                <w:rFonts w:ascii="宋体" w:hAnsi="宋体" w:cs="宋体" w:eastAsia="宋体" w:hint="default"/>
                <w:sz w:val="21"/>
                <w:szCs w:val="21"/>
              </w:rPr>
              <w:t> 红相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上海市长宁区长宁 路</w:t>
            </w:r>
            <w:r>
              <w:rPr>
                <w:rFonts w:ascii="Times New Roman" w:hAnsi="Times New Roman" w:cs="Times New Roman" w:eastAsia="Times New Roman" w:hint="default"/>
                <w:sz w:val="21"/>
                <w:szCs w:val="21"/>
              </w:rPr>
              <w:t>1661</w:t>
            </w:r>
            <w:r>
              <w:rPr>
                <w:rFonts w:ascii="宋体" w:hAnsi="宋体" w:cs="宋体" w:eastAsia="宋体" w:hint="default"/>
                <w:sz w:val="21"/>
                <w:szCs w:val="21"/>
              </w:rPr>
              <w:t>弄</w:t>
            </w:r>
            <w:r>
              <w:rPr>
                <w:rFonts w:ascii="Times New Roman" w:hAnsi="Times New Roman" w:cs="Times New Roman" w:eastAsia="Times New Roman" w:hint="default"/>
                <w:sz w:val="21"/>
                <w:szCs w:val="21"/>
              </w:rPr>
              <w:t>6</w:t>
            </w:r>
            <w:r>
              <w:rPr>
                <w:rFonts w:ascii="宋体" w:hAnsi="宋体" w:cs="宋体" w:eastAsia="宋体" w:hint="default"/>
                <w:sz w:val="21"/>
                <w:szCs w:val="21"/>
              </w:rPr>
              <w:t>号</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144.95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11,000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上海英孚特 电子技术有 </w:t>
            </w:r>
            <w:r>
              <w:rPr>
                <w:rFonts w:ascii="宋体" w:hAnsi="宋体" w:cs="宋体" w:eastAsia="宋体" w:hint="default"/>
                <w:sz w:val="21"/>
                <w:szCs w:val="21"/>
              </w:rPr>
              <w:t>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22"/>
                <w:sz w:val="21"/>
                <w:szCs w:val="21"/>
              </w:rPr>
              <w:t> </w:t>
            </w:r>
            <w:r>
              <w:rPr>
                <w:rFonts w:ascii="宋体" w:hAnsi="宋体" w:cs="宋体" w:eastAsia="宋体" w:hint="default"/>
                <w:sz w:val="21"/>
                <w:szCs w:val="21"/>
              </w:rPr>
              <w:t>海</w:t>
            </w:r>
            <w:r>
              <w:rPr>
                <w:rFonts w:ascii="宋体" w:hAnsi="宋体" w:cs="宋体" w:eastAsia="宋体" w:hint="default"/>
                <w:sz w:val="21"/>
                <w:szCs w:val="21"/>
              </w:rPr>
              <w:t> 红相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上海市闵行区纪宏 路</w:t>
            </w:r>
            <w:r>
              <w:rPr>
                <w:rFonts w:ascii="Times New Roman" w:hAnsi="Times New Roman" w:cs="Times New Roman" w:eastAsia="Times New Roman" w:hint="default"/>
                <w:sz w:val="21"/>
                <w:szCs w:val="21"/>
              </w:rPr>
              <w:t>81</w:t>
            </w:r>
            <w:r>
              <w:rPr>
                <w:rFonts w:ascii="宋体" w:hAnsi="宋体" w:cs="宋体" w:eastAsia="宋体" w:hint="default"/>
                <w:sz w:val="21"/>
                <w:szCs w:val="21"/>
              </w:rPr>
              <w:t>号</w:t>
            </w:r>
            <w:r>
              <w:rPr>
                <w:rFonts w:ascii="Times New Roman" w:hAnsi="Times New Roman" w:cs="Times New Roman" w:eastAsia="Times New Roman" w:hint="default"/>
                <w:sz w:val="21"/>
                <w:szCs w:val="21"/>
              </w:rPr>
              <w:t>201</w:t>
            </w:r>
            <w:r>
              <w:rPr>
                <w:rFonts w:ascii="宋体" w:hAnsi="宋体" w:cs="宋体" w:eastAsia="宋体" w:hint="default"/>
                <w:sz w:val="21"/>
                <w:szCs w:val="21"/>
              </w:rPr>
              <w:t>、</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165.27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刘靖华</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1"/>
              <w:jc w:val="both"/>
              <w:rPr>
                <w:rFonts w:ascii="Times New Roman" w:hAnsi="Times New Roman" w:cs="Times New Roman" w:eastAsia="Times New Roman" w:hint="default"/>
                <w:sz w:val="21"/>
                <w:szCs w:val="21"/>
              </w:rPr>
            </w:pPr>
            <w:r>
              <w:rPr>
                <w:rFonts w:ascii="宋体" w:hAnsi="宋体" w:cs="宋体" w:eastAsia="宋体" w:hint="default"/>
                <w:sz w:val="21"/>
                <w:szCs w:val="21"/>
              </w:rPr>
              <w:t>重庆沙坪坝区大学 </w:t>
            </w:r>
            <w:r>
              <w:rPr>
                <w:rFonts w:ascii="宋体" w:hAnsi="宋体" w:cs="宋体" w:eastAsia="宋体" w:hint="default"/>
                <w:spacing w:val="11"/>
                <w:sz w:val="21"/>
                <w:szCs w:val="21"/>
              </w:rPr>
              <w:t>城北路</w:t>
            </w:r>
            <w:r>
              <w:rPr>
                <w:rFonts w:ascii="Times New Roman" w:hAnsi="Times New Roman" w:cs="Times New Roman" w:eastAsia="Times New Roman" w:hint="default"/>
                <w:spacing w:val="11"/>
                <w:sz w:val="21"/>
                <w:szCs w:val="21"/>
              </w:rPr>
              <w:t>94</w:t>
            </w:r>
            <w:r>
              <w:rPr>
                <w:rFonts w:ascii="宋体" w:hAnsi="宋体" w:cs="宋体" w:eastAsia="宋体" w:hint="default"/>
                <w:spacing w:val="11"/>
                <w:sz w:val="21"/>
                <w:szCs w:val="21"/>
              </w:rPr>
              <w:t>号附</w:t>
            </w: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号</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18-9</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46.6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1,350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徐志明</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宋体" w:hAnsi="宋体" w:cs="宋体" w:eastAsia="宋体" w:hint="default"/>
                <w:sz w:val="21"/>
                <w:szCs w:val="21"/>
              </w:rPr>
              <w:t>广州市海珠区艺景 路锦豪街</w:t>
            </w:r>
            <w:r>
              <w:rPr>
                <w:rFonts w:ascii="Times New Roman" w:hAnsi="Times New Roman" w:cs="Times New Roman" w:eastAsia="Times New Roman" w:hint="default"/>
                <w:sz w:val="21"/>
                <w:szCs w:val="21"/>
              </w:rPr>
              <w:t>4</w:t>
            </w:r>
            <w:r>
              <w:rPr>
                <w:rFonts w:ascii="宋体" w:hAnsi="宋体" w:cs="宋体" w:eastAsia="宋体" w:hint="default"/>
                <w:sz w:val="21"/>
                <w:szCs w:val="21"/>
              </w:rPr>
              <w:t>号</w:t>
            </w:r>
            <w:r>
              <w:rPr>
                <w:rFonts w:ascii="Times New Roman" w:hAnsi="Times New Roman" w:cs="Times New Roman" w:eastAsia="Times New Roman" w:hint="default"/>
                <w:sz w:val="21"/>
                <w:szCs w:val="21"/>
              </w:rPr>
              <w:t>603</w:t>
            </w:r>
            <w:r>
              <w:rPr>
                <w:rFonts w:ascii="宋体" w:hAnsi="宋体" w:cs="宋体" w:eastAsia="宋体" w:hint="default"/>
                <w:sz w:val="21"/>
                <w:szCs w:val="21"/>
              </w:rPr>
              <w:t>房 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153.95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7,000</w:t>
            </w:r>
            <w:r>
              <w:rPr>
                <w:rFonts w:ascii="宋体" w:hAnsi="宋体" w:cs="宋体" w:eastAsia="宋体" w:hint="default"/>
                <w:sz w:val="21"/>
                <w:szCs w:val="21"/>
              </w:rPr>
              <w:t>元。</w:t>
            </w:r>
          </w:p>
        </w:tc>
      </w:tr>
      <w:tr>
        <w:trPr>
          <w:trHeight w:val="1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周爱萍</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31"/>
              <w:jc w:val="both"/>
              <w:rPr>
                <w:rFonts w:ascii="宋体" w:hAnsi="宋体" w:cs="宋体" w:eastAsia="宋体" w:hint="default"/>
                <w:sz w:val="21"/>
                <w:szCs w:val="21"/>
              </w:rPr>
            </w:pPr>
            <w:r>
              <w:rPr>
                <w:rFonts w:ascii="宋体" w:hAnsi="宋体" w:cs="宋体" w:eastAsia="宋体" w:hint="default"/>
                <w:sz w:val="21"/>
                <w:szCs w:val="21"/>
              </w:rPr>
              <w:t>济南市槐萌区阳光 </w:t>
            </w:r>
            <w:r>
              <w:rPr>
                <w:rFonts w:ascii="宋体" w:hAnsi="宋体" w:cs="宋体" w:eastAsia="宋体" w:hint="default"/>
                <w:spacing w:val="10"/>
                <w:sz w:val="21"/>
                <w:szCs w:val="21"/>
              </w:rPr>
              <w:t>新路</w:t>
            </w:r>
            <w:r>
              <w:rPr>
                <w:rFonts w:ascii="Times New Roman" w:hAnsi="Times New Roman" w:cs="Times New Roman" w:eastAsia="Times New Roman" w:hint="default"/>
                <w:spacing w:val="10"/>
                <w:sz w:val="21"/>
                <w:szCs w:val="21"/>
              </w:rPr>
              <w:t>21</w:t>
            </w:r>
            <w:r>
              <w:rPr>
                <w:rFonts w:ascii="宋体" w:hAnsi="宋体" w:cs="宋体" w:eastAsia="宋体" w:hint="default"/>
                <w:spacing w:val="10"/>
                <w:sz w:val="21"/>
                <w:szCs w:val="21"/>
              </w:rPr>
              <w:t>号阳光</w:t>
            </w:r>
            <w:r>
              <w:rPr>
                <w:rFonts w:ascii="Times New Roman" w:hAnsi="Times New Roman" w:cs="Times New Roman" w:eastAsia="Times New Roman" w:hint="default"/>
                <w:spacing w:val="10"/>
                <w:sz w:val="21"/>
                <w:szCs w:val="21"/>
              </w:rPr>
              <w:t>100</w:t>
            </w:r>
            <w:r>
              <w:rPr>
                <w:rFonts w:ascii="Times New Roman" w:hAnsi="Times New Roman" w:cs="Times New Roman" w:eastAsia="Times New Roman" w:hint="default"/>
                <w:spacing w:val="-49"/>
                <w:sz w:val="21"/>
                <w:szCs w:val="21"/>
              </w:rPr>
              <w:t> </w:t>
            </w:r>
            <w:r>
              <w:rPr>
                <w:rFonts w:ascii="宋体" w:hAnsi="宋体" w:cs="宋体" w:eastAsia="宋体" w:hint="default"/>
                <w:spacing w:val="25"/>
                <w:sz w:val="21"/>
                <w:szCs w:val="21"/>
              </w:rPr>
              <w:t>国际新城</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8"/>
                <w:sz w:val="21"/>
                <w:szCs w:val="21"/>
              </w:rPr>
              <w:t> </w:t>
            </w:r>
            <w:r>
              <w:rPr>
                <w:rFonts w:ascii="宋体" w:hAnsi="宋体" w:cs="宋体" w:eastAsia="宋体" w:hint="default"/>
                <w:spacing w:val="17"/>
                <w:sz w:val="21"/>
                <w:szCs w:val="21"/>
              </w:rPr>
              <w:t>号楼</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2-702</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128.62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97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袁诚伟</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海口市琼山区振兴 </w:t>
            </w:r>
            <w:r>
              <w:rPr>
                <w:rFonts w:ascii="宋体" w:hAnsi="宋体" w:cs="宋体" w:eastAsia="宋体" w:hint="default"/>
                <w:spacing w:val="3"/>
                <w:sz w:val="21"/>
                <w:szCs w:val="21"/>
              </w:rPr>
              <w:t>路</w:t>
            </w:r>
            <w:r>
              <w:rPr>
                <w:rFonts w:ascii="Times New Roman" w:hAnsi="Times New Roman" w:cs="Times New Roman" w:eastAsia="Times New Roman" w:hint="default"/>
                <w:spacing w:val="3"/>
                <w:sz w:val="21"/>
                <w:szCs w:val="21"/>
              </w:rPr>
              <w:t>91-1</w:t>
            </w:r>
            <w:r>
              <w:rPr>
                <w:rFonts w:ascii="宋体" w:hAnsi="宋体" w:cs="宋体" w:eastAsia="宋体" w:hint="default"/>
                <w:spacing w:val="3"/>
                <w:sz w:val="21"/>
                <w:szCs w:val="21"/>
              </w:rPr>
              <w:t>号康馨花园</w:t>
            </w:r>
            <w:r>
              <w:rPr>
                <w:rFonts w:ascii="宋体" w:hAnsi="宋体" w:cs="宋体" w:eastAsia="宋体" w:hint="default"/>
                <w:sz w:val="21"/>
                <w:szCs w:val="21"/>
              </w:rPr>
              <w:t> 德馨阁</w:t>
            </w:r>
            <w:r>
              <w:rPr>
                <w:rFonts w:ascii="Times New Roman" w:hAnsi="Times New Roman" w:cs="Times New Roman" w:eastAsia="Times New Roman" w:hint="default"/>
                <w:sz w:val="21"/>
                <w:szCs w:val="21"/>
              </w:rPr>
              <w:t>6</w:t>
            </w:r>
            <w:r>
              <w:rPr>
                <w:rFonts w:ascii="宋体" w:hAnsi="宋体" w:cs="宋体" w:eastAsia="宋体" w:hint="default"/>
                <w:sz w:val="21"/>
                <w:szCs w:val="21"/>
              </w:rPr>
              <w:t>楼</w:t>
            </w:r>
            <w:r>
              <w:rPr>
                <w:rFonts w:ascii="Times New Roman" w:hAnsi="Times New Roman" w:cs="Times New Roman" w:eastAsia="Times New Roman" w:hint="default"/>
                <w:sz w:val="21"/>
                <w:szCs w:val="21"/>
              </w:rPr>
              <w:t>610</w:t>
            </w:r>
            <w:r>
              <w:rPr>
                <w:rFonts w:ascii="宋体" w:hAnsi="宋体" w:cs="宋体" w:eastAsia="宋体" w:hint="default"/>
                <w:sz w:val="21"/>
                <w:szCs w:val="21"/>
              </w:rPr>
              <w:t>房</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83.13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2017</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2,800</w:t>
            </w:r>
            <w:r>
              <w:rPr>
                <w:rFonts w:ascii="宋体" w:hAnsi="宋体" w:cs="宋体" w:eastAsia="宋体" w:hint="default"/>
                <w:sz w:val="21"/>
                <w:szCs w:val="21"/>
              </w:rPr>
              <w:t>元。</w:t>
            </w:r>
          </w:p>
        </w:tc>
      </w:tr>
    </w:tbl>
    <w:p>
      <w:pPr>
        <w:spacing w:after="0" w:line="287"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568"/>
        <w:gridCol w:w="1701"/>
        <w:gridCol w:w="568"/>
        <w:gridCol w:w="992"/>
        <w:gridCol w:w="1559"/>
        <w:gridCol w:w="1985"/>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谢洪</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昆明市春城路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 米兰国际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1506</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108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宋倩</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Times New Roman" w:hAnsi="Times New Roman" w:cs="Times New Roman" w:eastAsia="Times New Roman" w:hint="default"/>
                <w:sz w:val="21"/>
                <w:szCs w:val="21"/>
              </w:rPr>
            </w:pPr>
            <w:r>
              <w:rPr>
                <w:rFonts w:ascii="宋体" w:hAnsi="宋体" w:cs="宋体" w:eastAsia="宋体" w:hint="default"/>
                <w:sz w:val="21"/>
                <w:szCs w:val="21"/>
              </w:rPr>
              <w:t>昆明市春城路</w:t>
            </w:r>
            <w:r>
              <w:rPr>
                <w:rFonts w:ascii="Times New Roman" w:hAnsi="Times New Roman" w:cs="Times New Roman" w:eastAsia="Times New Roman" w:hint="default"/>
                <w:sz w:val="21"/>
                <w:szCs w:val="21"/>
              </w:rPr>
              <w:t>64</w:t>
            </w:r>
            <w:r>
              <w:rPr>
                <w:rFonts w:ascii="宋体" w:hAnsi="宋体" w:cs="宋体" w:eastAsia="宋体" w:hint="default"/>
                <w:sz w:val="21"/>
                <w:szCs w:val="21"/>
              </w:rPr>
              <w:t>号 米兰国际</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1503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72.13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2,400</w:t>
            </w:r>
            <w:r>
              <w:rPr>
                <w:rFonts w:ascii="宋体" w:hAnsi="宋体" w:cs="宋体" w:eastAsia="宋体" w:hint="default"/>
                <w:sz w:val="21"/>
                <w:szCs w:val="21"/>
              </w:rPr>
              <w:t>元。</w:t>
            </w:r>
          </w:p>
        </w:tc>
      </w:tr>
      <w:tr>
        <w:trPr>
          <w:trHeight w:val="97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黄艳丽</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南宁市江南区星光 大道</w:t>
            </w:r>
            <w:r>
              <w:rPr>
                <w:rFonts w:ascii="Times New Roman" w:hAnsi="Times New Roman" w:cs="Times New Roman" w:eastAsia="Times New Roman" w:hint="default"/>
                <w:sz w:val="21"/>
                <w:szCs w:val="21"/>
              </w:rPr>
              <w:t>46</w:t>
            </w:r>
            <w:r>
              <w:rPr>
                <w:rFonts w:ascii="宋体" w:hAnsi="宋体" w:cs="宋体" w:eastAsia="宋体" w:hint="default"/>
                <w:sz w:val="21"/>
                <w:szCs w:val="21"/>
              </w:rPr>
              <w:t>号江南馨园 </w:t>
            </w:r>
            <w:r>
              <w:rPr>
                <w:rFonts w:ascii="Times New Roman" w:hAnsi="Times New Roman" w:cs="Times New Roman" w:eastAsia="Times New Roman" w:hint="default"/>
                <w:sz w:val="21"/>
                <w:szCs w:val="21"/>
              </w:rPr>
              <w:t>5</w:t>
            </w:r>
            <w:r>
              <w:rPr>
                <w:rFonts w:ascii="宋体" w:hAnsi="宋体" w:cs="宋体" w:eastAsia="宋体" w:hint="default"/>
                <w:sz w:val="21"/>
                <w:szCs w:val="21"/>
              </w:rPr>
              <w:t>号楼</w:t>
            </w:r>
            <w:r>
              <w:rPr>
                <w:rFonts w:ascii="Times New Roman" w:hAnsi="Times New Roman" w:cs="Times New Roman" w:eastAsia="Times New Roman" w:hint="default"/>
                <w:sz w:val="21"/>
                <w:szCs w:val="21"/>
              </w:rPr>
              <w:t>1</w:t>
            </w:r>
            <w:r>
              <w:rPr>
                <w:rFonts w:ascii="宋体" w:hAnsi="宋体" w:cs="宋体" w:eastAsia="宋体" w:hint="default"/>
                <w:sz w:val="21"/>
                <w:szCs w:val="21"/>
              </w:rPr>
              <w:t>单元</w:t>
            </w:r>
            <w:r>
              <w:rPr>
                <w:rFonts w:ascii="Times New Roman" w:hAnsi="Times New Roman" w:cs="Times New Roman" w:eastAsia="Times New Roman" w:hint="default"/>
                <w:sz w:val="21"/>
                <w:szCs w:val="21"/>
              </w:rPr>
              <w:t>1102</w:t>
            </w:r>
            <w:r>
              <w:rPr>
                <w:rFonts w:ascii="宋体" w:hAnsi="宋体" w:cs="宋体" w:eastAsia="宋体" w:hint="default"/>
                <w:sz w:val="21"/>
                <w:szCs w:val="21"/>
              </w:rPr>
              <w:t>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154.28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left"/>
              <w:rPr>
                <w:rFonts w:ascii="宋体" w:hAnsi="宋体" w:cs="宋体" w:eastAsia="宋体" w:hint="default"/>
                <w:sz w:val="21"/>
                <w:szCs w:val="21"/>
              </w:rPr>
            </w:pPr>
            <w:r>
              <w:rPr>
                <w:rFonts w:ascii="宋体" w:hAnsi="宋体" w:cs="宋体" w:eastAsia="宋体" w:hint="default"/>
                <w:spacing w:val="15"/>
                <w:sz w:val="21"/>
                <w:szCs w:val="21"/>
              </w:rPr>
              <w:t>陈余丽、谢 </w:t>
            </w:r>
            <w:r>
              <w:rPr>
                <w:rFonts w:ascii="宋体" w:hAnsi="宋体" w:cs="宋体" w:eastAsia="宋体" w:hint="default"/>
                <w:sz w:val="21"/>
                <w:szCs w:val="21"/>
              </w:rPr>
              <w:t>赣源</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贵阳市南明区市南 路</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57</w:t>
            </w:r>
            <w:r>
              <w:rPr>
                <w:rFonts w:ascii="Times New Roman" w:hAnsi="Times New Roman" w:cs="Times New Roman" w:eastAsia="Times New Roman" w:hint="default"/>
                <w:spacing w:val="-18"/>
                <w:sz w:val="21"/>
                <w:szCs w:val="21"/>
              </w:rPr>
              <w:t> </w:t>
            </w:r>
            <w:r>
              <w:rPr>
                <w:rFonts w:ascii="宋体" w:hAnsi="宋体" w:cs="宋体" w:eastAsia="宋体" w:hint="default"/>
                <w:spacing w:val="22"/>
                <w:sz w:val="21"/>
                <w:szCs w:val="21"/>
              </w:rPr>
              <w:t>号阳光</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100C </w:t>
            </w:r>
            <w:r>
              <w:rPr>
                <w:rFonts w:ascii="宋体" w:hAnsi="宋体" w:cs="宋体" w:eastAsia="宋体" w:hint="default"/>
                <w:sz w:val="21"/>
                <w:szCs w:val="21"/>
              </w:rPr>
              <w:t>栋</w:t>
            </w:r>
            <w:r>
              <w:rPr>
                <w:rFonts w:ascii="Times New Roman" w:hAnsi="Times New Roman" w:cs="Times New Roman" w:eastAsia="Times New Roman" w:hint="default"/>
                <w:sz w:val="21"/>
                <w:szCs w:val="21"/>
              </w:rPr>
              <w:t>C</w:t>
            </w:r>
            <w:r>
              <w:rPr>
                <w:rFonts w:ascii="宋体" w:hAnsi="宋体" w:cs="宋体" w:eastAsia="宋体" w:hint="default"/>
                <w:sz w:val="21"/>
                <w:szCs w:val="21"/>
              </w:rPr>
              <w:t>单元</w:t>
            </w:r>
            <w:r>
              <w:rPr>
                <w:rFonts w:ascii="Times New Roman" w:hAnsi="Times New Roman" w:cs="Times New Roman" w:eastAsia="Times New Roman" w:hint="default"/>
                <w:sz w:val="21"/>
                <w:szCs w:val="21"/>
              </w:rPr>
              <w:t>7</w:t>
            </w:r>
            <w:r>
              <w:rPr>
                <w:rFonts w:ascii="宋体" w:hAnsi="宋体" w:cs="宋体" w:eastAsia="宋体" w:hint="default"/>
                <w:sz w:val="21"/>
                <w:szCs w:val="21"/>
              </w:rPr>
              <w:t>层</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120.7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10-2018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4,200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陈定</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宋体" w:hAnsi="宋体" w:cs="宋体" w:eastAsia="宋体" w:hint="default"/>
                <w:sz w:val="21"/>
                <w:szCs w:val="21"/>
              </w:rPr>
              <w:t>贵阳市南明区市南 </w:t>
            </w:r>
            <w:r>
              <w:rPr>
                <w:rFonts w:ascii="宋体" w:hAnsi="宋体" w:cs="宋体" w:eastAsia="宋体" w:hint="default"/>
                <w:spacing w:val="13"/>
                <w:sz w:val="21"/>
                <w:szCs w:val="21"/>
              </w:rPr>
              <w:t>厂路南岳大院</w:t>
            </w:r>
            <w:r>
              <w:rPr>
                <w:rFonts w:ascii="Times New Roman" w:hAnsi="Times New Roman" w:cs="Times New Roman" w:eastAsia="Times New Roman" w:hint="default"/>
                <w:spacing w:val="13"/>
                <w:sz w:val="21"/>
                <w:szCs w:val="21"/>
              </w:rPr>
              <w:t>7</w:t>
            </w:r>
            <w:r>
              <w:rPr>
                <w:rFonts w:ascii="宋体" w:hAnsi="宋体" w:cs="宋体" w:eastAsia="宋体" w:hint="default"/>
                <w:spacing w:val="13"/>
                <w:sz w:val="21"/>
                <w:szCs w:val="21"/>
              </w:rPr>
              <w:t>栋</w:t>
            </w:r>
            <w:r>
              <w:rPr>
                <w:rFonts w:ascii="宋体" w:hAnsi="宋体" w:cs="宋体" w:eastAsia="宋体" w:hint="default"/>
                <w:sz w:val="21"/>
                <w:szCs w:val="21"/>
              </w:rPr>
              <w:t> </w:t>
            </w:r>
            <w:r>
              <w:rPr>
                <w:rFonts w:ascii="Times New Roman" w:hAnsi="Times New Roman" w:cs="Times New Roman" w:eastAsia="Times New Roman" w:hint="default"/>
                <w:sz w:val="21"/>
                <w:szCs w:val="21"/>
              </w:rPr>
              <w:t>23</w:t>
            </w:r>
            <w:r>
              <w:rPr>
                <w:rFonts w:ascii="宋体" w:hAnsi="宋体" w:cs="宋体" w:eastAsia="宋体" w:hint="default"/>
                <w:sz w:val="21"/>
                <w:szCs w:val="21"/>
              </w:rPr>
              <w:t>楼</w:t>
            </w:r>
            <w:r>
              <w:rPr>
                <w:rFonts w:ascii="Times New Roman" w:hAnsi="Times New Roman" w:cs="Times New Roman" w:eastAsia="Times New Roman" w:hint="default"/>
                <w:sz w:val="21"/>
                <w:szCs w:val="21"/>
              </w:rPr>
              <w:t>F</w:t>
            </w:r>
            <w:r>
              <w:rPr>
                <w:rFonts w:ascii="宋体" w:hAnsi="宋体" w:cs="宋体" w:eastAsia="宋体" w:hint="default"/>
                <w:sz w:val="21"/>
                <w:szCs w:val="21"/>
              </w:rPr>
              <w:t>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63.47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25-2020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2,200</w:t>
            </w:r>
            <w:r>
              <w:rPr>
                <w:rFonts w:ascii="宋体" w:hAnsi="宋体" w:cs="宋体" w:eastAsia="宋体" w:hint="default"/>
                <w:sz w:val="21"/>
                <w:szCs w:val="21"/>
              </w:rPr>
              <w:t>元。</w:t>
            </w:r>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高华林</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pacing w:val="22"/>
                <w:sz w:val="21"/>
                <w:szCs w:val="21"/>
              </w:rPr>
              <w:t> </w:t>
            </w:r>
            <w:r>
              <w:rPr>
                <w:rFonts w:ascii="宋体" w:hAnsi="宋体" w:cs="宋体" w:eastAsia="宋体" w:hint="default"/>
                <w:sz w:val="21"/>
                <w:szCs w:val="21"/>
              </w:rPr>
              <w:t>相</w:t>
            </w:r>
            <w:r>
              <w:rPr>
                <w:rFonts w:ascii="宋体" w:hAnsi="宋体" w:cs="宋体" w:eastAsia="宋体" w:hint="default"/>
                <w:sz w:val="21"/>
                <w:szCs w:val="21"/>
              </w:rPr>
              <w:t> 股份</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合肥市绿城桂花园 小区芳树苑</w:t>
            </w:r>
            <w:r>
              <w:rPr>
                <w:rFonts w:ascii="Times New Roman" w:hAnsi="Times New Roman" w:cs="Times New Roman" w:eastAsia="Times New Roman" w:hint="default"/>
                <w:sz w:val="21"/>
                <w:szCs w:val="21"/>
              </w:rPr>
              <w:t>13-303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96.43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1-2019</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284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红相股份</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22"/>
                <w:sz w:val="21"/>
                <w:szCs w:val="21"/>
              </w:rPr>
              <w:t> </w:t>
            </w:r>
            <w:r>
              <w:rPr>
                <w:rFonts w:ascii="宋体" w:hAnsi="宋体" w:cs="宋体" w:eastAsia="宋体" w:hint="default"/>
                <w:sz w:val="21"/>
                <w:szCs w:val="21"/>
              </w:rPr>
              <w:t>门</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舒</w:t>
            </w:r>
            <w:r>
              <w:rPr>
                <w:rFonts w:ascii="宋体" w:hAnsi="宋体" w:cs="宋体" w:eastAsia="宋体" w:hint="default"/>
                <w:spacing w:val="22"/>
                <w:sz w:val="21"/>
                <w:szCs w:val="21"/>
              </w:rPr>
              <w:t> </w:t>
            </w:r>
            <w:r>
              <w:rPr>
                <w:rFonts w:ascii="宋体" w:hAnsi="宋体" w:cs="宋体" w:eastAsia="宋体" w:hint="default"/>
                <w:sz w:val="21"/>
                <w:szCs w:val="21"/>
              </w:rPr>
              <w:t>菲</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娅</w:t>
            </w:r>
            <w:r>
              <w:rPr>
                <w:rFonts w:ascii="宋体" w:hAnsi="宋体" w:cs="宋体" w:eastAsia="宋体" w:hint="default"/>
                <w:spacing w:val="22"/>
                <w:sz w:val="21"/>
                <w:szCs w:val="21"/>
              </w:rPr>
              <w:t> </w:t>
            </w:r>
            <w:r>
              <w:rPr>
                <w:rFonts w:ascii="宋体" w:hAnsi="宋体" w:cs="宋体" w:eastAsia="宋体" w:hint="default"/>
                <w:sz w:val="21"/>
                <w:szCs w:val="21"/>
              </w:rPr>
              <w:t>化</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妆</w:t>
            </w:r>
            <w:r>
              <w:rPr>
                <w:rFonts w:ascii="宋体" w:hAnsi="宋体" w:cs="宋体" w:eastAsia="宋体" w:hint="default"/>
                <w:spacing w:val="22"/>
                <w:sz w:val="21"/>
                <w:szCs w:val="21"/>
              </w:rPr>
              <w:t> </w:t>
            </w:r>
            <w:r>
              <w:rPr>
                <w:rFonts w:ascii="宋体" w:hAnsi="宋体" w:cs="宋体" w:eastAsia="宋体" w:hint="default"/>
                <w:sz w:val="21"/>
                <w:szCs w:val="21"/>
              </w:rPr>
              <w:t>品</w:t>
            </w:r>
          </w:p>
          <w:p>
            <w:pPr>
              <w:pStyle w:val="TableParagraph"/>
              <w:spacing w:line="273"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22"/>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宋体" w:hAnsi="宋体" w:cs="宋体" w:eastAsia="宋体" w:hint="default"/>
                <w:sz w:val="21"/>
                <w:szCs w:val="21"/>
              </w:rPr>
              <w:t>厦门市同安区美溪 道思明工业园</w:t>
            </w:r>
            <w:r>
              <w:rPr>
                <w:rFonts w:ascii="Times New Roman" w:hAnsi="Times New Roman" w:cs="Times New Roman" w:eastAsia="Times New Roman" w:hint="default"/>
                <w:sz w:val="21"/>
                <w:szCs w:val="21"/>
              </w:rPr>
              <w:t>38</w:t>
            </w:r>
            <w:r>
              <w:rPr>
                <w:rFonts w:ascii="宋体" w:hAnsi="宋体" w:cs="宋体" w:eastAsia="宋体" w:hint="default"/>
                <w:sz w:val="21"/>
                <w:szCs w:val="21"/>
              </w:rPr>
              <w:t>号 </w:t>
            </w:r>
            <w:r>
              <w:rPr>
                <w:rFonts w:ascii="Times New Roman" w:hAnsi="Times New Roman" w:cs="Times New Roman" w:eastAsia="Times New Roman" w:hint="default"/>
                <w:spacing w:val="-10"/>
                <w:sz w:val="21"/>
                <w:szCs w:val="21"/>
              </w:rPr>
              <w:t>102</w:t>
            </w:r>
            <w:r>
              <w:rPr>
                <w:rFonts w:ascii="宋体" w:hAnsi="宋体" w:cs="宋体" w:eastAsia="宋体" w:hint="default"/>
                <w:spacing w:val="-10"/>
                <w:sz w:val="21"/>
                <w:szCs w:val="21"/>
              </w:rPr>
              <w:t>单元、</w:t>
            </w:r>
            <w:r>
              <w:rPr>
                <w:rFonts w:ascii="Times New Roman" w:hAnsi="Times New Roman" w:cs="Times New Roman" w:eastAsia="Times New Roman" w:hint="default"/>
                <w:spacing w:val="-10"/>
                <w:sz w:val="21"/>
                <w:szCs w:val="21"/>
              </w:rPr>
              <w:t>202</w:t>
            </w:r>
            <w:r>
              <w:rPr>
                <w:rFonts w:ascii="宋体" w:hAnsi="宋体" w:cs="宋体" w:eastAsia="宋体" w:hint="default"/>
                <w:spacing w:val="-10"/>
                <w:sz w:val="21"/>
                <w:szCs w:val="21"/>
              </w:rPr>
              <w:t>单元</w:t>
            </w:r>
          </w:p>
          <w:p>
            <w:pPr>
              <w:pStyle w:val="TableParagraph"/>
              <w:spacing w:line="289" w:lineRule="exact"/>
              <w:ind w:left="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302</w:t>
            </w:r>
            <w:r>
              <w:rPr>
                <w:rFonts w:ascii="宋体" w:hAnsi="宋体" w:cs="宋体" w:eastAsia="宋体" w:hint="default"/>
                <w:sz w:val="21"/>
                <w:szCs w:val="21"/>
              </w:rPr>
              <w:t>单元</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2</w:t>
            </w:r>
            <w:r>
              <w:rPr>
                <w:rFonts w:ascii="宋体" w:hAnsi="宋体" w:cs="宋体" w:eastAsia="宋体" w:hint="default"/>
                <w:sz w:val="21"/>
                <w:szCs w:val="21"/>
              </w:rPr>
              <w:t>单元</w:t>
            </w:r>
          </w:p>
          <w:p>
            <w:pPr>
              <w:pStyle w:val="TableParagraph"/>
              <w:spacing w:line="240" w:lineRule="auto" w:before="21"/>
              <w:ind w:left="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502</w:t>
            </w:r>
            <w:r>
              <w:rPr>
                <w:rFonts w:ascii="宋体" w:hAnsi="宋体" w:cs="宋体" w:eastAsia="宋体" w:hint="default"/>
                <w:sz w:val="21"/>
                <w:szCs w:val="21"/>
              </w:rPr>
              <w:t>单元</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2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37"/>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12415.62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2017.1.1-2017.2.28</w:t>
            </w:r>
          </w:p>
          <w:p>
            <w:pPr>
              <w:pStyle w:val="TableParagraph"/>
              <w:spacing w:line="240" w:lineRule="auto" w:before="21"/>
              <w:ind w:left="2" w:right="0"/>
              <w:jc w:val="both"/>
              <w:rPr>
                <w:rFonts w:ascii="宋体" w:hAnsi="宋体" w:cs="宋体" w:eastAsia="宋体" w:hint="default"/>
                <w:sz w:val="21"/>
                <w:szCs w:val="21"/>
              </w:rPr>
            </w:pPr>
            <w:r>
              <w:rPr>
                <w:rFonts w:ascii="宋体" w:hAnsi="宋体" w:cs="宋体" w:eastAsia="宋体" w:hint="default"/>
                <w:sz w:val="21"/>
                <w:szCs w:val="21"/>
              </w:rPr>
              <w:t>免租期；</w:t>
            </w:r>
          </w:p>
          <w:p>
            <w:pPr>
              <w:pStyle w:val="TableParagraph"/>
              <w:spacing w:line="240" w:lineRule="auto" w:before="37"/>
              <w:ind w:left="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0"/>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2018.12.31</w:t>
            </w:r>
          </w:p>
          <w:p>
            <w:pPr>
              <w:pStyle w:val="TableParagraph"/>
              <w:spacing w:line="256" w:lineRule="auto" w:before="21"/>
              <w:ind w:left="2" w:right="-28"/>
              <w:jc w:val="both"/>
              <w:rPr>
                <w:rFonts w:ascii="Times New Roman" w:hAnsi="Times New Roman" w:cs="Times New Roman" w:eastAsia="Times New Roman"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140,296.51</w:t>
            </w:r>
            <w:r>
              <w:rPr>
                <w:rFonts w:ascii="宋体" w:hAnsi="宋体" w:cs="宋体" w:eastAsia="宋体" w:hint="default"/>
                <w:sz w:val="21"/>
                <w:szCs w:val="21"/>
              </w:rPr>
              <w:t>元。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2019.1.1-2020.12.31</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租</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spacing w:val="-60"/>
                <w:sz w:val="21"/>
                <w:szCs w:val="21"/>
              </w:rPr>
              <w:t> </w:t>
            </w:r>
            <w:r>
              <w:rPr>
                <w:rFonts w:ascii="宋体" w:hAnsi="宋体" w:cs="宋体" w:eastAsia="宋体" w:hint="default"/>
                <w:sz w:val="21"/>
                <w:szCs w:val="21"/>
              </w:rPr>
              <w:t>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152,712.13</w:t>
            </w:r>
          </w:p>
          <w:p>
            <w:pPr>
              <w:pStyle w:val="TableParagraph"/>
              <w:spacing w:line="240" w:lineRule="auto" w:before="5"/>
              <w:ind w:left="2" w:right="0"/>
              <w:jc w:val="both"/>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40" w:lineRule="auto" w:before="37"/>
              <w:ind w:left="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0"/>
                <w:sz w:val="21"/>
                <w:szCs w:val="21"/>
              </w:rPr>
              <w:t>、</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2022.12.31</w:t>
            </w:r>
          </w:p>
          <w:p>
            <w:pPr>
              <w:pStyle w:val="TableParagraph"/>
              <w:spacing w:line="240" w:lineRule="auto" w:before="21"/>
              <w:ind w:left="2" w:right="0"/>
              <w:jc w:val="both"/>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165,1</w:t>
            </w:r>
            <w:r>
              <w:rPr>
                <w:rFonts w:ascii="Times New Roman" w:hAnsi="Times New Roman" w:cs="Times New Roman" w:eastAsia="Times New Roman" w:hint="default"/>
                <w:spacing w:val="-2"/>
                <w:sz w:val="21"/>
                <w:szCs w:val="21"/>
              </w:rPr>
              <w:t>2</w:t>
            </w:r>
            <w:r>
              <w:rPr>
                <w:rFonts w:ascii="Times New Roman" w:hAnsi="Times New Roman" w:cs="Times New Roman" w:eastAsia="Times New Roman" w:hint="default"/>
                <w:sz w:val="21"/>
                <w:szCs w:val="21"/>
              </w:rPr>
              <w:t>7.75</w:t>
            </w:r>
            <w:r>
              <w:rPr>
                <w:rFonts w:ascii="宋体" w:hAnsi="宋体" w:cs="宋体" w:eastAsia="宋体" w:hint="default"/>
                <w:sz w:val="21"/>
                <w:szCs w:val="21"/>
              </w:rPr>
              <w:t>元。</w:t>
            </w:r>
          </w:p>
        </w:tc>
      </w:tr>
      <w:tr>
        <w:trPr>
          <w:trHeight w:val="190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红相股份</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22"/>
                <w:sz w:val="21"/>
                <w:szCs w:val="21"/>
              </w:rPr>
              <w:t> </w:t>
            </w:r>
            <w:r>
              <w:rPr>
                <w:rFonts w:ascii="宋体" w:hAnsi="宋体" w:cs="宋体" w:eastAsia="宋体" w:hint="default"/>
                <w:sz w:val="21"/>
                <w:szCs w:val="21"/>
              </w:rPr>
              <w:t>门</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22"/>
                <w:sz w:val="21"/>
                <w:szCs w:val="21"/>
              </w:rPr>
              <w:t> </w:t>
            </w:r>
            <w:r>
              <w:rPr>
                <w:rFonts w:ascii="宋体" w:hAnsi="宋体" w:cs="宋体" w:eastAsia="宋体" w:hint="default"/>
                <w:sz w:val="21"/>
                <w:szCs w:val="21"/>
              </w:rPr>
              <w:t>力</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体</w:t>
            </w:r>
            <w:r>
              <w:rPr>
                <w:rFonts w:ascii="宋体" w:hAnsi="宋体" w:cs="宋体" w:eastAsia="宋体" w:hint="default"/>
                <w:spacing w:val="22"/>
                <w:sz w:val="21"/>
                <w:szCs w:val="21"/>
              </w:rPr>
              <w:t> </w:t>
            </w:r>
            <w:r>
              <w:rPr>
                <w:rFonts w:ascii="宋体" w:hAnsi="宋体" w:cs="宋体" w:eastAsia="宋体" w:hint="default"/>
                <w:sz w:val="21"/>
                <w:szCs w:val="21"/>
              </w:rPr>
              <w:t>育</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22"/>
                <w:sz w:val="21"/>
                <w:szCs w:val="21"/>
              </w:rPr>
              <w:t> </w:t>
            </w:r>
            <w:r>
              <w:rPr>
                <w:rFonts w:ascii="宋体" w:hAnsi="宋体" w:cs="宋体" w:eastAsia="宋体" w:hint="default"/>
                <w:sz w:val="21"/>
                <w:szCs w:val="21"/>
              </w:rPr>
              <w:t>品</w:t>
            </w:r>
          </w:p>
          <w:p>
            <w:pPr>
              <w:pStyle w:val="TableParagraph"/>
              <w:spacing w:line="273"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22"/>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厦门市思明区水仙 路</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21E</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182.82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28"/>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10,055.1</w:t>
            </w:r>
            <w:r>
              <w:rPr>
                <w:rFonts w:ascii="宋体" w:hAnsi="宋体" w:cs="宋体" w:eastAsia="宋体" w:hint="default"/>
                <w:sz w:val="21"/>
                <w:szCs w:val="21"/>
              </w:rPr>
              <w:t>元。</w:t>
            </w:r>
          </w:p>
        </w:tc>
      </w:tr>
      <w:tr>
        <w:trPr>
          <w:trHeight w:val="1596"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0" w:lineRule="auto" w:before="45"/>
              <w:ind w:left="3" w:right="79" w:firstLine="34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Brett</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Behmer</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和</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Trevor</w:t>
            </w:r>
          </w:p>
          <w:p>
            <w:pPr>
              <w:pStyle w:val="TableParagraph"/>
              <w:spacing w:line="240" w:lineRule="auto" w:before="31"/>
              <w:ind w:left="3" w:right="0"/>
              <w:jc w:val="left"/>
              <w:rPr>
                <w:rFonts w:ascii="Times New Roman" w:hAnsi="Times New Roman" w:cs="Times New Roman" w:eastAsia="Times New Roman" w:hint="default"/>
                <w:sz w:val="21"/>
                <w:szCs w:val="21"/>
              </w:rPr>
            </w:pPr>
            <w:r>
              <w:rPr>
                <w:rFonts w:ascii="Times New Roman"/>
                <w:sz w:val="21"/>
              </w:rPr>
              <w:t>Wright</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澳</w:t>
            </w:r>
            <w:r>
              <w:rPr>
                <w:rFonts w:ascii="宋体" w:hAnsi="宋体" w:cs="宋体" w:eastAsia="宋体" w:hint="default"/>
                <w:spacing w:val="22"/>
                <w:sz w:val="21"/>
                <w:szCs w:val="21"/>
              </w:rPr>
              <w:t> </w:t>
            </w:r>
            <w:r>
              <w:rPr>
                <w:rFonts w:ascii="宋体" w:hAnsi="宋体" w:cs="宋体" w:eastAsia="宋体" w:hint="default"/>
                <w:sz w:val="21"/>
                <w:szCs w:val="21"/>
              </w:rPr>
              <w:t>洲</w:t>
            </w:r>
            <w:r>
              <w:rPr>
                <w:rFonts w:ascii="宋体" w:hAnsi="宋体" w:cs="宋体" w:eastAsia="宋体" w:hint="default"/>
                <w:sz w:val="21"/>
                <w:szCs w:val="21"/>
              </w:rPr>
              <w:t> 红相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2" w:right="1"/>
              <w:jc w:val="left"/>
              <w:rPr>
                <w:rFonts w:ascii="Times New Roman" w:hAnsi="Times New Roman" w:cs="Times New Roman" w:eastAsia="Times New Roman" w:hint="default"/>
                <w:sz w:val="21"/>
                <w:szCs w:val="21"/>
              </w:rPr>
            </w:pPr>
            <w:r>
              <w:rPr>
                <w:rFonts w:ascii="Times New Roman"/>
                <w:sz w:val="21"/>
              </w:rPr>
              <w:t>10 Ceylon</w:t>
            </w:r>
            <w:r>
              <w:rPr>
                <w:rFonts w:ascii="Times New Roman"/>
                <w:spacing w:val="4"/>
                <w:sz w:val="21"/>
              </w:rPr>
              <w:t> </w:t>
            </w:r>
            <w:r>
              <w:rPr>
                <w:rFonts w:ascii="Times New Roman"/>
                <w:sz w:val="21"/>
              </w:rPr>
              <w:t>Street,</w:t>
            </w:r>
            <w:r>
              <w:rPr>
                <w:rFonts w:ascii="Times New Roman"/>
                <w:sz w:val="21"/>
              </w:rPr>
              <w:t> Nunawading, Victoria 3131</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7"/>
              <w:jc w:val="left"/>
              <w:rPr>
                <w:rFonts w:ascii="宋体" w:hAnsi="宋体" w:cs="宋体" w:eastAsia="宋体" w:hint="default"/>
                <w:sz w:val="21"/>
                <w:szCs w:val="21"/>
              </w:rPr>
            </w:pPr>
            <w:r>
              <w:rPr>
                <w:rFonts w:ascii="宋体" w:hAnsi="宋体" w:cs="宋体" w:eastAsia="宋体" w:hint="default"/>
                <w:spacing w:val="-22"/>
                <w:sz w:val="21"/>
                <w:szCs w:val="21"/>
              </w:rPr>
              <w:t>办公、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39"/>
              <w:jc w:val="both"/>
              <w:rPr>
                <w:rFonts w:ascii="宋体" w:hAnsi="宋体" w:cs="宋体" w:eastAsia="宋体" w:hint="default"/>
                <w:sz w:val="21"/>
                <w:szCs w:val="21"/>
              </w:rPr>
            </w:pPr>
            <w:r>
              <w:rPr>
                <w:rFonts w:ascii="宋体" w:hAnsi="宋体" w:cs="宋体" w:eastAsia="宋体" w:hint="default"/>
                <w:spacing w:val="7"/>
                <w:sz w:val="21"/>
                <w:szCs w:val="21"/>
              </w:rPr>
              <w:t>前十二个月租金合计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为</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94,705</w:t>
            </w:r>
            <w:r>
              <w:rPr>
                <w:rFonts w:ascii="Times New Roman" w:hAnsi="Times New Roman" w:cs="Times New Roman" w:eastAsia="Times New Roman" w:hint="default"/>
                <w:spacing w:val="-32"/>
                <w:sz w:val="21"/>
                <w:szCs w:val="21"/>
              </w:rPr>
              <w:t> </w:t>
            </w:r>
            <w:r>
              <w:rPr>
                <w:rFonts w:ascii="宋体" w:hAnsi="宋体" w:cs="宋体" w:eastAsia="宋体" w:hint="default"/>
                <w:spacing w:val="16"/>
                <w:sz w:val="21"/>
                <w:szCs w:val="21"/>
              </w:rPr>
              <w:t>澳元加上商</w:t>
            </w:r>
            <w:r>
              <w:rPr>
                <w:rFonts w:ascii="宋体" w:hAnsi="宋体" w:cs="宋体" w:eastAsia="宋体" w:hint="default"/>
                <w:sz w:val="21"/>
                <w:szCs w:val="21"/>
              </w:rPr>
              <w:t> </w:t>
            </w:r>
            <w:r>
              <w:rPr>
                <w:rFonts w:ascii="宋体" w:hAnsi="宋体" w:cs="宋体" w:eastAsia="宋体" w:hint="default"/>
                <w:spacing w:val="7"/>
                <w:sz w:val="21"/>
                <w:szCs w:val="21"/>
              </w:rPr>
              <w:t>品及服务税，剩余租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5"/>
                <w:sz w:val="21"/>
                <w:szCs w:val="21"/>
              </w:rPr>
              <w:t>期的租金每年增加</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海盐县城市 资产经营管 </w:t>
            </w:r>
            <w:r>
              <w:rPr>
                <w:rFonts w:ascii="宋体" w:hAnsi="宋体" w:cs="宋体" w:eastAsia="宋体" w:hint="default"/>
                <w:sz w:val="21"/>
                <w:szCs w:val="21"/>
              </w:rPr>
              <w:t>理有限公司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涵</w:t>
            </w:r>
            <w:r>
              <w:rPr>
                <w:rFonts w:ascii="宋体" w:hAnsi="宋体" w:cs="宋体" w:eastAsia="宋体" w:hint="default"/>
                <w:spacing w:val="22"/>
                <w:sz w:val="21"/>
                <w:szCs w:val="21"/>
              </w:rPr>
              <w:t> </w:t>
            </w:r>
            <w:r>
              <w:rPr>
                <w:rFonts w:ascii="宋体" w:hAnsi="宋体" w:cs="宋体" w:eastAsia="宋体" w:hint="default"/>
                <w:sz w:val="21"/>
                <w:szCs w:val="21"/>
              </w:rPr>
              <w:t>普</w:t>
            </w:r>
            <w:r>
              <w:rPr>
                <w:rFonts w:ascii="宋体" w:hAnsi="宋体" w:cs="宋体" w:eastAsia="宋体" w:hint="default"/>
                <w:sz w:val="21"/>
                <w:szCs w:val="21"/>
              </w:rPr>
              <w:t> 电力</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1"/>
                <w:sz w:val="21"/>
                <w:szCs w:val="21"/>
              </w:rPr>
              <w:t> </w:t>
            </w:r>
            <w:r>
              <w:rPr>
                <w:rFonts w:ascii="宋体" w:hAnsi="宋体" w:cs="宋体" w:eastAsia="宋体" w:hint="default"/>
                <w:sz w:val="21"/>
                <w:szCs w:val="21"/>
              </w:rPr>
              <w:t>盐</w:t>
            </w:r>
            <w:r>
              <w:rPr>
                <w:rFonts w:ascii="宋体" w:hAnsi="宋体" w:cs="宋体" w:eastAsia="宋体" w:hint="default"/>
                <w:spacing w:val="-71"/>
                <w:sz w:val="21"/>
                <w:szCs w:val="21"/>
              </w:rPr>
              <w:t> </w:t>
            </w:r>
            <w:r>
              <w:rPr>
                <w:rFonts w:ascii="宋体" w:hAnsi="宋体" w:cs="宋体" w:eastAsia="宋体" w:hint="default"/>
                <w:sz w:val="21"/>
                <w:szCs w:val="21"/>
              </w:rPr>
              <w:t>县</w:t>
            </w:r>
            <w:r>
              <w:rPr>
                <w:rFonts w:ascii="宋体" w:hAnsi="宋体" w:cs="宋体" w:eastAsia="宋体" w:hint="default"/>
                <w:spacing w:val="-71"/>
                <w:sz w:val="21"/>
                <w:szCs w:val="21"/>
              </w:rPr>
              <w:t> </w:t>
            </w: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桥</w:t>
            </w:r>
            <w:r>
              <w:rPr>
                <w:rFonts w:ascii="宋体" w:hAnsi="宋体" w:cs="宋体" w:eastAsia="宋体" w:hint="default"/>
                <w:spacing w:val="-70"/>
                <w:sz w:val="21"/>
                <w:szCs w:val="21"/>
              </w:rPr>
              <w:t> </w:t>
            </w: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路</w:t>
            </w:r>
          </w:p>
          <w:p>
            <w:pPr>
              <w:pStyle w:val="TableParagraph"/>
              <w:spacing w:line="240" w:lineRule="auto" w:before="37"/>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176</w:t>
            </w:r>
            <w:r>
              <w:rPr>
                <w:rFonts w:ascii="宋体" w:hAnsi="宋体" w:cs="宋体" w:eastAsia="宋体" w:hint="default"/>
                <w:sz w:val="21"/>
                <w:szCs w:val="21"/>
              </w:rPr>
              <w:t>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2939.86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300,000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苏州正普电 力科技有限 </w:t>
            </w:r>
            <w:r>
              <w:rPr>
                <w:rFonts w:ascii="宋体" w:hAnsi="宋体" w:cs="宋体" w:eastAsia="宋体" w:hint="default"/>
                <w:sz w:val="21"/>
                <w:szCs w:val="21"/>
              </w:rPr>
              <w:t>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涵</w:t>
            </w:r>
            <w:r>
              <w:rPr>
                <w:rFonts w:ascii="宋体" w:hAnsi="宋体" w:cs="宋体" w:eastAsia="宋体" w:hint="default"/>
                <w:spacing w:val="22"/>
                <w:sz w:val="21"/>
                <w:szCs w:val="21"/>
              </w:rPr>
              <w:t> </w:t>
            </w:r>
            <w:r>
              <w:rPr>
                <w:rFonts w:ascii="宋体" w:hAnsi="宋体" w:cs="宋体" w:eastAsia="宋体" w:hint="default"/>
                <w:sz w:val="21"/>
                <w:szCs w:val="21"/>
              </w:rPr>
              <w:t>普</w:t>
            </w:r>
            <w:r>
              <w:rPr>
                <w:rFonts w:ascii="宋体" w:hAnsi="宋体" w:cs="宋体" w:eastAsia="宋体" w:hint="default"/>
                <w:sz w:val="21"/>
                <w:szCs w:val="21"/>
              </w:rPr>
              <w:t> 电力</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both"/>
              <w:rPr>
                <w:rFonts w:ascii="Times New Roman" w:hAnsi="Times New Roman" w:cs="Times New Roman" w:eastAsia="Times New Roman" w:hint="default"/>
                <w:sz w:val="21"/>
                <w:szCs w:val="21"/>
              </w:rPr>
            </w:pPr>
            <w:r>
              <w:rPr>
                <w:rFonts w:ascii="宋体" w:hAnsi="宋体" w:cs="宋体" w:eastAsia="宋体" w:hint="default"/>
                <w:spacing w:val="13"/>
                <w:sz w:val="21"/>
                <w:szCs w:val="21"/>
              </w:rPr>
              <w:t>苏州新区邓尉路</w:t>
            </w:r>
            <w:r>
              <w:rPr>
                <w:rFonts w:ascii="Times New Roman" w:hAnsi="Times New Roman" w:cs="Times New Roman" w:eastAsia="Times New Roman" w:hint="default"/>
                <w:spacing w:val="13"/>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41"/>
                <w:sz w:val="21"/>
                <w:szCs w:val="21"/>
              </w:rPr>
              <w:t>号润捷广场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幢 </w:t>
            </w:r>
            <w:r>
              <w:rPr>
                <w:rFonts w:ascii="Times New Roman" w:hAnsi="Times New Roman" w:cs="Times New Roman" w:eastAsia="Times New Roman" w:hint="default"/>
                <w:spacing w:val="-8"/>
                <w:sz w:val="21"/>
                <w:szCs w:val="21"/>
              </w:rPr>
              <w:t>1903</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1904</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1905</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532.68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租</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spacing w:val="-60"/>
                <w:sz w:val="21"/>
                <w:szCs w:val="21"/>
              </w:rPr>
              <w:t> </w:t>
            </w:r>
            <w:r>
              <w:rPr>
                <w:rFonts w:ascii="宋体" w:hAnsi="宋体" w:cs="宋体" w:eastAsia="宋体" w:hint="default"/>
                <w:sz w:val="21"/>
                <w:szCs w:val="21"/>
              </w:rPr>
              <w:t>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388,856.40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元。</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568"/>
        <w:gridCol w:w="1701"/>
        <w:gridCol w:w="568"/>
        <w:gridCol w:w="992"/>
        <w:gridCol w:w="1559"/>
        <w:gridCol w:w="1985"/>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1906</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北京自如生 活资产管理 </w:t>
            </w:r>
            <w:r>
              <w:rPr>
                <w:rFonts w:ascii="宋体" w:hAnsi="宋体" w:cs="宋体" w:eastAsia="宋体" w:hint="default"/>
                <w:sz w:val="21"/>
                <w:szCs w:val="21"/>
              </w:rPr>
              <w:t>有限公司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涵</w:t>
            </w:r>
            <w:r>
              <w:rPr>
                <w:rFonts w:ascii="宋体" w:hAnsi="宋体" w:cs="宋体" w:eastAsia="宋体" w:hint="default"/>
                <w:spacing w:val="22"/>
                <w:sz w:val="21"/>
                <w:szCs w:val="21"/>
              </w:rPr>
              <w:t> </w:t>
            </w:r>
            <w:r>
              <w:rPr>
                <w:rFonts w:ascii="宋体" w:hAnsi="宋体" w:cs="宋体" w:eastAsia="宋体" w:hint="default"/>
                <w:sz w:val="21"/>
                <w:szCs w:val="21"/>
              </w:rPr>
              <w:t>普</w:t>
            </w:r>
            <w:r>
              <w:rPr>
                <w:rFonts w:ascii="宋体" w:hAnsi="宋体" w:cs="宋体" w:eastAsia="宋体" w:hint="default"/>
                <w:sz w:val="21"/>
                <w:szCs w:val="21"/>
              </w:rPr>
              <w:t> 电力</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北京丰台区翠林二 里</w:t>
            </w:r>
            <w:r>
              <w:rPr>
                <w:rFonts w:ascii="Times New Roman" w:hAnsi="Times New Roman" w:cs="Times New Roman" w:eastAsia="Times New Roman" w:hint="default"/>
                <w:sz w:val="21"/>
                <w:szCs w:val="21"/>
              </w:rPr>
              <w:t>11</w:t>
            </w:r>
            <w:r>
              <w:rPr>
                <w:rFonts w:ascii="宋体" w:hAnsi="宋体" w:cs="宋体" w:eastAsia="宋体" w:hint="default"/>
                <w:sz w:val="21"/>
                <w:szCs w:val="21"/>
              </w:rPr>
              <w:t>号楼</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5</w:t>
            </w:r>
            <w:r>
              <w:rPr>
                <w:rFonts w:ascii="宋体" w:hAnsi="宋体" w:cs="宋体" w:eastAsia="宋体" w:hint="default"/>
                <w:sz w:val="21"/>
                <w:szCs w:val="21"/>
              </w:rPr>
              <w:t>层 </w:t>
            </w:r>
            <w:r>
              <w:rPr>
                <w:rFonts w:ascii="Times New Roman" w:hAnsi="Times New Roman" w:cs="Times New Roman" w:eastAsia="Times New Roman" w:hint="default"/>
                <w:sz w:val="21"/>
                <w:szCs w:val="21"/>
              </w:rPr>
              <w:t>501</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27"/>
              <w:jc w:val="righ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25</w:t>
            </w:r>
            <w:r>
              <w:rPr>
                <w:rFonts w:ascii="宋体" w:hAnsi="宋体" w:cs="宋体" w:eastAsia="宋体" w:hint="default"/>
                <w:spacing w:val="5"/>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5,730</w:t>
            </w:r>
            <w:r>
              <w:rPr>
                <w:rFonts w:ascii="宋体" w:hAnsi="宋体" w:cs="宋体" w:eastAsia="宋体" w:hint="default"/>
                <w:sz w:val="21"/>
                <w:szCs w:val="21"/>
              </w:rPr>
              <w:t>元。</w:t>
            </w:r>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应斌峰</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涵</w:t>
            </w:r>
            <w:r>
              <w:rPr>
                <w:rFonts w:ascii="宋体" w:hAnsi="宋体" w:cs="宋体" w:eastAsia="宋体" w:hint="default"/>
                <w:spacing w:val="22"/>
                <w:sz w:val="21"/>
                <w:szCs w:val="21"/>
              </w:rPr>
              <w:t> </w:t>
            </w:r>
            <w:r>
              <w:rPr>
                <w:rFonts w:ascii="宋体" w:hAnsi="宋体" w:cs="宋体" w:eastAsia="宋体" w:hint="default"/>
                <w:sz w:val="21"/>
                <w:szCs w:val="21"/>
              </w:rPr>
              <w:t>普</w:t>
            </w:r>
            <w:r>
              <w:rPr>
                <w:rFonts w:ascii="宋体" w:hAnsi="宋体" w:cs="宋体" w:eastAsia="宋体" w:hint="default"/>
                <w:sz w:val="21"/>
                <w:szCs w:val="21"/>
              </w:rPr>
              <w:t> 电力</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杭州余杭区同城印 象北区</w:t>
            </w:r>
            <w:r>
              <w:rPr>
                <w:rFonts w:ascii="Times New Roman" w:hAnsi="Times New Roman" w:cs="Times New Roman" w:eastAsia="Times New Roman" w:hint="default"/>
                <w:sz w:val="21"/>
                <w:szCs w:val="21"/>
              </w:rPr>
              <w:t>4-2-501</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27"/>
              <w:jc w:val="right"/>
              <w:rPr>
                <w:rFonts w:ascii="宋体" w:hAnsi="宋体" w:cs="宋体" w:eastAsia="宋体" w:hint="default"/>
                <w:sz w:val="21"/>
                <w:szCs w:val="21"/>
              </w:rPr>
            </w:pPr>
            <w:r>
              <w:rPr>
                <w:rFonts w:ascii="宋体" w:hAnsi="宋体" w:cs="宋体" w:eastAsia="宋体" w:hint="default"/>
                <w:sz w:val="21"/>
                <w:szCs w:val="21"/>
              </w:rPr>
              <w:t>住宿</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3,000</w:t>
            </w:r>
            <w:r>
              <w:rPr>
                <w:rFonts w:ascii="宋体" w:hAnsi="宋体" w:cs="宋体" w:eastAsia="宋体" w:hint="default"/>
                <w:sz w:val="21"/>
                <w:szCs w:val="21"/>
              </w:rPr>
              <w:t>元。</w:t>
            </w:r>
          </w:p>
        </w:tc>
      </w:tr>
      <w:tr>
        <w:trPr>
          <w:trHeight w:val="97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both"/>
              <w:rPr>
                <w:rFonts w:ascii="宋体" w:hAnsi="宋体" w:cs="宋体" w:eastAsia="宋体" w:hint="default"/>
                <w:sz w:val="21"/>
                <w:szCs w:val="21"/>
              </w:rPr>
            </w:pPr>
            <w:r>
              <w:rPr>
                <w:rFonts w:ascii="宋体" w:hAnsi="宋体" w:cs="宋体" w:eastAsia="宋体" w:hint="default"/>
                <w:spacing w:val="15"/>
                <w:sz w:val="21"/>
                <w:szCs w:val="21"/>
              </w:rPr>
              <w:t>北京自如生 活资产管理 </w:t>
            </w:r>
            <w:r>
              <w:rPr>
                <w:rFonts w:ascii="宋体" w:hAnsi="宋体" w:cs="宋体" w:eastAsia="宋体" w:hint="default"/>
                <w:sz w:val="21"/>
                <w:szCs w:val="21"/>
              </w:rPr>
              <w:t>有限公司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涵</w:t>
            </w:r>
            <w:r>
              <w:rPr>
                <w:rFonts w:ascii="宋体" w:hAnsi="宋体" w:cs="宋体" w:eastAsia="宋体" w:hint="default"/>
                <w:spacing w:val="22"/>
                <w:sz w:val="21"/>
                <w:szCs w:val="21"/>
              </w:rPr>
              <w:t> </w:t>
            </w:r>
            <w:r>
              <w:rPr>
                <w:rFonts w:ascii="宋体" w:hAnsi="宋体" w:cs="宋体" w:eastAsia="宋体" w:hint="default"/>
                <w:sz w:val="21"/>
                <w:szCs w:val="21"/>
              </w:rPr>
              <w:t>普</w:t>
            </w:r>
            <w:r>
              <w:rPr>
                <w:rFonts w:ascii="宋体" w:hAnsi="宋体" w:cs="宋体" w:eastAsia="宋体" w:hint="default"/>
                <w:sz w:val="21"/>
                <w:szCs w:val="21"/>
              </w:rPr>
              <w:t> 电力</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北京丰台区右外东 庄</w:t>
            </w:r>
            <w:r>
              <w:rPr>
                <w:rFonts w:ascii="Times New Roman" w:hAnsi="Times New Roman" w:cs="Times New Roman" w:eastAsia="Times New Roman" w:hint="default"/>
                <w:sz w:val="21"/>
                <w:szCs w:val="21"/>
              </w:rPr>
              <w:t>22</w:t>
            </w:r>
            <w:r>
              <w:rPr>
                <w:rFonts w:ascii="宋体" w:hAnsi="宋体" w:cs="宋体" w:eastAsia="宋体" w:hint="default"/>
                <w:sz w:val="21"/>
                <w:szCs w:val="21"/>
              </w:rPr>
              <w:t>号楼</w:t>
            </w:r>
            <w:r>
              <w:rPr>
                <w:rFonts w:ascii="Times New Roman" w:hAnsi="Times New Roman" w:cs="Times New Roman" w:eastAsia="Times New Roman" w:hint="default"/>
                <w:sz w:val="21"/>
                <w:szCs w:val="21"/>
              </w:rPr>
              <w:t>6</w:t>
            </w:r>
            <w:r>
              <w:rPr>
                <w:rFonts w:ascii="宋体" w:hAnsi="宋体" w:cs="宋体" w:eastAsia="宋体" w:hint="default"/>
                <w:sz w:val="21"/>
                <w:szCs w:val="21"/>
              </w:rPr>
              <w:t>单元</w:t>
            </w:r>
            <w:r>
              <w:rPr>
                <w:rFonts w:ascii="Times New Roman" w:hAnsi="Times New Roman" w:cs="Times New Roman" w:eastAsia="Times New Roman" w:hint="default"/>
                <w:sz w:val="21"/>
                <w:szCs w:val="21"/>
              </w:rPr>
              <w:t>6</w:t>
            </w:r>
            <w:r>
              <w:rPr>
                <w:rFonts w:ascii="宋体" w:hAnsi="宋体" w:cs="宋体" w:eastAsia="宋体" w:hint="default"/>
                <w:sz w:val="21"/>
                <w:szCs w:val="21"/>
              </w:rPr>
              <w:t>层 </w:t>
            </w:r>
            <w:r>
              <w:rPr>
                <w:rFonts w:ascii="Times New Roman" w:hAnsi="Times New Roman" w:cs="Times New Roman" w:eastAsia="Times New Roman" w:hint="default"/>
                <w:sz w:val="21"/>
                <w:szCs w:val="21"/>
              </w:rPr>
              <w:t>601</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27"/>
              <w:jc w:val="righ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5,060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李立</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涵</w:t>
            </w:r>
            <w:r>
              <w:rPr>
                <w:rFonts w:ascii="宋体" w:hAnsi="宋体" w:cs="宋体" w:eastAsia="宋体" w:hint="default"/>
                <w:spacing w:val="22"/>
                <w:sz w:val="21"/>
                <w:szCs w:val="21"/>
              </w:rPr>
              <w:t> </w:t>
            </w:r>
            <w:r>
              <w:rPr>
                <w:rFonts w:ascii="宋体" w:hAnsi="宋体" w:cs="宋体" w:eastAsia="宋体" w:hint="default"/>
                <w:sz w:val="21"/>
                <w:szCs w:val="21"/>
              </w:rPr>
              <w:t>普</w:t>
            </w:r>
            <w:r>
              <w:rPr>
                <w:rFonts w:ascii="宋体" w:hAnsi="宋体" w:cs="宋体" w:eastAsia="宋体" w:hint="default"/>
                <w:sz w:val="21"/>
                <w:szCs w:val="21"/>
              </w:rPr>
              <w:t> 电力</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5"/>
              <w:jc w:val="both"/>
              <w:rPr>
                <w:rFonts w:ascii="宋体" w:hAnsi="宋体" w:cs="宋体" w:eastAsia="宋体" w:hint="default"/>
                <w:sz w:val="21"/>
                <w:szCs w:val="21"/>
              </w:rPr>
            </w:pPr>
            <w:r>
              <w:rPr>
                <w:rFonts w:ascii="宋体" w:hAnsi="宋体" w:cs="宋体" w:eastAsia="宋体" w:hint="default"/>
                <w:sz w:val="21"/>
                <w:szCs w:val="21"/>
              </w:rPr>
              <w:t>西安市碑林区大学 </w:t>
            </w:r>
            <w:r>
              <w:rPr>
                <w:rFonts w:ascii="宋体" w:hAnsi="宋体" w:cs="宋体" w:eastAsia="宋体" w:hint="default"/>
                <w:spacing w:val="15"/>
                <w:sz w:val="21"/>
                <w:szCs w:val="21"/>
              </w:rPr>
              <w:t>南路边西街</w:t>
            </w:r>
            <w:r>
              <w:rPr>
                <w:rFonts w:ascii="Times New Roman" w:hAnsi="Times New Roman" w:cs="Times New Roman" w:eastAsia="Times New Roman" w:hint="default"/>
                <w:spacing w:val="15"/>
                <w:sz w:val="21"/>
                <w:szCs w:val="21"/>
              </w:rPr>
              <w:t>2</w:t>
            </w:r>
            <w:r>
              <w:rPr>
                <w:rFonts w:ascii="宋体" w:hAnsi="宋体" w:cs="宋体" w:eastAsia="宋体" w:hint="default"/>
                <w:spacing w:val="15"/>
                <w:sz w:val="21"/>
                <w:szCs w:val="21"/>
              </w:rPr>
              <w:t>号黄 </w:t>
            </w:r>
            <w:r>
              <w:rPr>
                <w:rFonts w:ascii="宋体" w:hAnsi="宋体" w:cs="宋体" w:eastAsia="宋体" w:hint="default"/>
                <w:sz w:val="21"/>
                <w:szCs w:val="21"/>
              </w:rPr>
              <w:t>金屋</w:t>
            </w:r>
            <w:r>
              <w:rPr>
                <w:rFonts w:ascii="Times New Roman" w:hAnsi="Times New Roman" w:cs="Times New Roman" w:eastAsia="Times New Roman" w:hint="default"/>
                <w:sz w:val="21"/>
                <w:szCs w:val="21"/>
              </w:rPr>
              <w:t>2310</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27"/>
              <w:jc w:val="righ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2,400</w:t>
            </w:r>
            <w:r>
              <w:rPr>
                <w:rFonts w:ascii="宋体" w:hAnsi="宋体" w:cs="宋体" w:eastAsia="宋体" w:hint="default"/>
                <w:sz w:val="21"/>
                <w:szCs w:val="21"/>
              </w:rPr>
              <w:t>元。</w:t>
            </w:r>
          </w:p>
        </w:tc>
      </w:tr>
      <w:tr>
        <w:trPr>
          <w:trHeight w:val="190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涵普电力</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22"/>
                <w:sz w:val="21"/>
                <w:szCs w:val="21"/>
              </w:rPr>
              <w:t> </w:t>
            </w:r>
            <w:r>
              <w:rPr>
                <w:rFonts w:ascii="宋体" w:hAnsi="宋体" w:cs="宋体" w:eastAsia="宋体" w:hint="default"/>
                <w:sz w:val="21"/>
                <w:szCs w:val="21"/>
              </w:rPr>
              <w:t>州</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22"/>
                <w:sz w:val="21"/>
                <w:szCs w:val="21"/>
              </w:rPr>
              <w:t> </w:t>
            </w:r>
            <w:r>
              <w:rPr>
                <w:rFonts w:ascii="宋体" w:hAnsi="宋体" w:cs="宋体" w:eastAsia="宋体" w:hint="default"/>
                <w:sz w:val="21"/>
                <w:szCs w:val="21"/>
              </w:rPr>
              <w:t>桐</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22"/>
                <w:sz w:val="21"/>
                <w:szCs w:val="21"/>
              </w:rPr>
              <w:t> </w:t>
            </w:r>
            <w:r>
              <w:rPr>
                <w:rFonts w:ascii="宋体" w:hAnsi="宋体" w:cs="宋体" w:eastAsia="宋体" w:hint="default"/>
                <w:sz w:val="21"/>
                <w:szCs w:val="21"/>
              </w:rPr>
              <w:t>务</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咨</w:t>
            </w:r>
            <w:r>
              <w:rPr>
                <w:rFonts w:ascii="宋体" w:hAnsi="宋体" w:cs="宋体" w:eastAsia="宋体" w:hint="default"/>
                <w:spacing w:val="22"/>
                <w:sz w:val="21"/>
                <w:szCs w:val="21"/>
              </w:rPr>
              <w:t> </w:t>
            </w:r>
            <w:r>
              <w:rPr>
                <w:rFonts w:ascii="宋体" w:hAnsi="宋体" w:cs="宋体" w:eastAsia="宋体" w:hint="default"/>
                <w:sz w:val="21"/>
                <w:szCs w:val="21"/>
              </w:rPr>
              <w:t>询</w:t>
            </w:r>
          </w:p>
          <w:p>
            <w:pPr>
              <w:pStyle w:val="TableParagraph"/>
              <w:spacing w:line="273"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22"/>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杭州西湖区文三路 </w:t>
            </w:r>
            <w:r>
              <w:rPr>
                <w:rFonts w:ascii="Times New Roman" w:hAnsi="Times New Roman" w:cs="Times New Roman" w:eastAsia="Times New Roman" w:hint="default"/>
                <w:spacing w:val="10"/>
                <w:sz w:val="21"/>
                <w:szCs w:val="21"/>
              </w:rPr>
              <w:t>252</w:t>
            </w:r>
            <w:r>
              <w:rPr>
                <w:rFonts w:ascii="宋体" w:hAnsi="宋体" w:cs="宋体" w:eastAsia="宋体" w:hint="default"/>
                <w:spacing w:val="10"/>
                <w:sz w:val="21"/>
                <w:szCs w:val="21"/>
              </w:rPr>
              <w:t>号伟星大厦</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B</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27"/>
              <w:jc w:val="righ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130.21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18</w:t>
            </w:r>
            <w:r>
              <w:rPr>
                <w:rFonts w:ascii="宋体" w:hAnsi="宋体" w:cs="宋体" w:eastAsia="宋体" w:hint="default"/>
                <w:spacing w:val="5"/>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98,280</w:t>
            </w:r>
            <w:r>
              <w:rPr>
                <w:rFonts w:ascii="宋体" w:hAnsi="宋体" w:cs="宋体" w:eastAsia="宋体" w:hint="default"/>
                <w:sz w:val="21"/>
                <w:szCs w:val="21"/>
              </w:rPr>
              <w:t>元。</w:t>
            </w:r>
          </w:p>
        </w:tc>
      </w:tr>
      <w:tr>
        <w:trPr>
          <w:trHeight w:val="253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涵普电力</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22"/>
                <w:sz w:val="21"/>
                <w:szCs w:val="21"/>
              </w:rPr>
              <w:t> </w:t>
            </w:r>
            <w:r>
              <w:rPr>
                <w:rFonts w:ascii="宋体" w:hAnsi="宋体" w:cs="宋体" w:eastAsia="宋体" w:hint="default"/>
                <w:sz w:val="21"/>
                <w:szCs w:val="21"/>
              </w:rPr>
              <w:t>江</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舟</w:t>
            </w:r>
            <w:r>
              <w:rPr>
                <w:rFonts w:ascii="宋体" w:hAnsi="宋体" w:cs="宋体" w:eastAsia="宋体" w:hint="default"/>
                <w:spacing w:val="22"/>
                <w:sz w:val="21"/>
                <w:szCs w:val="21"/>
              </w:rPr>
              <w:t> </w:t>
            </w:r>
            <w:r>
              <w:rPr>
                <w:rFonts w:ascii="宋体" w:hAnsi="宋体" w:cs="宋体" w:eastAsia="宋体" w:hint="default"/>
                <w:sz w:val="21"/>
                <w:szCs w:val="21"/>
              </w:rPr>
              <w:t>山</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颐</w:t>
            </w:r>
            <w:r>
              <w:rPr>
                <w:rFonts w:ascii="宋体" w:hAnsi="宋体" w:cs="宋体" w:eastAsia="宋体" w:hint="default"/>
                <w:spacing w:val="22"/>
                <w:sz w:val="21"/>
                <w:szCs w:val="21"/>
              </w:rPr>
              <w:t> </w:t>
            </w:r>
            <w:r>
              <w:rPr>
                <w:rFonts w:ascii="宋体" w:hAnsi="宋体" w:cs="宋体" w:eastAsia="宋体" w:hint="default"/>
                <w:sz w:val="21"/>
                <w:szCs w:val="21"/>
              </w:rPr>
              <w:t>生</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堂</w:t>
            </w:r>
            <w:r>
              <w:rPr>
                <w:rFonts w:ascii="宋体" w:hAnsi="宋体" w:cs="宋体" w:eastAsia="宋体" w:hint="default"/>
                <w:spacing w:val="22"/>
                <w:sz w:val="21"/>
                <w:szCs w:val="21"/>
              </w:rPr>
              <w:t> </w:t>
            </w:r>
            <w:r>
              <w:rPr>
                <w:rFonts w:ascii="宋体" w:hAnsi="宋体" w:cs="宋体" w:eastAsia="宋体" w:hint="default"/>
                <w:sz w:val="21"/>
                <w:szCs w:val="21"/>
              </w:rPr>
              <w:t>农</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22"/>
                <w:sz w:val="21"/>
                <w:szCs w:val="21"/>
              </w:rPr>
              <w:t> </w:t>
            </w:r>
            <w:r>
              <w:rPr>
                <w:rFonts w:ascii="宋体" w:hAnsi="宋体" w:cs="宋体" w:eastAsia="宋体" w:hint="default"/>
                <w:sz w:val="21"/>
                <w:szCs w:val="21"/>
              </w:rPr>
              <w:t>科</w:t>
            </w:r>
          </w:p>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22"/>
                <w:sz w:val="21"/>
                <w:szCs w:val="21"/>
              </w:rPr>
              <w:t> </w:t>
            </w:r>
            <w:r>
              <w:rPr>
                <w:rFonts w:ascii="宋体" w:hAnsi="宋体" w:cs="宋体" w:eastAsia="宋体" w:hint="default"/>
                <w:sz w:val="21"/>
                <w:szCs w:val="21"/>
              </w:rPr>
              <w:t>有</w:t>
            </w:r>
          </w:p>
          <w:p>
            <w:pPr>
              <w:pStyle w:val="TableParagraph"/>
              <w:spacing w:line="273"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22"/>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杭州西湖区文三路 </w:t>
            </w:r>
            <w:r>
              <w:rPr>
                <w:rFonts w:ascii="Times New Roman" w:hAnsi="Times New Roman" w:cs="Times New Roman" w:eastAsia="Times New Roman" w:hint="default"/>
                <w:spacing w:val="10"/>
                <w:sz w:val="21"/>
                <w:szCs w:val="21"/>
              </w:rPr>
              <w:t>252</w:t>
            </w:r>
            <w:r>
              <w:rPr>
                <w:rFonts w:ascii="宋体" w:hAnsi="宋体" w:cs="宋体" w:eastAsia="宋体" w:hint="default"/>
                <w:spacing w:val="10"/>
                <w:sz w:val="21"/>
                <w:szCs w:val="21"/>
              </w:rPr>
              <w:t>号伟星大厦</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C/D</w:t>
            </w:r>
            <w:r>
              <w:rPr>
                <w:rFonts w:ascii="宋体" w:hAnsi="宋体" w:cs="宋体" w:eastAsia="宋体" w:hint="default"/>
                <w:sz w:val="21"/>
                <w:szCs w:val="21"/>
              </w:rPr>
              <w:t>室</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27"/>
              <w:jc w:val="right"/>
              <w:rPr>
                <w:rFonts w:ascii="宋体" w:hAnsi="宋体" w:cs="宋体" w:eastAsia="宋体" w:hint="default"/>
                <w:sz w:val="21"/>
                <w:szCs w:val="21"/>
              </w:rPr>
            </w:pPr>
            <w:r>
              <w:rPr>
                <w:rFonts w:ascii="宋体" w:hAnsi="宋体" w:cs="宋体" w:eastAsia="宋体" w:hint="default"/>
                <w:sz w:val="21"/>
                <w:szCs w:val="21"/>
              </w:rPr>
              <w:t>办公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18</w:t>
            </w:r>
            <w:r>
              <w:rPr>
                <w:rFonts w:ascii="宋体" w:hAnsi="宋体" w:cs="宋体" w:eastAsia="宋体" w:hint="default"/>
                <w:spacing w:val="5"/>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240,000</w:t>
            </w:r>
            <w:r>
              <w:rPr>
                <w:rFonts w:ascii="宋体" w:hAnsi="宋体" w:cs="宋体" w:eastAsia="宋体" w:hint="default"/>
                <w:sz w:val="21"/>
                <w:szCs w:val="21"/>
              </w:rPr>
              <w:t>元。</w:t>
            </w:r>
          </w:p>
        </w:tc>
      </w:tr>
      <w:tr>
        <w:trPr>
          <w:trHeight w:val="1283"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3"/>
              <w:jc w:val="left"/>
              <w:rPr>
                <w:rFonts w:ascii="宋体" w:hAnsi="宋体" w:cs="宋体" w:eastAsia="宋体" w:hint="default"/>
                <w:sz w:val="21"/>
                <w:szCs w:val="21"/>
              </w:rPr>
            </w:pPr>
            <w:r>
              <w:rPr>
                <w:rFonts w:ascii="宋体" w:hAnsi="宋体" w:cs="宋体" w:eastAsia="宋体" w:hint="default"/>
                <w:spacing w:val="15"/>
                <w:sz w:val="21"/>
                <w:szCs w:val="21"/>
              </w:rPr>
              <w:t>合肥星波电 </w:t>
            </w:r>
            <w:r>
              <w:rPr>
                <w:rFonts w:ascii="宋体" w:hAnsi="宋体" w:cs="宋体" w:eastAsia="宋体" w:hint="default"/>
                <w:sz w:val="21"/>
                <w:szCs w:val="21"/>
              </w:rPr>
              <w:t>子有限公司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星</w:t>
            </w:r>
            <w:r>
              <w:rPr>
                <w:rFonts w:ascii="宋体" w:hAnsi="宋体" w:cs="宋体" w:eastAsia="宋体" w:hint="default"/>
                <w:spacing w:val="22"/>
                <w:sz w:val="21"/>
                <w:szCs w:val="21"/>
              </w:rPr>
              <w:t> </w:t>
            </w:r>
            <w:r>
              <w:rPr>
                <w:rFonts w:ascii="宋体" w:hAnsi="宋体" w:cs="宋体" w:eastAsia="宋体" w:hint="default"/>
                <w:sz w:val="21"/>
                <w:szCs w:val="21"/>
              </w:rPr>
              <w:t>波</w:t>
            </w:r>
            <w:r>
              <w:rPr>
                <w:rFonts w:ascii="宋体" w:hAnsi="宋体" w:cs="宋体" w:eastAsia="宋体" w:hint="default"/>
                <w:sz w:val="21"/>
                <w:szCs w:val="21"/>
              </w:rPr>
              <w:t> 通信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安徽省合肥市高新 区梦园路</w:t>
            </w: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7"/>
              <w:jc w:val="left"/>
              <w:rPr>
                <w:rFonts w:ascii="宋体" w:hAnsi="宋体" w:cs="宋体" w:eastAsia="宋体" w:hint="default"/>
                <w:sz w:val="21"/>
                <w:szCs w:val="21"/>
              </w:rPr>
            </w:pPr>
            <w:r>
              <w:rPr>
                <w:rFonts w:ascii="宋体" w:hAnsi="宋体" w:cs="宋体" w:eastAsia="宋体" w:hint="default"/>
                <w:spacing w:val="-22"/>
                <w:sz w:val="21"/>
                <w:szCs w:val="21"/>
              </w:rPr>
              <w:t>科研、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w:t>
            </w:r>
            <w:r>
              <w:rPr>
                <w:rFonts w:ascii="宋体" w:hAnsi="宋体" w:cs="宋体" w:eastAsia="宋体" w:hint="default"/>
                <w:spacing w:val="22"/>
                <w:sz w:val="21"/>
                <w:szCs w:val="21"/>
              </w:rPr>
              <w:t> </w:t>
            </w:r>
            <w:r>
              <w:rPr>
                <w:rFonts w:ascii="宋体" w:hAnsi="宋体" w:cs="宋体" w:eastAsia="宋体" w:hint="default"/>
                <w:sz w:val="21"/>
                <w:szCs w:val="21"/>
              </w:rPr>
              <w:t>产</w:t>
            </w:r>
          </w:p>
          <w:p>
            <w:pPr>
              <w:pStyle w:val="TableParagraph"/>
              <w:spacing w:line="273" w:lineRule="auto" w:before="7"/>
              <w:ind w:left="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22"/>
                <w:sz w:val="21"/>
                <w:szCs w:val="21"/>
              </w:rPr>
              <w:t> </w:t>
            </w:r>
            <w:r>
              <w:rPr>
                <w:rFonts w:ascii="宋体" w:hAnsi="宋体" w:cs="宋体" w:eastAsia="宋体" w:hint="default"/>
                <w:sz w:val="21"/>
                <w:szCs w:val="21"/>
              </w:rPr>
              <w:t>办</w:t>
            </w:r>
            <w:r>
              <w:rPr>
                <w:rFonts w:ascii="宋体" w:hAnsi="宋体" w:cs="宋体" w:eastAsia="宋体" w:hint="default"/>
                <w:sz w:val="21"/>
                <w:szCs w:val="21"/>
              </w:rPr>
              <w:t> 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4316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60,000</w:t>
            </w:r>
            <w:r>
              <w:rPr>
                <w:rFonts w:ascii="宋体" w:hAnsi="宋体" w:cs="宋体" w:eastAsia="宋体" w:hint="default"/>
                <w:sz w:val="21"/>
                <w:szCs w:val="21"/>
              </w:rPr>
              <w:t>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44" w:right="0"/>
              <w:jc w:val="left"/>
              <w:rPr>
                <w:rFonts w:ascii="宋体" w:hAnsi="宋体" w:cs="宋体" w:eastAsia="宋体" w:hint="default"/>
                <w:sz w:val="21"/>
                <w:szCs w:val="21"/>
              </w:rPr>
            </w:pPr>
            <w:r>
              <w:rPr>
                <w:rFonts w:ascii="宋体" w:hAnsi="宋体" w:cs="宋体" w:eastAsia="宋体" w:hint="default"/>
                <w:sz w:val="21"/>
                <w:szCs w:val="21"/>
              </w:rPr>
              <w:t>周树林</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银川 卧龙</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22" w:right="53"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唐徕花园</w:t>
            </w:r>
            <w:r>
              <w:rPr>
                <w:rFonts w:ascii="Times New Roman" w:hAnsi="Times New Roman" w:cs="Times New Roman" w:eastAsia="Times New Roman" w:hint="default"/>
                <w:sz w:val="21"/>
                <w:szCs w:val="21"/>
              </w:rPr>
              <w:t>15</w:t>
            </w:r>
            <w:r>
              <w:rPr>
                <w:rFonts w:ascii="宋体" w:hAnsi="宋体" w:cs="宋体" w:eastAsia="宋体" w:hint="default"/>
                <w:sz w:val="21"/>
                <w:szCs w:val="21"/>
              </w:rPr>
              <w:t>号楼</w:t>
            </w:r>
            <w:r>
              <w:rPr>
                <w:rFonts w:ascii="Times New Roman" w:hAnsi="Times New Roman" w:cs="Times New Roman" w:eastAsia="Times New Roman" w:hint="default"/>
                <w:sz w:val="21"/>
                <w:szCs w:val="21"/>
              </w:rPr>
              <w:t>3 </w:t>
            </w:r>
            <w:r>
              <w:rPr>
                <w:rFonts w:ascii="宋体" w:hAnsi="宋体" w:cs="宋体" w:eastAsia="宋体" w:hint="default"/>
                <w:sz w:val="21"/>
                <w:szCs w:val="21"/>
              </w:rPr>
              <w:t>单元</w:t>
            </w:r>
            <w:r>
              <w:rPr>
                <w:rFonts w:ascii="Times New Roman" w:hAnsi="Times New Roman" w:cs="Times New Roman" w:eastAsia="Times New Roman" w:hint="default"/>
                <w:sz w:val="21"/>
                <w:szCs w:val="21"/>
              </w:rPr>
              <w:t>1202</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5"/>
              <w:jc w:val="righ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99" w:right="0"/>
              <w:jc w:val="left"/>
              <w:rPr>
                <w:rFonts w:ascii="Times New Roman" w:hAnsi="Times New Roman" w:cs="Times New Roman" w:eastAsia="Times New Roman" w:hint="default"/>
                <w:sz w:val="21"/>
                <w:szCs w:val="21"/>
              </w:rPr>
            </w:pPr>
            <w:r>
              <w:rPr>
                <w:rFonts w:ascii="Times New Roman"/>
                <w:sz w:val="21"/>
              </w:rPr>
              <w:t>116.81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97"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3</w:t>
            </w:r>
            <w:r>
              <w:rPr>
                <w:rFonts w:ascii="宋体" w:hAnsi="宋体" w:cs="宋体" w:eastAsia="宋体" w:hint="default"/>
                <w:sz w:val="21"/>
                <w:szCs w:val="21"/>
              </w:rPr>
              <w:t>万元。</w:t>
            </w:r>
          </w:p>
        </w:tc>
      </w:tr>
      <w:tr>
        <w:trPr>
          <w:trHeight w:val="97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 w:right="32"/>
              <w:jc w:val="left"/>
              <w:rPr>
                <w:rFonts w:ascii="宋体" w:hAnsi="宋体" w:cs="宋体" w:eastAsia="宋体" w:hint="default"/>
                <w:sz w:val="21"/>
                <w:szCs w:val="21"/>
              </w:rPr>
            </w:pPr>
            <w:r>
              <w:rPr>
                <w:rFonts w:ascii="宋体" w:hAnsi="宋体" w:cs="宋体" w:eastAsia="宋体" w:hint="default"/>
                <w:sz w:val="21"/>
                <w:szCs w:val="21"/>
              </w:rPr>
              <w:t>宁夏众一物 流有限公司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银川 卧龙</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22" w:right="53" w:hanging="368"/>
              <w:jc w:val="left"/>
              <w:rPr>
                <w:rFonts w:ascii="宋体" w:hAnsi="宋体" w:cs="宋体" w:eastAsia="宋体" w:hint="default"/>
                <w:sz w:val="21"/>
                <w:szCs w:val="21"/>
              </w:rPr>
            </w:pPr>
            <w:r>
              <w:rPr>
                <w:rFonts w:ascii="宋体" w:hAnsi="宋体" w:cs="宋体" w:eastAsia="宋体" w:hint="default"/>
                <w:sz w:val="21"/>
                <w:szCs w:val="21"/>
              </w:rPr>
              <w:t>宁夏众一物流园</w:t>
            </w:r>
            <w:r>
              <w:rPr>
                <w:rFonts w:ascii="Times New Roman" w:hAnsi="Times New Roman" w:cs="Times New Roman" w:eastAsia="Times New Roman" w:hint="default"/>
                <w:sz w:val="21"/>
                <w:szCs w:val="21"/>
              </w:rPr>
              <w:t>4 </w:t>
            </w:r>
            <w:r>
              <w:rPr>
                <w:rFonts w:ascii="宋体" w:hAnsi="宋体" w:cs="宋体" w:eastAsia="宋体" w:hint="default"/>
                <w:sz w:val="21"/>
                <w:szCs w:val="21"/>
              </w:rPr>
              <w:t>号楼二楼</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5"/>
              <w:jc w:val="right"/>
              <w:rPr>
                <w:rFonts w:ascii="宋体" w:hAnsi="宋体" w:cs="宋体" w:eastAsia="宋体" w:hint="default"/>
                <w:sz w:val="21"/>
                <w:szCs w:val="21"/>
              </w:rPr>
            </w:pPr>
            <w:r>
              <w:rPr>
                <w:rFonts w:ascii="宋体" w:hAnsi="宋体" w:cs="宋体" w:eastAsia="宋体" w:hint="default"/>
                <w:sz w:val="21"/>
                <w:szCs w:val="21"/>
              </w:rPr>
              <w:t>居住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18"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4.5</w:t>
            </w:r>
            <w:r>
              <w:rPr>
                <w:rFonts w:ascii="宋体" w:hAnsi="宋体" w:cs="宋体" w:eastAsia="宋体" w:hint="default"/>
                <w:sz w:val="21"/>
                <w:szCs w:val="21"/>
              </w:rPr>
              <w:t>万元。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7"/>
              <w:jc w:val="right"/>
              <w:rPr>
                <w:rFonts w:ascii="宋体" w:hAnsi="宋体" w:cs="宋体" w:eastAsia="宋体" w:hint="default"/>
                <w:sz w:val="21"/>
                <w:szCs w:val="21"/>
              </w:rPr>
            </w:pPr>
            <w:r>
              <w:rPr>
                <w:rFonts w:ascii="宋体" w:hAnsi="宋体" w:cs="宋体" w:eastAsia="宋体" w:hint="default"/>
                <w:sz w:val="21"/>
                <w:szCs w:val="21"/>
              </w:rPr>
              <w:t>银川卧龙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1" w:right="65" w:hanging="105"/>
              <w:jc w:val="left"/>
              <w:rPr>
                <w:rFonts w:ascii="宋体" w:hAnsi="宋体" w:cs="宋体" w:eastAsia="宋体" w:hint="default"/>
                <w:sz w:val="21"/>
                <w:szCs w:val="21"/>
              </w:rPr>
            </w:pPr>
            <w:r>
              <w:rPr>
                <w:rFonts w:ascii="宋体" w:hAnsi="宋体" w:cs="宋体" w:eastAsia="宋体" w:hint="default"/>
                <w:sz w:val="21"/>
                <w:szCs w:val="21"/>
              </w:rPr>
              <w:t>李晓 芳</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3"/>
              <w:jc w:val="center"/>
              <w:rPr>
                <w:rFonts w:ascii="宋体" w:hAnsi="宋体" w:cs="宋体" w:eastAsia="宋体" w:hint="default"/>
                <w:sz w:val="21"/>
                <w:szCs w:val="21"/>
              </w:rPr>
            </w:pPr>
            <w:r>
              <w:rPr>
                <w:rFonts w:ascii="宋体" w:hAnsi="宋体" w:cs="宋体" w:eastAsia="宋体" w:hint="default"/>
                <w:sz w:val="21"/>
                <w:szCs w:val="21"/>
              </w:rPr>
              <w:t>银川市兴庆区凤凰 北街北安小区</w:t>
            </w:r>
            <w:r>
              <w:rPr>
                <w:rFonts w:ascii="Times New Roman" w:hAnsi="Times New Roman" w:cs="Times New Roman" w:eastAsia="Times New Roman" w:hint="default"/>
                <w:sz w:val="21"/>
                <w:szCs w:val="21"/>
              </w:rPr>
              <w:t>6</w:t>
            </w:r>
            <w:r>
              <w:rPr>
                <w:rFonts w:ascii="宋体" w:hAnsi="宋体" w:cs="宋体" w:eastAsia="宋体" w:hint="default"/>
                <w:sz w:val="21"/>
                <w:szCs w:val="21"/>
              </w:rPr>
              <w:t>号 楼</w:t>
            </w:r>
            <w:r>
              <w:rPr>
                <w:rFonts w:ascii="Times New Roman" w:hAnsi="Times New Roman" w:cs="Times New Roman" w:eastAsia="Times New Roman" w:hint="default"/>
                <w:sz w:val="21"/>
                <w:szCs w:val="21"/>
              </w:rPr>
              <w:t>10</w:t>
            </w:r>
            <w:r>
              <w:rPr>
                <w:rFonts w:ascii="宋体" w:hAnsi="宋体" w:cs="宋体" w:eastAsia="宋体" w:hint="default"/>
                <w:sz w:val="21"/>
                <w:szCs w:val="21"/>
              </w:rPr>
              <w:t>营业房</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65"/>
              <w:jc w:val="right"/>
              <w:rPr>
                <w:rFonts w:ascii="宋体" w:hAnsi="宋体" w:cs="宋体" w:eastAsia="宋体" w:hint="default"/>
                <w:sz w:val="21"/>
                <w:szCs w:val="21"/>
              </w:rPr>
            </w:pPr>
            <w:r>
              <w:rPr>
                <w:rFonts w:ascii="宋体" w:hAnsi="宋体" w:cs="宋体" w:eastAsia="宋体" w:hint="default"/>
                <w:sz w:val="21"/>
                <w:szCs w:val="21"/>
              </w:rPr>
              <w:t>营业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p>
            <w:pPr>
              <w:pStyle w:val="TableParagraph"/>
              <w:spacing w:line="240" w:lineRule="auto" w:before="2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75" w:right="0"/>
              <w:jc w:val="left"/>
              <w:rPr>
                <w:rFonts w:ascii="宋体" w:hAnsi="宋体" w:cs="宋体" w:eastAsia="宋体" w:hint="default"/>
                <w:sz w:val="21"/>
                <w:szCs w:val="21"/>
              </w:rPr>
            </w:pPr>
            <w:r>
              <w:rPr>
                <w:rFonts w:ascii="宋体" w:hAnsi="宋体" w:cs="宋体" w:eastAsia="宋体" w:hint="default"/>
                <w:sz w:val="21"/>
                <w:szCs w:val="21"/>
              </w:rPr>
              <w:t>年租</w:t>
            </w:r>
            <w:r>
              <w:rPr>
                <w:rFonts w:ascii="Times New Roman" w:hAnsi="Times New Roman" w:cs="Times New Roman" w:eastAsia="Times New Roman" w:hint="default"/>
                <w:sz w:val="21"/>
                <w:szCs w:val="21"/>
              </w:rPr>
              <w:t>1.44</w:t>
            </w:r>
            <w:r>
              <w:rPr>
                <w:rFonts w:ascii="宋体" w:hAnsi="宋体" w:cs="宋体" w:eastAsia="宋体" w:hint="default"/>
                <w:sz w:val="21"/>
                <w:szCs w:val="21"/>
              </w:rPr>
              <w:t>万元。</w:t>
            </w:r>
          </w:p>
        </w:tc>
      </w:tr>
      <w:tr>
        <w:trPr>
          <w:trHeight w:val="97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7"/>
              <w:jc w:val="right"/>
              <w:rPr>
                <w:rFonts w:ascii="宋体" w:hAnsi="宋体" w:cs="宋体" w:eastAsia="宋体" w:hint="default"/>
                <w:sz w:val="21"/>
                <w:szCs w:val="21"/>
              </w:rPr>
            </w:pPr>
            <w:r>
              <w:rPr>
                <w:rFonts w:ascii="宋体" w:hAnsi="宋体" w:cs="宋体" w:eastAsia="宋体" w:hint="default"/>
                <w:sz w:val="21"/>
                <w:szCs w:val="21"/>
              </w:rPr>
              <w:t>银川卧龙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1" w:right="65" w:hanging="105"/>
              <w:jc w:val="left"/>
              <w:rPr>
                <w:rFonts w:ascii="宋体" w:hAnsi="宋体" w:cs="宋体" w:eastAsia="宋体" w:hint="default"/>
                <w:sz w:val="21"/>
                <w:szCs w:val="21"/>
              </w:rPr>
            </w:pPr>
            <w:r>
              <w:rPr>
                <w:rFonts w:ascii="宋体" w:hAnsi="宋体" w:cs="宋体" w:eastAsia="宋体" w:hint="default"/>
                <w:sz w:val="21"/>
                <w:szCs w:val="21"/>
              </w:rPr>
              <w:t>李永 华</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3"/>
              <w:jc w:val="center"/>
              <w:rPr>
                <w:rFonts w:ascii="宋体" w:hAnsi="宋体" w:cs="宋体" w:eastAsia="宋体" w:hint="default"/>
                <w:sz w:val="21"/>
                <w:szCs w:val="21"/>
              </w:rPr>
            </w:pPr>
            <w:r>
              <w:rPr>
                <w:rFonts w:ascii="宋体" w:hAnsi="宋体" w:cs="宋体" w:eastAsia="宋体" w:hint="default"/>
                <w:sz w:val="21"/>
                <w:szCs w:val="21"/>
              </w:rPr>
              <w:t>银川市兴庆区清河 北街</w:t>
            </w:r>
            <w:r>
              <w:rPr>
                <w:rFonts w:ascii="Times New Roman" w:hAnsi="Times New Roman" w:cs="Times New Roman" w:eastAsia="Times New Roman" w:hint="default"/>
                <w:sz w:val="21"/>
                <w:szCs w:val="21"/>
              </w:rPr>
              <w:t>12</w:t>
            </w:r>
            <w:r>
              <w:rPr>
                <w:rFonts w:ascii="宋体" w:hAnsi="宋体" w:cs="宋体" w:eastAsia="宋体" w:hint="default"/>
                <w:sz w:val="21"/>
                <w:szCs w:val="21"/>
              </w:rPr>
              <w:t>号一层营业 房屋</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5"/>
              <w:jc w:val="right"/>
              <w:rPr>
                <w:rFonts w:ascii="宋体" w:hAnsi="宋体" w:cs="宋体" w:eastAsia="宋体" w:hint="default"/>
                <w:sz w:val="21"/>
                <w:szCs w:val="21"/>
              </w:rPr>
            </w:pPr>
            <w:r>
              <w:rPr>
                <w:rFonts w:ascii="宋体" w:hAnsi="宋体" w:cs="宋体" w:eastAsia="宋体" w:hint="default"/>
                <w:sz w:val="21"/>
                <w:szCs w:val="21"/>
              </w:rPr>
              <w:t>营业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p>
          <w:p>
            <w:pPr>
              <w:pStyle w:val="TableParagraph"/>
              <w:spacing w:line="240" w:lineRule="auto" w:before="21"/>
              <w:ind w:left="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49"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18</w:t>
            </w:r>
            <w:r>
              <w:rPr>
                <w:rFonts w:ascii="宋体" w:hAnsi="宋体" w:cs="宋体" w:eastAsia="宋体" w:hint="default"/>
                <w:sz w:val="21"/>
                <w:szCs w:val="21"/>
              </w:rPr>
              <w:t>万元。</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7"/>
              <w:jc w:val="right"/>
              <w:rPr>
                <w:rFonts w:ascii="宋体" w:hAnsi="宋体" w:cs="宋体" w:eastAsia="宋体" w:hint="default"/>
                <w:sz w:val="21"/>
                <w:szCs w:val="21"/>
              </w:rPr>
            </w:pPr>
            <w:r>
              <w:rPr>
                <w:rFonts w:ascii="宋体" w:hAnsi="宋体" w:cs="宋体" w:eastAsia="宋体" w:hint="default"/>
                <w:sz w:val="21"/>
                <w:szCs w:val="21"/>
              </w:rPr>
              <w:t>银川卧龙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 w:right="0"/>
              <w:jc w:val="left"/>
              <w:rPr>
                <w:rFonts w:ascii="宋体" w:hAnsi="宋体" w:cs="宋体" w:eastAsia="宋体" w:hint="default"/>
                <w:sz w:val="21"/>
                <w:szCs w:val="21"/>
              </w:rPr>
            </w:pPr>
            <w:r>
              <w:rPr>
                <w:rFonts w:ascii="宋体" w:hAnsi="宋体" w:cs="宋体" w:eastAsia="宋体" w:hint="default"/>
                <w:sz w:val="21"/>
                <w:szCs w:val="21"/>
              </w:rPr>
              <w:t>马小</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银川市兴庆区清河</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65"/>
              <w:jc w:val="right"/>
              <w:rPr>
                <w:rFonts w:ascii="宋体" w:hAnsi="宋体" w:cs="宋体" w:eastAsia="宋体" w:hint="default"/>
                <w:sz w:val="21"/>
                <w:szCs w:val="21"/>
              </w:rPr>
            </w:pPr>
            <w:r>
              <w:rPr>
                <w:rFonts w:ascii="宋体" w:hAnsi="宋体" w:cs="宋体" w:eastAsia="宋体" w:hint="default"/>
                <w:sz w:val="21"/>
                <w:szCs w:val="21"/>
              </w:rPr>
              <w:t>营业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97"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8</w:t>
            </w:r>
            <w:r>
              <w:rPr>
                <w:rFonts w:ascii="宋体" w:hAnsi="宋体" w:cs="宋体" w:eastAsia="宋体" w:hint="default"/>
                <w:sz w:val="21"/>
                <w:szCs w:val="21"/>
              </w:rPr>
              <w:t>万元。</w:t>
            </w:r>
          </w:p>
        </w:tc>
      </w:tr>
    </w:tbl>
    <w:p>
      <w:pPr>
        <w:spacing w:after="0" w:line="287"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68"/>
        <w:gridCol w:w="1134"/>
        <w:gridCol w:w="568"/>
        <w:gridCol w:w="1701"/>
        <w:gridCol w:w="568"/>
        <w:gridCol w:w="992"/>
        <w:gridCol w:w="1559"/>
        <w:gridCol w:w="1985"/>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1" w:right="0"/>
              <w:jc w:val="left"/>
              <w:rPr>
                <w:rFonts w:ascii="宋体" w:hAnsi="宋体" w:cs="宋体" w:eastAsia="宋体" w:hint="default"/>
                <w:sz w:val="21"/>
                <w:szCs w:val="21"/>
              </w:rPr>
            </w:pPr>
            <w:r>
              <w:rPr>
                <w:rFonts w:ascii="宋体" w:hAnsi="宋体" w:cs="宋体" w:eastAsia="宋体" w:hint="default"/>
                <w:sz w:val="21"/>
                <w:szCs w:val="21"/>
              </w:rPr>
              <w:t>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12" w:right="0"/>
              <w:jc w:val="left"/>
              <w:rPr>
                <w:rFonts w:ascii="宋体" w:hAnsi="宋体" w:cs="宋体" w:eastAsia="宋体" w:hint="default"/>
                <w:sz w:val="21"/>
                <w:szCs w:val="21"/>
              </w:rPr>
            </w:pPr>
            <w:r>
              <w:rPr>
                <w:rFonts w:ascii="宋体" w:hAnsi="宋体" w:cs="宋体" w:eastAsia="宋体" w:hint="default"/>
                <w:sz w:val="21"/>
                <w:szCs w:val="21"/>
              </w:rPr>
              <w:t>北街</w:t>
            </w:r>
            <w:r>
              <w:rPr>
                <w:rFonts w:ascii="Times New Roman" w:hAnsi="Times New Roman" w:cs="Times New Roman" w:eastAsia="Times New Roman" w:hint="default"/>
                <w:sz w:val="21"/>
                <w:szCs w:val="21"/>
              </w:rPr>
              <w:t>12</w:t>
            </w:r>
            <w:r>
              <w:rPr>
                <w:rFonts w:ascii="宋体" w:hAnsi="宋体" w:cs="宋体" w:eastAsia="宋体" w:hint="default"/>
                <w:sz w:val="21"/>
                <w:szCs w:val="21"/>
              </w:rPr>
              <w:t>号二层</w:t>
            </w:r>
          </w:p>
        </w:tc>
        <w:tc>
          <w:tcPr>
            <w:tcW w:w="568"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2531"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7"/>
              <w:jc w:val="right"/>
              <w:rPr>
                <w:rFonts w:ascii="宋体" w:hAnsi="宋体" w:cs="宋体" w:eastAsia="宋体" w:hint="default"/>
                <w:sz w:val="21"/>
                <w:szCs w:val="21"/>
              </w:rPr>
            </w:pPr>
            <w:r>
              <w:rPr>
                <w:rFonts w:ascii="宋体" w:hAnsi="宋体" w:cs="宋体" w:eastAsia="宋体" w:hint="default"/>
                <w:sz w:val="21"/>
                <w:szCs w:val="21"/>
              </w:rPr>
              <w:t>银川卧龙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sz w:val="21"/>
                <w:szCs w:val="21"/>
              </w:rPr>
              <w:t>宁夏 泰博 跆拳 道文 化传 媒有 限公 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2" w:right="3" w:hanging="210"/>
              <w:jc w:val="left"/>
              <w:rPr>
                <w:rFonts w:ascii="宋体" w:hAnsi="宋体" w:cs="宋体" w:eastAsia="宋体" w:hint="default"/>
                <w:sz w:val="21"/>
                <w:szCs w:val="21"/>
              </w:rPr>
            </w:pPr>
            <w:r>
              <w:rPr>
                <w:rFonts w:ascii="宋体" w:hAnsi="宋体" w:cs="宋体" w:eastAsia="宋体" w:hint="default"/>
                <w:sz w:val="21"/>
                <w:szCs w:val="21"/>
              </w:rPr>
              <w:t>银川市兴庆区清河 北街</w:t>
            </w:r>
            <w:r>
              <w:rPr>
                <w:rFonts w:ascii="Times New Roman" w:hAnsi="Times New Roman" w:cs="Times New Roman" w:eastAsia="Times New Roman" w:hint="default"/>
                <w:sz w:val="21"/>
                <w:szCs w:val="21"/>
              </w:rPr>
              <w:t>12</w:t>
            </w:r>
            <w:r>
              <w:rPr>
                <w:rFonts w:ascii="宋体" w:hAnsi="宋体" w:cs="宋体" w:eastAsia="宋体" w:hint="default"/>
                <w:sz w:val="21"/>
                <w:szCs w:val="21"/>
              </w:rPr>
              <w:t>号三层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p>
            <w:pPr>
              <w:pStyle w:val="TableParagraph"/>
              <w:spacing w:line="240" w:lineRule="auto" w:before="21"/>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8</w:t>
            </w:r>
            <w:r>
              <w:rPr>
                <w:rFonts w:ascii="宋体" w:hAnsi="宋体" w:cs="宋体" w:eastAsia="宋体" w:hint="default"/>
                <w:sz w:val="21"/>
                <w:szCs w:val="21"/>
              </w:rPr>
              <w:t>万元。</w:t>
            </w:r>
          </w:p>
        </w:tc>
      </w:tr>
      <w:tr>
        <w:trPr>
          <w:trHeight w:val="2532"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7"/>
              <w:jc w:val="right"/>
              <w:rPr>
                <w:rFonts w:ascii="宋体" w:hAnsi="宋体" w:cs="宋体" w:eastAsia="宋体" w:hint="default"/>
                <w:sz w:val="21"/>
                <w:szCs w:val="21"/>
              </w:rPr>
            </w:pPr>
            <w:r>
              <w:rPr>
                <w:rFonts w:ascii="宋体" w:hAnsi="宋体" w:cs="宋体" w:eastAsia="宋体" w:hint="default"/>
                <w:sz w:val="21"/>
                <w:szCs w:val="21"/>
              </w:rPr>
              <w:t>银川卧龙</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7" w:right="65"/>
              <w:jc w:val="both"/>
              <w:rPr>
                <w:rFonts w:ascii="宋体" w:hAnsi="宋体" w:cs="宋体" w:eastAsia="宋体" w:hint="default"/>
                <w:sz w:val="21"/>
                <w:szCs w:val="21"/>
              </w:rPr>
            </w:pPr>
            <w:r>
              <w:rPr>
                <w:rFonts w:ascii="宋体" w:hAnsi="宋体" w:cs="宋体" w:eastAsia="宋体" w:hint="default"/>
                <w:sz w:val="21"/>
                <w:szCs w:val="21"/>
              </w:rPr>
              <w:t>宁夏 泰博 跆拳 道文 化传 媒有 限公 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2" w:right="3" w:hanging="210"/>
              <w:jc w:val="left"/>
              <w:rPr>
                <w:rFonts w:ascii="宋体" w:hAnsi="宋体" w:cs="宋体" w:eastAsia="宋体" w:hint="default"/>
                <w:sz w:val="21"/>
                <w:szCs w:val="21"/>
              </w:rPr>
            </w:pPr>
            <w:r>
              <w:rPr>
                <w:rFonts w:ascii="宋体" w:hAnsi="宋体" w:cs="宋体" w:eastAsia="宋体" w:hint="default"/>
                <w:sz w:val="21"/>
                <w:szCs w:val="21"/>
              </w:rPr>
              <w:t>银川市兴庆区清河 北街</w:t>
            </w:r>
            <w:r>
              <w:rPr>
                <w:rFonts w:ascii="Times New Roman" w:hAnsi="Times New Roman" w:cs="Times New Roman" w:eastAsia="Times New Roman" w:hint="default"/>
                <w:sz w:val="21"/>
                <w:szCs w:val="21"/>
              </w:rPr>
              <w:t>12</w:t>
            </w:r>
            <w:r>
              <w:rPr>
                <w:rFonts w:ascii="宋体" w:hAnsi="宋体" w:cs="宋体" w:eastAsia="宋体" w:hint="default"/>
                <w:sz w:val="21"/>
                <w:szCs w:val="21"/>
              </w:rPr>
              <w:t>号四层</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273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p>
            <w:pPr>
              <w:pStyle w:val="TableParagraph"/>
              <w:spacing w:line="240" w:lineRule="auto" w:before="21"/>
              <w:ind w:left="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5</w:t>
            </w:r>
            <w:r>
              <w:rPr>
                <w:rFonts w:ascii="宋体" w:hAnsi="宋体" w:cs="宋体" w:eastAsia="宋体" w:hint="default"/>
                <w:sz w:val="21"/>
                <w:szCs w:val="21"/>
              </w:rPr>
              <w:t>万元。</w:t>
            </w:r>
          </w:p>
        </w:tc>
      </w:tr>
    </w:tbl>
    <w:p>
      <w:pPr>
        <w:spacing w:line="240" w:lineRule="auto" w:before="9"/>
        <w:rPr>
          <w:rFonts w:ascii="Times New Roman" w:hAnsi="Times New Roman" w:cs="Times New Roman" w:eastAsia="Times New Roman" w:hint="default"/>
          <w:sz w:val="22"/>
          <w:szCs w:val="22"/>
        </w:rPr>
      </w:pPr>
    </w:p>
    <w:p>
      <w:pPr>
        <w:spacing w:line="261" w:lineRule="auto" w:before="35"/>
        <w:ind w:left="154" w:right="817"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、报告期内，第</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22</w:t>
      </w:r>
      <w:r>
        <w:rPr>
          <w:rFonts w:ascii="宋体" w:hAnsi="宋体" w:cs="宋体" w:eastAsia="宋体" w:hint="default"/>
          <w:sz w:val="21"/>
          <w:szCs w:val="21"/>
        </w:rPr>
        <w:t>号房产到期后不再续租，系合同到期后房东不再出租该房产。第</w:t>
      </w:r>
      <w:r>
        <w:rPr>
          <w:rFonts w:ascii="Times New Roman" w:hAnsi="Times New Roman" w:cs="Times New Roman" w:eastAsia="Times New Roman" w:hint="default"/>
          <w:sz w:val="21"/>
          <w:szCs w:val="21"/>
        </w:rPr>
        <w:t>9</w:t>
      </w:r>
      <w:r>
        <w:rPr>
          <w:rFonts w:ascii="宋体" w:hAnsi="宋体" w:cs="宋体" w:eastAsia="宋体" w:hint="default"/>
          <w:sz w:val="21"/>
          <w:szCs w:val="21"/>
        </w:rPr>
        <w:t>号房产到期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后改租第</w:t>
      </w:r>
      <w:r>
        <w:rPr>
          <w:rFonts w:ascii="Times New Roman" w:hAnsi="Times New Roman" w:cs="Times New Roman" w:eastAsia="Times New Roman" w:hint="default"/>
          <w:sz w:val="21"/>
          <w:szCs w:val="21"/>
        </w:rPr>
        <w:t>10</w:t>
      </w:r>
      <w:r>
        <w:rPr>
          <w:rFonts w:ascii="宋体" w:hAnsi="宋体" w:cs="宋体" w:eastAsia="宋体" w:hint="default"/>
          <w:sz w:val="21"/>
          <w:szCs w:val="21"/>
        </w:rPr>
        <w:t>号房产，第</w:t>
      </w:r>
      <w:r>
        <w:rPr>
          <w:rFonts w:ascii="Times New Roman" w:hAnsi="Times New Roman" w:cs="Times New Roman" w:eastAsia="Times New Roman" w:hint="default"/>
          <w:sz w:val="21"/>
          <w:szCs w:val="21"/>
        </w:rPr>
        <w:t>12</w:t>
      </w:r>
      <w:r>
        <w:rPr>
          <w:rFonts w:ascii="宋体" w:hAnsi="宋体" w:cs="宋体" w:eastAsia="宋体" w:hint="default"/>
          <w:sz w:val="21"/>
          <w:szCs w:val="21"/>
        </w:rPr>
        <w:t>号房产到期后改租第</w:t>
      </w:r>
      <w:r>
        <w:rPr>
          <w:rFonts w:ascii="Times New Roman" w:hAnsi="Times New Roman" w:cs="Times New Roman" w:eastAsia="Times New Roman" w:hint="default"/>
          <w:sz w:val="21"/>
          <w:szCs w:val="21"/>
        </w:rPr>
        <w:t>13</w:t>
      </w:r>
      <w:r>
        <w:rPr>
          <w:rFonts w:ascii="宋体" w:hAnsi="宋体" w:cs="宋体" w:eastAsia="宋体" w:hint="default"/>
          <w:sz w:val="21"/>
          <w:szCs w:val="21"/>
        </w:rPr>
        <w:t>号房产，第</w:t>
      </w:r>
      <w:r>
        <w:rPr>
          <w:rFonts w:ascii="Times New Roman" w:hAnsi="Times New Roman" w:cs="Times New Roman" w:eastAsia="Times New Roman" w:hint="default"/>
          <w:sz w:val="21"/>
          <w:szCs w:val="21"/>
        </w:rPr>
        <w:t>22</w:t>
      </w:r>
      <w:r>
        <w:rPr>
          <w:rFonts w:ascii="宋体" w:hAnsi="宋体" w:cs="宋体" w:eastAsia="宋体" w:hint="default"/>
          <w:sz w:val="21"/>
          <w:szCs w:val="21"/>
        </w:rPr>
        <w:t>号房产改租第</w:t>
      </w:r>
      <w:r>
        <w:rPr>
          <w:rFonts w:ascii="Times New Roman" w:hAnsi="Times New Roman" w:cs="Times New Roman" w:eastAsia="Times New Roman" w:hint="default"/>
          <w:sz w:val="21"/>
          <w:szCs w:val="21"/>
        </w:rPr>
        <w:t>2</w:t>
      </w:r>
      <w:r>
        <w:rPr>
          <w:rFonts w:ascii="宋体" w:hAnsi="宋体" w:cs="宋体" w:eastAsia="宋体" w:hint="default"/>
          <w:sz w:val="21"/>
          <w:szCs w:val="21"/>
        </w:rPr>
        <w:t>0</w:t>
      </w:r>
      <w:r>
        <w:rPr>
          <w:rFonts w:ascii="宋体" w:hAnsi="宋体" w:cs="宋体" w:eastAsia="宋体" w:hint="default"/>
          <w:sz w:val="21"/>
          <w:szCs w:val="21"/>
        </w:rPr>
        <w:t>号房产。 </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号房产到期后不再承租，系合同到期，业务员改为家里办公，撤销办事处租房。</w:t>
      </w:r>
    </w:p>
    <w:p>
      <w:pPr>
        <w:spacing w:before="0"/>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、报告期内，第</w:t>
      </w:r>
      <w:r>
        <w:rPr>
          <w:rFonts w:ascii="Times New Roman" w:hAnsi="Times New Roman" w:cs="Times New Roman" w:eastAsia="Times New Roman" w:hint="default"/>
          <w:sz w:val="21"/>
          <w:szCs w:val="21"/>
        </w:rPr>
        <w:t>24</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宋体" w:hAnsi="宋体" w:cs="宋体" w:eastAsia="宋体" w:hint="default"/>
          <w:sz w:val="21"/>
          <w:szCs w:val="21"/>
        </w:rPr>
        <w:t>号房产到期后不再出租，系合同到期。</w:t>
      </w:r>
    </w:p>
    <w:p>
      <w:pPr>
        <w:spacing w:before="21"/>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、除以上说明的房屋外，其他房屋租赁期限到</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日的继续租赁。</w:t>
      </w:r>
    </w:p>
    <w:p>
      <w:pPr>
        <w:spacing w:before="21"/>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、报告期内，公司以上租赁均不构成重大租赁。</w:t>
      </w:r>
    </w:p>
    <w:p>
      <w:pPr>
        <w:spacing w:before="87"/>
        <w:ind w:left="154" w:right="817"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重大担保" w:id="90"/>
      <w:bookmarkEnd w:id="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1）担保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67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6" w:right="9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1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《综合授信 协议》项下 的每一笔具 体授信业务 的保证期间 单独计算， 自具体授信 业务合同或 协议约定的 授信人履行 债务期限届 满之日起两 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自保证合同 签署之日始 至租赁合同 项下主债务 履行其届满 之日起满两 年的期间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1,283.21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4,942.27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根据主合同 项下债权人 对债务人所 提供的每笔 融资分别计 算，就每笔 融资而言， 保证期间为 该笔融资项 下债务履行 期限届满之 日起两年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200.84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根据主合同 项下债权人 对债务人所 提供的每笔 融资分别计 算，就每笔</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9"/>
        <w:gridCol w:w="1044"/>
        <w:gridCol w:w="1046"/>
        <w:gridCol w:w="1055"/>
        <w:gridCol w:w="785"/>
        <w:gridCol w:w="785"/>
      </w:tblGrid>
      <w:tr>
        <w:trPr>
          <w:trHeight w:val="1923"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16"/>
              <w:jc w:val="both"/>
              <w:rPr>
                <w:rFonts w:ascii="宋体" w:hAnsi="宋体" w:cs="宋体" w:eastAsia="宋体" w:hint="default"/>
                <w:sz w:val="18"/>
                <w:szCs w:val="18"/>
              </w:rPr>
            </w:pPr>
            <w:r>
              <w:rPr>
                <w:rFonts w:ascii="宋体" w:hAnsi="宋体" w:cs="宋体" w:eastAsia="宋体" w:hint="default"/>
                <w:sz w:val="18"/>
                <w:szCs w:val="18"/>
              </w:rPr>
              <w:t>融资而言， 保证期间为 该笔融资项 下债务履行 期限届满之 日起两年</w:t>
            </w: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32,586.4</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6,375.6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自中宁县银 变新能源有 限公司履行 主合同项下 债务期限届 满之日起两 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70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根据主合同 约定的各笔 主债务的债 务履行期限 分别计算， 每一笔主债 务项下的保 证期间为， 自该笔债务 履行期限届 满之日起， 计至全部主 合同项下最 后到期的主 债务的债务 履行期限届 满之日后两 年止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103,586.4</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31,601.92</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103,586.4</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24,669.91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9" w:type="dxa"/>
            <w:vMerge w:val="restart"/>
            <w:tcBorders>
              <w:top w:val="single" w:sz="4" w:space="0" w:color="000000"/>
              <w:left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9"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2"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9" w:type="dxa"/>
            <w:vMerge w:val="restart"/>
            <w:tcBorders>
              <w:top w:val="nil" w:sz="6" w:space="0" w:color="auto"/>
              <w:left w:val="single" w:sz="4" w:space="0" w:color="000000"/>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9" w:type="dxa"/>
            <w:vMerge/>
            <w:tcBorders>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103,586.4</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8"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31,601.92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7"/>
        <w:gridCol w:w="2633"/>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1" w:right="0"/>
              <w:jc w:val="left"/>
              <w:rPr>
                <w:rFonts w:ascii="Times New Roman" w:hAnsi="Times New Roman" w:cs="Times New Roman" w:eastAsia="Times New Roman" w:hint="default"/>
                <w:sz w:val="18"/>
                <w:szCs w:val="18"/>
              </w:rPr>
            </w:pPr>
            <w:r>
              <w:rPr>
                <w:rFonts w:ascii="Times New Roman"/>
                <w:sz w:val="18"/>
              </w:rPr>
              <w:t>103,586.4</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24,669.91</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11.88%</w:t>
            </w:r>
          </w:p>
        </w:tc>
      </w:tr>
      <w:tr>
        <w:trPr>
          <w:trHeight w:val="393"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199.28</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199.28</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before="116"/>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、本公司与新疆金风科技股份有限公司（以下简称甲方</w:t>
      </w:r>
      <w:r>
        <w:rPr>
          <w:rFonts w:ascii="宋体" w:hAnsi="宋体" w:cs="宋体" w:eastAsia="宋体" w:hint="default"/>
          <w:spacing w:val="-90"/>
          <w:sz w:val="18"/>
          <w:szCs w:val="18"/>
        </w:rPr>
        <w:t>）</w:t>
      </w:r>
      <w:r>
        <w:rPr>
          <w:rFonts w:ascii="宋体" w:hAnsi="宋体" w:cs="宋体" w:eastAsia="宋体" w:hint="default"/>
          <w:sz w:val="18"/>
          <w:szCs w:val="18"/>
        </w:rPr>
        <w:t>、中宁县银变新能源有限公司（以下简称丙方）于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年签订了</w:t>
      </w:r>
    </w:p>
    <w:p>
      <w:pPr>
        <w:spacing w:line="304" w:lineRule="auto" w:before="63"/>
        <w:ind w:left="154" w:right="-2804" w:firstLine="0"/>
        <w:jc w:val="left"/>
        <w:rPr>
          <w:rFonts w:ascii="宋体" w:hAnsi="宋体" w:cs="宋体" w:eastAsia="宋体" w:hint="default"/>
          <w:sz w:val="18"/>
          <w:szCs w:val="18"/>
        </w:rPr>
      </w:pPr>
      <w:r>
        <w:rPr>
          <w:rFonts w:ascii="宋体" w:hAnsi="宋体" w:cs="宋体" w:eastAsia="宋体" w:hint="default"/>
          <w:sz w:val="18"/>
          <w:szCs w:val="18"/>
        </w:rPr>
        <w:t>《中宁县新堡</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风电项目风力发电机组及附属设备采购合同》，为确保丙方顺利履约主合同项目下的风电机组价格的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付款责任与义务，保证甲方主合同下的权利与义务，本公司为丙方提供连带责任保证担保，保证本协议中的甲方在主合同中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w w:val="100"/>
          <w:sz w:val="18"/>
          <w:szCs w:val="18"/>
        </w:rPr>
        <w:t>的权利。同时宁夏银变新能源有限公司（以下简称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宁夏新能源</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）与新疆金风科技股份有限公司（以下简称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金风科技</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宋体" w:hAnsi="宋体" w:cs="宋体" w:eastAsia="宋体" w:hint="default"/>
          <w:w w:val="100"/>
          <w:sz w:val="18"/>
          <w:szCs w:val="18"/>
        </w:rPr>
        <w:t>中宁县银变新能源有限公司（简称</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中宁新能源</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）于</w:t>
      </w:r>
      <w:r>
        <w:rPr>
          <w:rFonts w:ascii="宋体" w:hAnsi="宋体" w:cs="宋体" w:eastAsia="宋体" w:hint="default"/>
          <w:spacing w:val="-44"/>
          <w:w w:val="10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5"/>
          <w:w w:val="99"/>
          <w:sz w:val="18"/>
          <w:szCs w:val="18"/>
        </w:rPr>
        <w:t>年签订了股权质押合同《</w:t>
      </w:r>
      <w:r>
        <w:rPr>
          <w:rFonts w:ascii="Times New Roman" w:hAnsi="Times New Roman" w:cs="Times New Roman" w:eastAsia="Times New Roman" w:hint="default"/>
          <w:spacing w:val="-5"/>
          <w:w w:val="99"/>
          <w:sz w:val="18"/>
          <w:szCs w:val="18"/>
        </w:rPr>
        <w:t>GOLDWIND-2200-20180331-GQZY</w:t>
      </w:r>
      <w:r>
        <w:rPr>
          <w:rFonts w:ascii="宋体" w:hAnsi="宋体" w:cs="宋体" w:eastAsia="宋体" w:hint="default"/>
          <w:spacing w:val="-5"/>
          <w:w w:val="99"/>
          <w:sz w:val="18"/>
          <w:szCs w:val="18"/>
        </w:rPr>
        <w:t>》，</w:t>
      </w:r>
      <w:r>
        <w:rPr>
          <w:rFonts w:ascii="宋体" w:hAnsi="宋体" w:cs="宋体" w:eastAsia="宋体" w:hint="default"/>
          <w:spacing w:val="-79"/>
          <w:w w:val="99"/>
          <w:sz w:val="18"/>
          <w:szCs w:val="18"/>
        </w:rPr>
        <w:t> </w:t>
      </w:r>
      <w:r>
        <w:rPr>
          <w:rFonts w:ascii="宋体" w:hAnsi="宋体" w:cs="宋体" w:eastAsia="宋体" w:hint="default"/>
          <w:sz w:val="18"/>
          <w:szCs w:val="18"/>
        </w:rPr>
        <w:t>将宁夏新能源持有的中宁新能源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股权质押给金风科技。</w:t>
      </w:r>
    </w:p>
    <w:p>
      <w:pPr>
        <w:spacing w:line="240" w:lineRule="auto" w:before="8"/>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2）违规对外担保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3、委托他人进行现金资产管理情况" w:id="93"/>
      <w:bookmarkEnd w:id="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委托理财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2）委托贷款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4、其他重大合同" w:id="96"/>
      <w:bookmarkEnd w:id="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履行社会责任情况" w:id="98"/>
      <w:bookmarkEnd w:id="9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56" w:lineRule="auto" w:before="0"/>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、完善公司治理结构 </w:t>
      </w:r>
      <w:r>
        <w:rPr>
          <w:rFonts w:ascii="宋体" w:hAnsi="宋体" w:cs="宋体" w:eastAsia="宋体" w:hint="default"/>
          <w:spacing w:val="-8"/>
          <w:sz w:val="21"/>
          <w:szCs w:val="21"/>
        </w:rPr>
        <w:t>公司根据《公司法》、《证券法》、《上市公司治理准则》、《深圳证券交易所创业板股票上市规则》、</w:t>
      </w:r>
    </w:p>
    <w:p>
      <w:pPr>
        <w:spacing w:line="273" w:lineRule="auto" w:before="22"/>
        <w:ind w:left="154" w:right="1132" w:firstLine="0"/>
        <w:jc w:val="both"/>
        <w:rPr>
          <w:rFonts w:ascii="宋体" w:hAnsi="宋体" w:cs="宋体" w:eastAsia="宋体" w:hint="default"/>
          <w:sz w:val="21"/>
          <w:szCs w:val="21"/>
        </w:rPr>
      </w:pPr>
      <w:r>
        <w:rPr>
          <w:rFonts w:ascii="宋体" w:hAnsi="宋体" w:cs="宋体" w:eastAsia="宋体" w:hint="default"/>
          <w:spacing w:val="-1"/>
          <w:sz w:val="21"/>
          <w:szCs w:val="21"/>
        </w:rPr>
        <w:t>《上市公司信息披露管理办法》等法律、法规及规范性文件的要求，建立了由股东大会、董事会、监事会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和公司管理层组成的健全、完善的公司治理架构，形成了权利机构、决策机构、监督机构和管理层之间权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责明确、运作规范、相互协调、互相制衡的完整的议事、决策、授权、执行的公司治理体系。</w:t>
      </w:r>
    </w:p>
    <w:p>
      <w:pPr>
        <w:spacing w:line="256" w:lineRule="auto" w:before="7"/>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、股东权益保护 </w:t>
      </w:r>
      <w:r>
        <w:rPr>
          <w:rFonts w:ascii="宋体" w:hAnsi="宋体" w:cs="宋体" w:eastAsia="宋体" w:hint="default"/>
          <w:spacing w:val="-1"/>
          <w:sz w:val="21"/>
          <w:szCs w:val="21"/>
        </w:rPr>
        <w:t>公司严格按照《公司法》、《证券法》、《深圳证券交易所创业板股票上市规则》、《上市公司信息</w:t>
      </w:r>
    </w:p>
    <w:p>
      <w:pPr>
        <w:spacing w:line="273" w:lineRule="auto" w:before="22"/>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披露管理办法》等相关法律法规的要求，及时、准确、真实、完整地进行信息披露，通过设置专人直线接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听投资者电话、电子邮箱、公司网站和投资者关系互动平台等多种方式与投资者进行沟通交流，提高了公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司的透明度和诚信度。</w:t>
      </w:r>
    </w:p>
    <w:p>
      <w:pPr>
        <w:spacing w:line="264" w:lineRule="auto" w:before="7"/>
        <w:ind w:left="154" w:right="1130" w:firstLine="420"/>
        <w:jc w:val="both"/>
        <w:rPr>
          <w:rFonts w:ascii="宋体" w:hAnsi="宋体" w:cs="宋体" w:eastAsia="宋体" w:hint="default"/>
          <w:sz w:val="21"/>
          <w:szCs w:val="21"/>
        </w:rPr>
      </w:pPr>
      <w:r>
        <w:rPr>
          <w:rFonts w:ascii="宋体" w:hAnsi="宋体" w:cs="宋体" w:eastAsia="宋体" w:hint="default"/>
          <w:spacing w:val="-1"/>
          <w:sz w:val="21"/>
          <w:szCs w:val="21"/>
        </w:rPr>
        <w:t>在经济效益稳步增长的同时，公司十分重视对投资者的合理回报，制定了相对稳定的利润分配政策和</w:t>
      </w:r>
      <w:r>
        <w:rPr>
          <w:rFonts w:ascii="宋体" w:hAnsi="宋体" w:cs="宋体" w:eastAsia="宋体" w:hint="default"/>
          <w:sz w:val="21"/>
          <w:szCs w:val="21"/>
        </w:rPr>
        <w:t> </w:t>
      </w:r>
      <w:r>
        <w:rPr>
          <w:rFonts w:ascii="宋体" w:hAnsi="宋体" w:cs="宋体" w:eastAsia="宋体" w:hint="default"/>
          <w:spacing w:val="18"/>
          <w:sz w:val="21"/>
          <w:szCs w:val="21"/>
        </w:rPr>
        <w:t>分红方案以回报股东，</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0"/>
          <w:sz w:val="21"/>
          <w:szCs w:val="21"/>
        </w:rPr>
        <w:t> </w:t>
      </w:r>
      <w:r>
        <w:rPr>
          <w:rFonts w:ascii="宋体" w:hAnsi="宋体" w:cs="宋体" w:eastAsia="宋体" w:hint="default"/>
          <w:spacing w:val="18"/>
          <w:sz w:val="21"/>
          <w:szCs w:val="21"/>
        </w:rPr>
        <w:t>年公司向全体股东实施</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1"/>
          <w:sz w:val="21"/>
          <w:szCs w:val="21"/>
        </w:rPr>
        <w:t> </w:t>
      </w:r>
      <w:r>
        <w:rPr>
          <w:rFonts w:ascii="宋体" w:hAnsi="宋体" w:cs="宋体" w:eastAsia="宋体" w:hint="default"/>
          <w:spacing w:val="18"/>
          <w:sz w:val="21"/>
          <w:szCs w:val="21"/>
        </w:rPr>
        <w:t>年度利润分配方案，</w:t>
      </w:r>
      <w:r>
        <w:rPr>
          <w:rFonts w:ascii="宋体" w:hAnsi="宋体" w:cs="宋体" w:eastAsia="宋体" w:hint="default"/>
          <w:spacing w:val="-83"/>
          <w:sz w:val="21"/>
          <w:szCs w:val="21"/>
        </w:rPr>
        <w:t> </w:t>
      </w:r>
      <w:r>
        <w:rPr>
          <w:rFonts w:ascii="宋体" w:hAnsi="宋体" w:cs="宋体" w:eastAsia="宋体" w:hint="default"/>
          <w:spacing w:val="18"/>
          <w:sz w:val="21"/>
          <w:szCs w:val="21"/>
        </w:rPr>
        <w:t>分配现金股利人民币</w:t>
      </w:r>
      <w:r>
        <w:rPr>
          <w:rFonts w:ascii="宋体" w:hAnsi="宋体" w:cs="宋体" w:eastAsia="宋体" w:hint="default"/>
          <w:sz w:val="21"/>
          <w:szCs w:val="21"/>
        </w:rPr>
        <w:t> </w:t>
      </w:r>
      <w:r>
        <w:rPr>
          <w:rFonts w:ascii="Times New Roman" w:hAnsi="Times New Roman" w:cs="Times New Roman" w:eastAsia="Times New Roman" w:hint="default"/>
          <w:sz w:val="21"/>
          <w:szCs w:val="21"/>
        </w:rPr>
        <w:t>25,738,835.38</w:t>
      </w:r>
      <w:r>
        <w:rPr>
          <w:rFonts w:ascii="宋体" w:hAnsi="宋体" w:cs="宋体" w:eastAsia="宋体" w:hint="default"/>
          <w:sz w:val="21"/>
          <w:szCs w:val="21"/>
        </w:rPr>
        <w:t>元（含税）。</w:t>
      </w:r>
    </w:p>
    <w:p>
      <w:pPr>
        <w:spacing w:line="256" w:lineRule="auto" w:before="0"/>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、职工权益保护 </w:t>
      </w:r>
      <w:r>
        <w:rPr>
          <w:rFonts w:ascii="宋体" w:hAnsi="宋体" w:cs="宋体" w:eastAsia="宋体" w:hint="default"/>
          <w:spacing w:val="-1"/>
          <w:sz w:val="21"/>
          <w:szCs w:val="21"/>
        </w:rPr>
        <w:t>公司一直坚持以人为本的人才理念，实施企业人才战略，严格遵守《劳动法》、《劳动合同法》等相</w:t>
      </w:r>
    </w:p>
    <w:p>
      <w:pPr>
        <w:spacing w:line="273" w:lineRule="auto" w:before="22"/>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关法律法规，积极做好员工的健康管理工作，内部实行员工工作机会平等；在薪酬福利方面，建立较为完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善的薪酬考核体系，激励机制及人才选拔机制，提高员工的福利待遇，建立健全规范的员工社会保险管理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体系，促进劳资关系的和谐稳定；在培训管理方面，持续开展员工培训工作，通过培训提供员工技能，提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供组织和个人的应变、适应能力，提高工作绩效水平和工作能力。</w:t>
      </w:r>
    </w:p>
    <w:p>
      <w:pPr>
        <w:spacing w:line="256" w:lineRule="auto" w:before="7"/>
        <w:ind w:left="574" w:right="11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、依法经营 </w:t>
      </w:r>
      <w:r>
        <w:rPr>
          <w:rFonts w:ascii="Times New Roman" w:hAnsi="Times New Roman" w:cs="Times New Roman" w:eastAsia="Times New Roman" w:hint="default"/>
          <w:sz w:val="21"/>
          <w:szCs w:val="21"/>
        </w:rPr>
        <w:t>“</w:t>
      </w:r>
      <w:r>
        <w:rPr>
          <w:rFonts w:ascii="宋体" w:hAnsi="宋体" w:cs="宋体" w:eastAsia="宋体" w:hint="default"/>
          <w:sz w:val="21"/>
          <w:szCs w:val="21"/>
        </w:rPr>
        <w:t>依法纳税、合规经营</w:t>
      </w:r>
      <w:r>
        <w:rPr>
          <w:rFonts w:ascii="Times New Roman" w:hAnsi="Times New Roman" w:cs="Times New Roman" w:eastAsia="Times New Roman" w:hint="default"/>
          <w:sz w:val="21"/>
          <w:szCs w:val="21"/>
        </w:rPr>
        <w:t>”</w:t>
      </w:r>
      <w:r>
        <w:rPr>
          <w:rFonts w:ascii="宋体" w:hAnsi="宋体" w:cs="宋体" w:eastAsia="宋体" w:hint="default"/>
          <w:sz w:val="21"/>
          <w:szCs w:val="21"/>
        </w:rPr>
        <w:t>是公司践行社会责任的重要基石，也是公司诚信经营理念的重要体现。报告期</w:t>
      </w:r>
    </w:p>
    <w:p>
      <w:pPr>
        <w:spacing w:line="273" w:lineRule="auto" w:before="5"/>
        <w:ind w:left="154" w:right="1023" w:firstLine="0"/>
        <w:jc w:val="left"/>
        <w:rPr>
          <w:rFonts w:ascii="宋体" w:hAnsi="宋体" w:cs="宋体" w:eastAsia="宋体" w:hint="default"/>
          <w:sz w:val="21"/>
          <w:szCs w:val="21"/>
        </w:rPr>
      </w:pPr>
      <w:r>
        <w:rPr>
          <w:rFonts w:ascii="宋体" w:hAnsi="宋体" w:cs="宋体" w:eastAsia="宋体" w:hint="default"/>
          <w:spacing w:val="-3"/>
          <w:sz w:val="21"/>
          <w:szCs w:val="21"/>
        </w:rPr>
        <w:t>内，公司进一步加强税务基础管理、降低税务风险、提供全员纳税意识和税法遵从度，提升税务工作合法、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合规性。公司始终将依法经营作为公司运行的基本原则，注重企业经济效益和社会效益的同步共赢。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8"/>
        <w:ind w:left="154" w:right="0" w:firstLine="0"/>
        <w:jc w:val="both"/>
        <w:rPr>
          <w:rFonts w:ascii="宋体" w:hAnsi="宋体" w:cs="宋体" w:eastAsia="宋体" w:hint="default"/>
          <w:sz w:val="21"/>
          <w:szCs w:val="21"/>
        </w:rPr>
      </w:pPr>
      <w:bookmarkStart w:name="2、履行精准扶贫社会责任情况" w:id="99"/>
      <w:bookmarkEnd w:id="9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精准扶贫规划" w:id="100"/>
      <w:bookmarkEnd w:id="1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年度精准扶贫概要" w:id="101"/>
      <w:bookmarkEnd w:id="1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54"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月，为落实资本市场服务国家脱贫攻坚战略，精准扶贫，帮助四川省剑阁县尽早脱贫，公司 向四川省剑阁县卫生和计划生育局捐赠现金</w:t>
      </w:r>
      <w:r>
        <w:rPr>
          <w:rFonts w:ascii="Times New Roman" w:hAnsi="Times New Roman" w:cs="Times New Roman" w:eastAsia="Times New Roman" w:hint="default"/>
          <w:sz w:val="21"/>
          <w:szCs w:val="21"/>
        </w:rPr>
        <w:t>10</w:t>
      </w:r>
      <w:r>
        <w:rPr>
          <w:rFonts w:ascii="宋体" w:hAnsi="宋体" w:cs="宋体" w:eastAsia="宋体" w:hint="default"/>
          <w:sz w:val="21"/>
          <w:szCs w:val="21"/>
        </w:rPr>
        <w:t>万元，用于改善剑阁县贫困乡镇、村医疗设备。</w:t>
      </w:r>
    </w:p>
    <w:p>
      <w:pPr>
        <w:spacing w:line="240" w:lineRule="auto" w:before="6"/>
        <w:rPr>
          <w:rFonts w:ascii="宋体" w:hAnsi="宋体" w:cs="宋体" w:eastAsia="宋体" w:hint="default"/>
          <w:sz w:val="23"/>
          <w:szCs w:val="23"/>
        </w:rPr>
      </w:pPr>
    </w:p>
    <w:p>
      <w:pPr>
        <w:spacing w:before="0"/>
        <w:ind w:left="154" w:right="0" w:firstLine="0"/>
        <w:jc w:val="both"/>
        <w:rPr>
          <w:rFonts w:ascii="宋体" w:hAnsi="宋体" w:cs="宋体" w:eastAsia="宋体" w:hint="default"/>
          <w:sz w:val="21"/>
          <w:szCs w:val="21"/>
        </w:rPr>
      </w:pPr>
      <w:bookmarkStart w:name="（3）精准扶贫成效" w:id="102"/>
      <w:bookmarkEnd w:id="1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613"/>
        <w:gridCol w:w="1553"/>
        <w:gridCol w:w="4391"/>
      </w:tblGrid>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613" w:type="dxa"/>
            <w:vMerge w:val="restart"/>
            <w:tcBorders>
              <w:top w:val="single" w:sz="4" w:space="0" w:color="000000"/>
              <w:left w:val="single" w:sz="4" w:space="0" w:color="000000"/>
              <w:right w:val="single" w:sz="4" w:space="0" w:color="000000"/>
            </w:tcBorders>
            <w:shd w:val="clear" w:color="auto" w:fill="D2D2D2"/>
          </w:tcPr>
          <w:p>
            <w:pPr>
              <w:pStyle w:val="TableParagraph"/>
              <w:tabs>
                <w:tab w:pos="1091" w:val="left" w:leader="none"/>
              </w:tabs>
              <w:spacing w:line="302"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贫困地区医疗卫生资源投入 金额</w:t>
            </w: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3613" w:type="dxa"/>
            <w:vMerge/>
            <w:tcBorders>
              <w:left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vMerge/>
            <w:tcBorders>
              <w:left w:val="single" w:sz="9" w:space="0" w:color="D2D2D2"/>
              <w:right w:val="single" w:sz="4" w:space="0" w:color="000000"/>
            </w:tcBorders>
          </w:tcPr>
          <w:p>
            <w:pPr/>
          </w:p>
        </w:tc>
      </w:tr>
      <w:tr>
        <w:trPr>
          <w:trHeight w:val="161" w:hRule="exact"/>
        </w:trPr>
        <w:tc>
          <w:tcPr>
            <w:tcW w:w="3613"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1" w:type="dxa"/>
            <w:vMerge/>
            <w:tcBorders>
              <w:left w:val="single" w:sz="9" w:space="0" w:color="D2D2D2"/>
              <w:bottom w:val="single" w:sz="4" w:space="0" w:color="000000"/>
              <w:right w:val="single" w:sz="4" w:space="0" w:color="000000"/>
            </w:tcBorders>
          </w:tcPr>
          <w:p>
            <w:pP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spacing w:before="35"/>
        <w:ind w:left="154" w:right="817" w:firstLine="0"/>
        <w:jc w:val="left"/>
        <w:rPr>
          <w:rFonts w:ascii="宋体" w:hAnsi="宋体" w:cs="宋体" w:eastAsia="宋体" w:hint="default"/>
          <w:sz w:val="21"/>
          <w:szCs w:val="21"/>
        </w:rPr>
      </w:pPr>
      <w:bookmarkStart w:name="（4）后续精准扶贫计划" w:id="103"/>
      <w:bookmarkEnd w:id="1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环境保护相关的情况" w:id="104"/>
      <w:bookmarkEnd w:id="1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5"/>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公司及子公司所从事的行业，不存在大量排污情形，不属于环境保护部门公布的重点排污单位。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817"/>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254"/>
        <w:gridCol w:w="2129"/>
        <w:gridCol w:w="3188"/>
      </w:tblGrid>
      <w:tr>
        <w:trPr>
          <w:trHeight w:val="426"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重要事项概述</w:t>
            </w:r>
          </w:p>
        </w:tc>
        <w:tc>
          <w:tcPr>
            <w:tcW w:w="21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left="63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临时报告披露网站查询索引</w:t>
            </w:r>
          </w:p>
        </w:tc>
      </w:tr>
      <w:tr>
        <w:trPr>
          <w:trHeight w:val="73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34"/>
              <w:jc w:val="left"/>
              <w:rPr>
                <w:rFonts w:ascii="宋体" w:hAnsi="宋体" w:cs="宋体" w:eastAsia="宋体" w:hint="default"/>
                <w:sz w:val="21"/>
                <w:szCs w:val="21"/>
              </w:rPr>
            </w:pPr>
            <w:r>
              <w:rPr>
                <w:rFonts w:ascii="宋体" w:hAnsi="宋体" w:cs="宋体" w:eastAsia="宋体" w:hint="default"/>
                <w:sz w:val="21"/>
                <w:szCs w:val="21"/>
              </w:rPr>
              <w:t>《关于红相股份有限公司创业板非公开发行股 票申请文件反馈意见之回复》</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65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left"/>
              <w:rPr>
                <w:rFonts w:ascii="宋体" w:hAnsi="宋体" w:cs="宋体" w:eastAsia="宋体" w:hint="default"/>
                <w:sz w:val="21"/>
                <w:szCs w:val="21"/>
              </w:rPr>
            </w:pPr>
            <w:r>
              <w:rPr>
                <w:rFonts w:ascii="宋体" w:hAnsi="宋体" w:cs="宋体" w:eastAsia="宋体" w:hint="default"/>
                <w:sz w:val="21"/>
                <w:szCs w:val="21"/>
              </w:rPr>
              <w:t>《关于收购上海志良电子科技有限公司少数股 权的公告》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28</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660"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left"/>
              <w:rPr>
                <w:rFonts w:ascii="宋体" w:hAnsi="宋体" w:cs="宋体" w:eastAsia="宋体" w:hint="default"/>
                <w:sz w:val="21"/>
                <w:szCs w:val="21"/>
              </w:rPr>
            </w:pPr>
            <w:r>
              <w:rPr>
                <w:rFonts w:ascii="宋体" w:hAnsi="宋体" w:cs="宋体" w:eastAsia="宋体" w:hint="default"/>
                <w:sz w:val="21"/>
                <w:szCs w:val="21"/>
              </w:rPr>
              <w:t>《关于变更公司名称、证券简称暨完成工商变 更登记的公告》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2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3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34"/>
              <w:jc w:val="left"/>
              <w:rPr>
                <w:rFonts w:ascii="宋体" w:hAnsi="宋体" w:cs="宋体" w:eastAsia="宋体" w:hint="default"/>
                <w:sz w:val="21"/>
                <w:szCs w:val="21"/>
              </w:rPr>
            </w:pPr>
            <w:r>
              <w:rPr>
                <w:rFonts w:ascii="宋体" w:hAnsi="宋体" w:cs="宋体" w:eastAsia="宋体" w:hint="default"/>
                <w:sz w:val="21"/>
                <w:szCs w:val="21"/>
              </w:rPr>
              <w:t>《关于红相股份有限公司创业板非公开发行股 票申请文件反馈意见之回复》</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63.546021pt;margin-top:152.899979pt;width:111.75pt;height:19.650pt;mso-position-horizontal-relative:page;mso-position-vertical-relative:page;z-index:-1265176" type="#_x0000_t202" filled="false" stroked="false">
            <v:textbox inset="0,0,0,0">
              <w:txbxContent>
                <w:p>
                  <w:pPr>
                    <w:spacing w:before="26"/>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r>
        <w:rPr/>
        <w:pict>
          <v:group style="position:absolute;margin-left:269.859985pt;margin-top:152.899979pt;width:105.45pt;height:19.650pt;mso-position-horizontal-relative:page;mso-position-vertical-relative:page;z-index:-1265152" coordorigin="5397,3058" coordsize="2109,393">
            <v:shape style="position:absolute;left:5397;top:3058;width:2109;height:393" coordorigin="5397,3058" coordsize="2109,393" path="m5397,3450l7506,3450,7506,3058,5397,3058,5397,3450xe" filled="true" fillcolor="#ffffff" stroked="false">
              <v:path arrowok="t"/>
              <v:fill type="solid"/>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4254"/>
        <w:gridCol w:w="2129"/>
        <w:gridCol w:w="3188"/>
      </w:tblGrid>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《关于调整非公开发行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股股票方案的公告》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股股票预案（修订稿）》</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73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35"/>
              <w:ind w:left="2" w:right="93"/>
              <w:jc w:val="left"/>
              <w:rPr>
                <w:rFonts w:ascii="宋体" w:hAnsi="宋体" w:cs="宋体" w:eastAsia="宋体" w:hint="default"/>
                <w:sz w:val="21"/>
                <w:szCs w:val="21"/>
              </w:rPr>
            </w:pPr>
            <w:r>
              <w:rPr>
                <w:rFonts w:ascii="宋体" w:hAnsi="宋体" w:cs="宋体" w:eastAsia="宋体" w:hint="default"/>
                <w:sz w:val="21"/>
                <w:szCs w:val="21"/>
              </w:rPr>
              <w:t>《关于第二次调整非公开发行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股股票方案的 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股股票预案（第二次修订稿）</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65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left"/>
              <w:rPr>
                <w:rFonts w:ascii="宋体" w:hAnsi="宋体" w:cs="宋体" w:eastAsia="宋体" w:hint="default"/>
                <w:sz w:val="21"/>
                <w:szCs w:val="21"/>
              </w:rPr>
            </w:pPr>
            <w:r>
              <w:rPr>
                <w:rFonts w:ascii="宋体" w:hAnsi="宋体" w:cs="宋体" w:eastAsia="宋体" w:hint="default"/>
                <w:sz w:val="21"/>
                <w:szCs w:val="21"/>
              </w:rPr>
              <w:t>《关于非公开发行股票申请获得中国证监会发 行审核委员会审核通过的公告》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《关于签订日常经营性合同的公告》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9"/>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65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left"/>
              <w:rPr>
                <w:rFonts w:ascii="宋体" w:hAnsi="宋体" w:cs="宋体" w:eastAsia="宋体" w:hint="default"/>
                <w:sz w:val="21"/>
                <w:szCs w:val="21"/>
              </w:rPr>
            </w:pPr>
            <w:r>
              <w:rPr>
                <w:rFonts w:ascii="宋体" w:hAnsi="宋体" w:cs="宋体" w:eastAsia="宋体" w:hint="default"/>
                <w:sz w:val="21"/>
                <w:szCs w:val="21"/>
              </w:rPr>
              <w:t>《关于非公开发行股票申请获得中国证监会核 准批复的公告》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r>
        <w:trPr>
          <w:trHeight w:val="660"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left"/>
              <w:rPr>
                <w:rFonts w:ascii="宋体" w:hAnsi="宋体" w:cs="宋体" w:eastAsia="宋体" w:hint="default"/>
                <w:sz w:val="21"/>
                <w:szCs w:val="21"/>
              </w:rPr>
            </w:pPr>
            <w:r>
              <w:rPr>
                <w:rFonts w:ascii="宋体" w:hAnsi="宋体" w:cs="宋体" w:eastAsia="宋体" w:hint="default"/>
                <w:sz w:val="21"/>
                <w:szCs w:val="21"/>
              </w:rPr>
              <w:t>《关于发行股份及支付现金购买资产部分限售 股份解除限售上市流通的提示性公告》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2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r>
        <w:trPr>
          <w:trHeight w:val="426"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《创业板非公开发行股票发行情况报告书》</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《创业板非公开发行股票上市公告书》</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r>
        <w:trPr>
          <w:trHeight w:val="65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left"/>
              <w:rPr>
                <w:rFonts w:ascii="宋体" w:hAnsi="宋体" w:cs="宋体" w:eastAsia="宋体" w:hint="default"/>
                <w:sz w:val="21"/>
                <w:szCs w:val="21"/>
              </w:rPr>
            </w:pPr>
            <w:r>
              <w:rPr>
                <w:rFonts w:ascii="宋体" w:hAnsi="宋体" w:cs="宋体" w:eastAsia="宋体" w:hint="default"/>
                <w:sz w:val="21"/>
                <w:szCs w:val="21"/>
              </w:rPr>
              <w:t>《关于控股股东协议转让部分公司股份暨权益 变动的提示性公告》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42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r>
        <w:trPr>
          <w:trHeight w:val="660"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《关于收购浙江涵普电力科技有限公司剩余</w:t>
            </w:r>
          </w:p>
          <w:p>
            <w:pPr>
              <w:pStyle w:val="TableParagraph"/>
              <w:spacing w:line="240" w:lineRule="auto" w:before="37"/>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w:t>
            </w:r>
            <w:r>
              <w:rPr>
                <w:rFonts w:ascii="宋体" w:hAnsi="宋体" w:cs="宋体" w:eastAsia="宋体" w:hint="default"/>
                <w:sz w:val="21"/>
                <w:szCs w:val="21"/>
              </w:rPr>
              <w:t>股权的公告》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25</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r>
        <w:trPr>
          <w:trHeight w:val="659"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《关于收购浙江涵普电力科技有限公司剩余</w:t>
            </w:r>
          </w:p>
          <w:p>
            <w:pPr>
              <w:pStyle w:val="TableParagraph"/>
              <w:spacing w:line="240" w:lineRule="auto" w:before="37"/>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w:t>
            </w:r>
            <w:r>
              <w:rPr>
                <w:rFonts w:ascii="宋体" w:hAnsi="宋体" w:cs="宋体" w:eastAsia="宋体" w:hint="default"/>
                <w:sz w:val="21"/>
                <w:szCs w:val="21"/>
              </w:rPr>
              <w:t>股权完成工商变更登记的公告》</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7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817"/>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817"/>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股份变动情况" w:id="109"/>
      <w:bookmarkEnd w:id="10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股份变动情况" w:id="110"/>
      <w:bookmarkEnd w:id="1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71.97%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-147,661,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-147,661,</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218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3,267,661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0.93%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-3,267,66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-3,267,66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250,491,6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71.04%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-144,393,</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557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-144,393,</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557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30.09%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49,527,09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14.05%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-1,960,59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-1,960,59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13.49%</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200,964,5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-142,432,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961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-142,432,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58,531,58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16.60%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98,827,48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28.03%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98,827,48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28.03%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69.91%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352,586,7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352,586,7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5"/>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、报告期内，公司无限售流通股共计增加了</w:t>
      </w:r>
      <w:r>
        <w:rPr>
          <w:rFonts w:ascii="Times New Roman" w:hAnsi="Times New Roman" w:cs="Times New Roman" w:eastAsia="Times New Roman" w:hint="default"/>
          <w:sz w:val="21"/>
          <w:szCs w:val="21"/>
        </w:rPr>
        <w:t>147,661,218</w:t>
      </w:r>
      <w:r>
        <w:rPr>
          <w:rFonts w:ascii="宋体" w:hAnsi="宋体" w:cs="宋体" w:eastAsia="宋体" w:hint="default"/>
          <w:sz w:val="21"/>
          <w:szCs w:val="21"/>
        </w:rPr>
        <w:t>股，具体情况如下：</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1.1</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2018</w:t>
      </w:r>
      <w:r>
        <w:rPr>
          <w:rFonts w:ascii="宋体" w:hAnsi="宋体" w:cs="宋体" w:eastAsia="宋体" w:hint="default"/>
          <w:spacing w:val="11"/>
          <w:sz w:val="21"/>
          <w:szCs w:val="21"/>
        </w:rPr>
        <w:t>年</w:t>
      </w: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月</w:t>
      </w:r>
      <w:r>
        <w:rPr>
          <w:rFonts w:ascii="Times New Roman" w:hAnsi="Times New Roman" w:cs="Times New Roman" w:eastAsia="Times New Roman" w:hint="default"/>
          <w:spacing w:val="11"/>
          <w:sz w:val="21"/>
          <w:szCs w:val="21"/>
        </w:rPr>
        <w:t>5</w:t>
      </w:r>
      <w:r>
        <w:rPr>
          <w:rFonts w:ascii="宋体" w:hAnsi="宋体" w:cs="宋体" w:eastAsia="宋体" w:hint="default"/>
          <w:spacing w:val="11"/>
          <w:sz w:val="21"/>
          <w:szCs w:val="21"/>
        </w:rPr>
        <w:t>日，公司大股东及其关联人杨保田、杨成、杨力持有的首次公开发行前已发行股份</w:t>
      </w:r>
    </w:p>
    <w:p>
      <w:pPr>
        <w:spacing w:before="21"/>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171,921,366</w:t>
      </w:r>
      <w:r>
        <w:rPr>
          <w:rFonts w:ascii="宋体" w:hAnsi="宋体" w:cs="宋体" w:eastAsia="宋体" w:hint="default"/>
          <w:sz w:val="21"/>
          <w:szCs w:val="21"/>
        </w:rPr>
        <w:t>股解除限售，占公司总股本的</w:t>
      </w:r>
      <w:r>
        <w:rPr>
          <w:rFonts w:ascii="Times New Roman" w:hAnsi="Times New Roman" w:cs="Times New Roman" w:eastAsia="Times New Roman" w:hint="default"/>
          <w:sz w:val="21"/>
          <w:szCs w:val="21"/>
        </w:rPr>
        <w:t>48.76%</w:t>
      </w:r>
      <w:r>
        <w:rPr>
          <w:rFonts w:ascii="宋体" w:hAnsi="宋体" w:cs="宋体" w:eastAsia="宋体" w:hint="default"/>
          <w:sz w:val="21"/>
          <w:szCs w:val="21"/>
        </w:rPr>
        <w:t>。具体内容详见公司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日于巨潮资讯网披露的</w:t>
      </w:r>
    </w:p>
    <w:p>
      <w:pPr>
        <w:spacing w:line="256" w:lineRule="auto" w:before="21"/>
        <w:ind w:left="154" w:right="1127" w:firstLine="0"/>
        <w:jc w:val="left"/>
        <w:rPr>
          <w:rFonts w:ascii="宋体" w:hAnsi="宋体" w:cs="宋体" w:eastAsia="宋体" w:hint="default"/>
          <w:sz w:val="21"/>
          <w:szCs w:val="21"/>
        </w:rPr>
      </w:pPr>
      <w:r>
        <w:rPr>
          <w:rFonts w:ascii="宋体" w:hAnsi="宋体" w:cs="宋体" w:eastAsia="宋体" w:hint="default"/>
          <w:sz w:val="21"/>
          <w:szCs w:val="21"/>
        </w:rPr>
        <w:t>《首次公开发行前已发行股份上市流通提示性公告》（公告编号：</w:t>
      </w:r>
      <w:r>
        <w:rPr>
          <w:rFonts w:ascii="Times New Roman" w:hAnsi="Times New Roman" w:cs="Times New Roman" w:eastAsia="Times New Roman" w:hint="default"/>
          <w:sz w:val="21"/>
          <w:szCs w:val="21"/>
        </w:rPr>
        <w:t>2018-018</w:t>
      </w:r>
      <w:r>
        <w:rPr>
          <w:rFonts w:ascii="宋体" w:hAnsi="宋体" w:cs="宋体" w:eastAsia="宋体" w:hint="default"/>
          <w:sz w:val="21"/>
          <w:szCs w:val="21"/>
        </w:rPr>
        <w:t>）。杨保田担任公司第三届董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事会董事于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日届满离任，董监高离任股份自离任之日起锁定</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个月，</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日锁定期届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满，其持有的</w:t>
      </w:r>
      <w:r>
        <w:rPr>
          <w:rFonts w:ascii="Times New Roman" w:hAnsi="Times New Roman" w:cs="Times New Roman" w:eastAsia="Times New Roman" w:hint="default"/>
          <w:spacing w:val="-1"/>
          <w:sz w:val="21"/>
          <w:szCs w:val="21"/>
        </w:rPr>
        <w:t>124,898,042</w:t>
      </w:r>
      <w:r>
        <w:rPr>
          <w:rFonts w:ascii="宋体" w:hAnsi="宋体" w:cs="宋体" w:eastAsia="宋体" w:hint="default"/>
          <w:spacing w:val="-1"/>
          <w:sz w:val="21"/>
          <w:szCs w:val="21"/>
        </w:rPr>
        <w:t>股上市流通。杨成、杨力系公司第四届董事会董事，基于董监高身份，每年初按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持股总数</w:t>
      </w:r>
      <w:r>
        <w:rPr>
          <w:rFonts w:ascii="Times New Roman" w:hAnsi="Times New Roman" w:cs="Times New Roman" w:eastAsia="Times New Roman" w:hint="default"/>
          <w:sz w:val="21"/>
          <w:szCs w:val="21"/>
        </w:rPr>
        <w:t>25%</w:t>
      </w:r>
      <w:r>
        <w:rPr>
          <w:rFonts w:ascii="宋体" w:hAnsi="宋体" w:cs="宋体" w:eastAsia="宋体" w:hint="default"/>
          <w:sz w:val="21"/>
          <w:szCs w:val="21"/>
        </w:rPr>
        <w:t>解除限售，杨成持有的</w:t>
      </w:r>
      <w:r>
        <w:rPr>
          <w:rFonts w:ascii="Times New Roman" w:hAnsi="Times New Roman" w:cs="Times New Roman" w:eastAsia="Times New Roman" w:hint="default"/>
          <w:sz w:val="21"/>
          <w:szCs w:val="21"/>
        </w:rPr>
        <w:t>9,713,278</w:t>
      </w:r>
      <w:r>
        <w:rPr>
          <w:rFonts w:ascii="宋体" w:hAnsi="宋体" w:cs="宋体" w:eastAsia="宋体" w:hint="default"/>
          <w:sz w:val="21"/>
          <w:szCs w:val="21"/>
        </w:rPr>
        <w:t>股及杨力持有的</w:t>
      </w:r>
      <w:r>
        <w:rPr>
          <w:rFonts w:ascii="Times New Roman" w:hAnsi="Times New Roman" w:cs="Times New Roman" w:eastAsia="Times New Roman" w:hint="default"/>
          <w:sz w:val="21"/>
          <w:szCs w:val="21"/>
        </w:rPr>
        <w:t>2,042,553</w:t>
      </w:r>
      <w:r>
        <w:rPr>
          <w:rFonts w:ascii="宋体" w:hAnsi="宋体" w:cs="宋体" w:eastAsia="宋体" w:hint="default"/>
          <w:sz w:val="21"/>
          <w:szCs w:val="21"/>
        </w:rPr>
        <w:t>股，解除限售上市流通。 </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、股东马露萍、王新火、罗媛、陈耀高、林庆乙等五人为公司第三届董事会董监高，共计持有公司股份</w:t>
      </w:r>
    </w:p>
    <w:p>
      <w:pPr>
        <w:spacing w:line="256" w:lineRule="auto" w:before="5"/>
        <w:ind w:left="154" w:right="113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3,097,193</w:t>
      </w:r>
      <w:r>
        <w:rPr>
          <w:rFonts w:ascii="宋体" w:hAnsi="宋体" w:cs="宋体" w:eastAsia="宋体" w:hint="default"/>
          <w:spacing w:val="-1"/>
          <w:sz w:val="21"/>
          <w:szCs w:val="21"/>
        </w:rPr>
        <w:t>股，于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日届满离任，董监高离任股份自离任之日起锁定</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个月，</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日锁定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期届满，其共计持有的</w:t>
      </w:r>
      <w:r>
        <w:rPr>
          <w:rFonts w:ascii="Times New Roman" w:hAnsi="Times New Roman" w:cs="Times New Roman" w:eastAsia="Times New Roman" w:hint="default"/>
          <w:sz w:val="21"/>
          <w:szCs w:val="21"/>
        </w:rPr>
        <w:t>3,097,193</w:t>
      </w:r>
      <w:r>
        <w:rPr>
          <w:rFonts w:ascii="宋体" w:hAnsi="宋体" w:cs="宋体" w:eastAsia="宋体" w:hint="default"/>
          <w:sz w:val="21"/>
          <w:szCs w:val="21"/>
        </w:rPr>
        <w:t>股上市流通。 </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日，公司重大资产重组部分限售股份解除限售，共有</w:t>
      </w:r>
      <w:r>
        <w:rPr>
          <w:rFonts w:ascii="Times New Roman" w:hAnsi="Times New Roman" w:cs="Times New Roman" w:eastAsia="Times New Roman" w:hint="default"/>
          <w:sz w:val="21"/>
          <w:szCs w:val="21"/>
        </w:rPr>
        <w:t>10</w:t>
      </w:r>
      <w:r>
        <w:rPr>
          <w:rFonts w:ascii="宋体" w:hAnsi="宋体" w:cs="宋体" w:eastAsia="宋体" w:hint="default"/>
          <w:sz w:val="21"/>
          <w:szCs w:val="21"/>
        </w:rPr>
        <w:t>名股东解除限售</w:t>
      </w:r>
      <w:r>
        <w:rPr>
          <w:rFonts w:ascii="Times New Roman" w:hAnsi="Times New Roman" w:cs="Times New Roman" w:eastAsia="Times New Roman" w:hint="default"/>
          <w:sz w:val="21"/>
          <w:szCs w:val="21"/>
        </w:rPr>
        <w:t>7,910,152 </w:t>
      </w:r>
      <w:r>
        <w:rPr>
          <w:rFonts w:ascii="宋体" w:hAnsi="宋体" w:cs="宋体" w:eastAsia="宋体" w:hint="default"/>
          <w:sz w:val="21"/>
          <w:szCs w:val="21"/>
        </w:rPr>
        <w:t>股，</w:t>
      </w:r>
      <w:r>
        <w:rPr>
          <w:rFonts w:ascii="宋体" w:hAnsi="宋体" w:cs="宋体" w:eastAsia="宋体" w:hint="default"/>
          <w:spacing w:val="-85"/>
          <w:sz w:val="21"/>
          <w:szCs w:val="21"/>
        </w:rPr>
        <w:t> </w:t>
      </w:r>
      <w:r>
        <w:rPr>
          <w:rFonts w:ascii="宋体" w:hAnsi="宋体" w:cs="宋体" w:eastAsia="宋体" w:hint="default"/>
          <w:spacing w:val="-1"/>
          <w:sz w:val="21"/>
          <w:szCs w:val="21"/>
        </w:rPr>
        <w:t>并于</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日上市流通。具体内容详见公司于</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日于巨潮资讯网披露的《关于发行股份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及支付现金购买资产部分限售股份解除限售上市流通的提示性公告》（公告编号：</w:t>
      </w:r>
      <w:r>
        <w:rPr>
          <w:rFonts w:ascii="Times New Roman" w:hAnsi="Times New Roman" w:cs="Times New Roman" w:eastAsia="Times New Roman" w:hint="default"/>
          <w:sz w:val="21"/>
          <w:szCs w:val="21"/>
        </w:rPr>
        <w:t>2018-085</w:t>
      </w:r>
      <w:r>
        <w:rPr>
          <w:rFonts w:ascii="宋体" w:hAnsi="宋体" w:cs="宋体" w:eastAsia="宋体" w:hint="default"/>
          <w:sz w:val="21"/>
          <w:szCs w:val="21"/>
        </w:rPr>
        <w:t>）。</w:t>
      </w:r>
    </w:p>
    <w:p>
      <w:pPr>
        <w:spacing w:before="71"/>
        <w:ind w:left="154" w:right="81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0"/>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2"/>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限售股份变动情况"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124,898,042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124,898,042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75"/>
              <w:jc w:val="left"/>
              <w:rPr>
                <w:rFonts w:ascii="宋体" w:hAnsi="宋体" w:cs="宋体" w:eastAsia="宋体" w:hint="default"/>
                <w:sz w:val="18"/>
                <w:szCs w:val="18"/>
              </w:rPr>
            </w:pPr>
            <w:r>
              <w:rPr>
                <w:rFonts w:ascii="宋体" w:hAnsi="宋体" w:cs="宋体" w:eastAsia="宋体" w:hint="default"/>
                <w:sz w:val="18"/>
                <w:szCs w:val="18"/>
              </w:rPr>
              <w:t>首发前个人类限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 解除首发前个人 类限售，但因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9" w:lineRule="auto" w:before="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卧龙电气集团股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45,013,368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45,013,368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38,853,113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9,713,278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29,139,835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董监高锁定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 解除首发前个人 类限售；基于董 监高身份，每年 初按持股总数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9,897,958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9,897,958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董监高锁定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每年初按持股总 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695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8,419,109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1,683,822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6,735,287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首发后个人类限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7" w:lineRule="auto" w:before="32"/>
              <w:ind w:left="22" w:right="53"/>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2"/>
                <w:sz w:val="18"/>
                <w:szCs w:val="18"/>
              </w:rPr>
              <w:t>件）；</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、高管锁</w:t>
            </w:r>
            <w:r>
              <w:rPr>
                <w:rFonts w:ascii="宋体" w:hAnsi="宋体" w:cs="宋体" w:eastAsia="宋体" w:hint="default"/>
                <w:spacing w:val="-84"/>
                <w:sz w:val="18"/>
                <w:szCs w:val="18"/>
              </w:rPr>
              <w:t> </w:t>
            </w:r>
            <w:r>
              <w:rPr>
                <w:rFonts w:ascii="宋体" w:hAnsi="宋体" w:cs="宋体" w:eastAsia="宋体" w:hint="default"/>
                <w:sz w:val="18"/>
                <w:szCs w:val="18"/>
              </w:rPr>
              <w:t>定股每年初按持 股总数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w:t>
            </w:r>
          </w:p>
          <w:p>
            <w:pPr>
              <w:pStyle w:val="TableParagraph"/>
              <w:spacing w:line="309" w:lineRule="auto" w:before="7"/>
              <w:ind w:left="22"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限售期届满，于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19" w:lineRule="auto" w:before="5"/>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2,042,553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6,127,658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董监高锁定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 解除首发前个人 类限售；基于董 监高身份，每年 初按持股总数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9"/>
              <w:jc w:val="left"/>
              <w:rPr>
                <w:rFonts w:ascii="宋体" w:hAnsi="宋体" w:cs="宋体" w:eastAsia="宋体" w:hint="default"/>
                <w:sz w:val="18"/>
                <w:szCs w:val="18"/>
              </w:rPr>
            </w:pPr>
            <w:r>
              <w:rPr>
                <w:rFonts w:ascii="宋体" w:hAnsi="宋体" w:cs="宋体" w:eastAsia="宋体" w:hint="default"/>
                <w:sz w:val="18"/>
                <w:szCs w:val="18"/>
              </w:rPr>
              <w:t>安徽兴皖创业投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3,267,661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日限售期届</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满</w:t>
            </w:r>
            <w:r>
              <w:rPr>
                <w:rFonts w:ascii="宋体" w:hAnsi="宋体" w:cs="宋体" w:eastAsia="宋体" w:hint="default"/>
                <w:spacing w:val="-89"/>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302" w:lineRule="auto" w:before="63"/>
              <w:ind w:left="22" w:right="15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5pt;height:693.85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上海兆韧投资管 理合伙企业（有 限合伙）－上海 兆戈投资管理合 伙企业（有限合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2,614,128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1,960,596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其持有的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1,960,596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9"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日限售期届满，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28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67"/>
                          <w:jc w:val="both"/>
                          <w:rPr>
                            <w:rFonts w:ascii="宋体" w:hAnsi="宋体" w:cs="宋体" w:eastAsia="宋体" w:hint="default"/>
                            <w:sz w:val="18"/>
                            <w:szCs w:val="18"/>
                          </w:rPr>
                        </w:pPr>
                        <w:r>
                          <w:rPr>
                            <w:rFonts w:ascii="宋体" w:hAnsi="宋体" w:cs="宋体" w:eastAsia="宋体" w:hint="default"/>
                            <w:sz w:val="18"/>
                            <w:szCs w:val="18"/>
                          </w:rPr>
                          <w:t>合肥星睿股权投 资合伙企业（有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1,899,600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1,899,600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剩余股份的比例 分批解锁（如满 </w:t>
                        </w:r>
                        <w:r>
                          <w:rPr>
                            <w:rFonts w:ascii="宋体" w:hAnsi="宋体" w:cs="宋体" w:eastAsia="宋体" w:hint="default"/>
                            <w:spacing w:val="-13"/>
                            <w:sz w:val="18"/>
                            <w:szCs w:val="18"/>
                          </w:rPr>
                          <w:t>足解锁条件）；</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席立功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1,668,449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1,668,449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01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1,091,252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7" w:lineRule="auto" w:before="3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0"/>
                            <w:sz w:val="18"/>
                            <w:szCs w:val="18"/>
                          </w:rPr>
                          <w:t>件）；</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日其持 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限 售期届满，于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19" w:lineRule="auto" w:before="7"/>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1,021,278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9"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何东武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834,224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834,224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786,384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9"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601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徐建平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635,016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508,013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7" w:lineRule="auto" w:before="3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0"/>
                <w:sz w:val="18"/>
                <w:szCs w:val="18"/>
              </w:rPr>
              <w:t>件）；</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日其持 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限 售期届满，于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19" w:lineRule="auto" w:before="7"/>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473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刘宏胜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652,896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522,317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7" w:lineRule="auto" w:before="32"/>
              <w:ind w:left="22" w:right="23"/>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0"/>
                <w:sz w:val="18"/>
                <w:szCs w:val="18"/>
              </w:rPr>
              <w:t>件）；</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日其持 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限</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298"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售期届满，于</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19"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吴国敏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01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陈小杰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620,711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496,569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7" w:lineRule="auto" w:before="3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0"/>
                <w:sz w:val="18"/>
                <w:szCs w:val="18"/>
              </w:rPr>
              <w:t>件）；</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日其持 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限 售期届满，于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19" w:lineRule="auto" w:before="7"/>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129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王长乐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545,614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109,123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436,491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4731"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7" w:lineRule="auto" w:before="3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0"/>
                <w:sz w:val="18"/>
                <w:szCs w:val="18"/>
              </w:rPr>
              <w:t>件）；</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日其持 股数量的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限 售期届满，于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19" w:lineRule="auto" w:before="7"/>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刘启斌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日限售期届</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满</w:t>
            </w:r>
            <w:r>
              <w:rPr>
                <w:rFonts w:ascii="宋体" w:hAnsi="宋体" w:cs="宋体" w:eastAsia="宋体" w:hint="default"/>
                <w:spacing w:val="-89"/>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302" w:lineRule="auto" w:before="63"/>
              <w:ind w:left="22" w:right="15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程小虎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日限售期届</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满</w:t>
            </w:r>
            <w:r>
              <w:rPr>
                <w:rFonts w:ascii="宋体" w:hAnsi="宋体" w:cs="宋体" w:eastAsia="宋体" w:hint="default"/>
                <w:spacing w:val="-89"/>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pStyle w:val="TableParagraph"/>
              <w:spacing w:line="302" w:lineRule="auto" w:before="63"/>
              <w:ind w:left="22" w:right="15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254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左克刚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tc>
      </w:tr>
    </w:tbl>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王加玉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王延慧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邢成林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奚银春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首发后个人类限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2859"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胡万云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魏京保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129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袁长亮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923"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每年按取得股份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6"/>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谢安安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253,759,303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147,661,218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106,098,085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817"/>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报告期内证券发行（不含优先股）情况" w:id="113"/>
      <w:bookmarkEnd w:id="11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公司股份总数及股东结构的变动、公司资产和负债结构的变动情况说明"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现存的内部职工股情况" w:id="115"/>
      <w:bookmarkEnd w:id="1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817"/>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公司股东数量及持股情况" w:id="117"/>
      <w:bookmarkEnd w:id="1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123.29998pt;width:85.6pt;height:31.25pt;mso-position-horizontal-relative:page;mso-position-vertical-relative:page;z-index:-126510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123.29998pt;width:52.45pt;height:31.25pt;mso-position-horizontal-relative:page;mso-position-vertical-relative:page;z-index:-1265080" coordorigin="9648,2466" coordsize="1049,625">
            <v:shape style="position:absolute;left:9648;top:2466;width:1049;height:625" coordorigin="9648,2466" coordsize="1049,625" path="m9648,3090l10697,3090,10697,2466,9648,2466,9648,30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8"/>
        <w:gridCol w:w="317"/>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14,624</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14,059</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694"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694"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1344"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35.42%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124,898,0</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42</w:t>
            </w:r>
          </w:p>
        </w:tc>
        <w:tc>
          <w:tcPr>
            <w:tcW w:w="134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94,890,000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卧龙电气集团股 份有限公司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45,013,36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45,013,36</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29,139,83</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9,713,278</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34,106,122</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9,897,958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3,299,319</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8,419,109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6,735,287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1,683,822</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6,127,658</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2,042,553</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5,575,600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长江成长资本投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7,773,511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7,773,511</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安徽兴皖创业投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3,267,661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3,267,661</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上海兆韧投资管 </w:t>
            </w:r>
            <w:r>
              <w:rPr>
                <w:rFonts w:ascii="宋体" w:hAnsi="宋体" w:cs="宋体" w:eastAsia="宋体" w:hint="default"/>
                <w:spacing w:val="-4"/>
                <w:sz w:val="18"/>
                <w:szCs w:val="18"/>
              </w:rPr>
              <w:t>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合伙）－上海兆戈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投资管理合伙企 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0.74%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2,614,128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653,532</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1,960,596</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份有限公司－诺 安新经济股票型 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2,000,094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9"/>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8"/>
              <w:jc w:val="right"/>
              <w:rPr>
                <w:rFonts w:ascii="Times New Roman" w:hAnsi="Times New Roman" w:cs="Times New Roman" w:eastAsia="Times New Roman" w:hint="default"/>
                <w:sz w:val="18"/>
                <w:szCs w:val="18"/>
              </w:rPr>
            </w:pPr>
            <w:r>
              <w:rPr>
                <w:rFonts w:ascii="Times New Roman"/>
                <w:sz w:val="18"/>
              </w:rPr>
              <w:t>2,000,094</w:t>
            </w:r>
          </w:p>
        </w:tc>
        <w:tc>
          <w:tcPr>
            <w:tcW w:w="1344"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、杨保田与杨成系父子，杨成与杨力系兄弟关系。杨保田、杨成两人合计持有公司</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163,751,155  </w:t>
            </w:r>
            <w:r>
              <w:rPr>
                <w:rFonts w:ascii="宋体" w:hAnsi="宋体" w:cs="宋体" w:eastAsia="宋体" w:hint="default"/>
                <w:sz w:val="18"/>
                <w:szCs w:val="18"/>
              </w:rPr>
              <w:t>股股份，占公司股本总额的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46.44%</w:t>
            </w:r>
            <w:r>
              <w:rPr>
                <w:rFonts w:ascii="宋体" w:hAnsi="宋体" w:cs="宋体" w:eastAsia="宋体" w:hint="default"/>
                <w:sz w:val="18"/>
                <w:szCs w:val="18"/>
              </w:rPr>
              <w:t>，是公司的实际控制人。</w:t>
            </w:r>
          </w:p>
          <w:p>
            <w:pPr>
              <w:pStyle w:val="TableParagraph"/>
              <w:spacing w:line="302" w:lineRule="auto" w:before="101"/>
              <w:ind w:left="16"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、除前述股东外，公司未知前十名股东之间是否存在关联关系或是属于《上市公司 股东持股变动信息披露管理办法》规定的一致行动人。</w:t>
            </w:r>
          </w:p>
        </w:tc>
      </w:tr>
      <w:tr>
        <w:trPr>
          <w:trHeight w:val="704" w:hRule="exact"/>
        </w:trPr>
        <w:tc>
          <w:tcPr>
            <w:tcW w:w="288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vMerge/>
            <w:tcBorders>
              <w:left w:val="single" w:sz="9" w:space="0" w:color="D2D2D2"/>
              <w:right w:val="single" w:sz="4" w:space="0" w:color="000000"/>
            </w:tcBorders>
          </w:tcPr>
          <w:p>
            <w:pPr/>
          </w:p>
        </w:tc>
      </w:tr>
      <w:tr>
        <w:trPr>
          <w:trHeight w:val="337"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11"/>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4"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995" w:type="dxa"/>
            <w:gridSpan w:val="6"/>
            <w:vMerge/>
            <w:tcBorders>
              <w:left w:val="single" w:sz="4" w:space="0" w:color="000000"/>
              <w:bottom w:val="nil" w:sz="6" w:space="0" w:color="auto"/>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124,898,042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124,898,042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9,713,278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9,713,278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长江成长资本投资有限公司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7,773,511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7,773,511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3,299,319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3,299,319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安徽兴皖创业投资有限公司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3,267,661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3,267,661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2,042,553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2,042,553</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 新经济股票型证券投资基金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2,000,094</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上海兆韧投资管理合伙企业（有限合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伙）－上海兆戈投资管理合伙企业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1,960,596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1,960,596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1,683,822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1,683,822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全国社保基金四零七组合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1,464,500</w:t>
            </w:r>
          </w:p>
        </w:tc>
      </w:tr>
      <w:tr>
        <w:trPr>
          <w:trHeight w:val="169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、公司前十名无限售流通股股东与公司两名控股股东、实际控制人杨成、杨保田及 关联方杨力，不存在任何关联关系。</w:t>
            </w:r>
          </w:p>
          <w:p>
            <w:pPr>
              <w:pStyle w:val="TableParagraph"/>
              <w:spacing w:line="309" w:lineRule="auto" w:before="6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、除前述情况外，公司未知前十名无限售流通股股东之间，以及前十名无限售流通 </w:t>
            </w:r>
            <w:r>
              <w:rPr>
                <w:rFonts w:ascii="宋体" w:hAnsi="宋体" w:cs="宋体" w:eastAsia="宋体" w:hint="default"/>
                <w:spacing w:val="-1"/>
                <w:sz w:val="18"/>
                <w:szCs w:val="18"/>
              </w:rPr>
              <w:t>股股东和其他前十名股东之间是否存在关联关系或是属于《上市公司股东持股变动信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息披露管理办法》规定的一致行动人。</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公司控股股东情况" w:id="118"/>
      <w:bookmarkEnd w:id="1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1"/>
                <w:sz w:val="18"/>
                <w:szCs w:val="18"/>
              </w:rPr>
              <w:t>杨成先生：公司董事长、总经理及法定代表人；中国籍，无境外居留权，</w:t>
            </w:r>
            <w:r>
              <w:rPr>
                <w:rFonts w:ascii="Times New Roman" w:hAnsi="Times New Roman" w:cs="Times New Roman" w:eastAsia="Times New Roman" w:hint="default"/>
                <w:spacing w:val="-1"/>
                <w:sz w:val="18"/>
                <w:szCs w:val="18"/>
              </w:rPr>
              <w:t>1961</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年出生，厦门大学统计学硕士。</w:t>
            </w:r>
            <w:r>
              <w:rPr>
                <w:rFonts w:ascii="Times New Roman" w:hAnsi="Times New Roman" w:cs="Times New Roman" w:eastAsia="Times New Roman" w:hint="default"/>
                <w:sz w:val="18"/>
                <w:szCs w:val="18"/>
              </w:rPr>
              <w:t>1991 </w:t>
            </w:r>
            <w:r>
              <w:rPr>
                <w:rFonts w:ascii="宋体" w:hAnsi="宋体" w:cs="宋体" w:eastAsia="宋体" w:hint="default"/>
                <w:sz w:val="18"/>
                <w:szCs w:val="18"/>
              </w:rPr>
              <w:t>年前，杨成先生曾先后在安徽省淮南发 电总厂、中国土产畜产进出口总公司厦门公司工作，</w:t>
            </w:r>
            <w:r>
              <w:rPr>
                <w:rFonts w:ascii="Times New Roman" w:hAnsi="Times New Roman" w:cs="Times New Roman" w:eastAsia="Times New Roman" w:hint="default"/>
                <w:sz w:val="18"/>
                <w:szCs w:val="18"/>
              </w:rPr>
              <w:t>1991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年就读 于澳大利亚皇家理工学院会计专业，</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年起进入红相电力澳大利亚有限公 司的前身 </w:t>
            </w:r>
            <w:r>
              <w:rPr>
                <w:rFonts w:ascii="Times New Roman" w:hAnsi="Times New Roman" w:cs="Times New Roman" w:eastAsia="Times New Roman" w:hint="default"/>
                <w:sz w:val="18"/>
                <w:szCs w:val="18"/>
              </w:rPr>
              <w:t>R.M.D Electronics Pty Ltd </w:t>
            </w:r>
            <w:r>
              <w:rPr>
                <w:rFonts w:ascii="宋体" w:hAnsi="宋体" w:cs="宋体" w:eastAsia="宋体" w:hint="default"/>
                <w:spacing w:val="-7"/>
                <w:sz w:val="18"/>
                <w:szCs w:val="18"/>
              </w:rPr>
              <w:t>生产营销部工作，</w:t>
            </w:r>
            <w:r>
              <w:rPr>
                <w:rFonts w:ascii="Times New Roman" w:hAnsi="Times New Roman" w:cs="Times New Roman" w:eastAsia="Times New Roman" w:hint="default"/>
                <w:spacing w:val="-7"/>
                <w:sz w:val="18"/>
                <w:szCs w:val="18"/>
              </w:rPr>
              <w:t>1997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年起任厦门红相电 力设备有限公司副总经理，</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月起任厦门红相电力设备进出口有限公 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红相有限</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月至今任红相有限和公司董 事长、 总经理及法定代表人，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月起，兼任厦门红相软件有限公司 执行董事及法定代表人。</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月起，兼任厦门红相信息科技有限公司执 行董事兼法定代表人。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月起，兼任卧龙电气银川变压器有限公司董</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1.191743pt;width:479.2pt;height:16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6151"/>
                  </w:tblGrid>
                  <w:tr>
                    <w:trPr>
                      <w:trHeight w:val="322" w:hRule="exact"/>
                    </w:trPr>
                    <w:tc>
                      <w:tcPr>
                        <w:tcW w:w="3417" w:type="dxa"/>
                        <w:vMerge w:val="restart"/>
                        <w:tcBorders>
                          <w:top w:val="single" w:sz="4" w:space="0" w:color="000000"/>
                          <w:left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事长、法定代表人。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月起，兼任中宁县银变新能源有限公司董事</w:t>
                        </w:r>
                      </w:p>
                    </w:tc>
                  </w:tr>
                  <w:tr>
                    <w:trPr>
                      <w:trHeight w:val="312"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月起，兼任吴忠市红寺堡区银变新能源有限公司执行董事兼法定代</w:t>
                        </w:r>
                      </w:p>
                    </w:tc>
                  </w:tr>
                  <w:tr>
                    <w:trPr>
                      <w:trHeight w:val="312"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表人。杨成先生于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日取得澳大利亚永久居留权；</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w:t>
                        </w:r>
                      </w:p>
                    </w:tc>
                  </w:tr>
                  <w:tr>
                    <w:trPr>
                      <w:trHeight w:val="313"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日，杨成先生放弃澳大利亚永久居留权；</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日，厦门市</w:t>
                        </w:r>
                      </w:p>
                    </w:tc>
                  </w:tr>
                  <w:tr>
                    <w:trPr>
                      <w:trHeight w:val="328"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公安局出入境管理处恢复杨成先生的常住户口。</w:t>
                        </w:r>
                      </w:p>
                    </w:tc>
                  </w:tr>
                  <w:tr>
                    <w:trPr>
                      <w:trHeight w:val="337"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杨保田先生：中国籍，无境外居留权，</w:t>
                        </w:r>
                        <w:r>
                          <w:rPr>
                            <w:rFonts w:ascii="Times New Roman" w:hAnsi="Times New Roman" w:cs="Times New Roman" w:eastAsia="Times New Roman" w:hint="default"/>
                            <w:sz w:val="18"/>
                            <w:szCs w:val="18"/>
                          </w:rPr>
                          <w:t>1930  </w:t>
                        </w:r>
                        <w:r>
                          <w:rPr>
                            <w:rFonts w:ascii="宋体" w:hAnsi="宋体" w:cs="宋体" w:eastAsia="宋体" w:hint="default"/>
                            <w:sz w:val="18"/>
                            <w:szCs w:val="18"/>
                          </w:rPr>
                          <w:t>年出生，厦门大学计划统计专业</w:t>
                        </w:r>
                      </w:p>
                    </w:tc>
                  </w:tr>
                  <w:tr>
                    <w:trPr>
                      <w:trHeight w:val="312"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本科。杨保田先生于 </w:t>
                        </w:r>
                        <w:r>
                          <w:rPr>
                            <w:rFonts w:ascii="Times New Roman" w:hAnsi="Times New Roman" w:cs="Times New Roman" w:eastAsia="Times New Roman" w:hint="default"/>
                            <w:sz w:val="18"/>
                            <w:szCs w:val="18"/>
                          </w:rPr>
                          <w:t>1990  </w:t>
                        </w:r>
                        <w:r>
                          <w:rPr>
                            <w:rFonts w:ascii="宋体" w:hAnsi="宋体" w:cs="宋体" w:eastAsia="宋体" w:hint="default"/>
                            <w:sz w:val="18"/>
                            <w:szCs w:val="18"/>
                          </w:rPr>
                          <w:t>年退休，退休前一直任教于厦门大学；</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年起</w:t>
                        </w:r>
                      </w:p>
                    </w:tc>
                  </w:tr>
                  <w:tr>
                    <w:trPr>
                      <w:trHeight w:val="312"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任公司执行董事、总经理、法定代表人，</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月任红相</w:t>
                        </w:r>
                      </w:p>
                    </w:tc>
                  </w:tr>
                  <w:tr>
                    <w:trPr>
                      <w:trHeight w:val="313" w:hRule="exact"/>
                    </w:trPr>
                    <w:tc>
                      <w:tcPr>
                        <w:tcW w:w="3417" w:type="dxa"/>
                        <w:vMerge/>
                        <w:tcBorders>
                          <w:left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有限法定代表人、执行董事兼总经理，</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月任红相</w:t>
                        </w:r>
                      </w:p>
                    </w:tc>
                  </w:tr>
                  <w:tr>
                    <w:trPr>
                      <w:trHeight w:val="351" w:hRule="exact"/>
                    </w:trPr>
                    <w:tc>
                      <w:tcPr>
                        <w:tcW w:w="3417" w:type="dxa"/>
                        <w:vMerge/>
                        <w:tcBorders>
                          <w:left w:val="single" w:sz="4" w:space="0" w:color="000000"/>
                          <w:bottom w:val="single" w:sz="4" w:space="0" w:color="000000"/>
                          <w:right w:val="single" w:sz="4" w:space="0" w:color="000000"/>
                        </w:tcBorders>
                        <w:shd w:val="clear" w:color="auto" w:fill="D2D2D2"/>
                      </w:tcPr>
                      <w:p>
                        <w:pPr/>
                      </w:p>
                    </w:tc>
                    <w:tc>
                      <w:tcPr>
                        <w:tcW w:w="61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有限董事、副总经理，</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月任公司董事。</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3、公司实际控制人及其一致行动人" w:id="119"/>
      <w:bookmarkEnd w:id="1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0" w:right="1138" w:firstLine="0"/>
        <w:jc w:val="right"/>
        <w:rPr>
          <w:rFonts w:ascii="宋体" w:hAnsi="宋体" w:cs="宋体" w:eastAsia="宋体" w:hint="default"/>
          <w:sz w:val="18"/>
          <w:szCs w:val="18"/>
        </w:rPr>
      </w:pPr>
      <w:r>
        <w:rPr/>
        <w:pict>
          <v:shape style="position:absolute;margin-left:56.459999pt;margin-top:-128.068298pt;width:479.2pt;height:399.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4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、杨保田先生：中国籍，无境外居留权，</w:t>
                        </w:r>
                        <w:r>
                          <w:rPr>
                            <w:rFonts w:ascii="Times New Roman" w:hAnsi="Times New Roman" w:cs="Times New Roman" w:eastAsia="Times New Roman" w:hint="default"/>
                            <w:spacing w:val="-3"/>
                            <w:sz w:val="18"/>
                            <w:szCs w:val="18"/>
                          </w:rPr>
                          <w:t>1930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年出生，厦门大学计划统计专业本科。杨保 田先生于</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年退休，退休前一直任教于厦门大学；</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年起任公司执行董事、总经理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法定代表人，</w:t>
                        </w:r>
                        <w:r>
                          <w:rPr>
                            <w:rFonts w:ascii="Times New Roman" w:hAnsi="Times New Roman" w:cs="Times New Roman" w:eastAsia="Times New Roman" w:hint="default"/>
                            <w:spacing w:val="-6"/>
                            <w:sz w:val="18"/>
                            <w:szCs w:val="18"/>
                          </w:rPr>
                          <w:t>2005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月任红相有限法定代表人、执行董事兼总经理，</w:t>
                        </w:r>
                        <w:r>
                          <w:rPr>
                            <w:rFonts w:ascii="Times New Roman" w:hAnsi="Times New Roman" w:cs="Times New Roman" w:eastAsia="Times New Roman" w:hint="default"/>
                            <w:spacing w:val="-5"/>
                            <w:sz w:val="18"/>
                            <w:szCs w:val="18"/>
                          </w:rPr>
                          <w:t>2008</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pacing w:val="-4"/>
                            <w:sz w:val="18"/>
                            <w:szCs w:val="18"/>
                          </w:rPr>
                          <w:t>月任红相有限董事、副总经理，</w:t>
                        </w:r>
                        <w:r>
                          <w:rPr>
                            <w:rFonts w:ascii="Times New Roman" w:hAnsi="Times New Roman" w:cs="Times New Roman" w:eastAsia="Times New Roman" w:hint="default"/>
                            <w:spacing w:val="-4"/>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 公司董事。</w:t>
                        </w:r>
                      </w:p>
                      <w:p>
                        <w:pPr>
                          <w:pStyle w:val="TableParagraph"/>
                          <w:spacing w:line="300" w:lineRule="auto" w:before="70"/>
                          <w:ind w:left="23" w:right="-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、杨成先生：公司董事长、总经理及法定代表人；中国籍，无境外居留权，</w:t>
                        </w:r>
                        <w:r>
                          <w:rPr>
                            <w:rFonts w:ascii="Times New Roman" w:hAnsi="Times New Roman" w:cs="Times New Roman" w:eastAsia="Times New Roman" w:hint="default"/>
                            <w:sz w:val="18"/>
                            <w:szCs w:val="18"/>
                          </w:rPr>
                          <w:t>1961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 厦门大学统计学硕士。</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年前，杨成先生曾先后在安徽省淮南发电总厂、中国土产畜产 </w:t>
                        </w:r>
                        <w:r>
                          <w:rPr>
                            <w:rFonts w:ascii="宋体" w:hAnsi="宋体" w:cs="宋体" w:eastAsia="宋体" w:hint="default"/>
                            <w:spacing w:val="-6"/>
                            <w:sz w:val="18"/>
                            <w:szCs w:val="18"/>
                          </w:rPr>
                          <w:t>进出口总公司厦门公司工作，</w:t>
                        </w:r>
                        <w:r>
                          <w:rPr>
                            <w:rFonts w:ascii="Times New Roman" w:hAnsi="Times New Roman" w:cs="Times New Roman" w:eastAsia="Times New Roman" w:hint="default"/>
                            <w:spacing w:val="-6"/>
                            <w:sz w:val="18"/>
                            <w:szCs w:val="18"/>
                          </w:rPr>
                          <w:t>1991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年就读于澳大利亚皇家理工学院会计专业，</w:t>
                        </w:r>
                        <w:r>
                          <w:rPr>
                            <w:rFonts w:ascii="Times New Roman" w:hAnsi="Times New Roman" w:cs="Times New Roman" w:eastAsia="Times New Roman" w:hint="default"/>
                            <w:spacing w:val="-4"/>
                            <w:sz w:val="18"/>
                            <w:szCs w:val="18"/>
                          </w:rPr>
                          <w:t>1993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年起进入红相电力澳大利亚有限公司的前身</w:t>
                        </w:r>
                        <w:r>
                          <w:rPr>
                            <w:rFonts w:ascii="宋体" w:hAnsi="宋体" w:cs="宋体" w:eastAsia="宋体" w:hint="default"/>
                            <w:spacing w:val="-62"/>
                            <w:sz w:val="18"/>
                            <w:szCs w:val="18"/>
                          </w:rPr>
                          <w:t> </w:t>
                        </w:r>
                        <w:r>
                          <w:rPr>
                            <w:rFonts w:ascii="Times New Roman" w:hAnsi="Times New Roman" w:cs="Times New Roman" w:eastAsia="Times New Roman" w:hint="default"/>
                            <w:w w:val="99"/>
                            <w:sz w:val="18"/>
                            <w:szCs w:val="18"/>
                          </w:rPr>
                          <w:t>R.M.D</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Electronics</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
                            <w:w w:val="99"/>
                            <w:sz w:val="18"/>
                            <w:szCs w:val="18"/>
                          </w:rPr>
                          <w:t>Pty</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生产营销部工作，</w:t>
                        </w:r>
                        <w:r>
                          <w:rPr>
                            <w:rFonts w:ascii="Times New Roman" w:hAnsi="Times New Roman" w:cs="Times New Roman" w:eastAsia="Times New Roman" w:hint="default"/>
                            <w:spacing w:val="-8"/>
                            <w:sz w:val="18"/>
                            <w:szCs w:val="18"/>
                          </w:rPr>
                          <w:t>1997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年起任厦门红相电力设备有限公司副总经理，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月起任厦门红相电力设备进出口有 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红相有限</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月至今任红相有限和公司董事长、</w:t>
                        </w:r>
                        <w:r>
                          <w:rPr>
                            <w:rFonts w:ascii="宋体" w:hAnsi="宋体" w:cs="宋体" w:eastAsia="宋体" w:hint="default"/>
                            <w:spacing w:val="-57"/>
                            <w:sz w:val="18"/>
                            <w:szCs w:val="18"/>
                          </w:rPr>
                          <w:t> </w:t>
                        </w:r>
                        <w:r>
                          <w:rPr>
                            <w:rFonts w:ascii="宋体" w:hAnsi="宋体" w:cs="宋体" w:eastAsia="宋体" w:hint="default"/>
                            <w:sz w:val="18"/>
                            <w:szCs w:val="18"/>
                          </w:rPr>
                          <w:t>总</w:t>
                        </w:r>
                        <w:r>
                          <w:rPr>
                            <w:rFonts w:ascii="宋体" w:hAnsi="宋体" w:cs="宋体" w:eastAsia="宋体" w:hint="default"/>
                            <w:sz w:val="18"/>
                            <w:szCs w:val="18"/>
                          </w:rPr>
                          <w:t> 经理及法定代表人，</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月起，兼任厦门红相软件有限公司执行董事及法定代表人。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月起，兼任厦门红相信息科技有限公司执行董事兼法定代表人。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月起， 兼任卧龙电气银川变压器有限公司董事长、法定代表人。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月起，兼任中宁县银变 新能源有限公司董事。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月起，兼任吴忠市红寺堡区银变新能源有限公司执行董事 兼法定代表人。杨成先生于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日取得澳大利亚永久居留权；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302" w:lineRule="auto" w:before="13"/>
                          <w:ind w:left="23" w:right="22"/>
                          <w:jc w:val="left"/>
                          <w:rPr>
                            <w:rFonts w:ascii="宋体" w:hAnsi="宋体" w:cs="宋体" w:eastAsia="宋体" w:hint="default"/>
                            <w:sz w:val="18"/>
                            <w:szCs w:val="18"/>
                          </w:rPr>
                        </w:pPr>
                        <w:r>
                          <w:rPr>
                            <w:rFonts w:ascii="宋体" w:hAnsi="宋体" w:cs="宋体" w:eastAsia="宋体" w:hint="default"/>
                            <w:sz w:val="18"/>
                            <w:szCs w:val="18"/>
                          </w:rPr>
                          <w:t>日，杨成先生放弃澳大利亚永久居留权；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日，厦门市公安局出入境管理处恢 复杨成先生的常住户口。</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161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、杨力先生：公司董事；中国籍，无境外居留权，</w:t>
            </w:r>
            <w:r>
              <w:rPr>
                <w:rFonts w:ascii="Times New Roman" w:hAnsi="Times New Roman" w:cs="Times New Roman" w:eastAsia="Times New Roman" w:hint="default"/>
                <w:sz w:val="18"/>
                <w:szCs w:val="18"/>
              </w:rPr>
              <w:t>1968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年出生，厦门大学计算机应用专业 </w:t>
            </w:r>
            <w:r>
              <w:rPr>
                <w:rFonts w:ascii="宋体" w:hAnsi="宋体" w:cs="宋体" w:eastAsia="宋体" w:hint="default"/>
                <w:spacing w:val="-4"/>
                <w:sz w:val="18"/>
                <w:szCs w:val="18"/>
              </w:rPr>
              <w:t>毕业。</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年，曾先后任职于厦门建发股份有限公司和厦门海外旅游公司，</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年起任厦门红相电力设备有限公司监事，</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月任红相有限监事、部门</w:t>
            </w:r>
          </w:p>
          <w:p>
            <w:pPr>
              <w:pStyle w:val="TableParagraph"/>
              <w:spacing w:line="302" w:lineRule="auto" w:before="13"/>
              <w:ind w:left="23" w:right="31"/>
              <w:jc w:val="both"/>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月任红相有限和红相电力董事、部门经理，</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 今任公司董事、红相塑胶执行董事、总经理及法定代表人。</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5"/>
          <w:szCs w:val="15"/>
        </w:rPr>
      </w:pPr>
    </w:p>
    <w:p>
      <w:pPr>
        <w:spacing w:line="4950" w:lineRule="exact"/>
        <w:ind w:left="1356"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590807" cy="31432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0807" cy="3143250"/>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2"/>
        <w:rPr>
          <w:rFonts w:ascii="宋体" w:hAnsi="宋体" w:cs="宋体" w:eastAsia="宋体" w:hint="default"/>
          <w:sz w:val="14"/>
          <w:szCs w:val="14"/>
        </w:rPr>
      </w:pPr>
    </w:p>
    <w:p>
      <w:pPr>
        <w:pStyle w:val="BodyText"/>
        <w:spacing w:line="240" w:lineRule="auto"/>
        <w:ind w:right="817"/>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4、其他持股在10%以上的法人股东" w:id="120"/>
      <w:bookmarkEnd w:id="1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0" w:right="1138" w:firstLine="0"/>
        <w:jc w:val="right"/>
        <w:rPr>
          <w:rFonts w:ascii="宋体" w:hAnsi="宋体" w:cs="宋体" w:eastAsia="宋体" w:hint="default"/>
          <w:sz w:val="18"/>
          <w:szCs w:val="18"/>
        </w:rPr>
      </w:pPr>
      <w:r>
        <w:rPr/>
        <w:pict>
          <v:shape style="position:absolute;margin-left:56.459999pt;margin-top:-83.308319pt;width:479.2pt;height:132.3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923"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卧龙电气集团股份有限公司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432"/>
                          <w:jc w:val="right"/>
                          <w:rPr>
                            <w:rFonts w:ascii="宋体" w:hAnsi="宋体" w:cs="宋体" w:eastAsia="宋体" w:hint="default"/>
                            <w:sz w:val="18"/>
                            <w:szCs w:val="18"/>
                          </w:rPr>
                        </w:pPr>
                        <w:r>
                          <w:rPr>
                            <w:rFonts w:ascii="Times New Roman" w:hAnsi="Times New Roman" w:cs="Times New Roman" w:eastAsia="Times New Roman" w:hint="default"/>
                            <w:sz w:val="18"/>
                            <w:szCs w:val="18"/>
                          </w:rPr>
                          <w:t>129340.96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开展对外承包工程业务</w:t>
                        </w:r>
                      </w:p>
                      <w:p>
                        <w:pPr>
                          <w:pStyle w:val="TableParagraph"/>
                          <w:spacing w:line="319" w:lineRule="auto" w:before="75"/>
                          <w:ind w:left="22" w:right="19"/>
                          <w:jc w:val="left"/>
                          <w:rPr>
                            <w:rFonts w:ascii="宋体" w:hAnsi="宋体" w:cs="宋体" w:eastAsia="宋体" w:hint="default"/>
                            <w:sz w:val="18"/>
                            <w:szCs w:val="18"/>
                          </w:rPr>
                        </w:pPr>
                        <w:r>
                          <w:rPr>
                            <w:rFonts w:ascii="宋体" w:hAnsi="宋体" w:cs="宋体" w:eastAsia="宋体" w:hint="default"/>
                            <w:spacing w:val="-8"/>
                            <w:sz w:val="18"/>
                            <w:szCs w:val="18"/>
                          </w:rPr>
                          <w:t>（范围详见商务部批文）。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电机、发电机、驱动与控 制器、变频器、软启动器 励磁装置、整流与逆变装 置、变压器、变配电装置</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30.008268pt;width:479.2pt;height:112.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317" w:hRule="exact"/>
                    </w:trPr>
                    <w:tc>
                      <w:tcPr>
                        <w:tcW w:w="2579" w:type="dxa"/>
                        <w:vMerge w:val="restart"/>
                        <w:tcBorders>
                          <w:top w:val="single" w:sz="4" w:space="0" w:color="000000"/>
                          <w:left w:val="single" w:sz="4" w:space="0" w:color="000000"/>
                          <w:right w:val="single" w:sz="4" w:space="0" w:color="000000"/>
                        </w:tcBorders>
                      </w:tcPr>
                      <w:p>
                        <w:pPr/>
                      </w:p>
                    </w:tc>
                    <w:tc>
                      <w:tcPr>
                        <w:tcW w:w="1817" w:type="dxa"/>
                        <w:vMerge w:val="restart"/>
                        <w:tcBorders>
                          <w:top w:val="single" w:sz="4" w:space="0" w:color="000000"/>
                          <w:left w:val="single" w:sz="4" w:space="0" w:color="000000"/>
                          <w:right w:val="single" w:sz="4" w:space="0" w:color="000000"/>
                        </w:tcBorders>
                      </w:tcPr>
                      <w:p>
                        <w:pPr/>
                      </w:p>
                    </w:tc>
                    <w:tc>
                      <w:tcPr>
                        <w:tcW w:w="1411" w:type="dxa"/>
                        <w:vMerge w:val="restart"/>
                        <w:tcBorders>
                          <w:top w:val="single" w:sz="4" w:space="0" w:color="000000"/>
                          <w:left w:val="single" w:sz="4" w:space="0" w:color="000000"/>
                          <w:right w:val="single" w:sz="4" w:space="0" w:color="000000"/>
                        </w:tcBorders>
                      </w:tcPr>
                      <w:p>
                        <w:pPr/>
                      </w:p>
                    </w:tc>
                    <w:tc>
                      <w:tcPr>
                        <w:tcW w:w="1637" w:type="dxa"/>
                        <w:vMerge w:val="restart"/>
                        <w:tcBorders>
                          <w:top w:val="single" w:sz="4" w:space="0" w:color="000000"/>
                          <w:left w:val="single" w:sz="4" w:space="0" w:color="000000"/>
                          <w:right w:val="single" w:sz="4" w:space="0" w:color="000000"/>
                        </w:tcBorders>
                      </w:tcPr>
                      <w:p>
                        <w:pPr/>
                      </w:p>
                    </w:tc>
                    <w:tc>
                      <w:tcPr>
                        <w:tcW w:w="2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电气系统成套设备、工业</w:t>
                        </w:r>
                      </w:p>
                    </w:tc>
                  </w:tr>
                  <w:tr>
                    <w:trPr>
                      <w:trHeight w:val="312" w:hRule="exact"/>
                    </w:trPr>
                    <w:tc>
                      <w:tcPr>
                        <w:tcW w:w="2579"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自动化装备、振动机械、</w:t>
                        </w:r>
                      </w:p>
                    </w:tc>
                  </w:tr>
                  <w:tr>
                    <w:trPr>
                      <w:trHeight w:val="312" w:hRule="exact"/>
                    </w:trPr>
                    <w:tc>
                      <w:tcPr>
                        <w:tcW w:w="2579"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蓄电池、电源设备的研发</w:t>
                        </w:r>
                      </w:p>
                    </w:tc>
                  </w:tr>
                  <w:tr>
                    <w:trPr>
                      <w:trHeight w:val="312" w:hRule="exact"/>
                    </w:trPr>
                    <w:tc>
                      <w:tcPr>
                        <w:tcW w:w="2579"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制造、销售、安装；经营</w:t>
                        </w:r>
                      </w:p>
                    </w:tc>
                  </w:tr>
                  <w:tr>
                    <w:trPr>
                      <w:trHeight w:val="312" w:hRule="exact"/>
                    </w:trPr>
                    <w:tc>
                      <w:tcPr>
                        <w:tcW w:w="2579"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进出口业务</w:t>
                        </w:r>
                        <w:r>
                          <w:rPr>
                            <w:rFonts w:ascii="宋体" w:hAnsi="宋体" w:cs="宋体" w:eastAsia="宋体" w:hint="default"/>
                            <w:spacing w:val="-92"/>
                            <w:sz w:val="18"/>
                            <w:szCs w:val="18"/>
                          </w:rPr>
                          <w:t>。</w:t>
                        </w:r>
                        <w:r>
                          <w:rPr>
                            <w:rFonts w:ascii="宋体" w:hAnsi="宋体" w:cs="宋体" w:eastAsia="宋体" w:hint="default"/>
                            <w:sz w:val="18"/>
                            <w:szCs w:val="18"/>
                          </w:rPr>
                          <w:t>（依法须经批</w:t>
                        </w:r>
                      </w:p>
                    </w:tc>
                  </w:tr>
                  <w:tr>
                    <w:trPr>
                      <w:trHeight w:val="313" w:hRule="exact"/>
                    </w:trPr>
                    <w:tc>
                      <w:tcPr>
                        <w:tcW w:w="2579" w:type="dxa"/>
                        <w:vMerge/>
                        <w:tcBorders>
                          <w:left w:val="single" w:sz="4" w:space="0" w:color="000000"/>
                          <w:right w:val="single" w:sz="4" w:space="0" w:color="000000"/>
                        </w:tcBorders>
                      </w:tcPr>
                      <w:p>
                        <w:pPr/>
                      </w:p>
                    </w:tc>
                    <w:tc>
                      <w:tcPr>
                        <w:tcW w:w="1817"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c>
                      <w:tcPr>
                        <w:tcW w:w="2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准的项目，经相关部门批</w:t>
                        </w:r>
                      </w:p>
                    </w:tc>
                  </w:tr>
                  <w:tr>
                    <w:trPr>
                      <w:trHeight w:val="357" w:hRule="exact"/>
                    </w:trPr>
                    <w:tc>
                      <w:tcPr>
                        <w:tcW w:w="2579"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2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准后方可开展经营活动）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5"/>
        <w:ind w:left="154" w:right="817" w:firstLine="0"/>
        <w:jc w:val="left"/>
        <w:rPr>
          <w:rFonts w:ascii="宋体" w:hAnsi="宋体" w:cs="宋体" w:eastAsia="宋体" w:hint="default"/>
          <w:sz w:val="21"/>
          <w:szCs w:val="21"/>
        </w:rPr>
      </w:pPr>
      <w:bookmarkStart w:name="5、控股股东、实际控制人、重组方及其他承诺主体股份限制减持情况" w:id="121"/>
      <w:bookmarkEnd w:id="1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817"/>
        <w:jc w:val="left"/>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817"/>
        <w:jc w:val="left"/>
        <w:rPr>
          <w:b w:val="0"/>
          <w:bCs w:val="0"/>
        </w:rPr>
      </w:pPr>
      <w:bookmarkStart w:name="第八节 董事、监事、高级管理人员和员工情况" w:id="124"/>
      <w:bookmarkEnd w:id="124"/>
      <w:r>
        <w:rPr>
          <w:b w:val="0"/>
          <w:bCs w:val="0"/>
        </w:rPr>
      </w:r>
      <w:bookmarkStart w:name="_bookmark7" w:id="125"/>
      <w:bookmarkEnd w:id="125"/>
      <w:r>
        <w:rPr>
          <w:b w:val="0"/>
          <w:bCs w:val="0"/>
        </w:rPr>
      </w:r>
      <w:r>
        <w:rPr/>
        <w:t>第八节</w:t>
      </w:r>
      <w:r>
        <w:rPr>
          <w:spacing w:val="-13"/>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7"/>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8,419,109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8,170,211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方育阳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吴章坤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李文斐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68,639,71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68,639,71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817"/>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三、任职情况" w:id="128"/>
      <w:bookmarkEnd w:id="128"/>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56" w:lineRule="auto" w:before="89"/>
        <w:ind w:left="154" w:right="10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、杨成先生：公司董事长、总经理及法定代表人；中国籍，无境外居留权，</w:t>
      </w:r>
      <w:r>
        <w:rPr>
          <w:rFonts w:ascii="Times New Roman" w:hAnsi="Times New Roman" w:cs="Times New Roman" w:eastAsia="Times New Roman" w:hint="default"/>
          <w:sz w:val="21"/>
          <w:szCs w:val="21"/>
        </w:rPr>
        <w:t>1961</w:t>
      </w:r>
      <w:r>
        <w:rPr>
          <w:rFonts w:ascii="宋体" w:hAnsi="宋体" w:cs="宋体" w:eastAsia="宋体" w:hint="default"/>
          <w:sz w:val="21"/>
          <w:szCs w:val="21"/>
        </w:rPr>
        <w:t>年出生，厦门大学统计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学硕士。</w:t>
      </w:r>
      <w:r>
        <w:rPr>
          <w:rFonts w:ascii="Times New Roman" w:hAnsi="Times New Roman" w:cs="Times New Roman" w:eastAsia="Times New Roman" w:hint="default"/>
          <w:sz w:val="21"/>
          <w:szCs w:val="21"/>
        </w:rPr>
        <w:t>1991</w:t>
      </w:r>
      <w:r>
        <w:rPr>
          <w:rFonts w:ascii="宋体" w:hAnsi="宋体" w:cs="宋体" w:eastAsia="宋体" w:hint="default"/>
          <w:sz w:val="21"/>
          <w:szCs w:val="21"/>
        </w:rPr>
        <w:t>年前，杨成先生曾先后在安徽省淮南发电总厂、中国土产畜产进出口总公司厦门公司工作， </w:t>
      </w:r>
      <w:r>
        <w:rPr>
          <w:rFonts w:ascii="Times New Roman" w:hAnsi="Times New Roman" w:cs="Times New Roman" w:eastAsia="Times New Roman" w:hint="default"/>
          <w:sz w:val="21"/>
          <w:szCs w:val="21"/>
        </w:rPr>
        <w:t>1991</w:t>
      </w:r>
      <w:r>
        <w:rPr>
          <w:rFonts w:ascii="宋体" w:hAnsi="宋体" w:cs="宋体" w:eastAsia="宋体" w:hint="default"/>
          <w:sz w:val="21"/>
          <w:szCs w:val="21"/>
        </w:rPr>
        <w:t>年至</w:t>
      </w:r>
      <w:r>
        <w:rPr>
          <w:rFonts w:ascii="Times New Roman" w:hAnsi="Times New Roman" w:cs="Times New Roman" w:eastAsia="Times New Roman" w:hint="default"/>
          <w:sz w:val="21"/>
          <w:szCs w:val="21"/>
        </w:rPr>
        <w:t>1993</w:t>
      </w:r>
      <w:r>
        <w:rPr>
          <w:rFonts w:ascii="宋体" w:hAnsi="宋体" w:cs="宋体" w:eastAsia="宋体" w:hint="default"/>
          <w:sz w:val="21"/>
          <w:szCs w:val="21"/>
        </w:rPr>
        <w:t>年就读于澳大利亚皇家理工学院会计专业，</w:t>
      </w:r>
      <w:r>
        <w:rPr>
          <w:rFonts w:ascii="Times New Roman" w:hAnsi="Times New Roman" w:cs="Times New Roman" w:eastAsia="Times New Roman" w:hint="default"/>
          <w:sz w:val="21"/>
          <w:szCs w:val="21"/>
        </w:rPr>
        <w:t>1993 </w:t>
      </w:r>
      <w:r>
        <w:rPr>
          <w:rFonts w:ascii="宋体" w:hAnsi="宋体" w:cs="宋体" w:eastAsia="宋体" w:hint="default"/>
          <w:sz w:val="21"/>
          <w:szCs w:val="21"/>
        </w:rPr>
        <w:t>年起进入红相电力澳大利亚有限公司的前</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身</w:t>
      </w:r>
      <w:r>
        <w:rPr>
          <w:rFonts w:ascii="Times New Roman" w:hAnsi="Times New Roman" w:cs="Times New Roman" w:eastAsia="Times New Roman" w:hint="default"/>
          <w:sz w:val="21"/>
          <w:szCs w:val="21"/>
        </w:rPr>
        <w:t>R.M.D Electronics Pty Ltd</w:t>
      </w:r>
      <w:r>
        <w:rPr>
          <w:rFonts w:ascii="宋体" w:hAnsi="宋体" w:cs="宋体" w:eastAsia="宋体" w:hint="default"/>
          <w:sz w:val="21"/>
          <w:szCs w:val="21"/>
        </w:rPr>
        <w:t>生产营销部工作，</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年起任厦门红相电力设备有限公司副总经理，</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7 </w:t>
      </w:r>
      <w:r>
        <w:rPr>
          <w:rFonts w:ascii="宋体" w:hAnsi="宋体" w:cs="宋体" w:eastAsia="宋体" w:hint="default"/>
          <w:sz w:val="21"/>
          <w:szCs w:val="21"/>
        </w:rPr>
        <w:t>月起任厦门红相电力设备进出口有限公司（以下简称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红相有限</w:t>
      </w:r>
      <w:r>
        <w:rPr>
          <w:rFonts w:ascii="Times New Roman" w:hAnsi="Times New Roman" w:cs="Times New Roman" w:eastAsia="Times New Roman" w:hint="default"/>
          <w:sz w:val="21"/>
          <w:szCs w:val="21"/>
        </w:rPr>
        <w:t>”</w:t>
      </w:r>
      <w:r>
        <w:rPr>
          <w:rFonts w:ascii="宋体" w:hAnsi="宋体" w:cs="宋体" w:eastAsia="宋体" w:hint="default"/>
          <w:sz w:val="21"/>
          <w:szCs w:val="21"/>
        </w:rPr>
        <w:t>）副总经理，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月至今任红相有限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和公司董事长、</w:t>
      </w:r>
      <w:r>
        <w:rPr>
          <w:rFonts w:ascii="宋体" w:hAnsi="宋体" w:cs="宋体" w:eastAsia="宋体" w:hint="default"/>
          <w:spacing w:val="-47"/>
          <w:sz w:val="21"/>
          <w:szCs w:val="21"/>
        </w:rPr>
        <w:t> </w:t>
      </w:r>
      <w:r>
        <w:rPr>
          <w:rFonts w:ascii="宋体" w:hAnsi="宋体" w:cs="宋体" w:eastAsia="宋体" w:hint="default"/>
          <w:spacing w:val="-2"/>
          <w:sz w:val="21"/>
          <w:szCs w:val="21"/>
        </w:rPr>
        <w:t>总经理及法定代表人，</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月起，兼任厦门红相软件有限公司执行董事及法定代表人。</w:t>
      </w:r>
      <w:r>
        <w:rPr>
          <w:rFonts w:ascii="宋体" w:hAnsi="宋体" w:cs="宋体" w:eastAsia="宋体" w:hint="default"/>
          <w:sz w:val="21"/>
          <w:szCs w:val="21"/>
        </w:rPr>
        <w:t> </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月起，兼任厦门红相信息科技有限公司执行董事兼法定代表人。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月起，兼任卧龙电气银川 变压器有限公司董事长、法定代表人。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月起，兼任中宁县银变新能源有限公司董事。</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 起，兼任吴忠市红寺堡区银变新能源有限公司执行董事兼法定代表人。杨成先生于</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日取得澳 大利亚永久居留权；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日，杨成先生放弃澳大利亚永久居留权；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日，厦门市公安局 出入境管理处恢复杨成先生的常住户口。</w:t>
      </w:r>
    </w:p>
    <w:p>
      <w:pPr>
        <w:spacing w:line="240" w:lineRule="auto" w:before="7"/>
        <w:rPr>
          <w:rFonts w:ascii="宋体" w:hAnsi="宋体" w:cs="宋体" w:eastAsia="宋体" w:hint="default"/>
          <w:sz w:val="25"/>
          <w:szCs w:val="25"/>
        </w:rPr>
      </w:pPr>
    </w:p>
    <w:p>
      <w:pPr>
        <w:spacing w:line="256" w:lineRule="auto" w:before="0"/>
        <w:ind w:left="154" w:right="11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、杨力先生：公司董事；中国籍，无境外居留权，</w:t>
      </w:r>
      <w:r>
        <w:rPr>
          <w:rFonts w:ascii="Times New Roman" w:hAnsi="Times New Roman" w:cs="Times New Roman" w:eastAsia="Times New Roman" w:hint="default"/>
          <w:sz w:val="21"/>
          <w:szCs w:val="21"/>
        </w:rPr>
        <w:t>1968</w:t>
      </w:r>
      <w:r>
        <w:rPr>
          <w:rFonts w:ascii="宋体" w:hAnsi="宋体" w:cs="宋体" w:eastAsia="宋体" w:hint="default"/>
          <w:sz w:val="21"/>
          <w:szCs w:val="21"/>
        </w:rPr>
        <w:t>年出生，厦门大学计算机应用专业毕业。</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 </w:t>
      </w:r>
      <w:r>
        <w:rPr>
          <w:rFonts w:ascii="宋体" w:hAnsi="宋体" w:cs="宋体" w:eastAsia="宋体" w:hint="default"/>
          <w:spacing w:val="-1"/>
          <w:sz w:val="21"/>
          <w:szCs w:val="21"/>
        </w:rPr>
        <w:t>至</w:t>
      </w:r>
      <w:r>
        <w:rPr>
          <w:rFonts w:ascii="Times New Roman" w:hAnsi="Times New Roman" w:cs="Times New Roman" w:eastAsia="Times New Roman" w:hint="default"/>
          <w:spacing w:val="-1"/>
          <w:sz w:val="21"/>
          <w:szCs w:val="21"/>
        </w:rPr>
        <w:t>1998</w:t>
      </w:r>
      <w:r>
        <w:rPr>
          <w:rFonts w:ascii="宋体" w:hAnsi="宋体" w:cs="宋体" w:eastAsia="宋体" w:hint="default"/>
          <w:spacing w:val="-1"/>
          <w:sz w:val="21"/>
          <w:szCs w:val="21"/>
        </w:rPr>
        <w:t>年，曾先后任职于厦门建发股份有限公司和厦门海外旅游公司，</w:t>
      </w:r>
      <w:r>
        <w:rPr>
          <w:rFonts w:ascii="Times New Roman" w:hAnsi="Times New Roman" w:cs="Times New Roman" w:eastAsia="Times New Roman" w:hint="default"/>
          <w:spacing w:val="-1"/>
          <w:sz w:val="21"/>
          <w:szCs w:val="21"/>
        </w:rPr>
        <w:t>1997</w:t>
      </w:r>
      <w:r>
        <w:rPr>
          <w:rFonts w:ascii="宋体" w:hAnsi="宋体" w:cs="宋体" w:eastAsia="宋体" w:hint="default"/>
          <w:spacing w:val="-1"/>
          <w:sz w:val="21"/>
          <w:szCs w:val="21"/>
        </w:rPr>
        <w:t>年起任厦门红相电力设备有限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公司监事，</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月任红相有限监事、部门经理，</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月任红相有限和红 相电力董事、部门经理，</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月至今任公司董事、红相塑胶执行董事、总经理及法定代表人。</w:t>
      </w:r>
    </w:p>
    <w:p>
      <w:pPr>
        <w:spacing w:line="240" w:lineRule="auto" w:before="3"/>
        <w:rPr>
          <w:rFonts w:ascii="宋体" w:hAnsi="宋体" w:cs="宋体" w:eastAsia="宋体" w:hint="default"/>
          <w:sz w:val="24"/>
          <w:szCs w:val="24"/>
        </w:rPr>
      </w:pPr>
    </w:p>
    <w:p>
      <w:pPr>
        <w:spacing w:line="256" w:lineRule="auto" w:before="0"/>
        <w:ind w:left="154" w:right="112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、吴志阳先生：公司副董事长、副总经理；中国籍，无境外居留权，</w:t>
      </w:r>
      <w:r>
        <w:rPr>
          <w:rFonts w:ascii="Times New Roman" w:hAnsi="Times New Roman" w:cs="Times New Roman" w:eastAsia="Times New Roman" w:hint="default"/>
          <w:sz w:val="21"/>
          <w:szCs w:val="21"/>
        </w:rPr>
        <w:t>1967</w:t>
      </w:r>
      <w:r>
        <w:rPr>
          <w:rFonts w:ascii="宋体" w:hAnsi="宋体" w:cs="宋体" w:eastAsia="宋体" w:hint="default"/>
          <w:sz w:val="21"/>
          <w:szCs w:val="21"/>
        </w:rPr>
        <w:t>年出生，厦门大学无线电技术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1"/>
          <w:sz w:val="21"/>
          <w:szCs w:val="21"/>
        </w:rPr>
        <w:t>专业本科。</w:t>
      </w:r>
      <w:r>
        <w:rPr>
          <w:rFonts w:ascii="Times New Roman" w:hAnsi="Times New Roman" w:cs="Times New Roman" w:eastAsia="Times New Roman" w:hint="default"/>
          <w:spacing w:val="-1"/>
          <w:sz w:val="21"/>
          <w:szCs w:val="21"/>
        </w:rPr>
        <w:t>1989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1992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月担任厦门华侨电子企业有限公司工程师，</w:t>
      </w:r>
      <w:r>
        <w:rPr>
          <w:rFonts w:ascii="Times New Roman" w:hAnsi="Times New Roman" w:cs="Times New Roman" w:eastAsia="Times New Roman" w:hint="default"/>
          <w:spacing w:val="-1"/>
          <w:sz w:val="21"/>
          <w:szCs w:val="21"/>
        </w:rPr>
        <w:t>1992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1996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月担任南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非大宇电子公司总工程师，</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月任厦门红相电力设备有限公司副总经理，</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宋体" w:hAnsi="宋体" w:cs="宋体" w:eastAsia="宋体" w:hint="default"/>
          <w:spacing w:val="-28"/>
          <w:sz w:val="21"/>
          <w:szCs w:val="21"/>
        </w:rPr>
        <w:t> </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月任红相有限副总经理，</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月至今任公司董事、副总经理，</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月起至</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月兼任</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红相软件总经理。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月兼任澳洲红相总经理。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月起任公司副董事长。</w:t>
      </w:r>
    </w:p>
    <w:p>
      <w:pPr>
        <w:spacing w:line="240" w:lineRule="auto" w:before="3"/>
        <w:rPr>
          <w:rFonts w:ascii="宋体" w:hAnsi="宋体" w:cs="宋体" w:eastAsia="宋体" w:hint="default"/>
          <w:sz w:val="24"/>
          <w:szCs w:val="24"/>
        </w:rPr>
      </w:pPr>
    </w:p>
    <w:p>
      <w:pPr>
        <w:spacing w:line="256" w:lineRule="auto" w:before="0"/>
        <w:ind w:left="154" w:right="1130" w:firstLine="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、张青先生：男，中国籍，无境外居留权，</w:t>
      </w:r>
      <w:r>
        <w:rPr>
          <w:rFonts w:ascii="Times New Roman" w:hAnsi="Times New Roman" w:cs="Times New Roman" w:eastAsia="Times New Roman" w:hint="default"/>
          <w:spacing w:val="-3"/>
          <w:sz w:val="21"/>
          <w:szCs w:val="21"/>
        </w:rPr>
        <w:t>1966</w:t>
      </w:r>
      <w:r>
        <w:rPr>
          <w:rFonts w:ascii="宋体" w:hAnsi="宋体" w:cs="宋体" w:eastAsia="宋体" w:hint="default"/>
          <w:spacing w:val="-3"/>
          <w:sz w:val="21"/>
          <w:szCs w:val="21"/>
        </w:rPr>
        <w:t>年出生，南京邮电学院通讯网规划专业，硕士学历。</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年至今，任合肥睿晶科技股份有限公司执行董事；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月起，兼任合肥睿晶电力科技股份有限公司董</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事长；</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月，任合肥星波通信股份有限公司董事、总经理；</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月起，兼任合肥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星波通信技术有限公司董事长。</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月起担任公司董事。</w:t>
      </w:r>
    </w:p>
    <w:p>
      <w:pPr>
        <w:spacing w:line="240" w:lineRule="auto" w:before="3"/>
        <w:rPr>
          <w:rFonts w:ascii="宋体" w:hAnsi="宋体" w:cs="宋体" w:eastAsia="宋体" w:hint="default"/>
          <w:sz w:val="24"/>
          <w:szCs w:val="24"/>
        </w:rPr>
      </w:pPr>
    </w:p>
    <w:p>
      <w:pPr>
        <w:spacing w:before="0"/>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、唐炎钊先生：公司独立董事，中国籍，无境外居留权，</w:t>
      </w:r>
      <w:r>
        <w:rPr>
          <w:rFonts w:ascii="Times New Roman" w:hAnsi="Times New Roman" w:cs="Times New Roman" w:eastAsia="Times New Roman" w:hint="default"/>
          <w:sz w:val="21"/>
          <w:szCs w:val="21"/>
        </w:rPr>
        <w:t>1968</w:t>
      </w:r>
      <w:r>
        <w:rPr>
          <w:rFonts w:ascii="宋体" w:hAnsi="宋体" w:cs="宋体" w:eastAsia="宋体" w:hint="default"/>
          <w:sz w:val="21"/>
          <w:szCs w:val="21"/>
        </w:rPr>
        <w:t>年出生，华中科技大学管理科学与工程专</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61" w:lineRule="auto" w:before="35"/>
        <w:ind w:left="154" w:right="1110" w:firstLine="0"/>
        <w:jc w:val="both"/>
        <w:rPr>
          <w:rFonts w:ascii="宋体" w:hAnsi="宋体" w:cs="宋体" w:eastAsia="宋体" w:hint="default"/>
          <w:sz w:val="21"/>
          <w:szCs w:val="21"/>
        </w:rPr>
      </w:pPr>
      <w:r>
        <w:rPr>
          <w:rFonts w:ascii="宋体" w:hAnsi="宋体" w:cs="宋体" w:eastAsia="宋体" w:hint="default"/>
          <w:spacing w:val="-1"/>
          <w:sz w:val="21"/>
          <w:szCs w:val="21"/>
        </w:rPr>
        <w:t>业博士，厦门大学管理学院教授、博士生导师。</w:t>
      </w:r>
      <w:r>
        <w:rPr>
          <w:rFonts w:ascii="Times New Roman" w:hAnsi="Times New Roman" w:cs="Times New Roman" w:eastAsia="Times New Roman" w:hint="default"/>
          <w:spacing w:val="-1"/>
          <w:sz w:val="21"/>
          <w:szCs w:val="21"/>
        </w:rPr>
        <w:t>1990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1994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月于武汉冶金设备制造公司党委组织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部及车间从事组织管理、基层管理工作，</w:t>
      </w:r>
      <w:r>
        <w:rPr>
          <w:rFonts w:ascii="Times New Roman" w:hAnsi="Times New Roman" w:cs="Times New Roman" w:eastAsia="Times New Roman" w:hint="default"/>
          <w:spacing w:val="-1"/>
          <w:sz w:val="21"/>
          <w:szCs w:val="21"/>
        </w:rPr>
        <w:t>1999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2000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月于中国科技开发院医药科技开发所从事风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险投资的理论研究及评估工作，</w:t>
      </w:r>
      <w:r>
        <w:rPr>
          <w:rFonts w:ascii="Times New Roman" w:hAnsi="Times New Roman" w:cs="Times New Roman" w:eastAsia="Times New Roman" w:hint="default"/>
          <w:spacing w:val="-1"/>
          <w:sz w:val="21"/>
          <w:szCs w:val="21"/>
        </w:rPr>
        <w:t>2000</w:t>
      </w:r>
      <w:r>
        <w:rPr>
          <w:rFonts w:ascii="宋体" w:hAnsi="宋体" w:cs="宋体" w:eastAsia="宋体" w:hint="default"/>
          <w:spacing w:val="-1"/>
          <w:sz w:val="21"/>
          <w:szCs w:val="21"/>
        </w:rPr>
        <w:t>年至今任教于厦门大学，期间赴纽卡斯尔大学、</w:t>
      </w:r>
      <w:r>
        <w:rPr>
          <w:rFonts w:ascii="宋体" w:hAnsi="宋体" w:cs="宋体" w:eastAsia="宋体" w:hint="default"/>
          <w:color w:val="6C6C6C"/>
          <w:spacing w:val="-1"/>
          <w:sz w:val="21"/>
          <w:szCs w:val="21"/>
        </w:rPr>
      </w:r>
      <w:hyperlink r:id="rId13">
        <w:r>
          <w:rPr>
            <w:rFonts w:ascii="宋体" w:hAnsi="宋体" w:cs="宋体" w:eastAsia="宋体" w:hint="default"/>
            <w:color w:val="6C6C6C"/>
            <w:spacing w:val="-1"/>
            <w:sz w:val="21"/>
            <w:szCs w:val="21"/>
            <w:u w:val="single" w:color="6C6C6C"/>
          </w:rPr>
          <w:t>伊利诺伊大学香槟分</w:t>
        </w:r>
        <w:r>
          <w:rPr>
            <w:rFonts w:ascii="宋体" w:hAnsi="宋体" w:cs="宋体" w:eastAsia="宋体" w:hint="default"/>
            <w:color w:val="6C6C6C"/>
            <w:spacing w:val="-81"/>
            <w:sz w:val="21"/>
            <w:szCs w:val="21"/>
            <w:u w:val="single" w:color="6C6C6C"/>
          </w:rPr>
          <w:t> </w:t>
        </w:r>
        <w:r>
          <w:rPr>
            <w:rFonts w:ascii="宋体" w:hAnsi="宋体" w:cs="宋体" w:eastAsia="宋体" w:hint="default"/>
            <w:color w:val="6C6C6C"/>
            <w:spacing w:val="-81"/>
            <w:sz w:val="21"/>
            <w:szCs w:val="21"/>
          </w:rPr>
        </w:r>
      </w:hyperlink>
      <w:r>
        <w:rPr>
          <w:rFonts w:ascii="宋体" w:hAnsi="宋体" w:cs="宋体" w:eastAsia="宋体" w:hint="default"/>
          <w:color w:val="6C6C6C"/>
          <w:spacing w:val="-81"/>
          <w:sz w:val="21"/>
          <w:szCs w:val="21"/>
        </w:rPr>
      </w:r>
      <w:hyperlink r:id="rId13">
        <w:r>
          <w:rPr>
            <w:rFonts w:ascii="宋体" w:hAnsi="宋体" w:cs="宋体" w:eastAsia="宋体" w:hint="default"/>
            <w:color w:val="6C6C6C"/>
            <w:spacing w:val="-81"/>
            <w:sz w:val="21"/>
            <w:szCs w:val="21"/>
          </w:rPr>
        </w:r>
        <w:r>
          <w:rPr>
            <w:rFonts w:ascii="宋体" w:hAnsi="宋体" w:cs="宋体" w:eastAsia="宋体" w:hint="default"/>
            <w:color w:val="6C6C6C"/>
            <w:sz w:val="21"/>
            <w:szCs w:val="21"/>
            <w:u w:val="single" w:color="6C6C6C"/>
          </w:rPr>
          <w:t>校</w:t>
        </w:r>
        <w:r>
          <w:rPr>
            <w:rFonts w:ascii="宋体" w:hAnsi="宋体" w:cs="宋体" w:eastAsia="宋体" w:hint="default"/>
            <w:color w:val="6C6C6C"/>
            <w:sz w:val="21"/>
            <w:szCs w:val="21"/>
          </w:rPr>
        </w:r>
      </w:hyperlink>
      <w:r>
        <w:rPr>
          <w:rFonts w:ascii="宋体" w:hAnsi="宋体" w:cs="宋体" w:eastAsia="宋体" w:hint="default"/>
          <w:sz w:val="21"/>
          <w:szCs w:val="21"/>
        </w:rPr>
        <w:t>学习，并于曼彻斯特大学、百森商学院作访问学者。唐炎钊先生自</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月起担任公司的独立董事， </w:t>
      </w:r>
      <w:r>
        <w:rPr>
          <w:rFonts w:ascii="宋体" w:hAnsi="宋体" w:cs="宋体" w:eastAsia="宋体" w:hint="default"/>
          <w:spacing w:val="-1"/>
          <w:sz w:val="21"/>
          <w:szCs w:val="21"/>
        </w:rPr>
        <w:t>现兼任福建龙马环卫装备股份有限公司的独立董事、鹭燕医药股份有限公司的独立董事、厦门光莆电子股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份有限公司的独立董事。</w:t>
      </w:r>
    </w:p>
    <w:p>
      <w:pPr>
        <w:spacing w:line="240" w:lineRule="auto" w:before="3"/>
        <w:rPr>
          <w:rFonts w:ascii="宋体" w:hAnsi="宋体" w:cs="宋体" w:eastAsia="宋体" w:hint="default"/>
          <w:sz w:val="25"/>
          <w:szCs w:val="25"/>
        </w:rPr>
      </w:pPr>
    </w:p>
    <w:p>
      <w:pPr>
        <w:spacing w:line="264" w:lineRule="auto" w:before="0"/>
        <w:ind w:left="154" w:right="113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、汤金木先生：公司独立董事，中国籍，无境外居留权，</w:t>
      </w:r>
      <w:r>
        <w:rPr>
          <w:rFonts w:ascii="Times New Roman" w:hAnsi="Times New Roman" w:cs="Times New Roman" w:eastAsia="Times New Roman" w:hint="default"/>
          <w:sz w:val="21"/>
          <w:szCs w:val="21"/>
        </w:rPr>
        <w:t>1966</w:t>
      </w:r>
      <w:r>
        <w:rPr>
          <w:rFonts w:ascii="宋体" w:hAnsi="宋体" w:cs="宋体" w:eastAsia="宋体" w:hint="default"/>
          <w:sz w:val="21"/>
          <w:szCs w:val="21"/>
        </w:rPr>
        <w:t>年出生，中共党员，财政学博士学历，高</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
          <w:sz w:val="21"/>
          <w:szCs w:val="21"/>
        </w:rPr>
        <w:t>级会计师、注册会计师。汤金木先生曾任厦门会计师事务所、厦门资产评估所经理、副主任、所长，厦门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天健华天会计师事务所董事、合伙人，现任厦门市注册会计师协会秘书长，厦门资产评估协会秘书长。现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任厦门灿坤实业股份有限公司独立董事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厦门光莆电子股份有限公司独立董事，兴业皮革科技股份有限公司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独立董事。</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月起担任公司独立董事。</w:t>
      </w:r>
    </w:p>
    <w:p>
      <w:pPr>
        <w:spacing w:line="240" w:lineRule="auto" w:before="9"/>
        <w:rPr>
          <w:rFonts w:ascii="宋体" w:hAnsi="宋体" w:cs="宋体" w:eastAsia="宋体" w:hint="default"/>
          <w:sz w:val="23"/>
          <w:szCs w:val="23"/>
        </w:rPr>
      </w:pPr>
    </w:p>
    <w:p>
      <w:pPr>
        <w:spacing w:line="261" w:lineRule="auto" w:before="0"/>
        <w:ind w:left="154" w:right="112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、丁兴号先生：公司独立董事，中国籍，无境外居留权，</w:t>
      </w:r>
      <w:r>
        <w:rPr>
          <w:rFonts w:ascii="Times New Roman" w:hAnsi="Times New Roman" w:cs="Times New Roman" w:eastAsia="Times New Roman" w:hint="default"/>
          <w:sz w:val="21"/>
          <w:szCs w:val="21"/>
        </w:rPr>
        <w:t>1976</w:t>
      </w:r>
      <w:r>
        <w:rPr>
          <w:rFonts w:ascii="宋体" w:hAnsi="宋体" w:cs="宋体" w:eastAsia="宋体" w:hint="default"/>
          <w:sz w:val="21"/>
          <w:szCs w:val="21"/>
        </w:rPr>
        <w:t>年出生，博士研究生，厦门大学信息科学</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
          <w:sz w:val="21"/>
          <w:szCs w:val="21"/>
        </w:rPr>
        <w:t>与技术学院教授、博导，厦门大学信息科学与技术学院信息与通信工程系系主任，福建省高等学校新世纪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优秀人才</w:t>
      </w:r>
      <w:r>
        <w:rPr>
          <w:rFonts w:ascii="Times New Roman" w:hAnsi="Times New Roman" w:cs="Times New Roman" w:eastAsia="Times New Roman" w:hint="default"/>
          <w:sz w:val="21"/>
          <w:szCs w:val="21"/>
        </w:rPr>
        <w:t>, </w:t>
      </w:r>
      <w:r>
        <w:rPr>
          <w:rFonts w:ascii="宋体" w:hAnsi="宋体" w:cs="宋体" w:eastAsia="宋体" w:hint="default"/>
          <w:sz w:val="21"/>
          <w:szCs w:val="21"/>
        </w:rPr>
        <w:t>福建省智慧城市感知与计算重点实验室副主任。丁兴号分别于</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2003</w:t>
      </w:r>
      <w:r>
        <w:rPr>
          <w:rFonts w:ascii="宋体" w:hAnsi="宋体" w:cs="宋体" w:eastAsia="宋体" w:hint="default"/>
          <w:sz w:val="21"/>
          <w:szCs w:val="21"/>
        </w:rPr>
        <w:t>年获合肥工业大学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学士、博士学位。</w:t>
      </w:r>
      <w:r>
        <w:rPr>
          <w:rFonts w:ascii="Times New Roman" w:hAnsi="Times New Roman" w:cs="Times New Roman" w:eastAsia="Times New Roman" w:hint="default"/>
          <w:sz w:val="21"/>
          <w:szCs w:val="21"/>
        </w:rPr>
        <w:t>2006.1</w:t>
      </w:r>
      <w:r>
        <w:rPr>
          <w:rFonts w:ascii="宋体" w:hAnsi="宋体" w:cs="宋体" w:eastAsia="宋体" w:hint="default"/>
          <w:sz w:val="21"/>
          <w:szCs w:val="21"/>
        </w:rPr>
        <w:t>至</w:t>
      </w:r>
      <w:r>
        <w:rPr>
          <w:rFonts w:ascii="Times New Roman" w:hAnsi="Times New Roman" w:cs="Times New Roman" w:eastAsia="Times New Roman" w:hint="default"/>
          <w:sz w:val="21"/>
          <w:szCs w:val="21"/>
        </w:rPr>
        <w:t>2008.10</w:t>
      </w:r>
      <w:r>
        <w:rPr>
          <w:rFonts w:ascii="宋体" w:hAnsi="宋体" w:cs="宋体" w:eastAsia="宋体" w:hint="default"/>
          <w:sz w:val="21"/>
          <w:szCs w:val="21"/>
        </w:rPr>
        <w:t>年厦门大学物理学博士后。</w:t>
      </w:r>
      <w:r>
        <w:rPr>
          <w:rFonts w:ascii="Times New Roman" w:hAnsi="Times New Roman" w:cs="Times New Roman" w:eastAsia="Times New Roman" w:hint="default"/>
          <w:sz w:val="21"/>
          <w:szCs w:val="21"/>
        </w:rPr>
        <w:t>2009.9</w:t>
      </w:r>
      <w:r>
        <w:rPr>
          <w:rFonts w:ascii="宋体" w:hAnsi="宋体" w:cs="宋体" w:eastAsia="宋体" w:hint="default"/>
          <w:sz w:val="21"/>
          <w:szCs w:val="21"/>
        </w:rPr>
        <w:t>至</w:t>
      </w:r>
      <w:r>
        <w:rPr>
          <w:rFonts w:ascii="Times New Roman" w:hAnsi="Times New Roman" w:cs="Times New Roman" w:eastAsia="Times New Roman" w:hint="default"/>
          <w:sz w:val="21"/>
          <w:szCs w:val="21"/>
        </w:rPr>
        <w:t>2011.3</w:t>
      </w:r>
      <w:r>
        <w:rPr>
          <w:rFonts w:ascii="宋体" w:hAnsi="宋体" w:cs="宋体" w:eastAsia="宋体" w:hint="default"/>
          <w:sz w:val="21"/>
          <w:szCs w:val="21"/>
        </w:rPr>
        <w:t>美国</w:t>
      </w:r>
      <w:r>
        <w:rPr>
          <w:rFonts w:ascii="Times New Roman" w:hAnsi="Times New Roman" w:cs="Times New Roman" w:eastAsia="Times New Roman" w:hint="default"/>
          <w:sz w:val="21"/>
          <w:szCs w:val="21"/>
        </w:rPr>
        <w:t>Duke</w:t>
      </w:r>
      <w:r>
        <w:rPr>
          <w:rFonts w:ascii="宋体" w:hAnsi="宋体" w:cs="宋体" w:eastAsia="宋体" w:hint="default"/>
          <w:sz w:val="21"/>
          <w:szCs w:val="21"/>
        </w:rPr>
        <w:t>大学电子与计算机</w:t>
      </w:r>
      <w:r>
        <w:rPr>
          <w:rFonts w:ascii="宋体" w:hAnsi="宋体" w:cs="宋体" w:eastAsia="宋体" w:hint="default"/>
          <w:spacing w:val="-61"/>
          <w:sz w:val="21"/>
          <w:szCs w:val="21"/>
        </w:rPr>
        <w:t> </w:t>
      </w:r>
      <w:r>
        <w:rPr>
          <w:rFonts w:ascii="宋体" w:hAnsi="宋体" w:cs="宋体" w:eastAsia="宋体" w:hint="default"/>
          <w:spacing w:val="-1"/>
          <w:sz w:val="21"/>
          <w:szCs w:val="21"/>
        </w:rPr>
        <w:t>工程系博士后。</w:t>
      </w:r>
      <w:r>
        <w:rPr>
          <w:rFonts w:ascii="Times New Roman" w:hAnsi="Times New Roman" w:cs="Times New Roman" w:eastAsia="Times New Roman" w:hint="default"/>
          <w:spacing w:val="-1"/>
          <w:sz w:val="21"/>
          <w:szCs w:val="21"/>
        </w:rPr>
        <w:t>2003</w:t>
      </w:r>
      <w:r>
        <w:rPr>
          <w:rFonts w:ascii="宋体" w:hAnsi="宋体" w:cs="宋体" w:eastAsia="宋体" w:hint="default"/>
          <w:spacing w:val="-1"/>
          <w:sz w:val="21"/>
          <w:szCs w:val="21"/>
        </w:rPr>
        <w:t>年至今在厦门大学信息科学与技术学院工作。目前的主要研究方向是机器学习、深度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学习、图像处理与分析、智能数据分析与处理等。</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月起担任公司独立董事。</w:t>
      </w:r>
    </w:p>
    <w:p>
      <w:pPr>
        <w:spacing w:line="240" w:lineRule="auto" w:before="11"/>
        <w:rPr>
          <w:rFonts w:ascii="宋体" w:hAnsi="宋体" w:cs="宋体" w:eastAsia="宋体" w:hint="default"/>
          <w:sz w:val="23"/>
          <w:szCs w:val="23"/>
        </w:rPr>
      </w:pPr>
    </w:p>
    <w:p>
      <w:pPr>
        <w:spacing w:line="256" w:lineRule="auto" w:before="0"/>
        <w:ind w:left="154" w:right="112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、方育阳：公司监事会主席、职工代表监事，中国籍，无境外居留权，男，</w:t>
      </w:r>
      <w:r>
        <w:rPr>
          <w:rFonts w:ascii="Times New Roman" w:hAnsi="Times New Roman" w:cs="Times New Roman" w:eastAsia="Times New Roman" w:hint="default"/>
          <w:sz w:val="21"/>
          <w:szCs w:val="21"/>
        </w:rPr>
        <w:t>1983</w:t>
      </w:r>
      <w:r>
        <w:rPr>
          <w:rFonts w:ascii="宋体" w:hAnsi="宋体" w:cs="宋体" w:eastAsia="宋体" w:hint="default"/>
          <w:sz w:val="21"/>
          <w:szCs w:val="21"/>
        </w:rPr>
        <w:t>年出生，山东科技大学</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sz w:val="21"/>
          <w:szCs w:val="21"/>
        </w:rPr>
        <w:t>电气工程及其自动化专业本科学历。</w:t>
      </w:r>
      <w:r>
        <w:rPr>
          <w:rFonts w:ascii="Times New Roman" w:hAnsi="Times New Roman" w:cs="Times New Roman" w:eastAsia="Times New Roman" w:hint="default"/>
          <w:spacing w:val="-1"/>
          <w:sz w:val="21"/>
          <w:szCs w:val="21"/>
        </w:rPr>
        <w:t>2005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月任公司技术工程师，</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月任</w:t>
      </w:r>
      <w:r>
        <w:rPr>
          <w:rFonts w:ascii="宋体" w:hAnsi="宋体" w:cs="宋体" w:eastAsia="宋体" w:hint="default"/>
          <w:spacing w:val="-77"/>
          <w:sz w:val="21"/>
          <w:szCs w:val="21"/>
        </w:rPr>
        <w:t> </w:t>
      </w:r>
      <w:r>
        <w:rPr>
          <w:rFonts w:ascii="宋体" w:hAnsi="宋体" w:cs="宋体" w:eastAsia="宋体" w:hint="default"/>
          <w:sz w:val="21"/>
          <w:szCs w:val="21"/>
        </w:rPr>
        <w:t>公司研发中心风险评价研究所副所长、所长，</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月至今任公司投资中心经理、投资副总监。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月起担任公司监事会主席、职工代表监事。</w:t>
      </w:r>
    </w:p>
    <w:p>
      <w:pPr>
        <w:spacing w:line="240" w:lineRule="auto" w:before="3"/>
        <w:rPr>
          <w:rFonts w:ascii="宋体" w:hAnsi="宋体" w:cs="宋体" w:eastAsia="宋体" w:hint="default"/>
          <w:sz w:val="24"/>
          <w:szCs w:val="24"/>
        </w:rPr>
      </w:pPr>
    </w:p>
    <w:p>
      <w:pPr>
        <w:spacing w:line="256" w:lineRule="auto" w:before="0"/>
        <w:ind w:left="154" w:right="113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、李文斐先生：公司监事，男，中国籍，无境外居留权，</w:t>
      </w:r>
      <w:r>
        <w:rPr>
          <w:rFonts w:ascii="Times New Roman" w:hAnsi="Times New Roman" w:cs="Times New Roman" w:eastAsia="Times New Roman" w:hint="default"/>
          <w:sz w:val="21"/>
          <w:szCs w:val="21"/>
        </w:rPr>
        <w:t>1983</w:t>
      </w:r>
      <w:r>
        <w:rPr>
          <w:rFonts w:ascii="宋体" w:hAnsi="宋体" w:cs="宋体" w:eastAsia="宋体" w:hint="default"/>
          <w:sz w:val="21"/>
          <w:szCs w:val="21"/>
        </w:rPr>
        <w:t>年出生，华东交通大学电气工程及其自动</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
          <w:sz w:val="21"/>
          <w:szCs w:val="21"/>
        </w:rPr>
        <w:t>化本科毕业。进入本公司前曾任职于江西省火电建设公司，</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月任红相电力技术部技术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工程师、产品经理，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月任红相电力状态检修部副经理，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月至今任公司状态检</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修二部经理。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w:t>
      </w:r>
    </w:p>
    <w:p>
      <w:pPr>
        <w:spacing w:line="240" w:lineRule="auto" w:before="3"/>
        <w:rPr>
          <w:rFonts w:ascii="宋体" w:hAnsi="宋体" w:cs="宋体" w:eastAsia="宋体" w:hint="default"/>
          <w:sz w:val="24"/>
          <w:szCs w:val="24"/>
        </w:rPr>
      </w:pPr>
    </w:p>
    <w:p>
      <w:pPr>
        <w:spacing w:line="256" w:lineRule="auto" w:before="0"/>
        <w:ind w:left="154" w:right="112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、吴章坤先生：公司监事，男，中国籍，无境外居留权，</w:t>
      </w:r>
      <w:r>
        <w:rPr>
          <w:rFonts w:ascii="Times New Roman" w:hAnsi="Times New Roman" w:cs="Times New Roman" w:eastAsia="Times New Roman" w:hint="default"/>
          <w:sz w:val="21"/>
          <w:szCs w:val="21"/>
        </w:rPr>
        <w:t>1985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月出生，福建工程学院电气工程及其</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自动化专业工学学士，厦门大学项目管理工程硕士。进入本公司前曾任职于福耀集团</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汽车玻璃有限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公司工程部，</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月任红公司工程师，</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月任公司工厂管理部主管，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月任红相电力工厂副厂长，</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月任公司工厂厂长，</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月至今</w:t>
      </w:r>
      <w:r>
        <w:rPr>
          <w:rFonts w:ascii="宋体" w:hAnsi="宋体" w:cs="宋体" w:eastAsia="宋体" w:hint="default"/>
          <w:spacing w:val="-77"/>
          <w:sz w:val="21"/>
          <w:szCs w:val="21"/>
        </w:rPr>
        <w:t> </w:t>
      </w:r>
      <w:r>
        <w:rPr>
          <w:rFonts w:ascii="宋体" w:hAnsi="宋体" w:cs="宋体" w:eastAsia="宋体" w:hint="default"/>
          <w:sz w:val="21"/>
          <w:szCs w:val="21"/>
        </w:rPr>
        <w:t>任物资采购部经理。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w:t>
      </w:r>
    </w:p>
    <w:p>
      <w:pPr>
        <w:spacing w:line="240" w:lineRule="auto" w:before="3"/>
        <w:rPr>
          <w:rFonts w:ascii="宋体" w:hAnsi="宋体" w:cs="宋体" w:eastAsia="宋体" w:hint="default"/>
          <w:sz w:val="24"/>
          <w:szCs w:val="24"/>
        </w:rPr>
      </w:pPr>
    </w:p>
    <w:p>
      <w:pPr>
        <w:spacing w:line="266" w:lineRule="auto" w:before="0"/>
        <w:ind w:left="154" w:right="1129"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、李喜娇女士：公司董事会秘书、副总经理，中国国籍，无境外永久居留权，女，</w:t>
      </w:r>
      <w:r>
        <w:rPr>
          <w:rFonts w:ascii="宋体" w:hAnsi="宋体" w:cs="宋体" w:eastAsia="宋体" w:hint="default"/>
          <w:spacing w:val="-1"/>
          <w:sz w:val="21"/>
          <w:szCs w:val="21"/>
        </w:rPr>
        <w:t>1988</w:t>
      </w:r>
      <w:r>
        <w:rPr>
          <w:rFonts w:ascii="宋体" w:hAnsi="宋体" w:cs="宋体" w:eastAsia="宋体" w:hint="default"/>
          <w:spacing w:val="-1"/>
          <w:sz w:val="21"/>
          <w:szCs w:val="21"/>
        </w:rPr>
        <w:t>年出生，集美大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学金融学专业，经济学学士。</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月至</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月任公司证券部证券事务助理职务；</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月至</w:t>
      </w:r>
      <w:r>
        <w:rPr>
          <w:rFonts w:ascii="宋体" w:hAnsi="宋体" w:cs="宋体" w:eastAsia="宋体" w:hint="default"/>
          <w:sz w:val="21"/>
          <w:szCs w:val="21"/>
        </w:rPr>
        <w:t>2014</w:t>
      </w:r>
      <w:r>
        <w:rPr>
          <w:rFonts w:ascii="宋体" w:hAnsi="宋体" w:cs="宋体" w:eastAsia="宋体" w:hint="default"/>
          <w:spacing w:val="-31"/>
          <w:sz w:val="21"/>
          <w:szCs w:val="21"/>
        </w:rPr>
        <w:t> </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月任证券事务主管职务；</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6</w:t>
      </w:r>
      <w:r>
        <w:rPr>
          <w:rFonts w:ascii="宋体" w:hAnsi="宋体" w:cs="宋体" w:eastAsia="宋体" w:hint="default"/>
          <w:spacing w:val="-1"/>
          <w:sz w:val="21"/>
          <w:szCs w:val="21"/>
        </w:rPr>
        <w:t>月起任证券事务代表，</w:t>
      </w: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4</w:t>
      </w:r>
      <w:r>
        <w:rPr>
          <w:rFonts w:ascii="宋体" w:hAnsi="宋体" w:cs="宋体" w:eastAsia="宋体" w:hint="default"/>
          <w:spacing w:val="-1"/>
          <w:sz w:val="21"/>
          <w:szCs w:val="21"/>
        </w:rPr>
        <w:t>月起兼任公司证券部经理。</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80"/>
          <w:sz w:val="21"/>
          <w:szCs w:val="21"/>
        </w:rPr>
        <w:t> </w:t>
      </w:r>
      <w:r>
        <w:rPr>
          <w:rFonts w:ascii="宋体" w:hAnsi="宋体" w:cs="宋体" w:eastAsia="宋体" w:hint="default"/>
          <w:sz w:val="21"/>
          <w:szCs w:val="21"/>
        </w:rPr>
        <w:t>月起担任公司董事会秘书、副总经理。</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月起担任涵普电力董事。</w:t>
      </w:r>
    </w:p>
    <w:p>
      <w:pPr>
        <w:spacing w:line="240" w:lineRule="auto" w:before="12"/>
        <w:rPr>
          <w:rFonts w:ascii="宋体" w:hAnsi="宋体" w:cs="宋体" w:eastAsia="宋体" w:hint="default"/>
          <w:sz w:val="24"/>
          <w:szCs w:val="24"/>
        </w:rPr>
      </w:pPr>
    </w:p>
    <w:p>
      <w:pPr>
        <w:spacing w:line="256" w:lineRule="auto" w:before="0"/>
        <w:ind w:left="154" w:right="1111"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、廖雪林女士：公司财务总监，中国籍，无境外居留权，女，</w:t>
      </w:r>
      <w:r>
        <w:rPr>
          <w:rFonts w:ascii="Times New Roman" w:hAnsi="Times New Roman" w:cs="Times New Roman" w:eastAsia="Times New Roman" w:hint="default"/>
          <w:spacing w:val="-1"/>
          <w:sz w:val="21"/>
          <w:szCs w:val="21"/>
        </w:rPr>
        <w:t>1982</w:t>
      </w:r>
      <w:r>
        <w:rPr>
          <w:rFonts w:ascii="宋体" w:hAnsi="宋体" w:cs="宋体" w:eastAsia="宋体" w:hint="default"/>
          <w:spacing w:val="-1"/>
          <w:sz w:val="21"/>
          <w:szCs w:val="21"/>
        </w:rPr>
        <w:t>年出生，西南财经大学财经系本科毕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月担任公司内部审计部职员，</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月担任公司内部审计部主管，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月担任公司内部审计部副经理，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月担任公司内部审计部经理。</w:t>
      </w:r>
    </w:p>
    <w:p>
      <w:pPr>
        <w:spacing w:after="0" w:line="256"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月起担任公司财务总监、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月起担任星波通信财务总监。</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月起担任涵普电力董事、</w:t>
      </w:r>
    </w:p>
    <w:p>
      <w:pPr>
        <w:spacing w:before="21"/>
        <w:ind w:left="15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月起担任涵普三维董事。</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09"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8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sz w:val="18"/>
                <w:szCs w:val="18"/>
              </w:rPr>
              <w:t>合肥星睿股权投资合伙企业（有限合伙</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6"/>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4" w:lineRule="exact"/>
              <w:ind w:left="16" w:right="-28"/>
              <w:jc w:val="left"/>
              <w:rPr>
                <w:rFonts w:ascii="宋体" w:hAnsi="宋体" w:cs="宋体" w:eastAsia="宋体" w:hint="default"/>
                <w:sz w:val="20"/>
                <w:szCs w:val="20"/>
              </w:rPr>
            </w:pPr>
            <w:r>
              <w:rPr>
                <w:rFonts w:ascii="宋体" w:hAnsi="宋体" w:cs="宋体" w:eastAsia="宋体" w:hint="default"/>
                <w:position w:val="-13"/>
                <w:sz w:val="20"/>
                <w:szCs w:val="20"/>
              </w:rPr>
              <w:pict>
                <v:group style="width:50.4pt;height:35.25pt;mso-position-horizontal-relative:char;mso-position-vertical-relative:line" coordorigin="0,0" coordsize="1008,705">
                  <v:group style="position:absolute;left:0;top:0;width:1008;height:353" coordorigin="0,0" coordsize="1008,353">
                    <v:shape style="position:absolute;left:0;top:0;width:1008;height:353" coordorigin="0,0" coordsize="1008,353" path="m0,353l1008,353,1008,0,0,0,0,353xe" filled="true" fillcolor="#ffffff" stroked="false">
                      <v:path arrowok="t"/>
                      <v:fill type="solid"/>
                    </v:shape>
                  </v:group>
                  <v:group style="position:absolute;left:0;top:353;width:1008;height:352" coordorigin="0,353" coordsize="1008,352">
                    <v:shape style="position:absolute;left:0;top:353;width:1008;height:352" coordorigin="0,353" coordsize="1008,352" path="m0,704l1008,704,1008,353,0,353,0,704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红相电力澳大利亚有限公司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董事长兼法 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吴忠市红寺堡区银变新能源有限公司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中宁县银变新能源有限公司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厦门红相塑胶材料有限公司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合肥睿晶电力科技股份有限公司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合肥睿晶科技股份有限公司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合肥捷杰电子有限公司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44"/>
              <w:jc w:val="left"/>
              <w:rPr>
                <w:rFonts w:ascii="宋体" w:hAnsi="宋体" w:cs="宋体" w:eastAsia="宋体" w:hint="default"/>
                <w:sz w:val="18"/>
                <w:szCs w:val="18"/>
              </w:rPr>
            </w:pPr>
            <w:r>
              <w:rPr>
                <w:rFonts w:ascii="宋体" w:hAnsi="宋体" w:cs="宋体" w:eastAsia="宋体" w:hint="default"/>
                <w:spacing w:val="-3"/>
                <w:sz w:val="18"/>
                <w:szCs w:val="18"/>
              </w:rPr>
              <w:t>新余丰睿投资管理合伙企业（有限合伙）</w:t>
            </w:r>
            <w:r>
              <w:rPr>
                <w:rFonts w:ascii="宋体" w:hAnsi="宋体" w:cs="宋体" w:eastAsia="宋体" w:hint="default"/>
                <w:sz w:val="18"/>
                <w:szCs w:val="18"/>
              </w:rPr>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352" w:lineRule="exact"/>
              <w:ind w:left="11" w:right="-28"/>
              <w:jc w:val="left"/>
              <w:rPr>
                <w:rFonts w:ascii="宋体" w:hAnsi="宋体" w:cs="宋体" w:eastAsia="宋体" w:hint="default"/>
                <w:sz w:val="20"/>
                <w:szCs w:val="20"/>
              </w:rPr>
            </w:pPr>
            <w:r>
              <w:rPr>
                <w:rFonts w:ascii="宋体" w:hAnsi="宋体" w:cs="宋体" w:eastAsia="宋体" w:hint="default"/>
                <w:position w:val="-6"/>
                <w:sz w:val="20"/>
                <w:szCs w:val="20"/>
              </w:rPr>
              <w:pict>
                <v:group style="width:50.4pt;height:17.650pt;mso-position-horizontal-relative:char;mso-position-vertical-relative:line" coordorigin="0,0" coordsize="1008,353">
                  <v:group style="position:absolute;left:0;top:0;width:1008;height:353" coordorigin="0,0" coordsize="1008,353">
                    <v:shape style="position:absolute;left:0;top:0;width:1008;height:353" coordorigin="0,0" coordsize="1008,353" path="m0,353l1008,353,1008,0,0,0,0,353xe" filled="true" fillcolor="#ffffff" stroked="false">
                      <v:path arrowok="t"/>
                      <v:fill type="solid"/>
                    </v:shape>
                  </v:group>
                </v:group>
              </w:pict>
            </w:r>
            <w:r>
              <w:rPr>
                <w:rFonts w:ascii="宋体" w:hAnsi="宋体" w:cs="宋体" w:eastAsia="宋体" w:hint="default"/>
                <w:position w:val="-6"/>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合肥星波电子有限公司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巢湖市国胜光伏发电有限公司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巢湖市晶阁光伏发电有限公司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福建龙马环卫装备股份有限公司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鹭燕医药股份有限公司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厦门光莆电子股份有限公司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厦门市注册会计师协会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厦门市资产评估协会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厦门光莆电子股份有限公司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厦门灿坤实业股份有限公司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兴业皮革科技股份有限公司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合肥涵普三维电力科技有限公司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4"/>
          <w:pgSz w:w="11910" w:h="16840"/>
          <w:pgMar w:footer="979" w:header="74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817"/>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22"/>
          <w:szCs w:val="22"/>
        </w:rPr>
      </w:pPr>
    </w:p>
    <w:p>
      <w:pPr>
        <w:spacing w:line="273" w:lineRule="auto" w:before="0"/>
        <w:ind w:left="154" w:right="1092" w:firstLine="420"/>
        <w:jc w:val="left"/>
        <w:rPr>
          <w:rFonts w:ascii="宋体" w:hAnsi="宋体" w:cs="宋体" w:eastAsia="宋体" w:hint="default"/>
          <w:sz w:val="21"/>
          <w:szCs w:val="21"/>
        </w:rPr>
      </w:pPr>
      <w:r>
        <w:rPr>
          <w:rFonts w:ascii="宋体" w:hAnsi="宋体" w:cs="宋体" w:eastAsia="宋体" w:hint="default"/>
          <w:sz w:val="21"/>
          <w:szCs w:val="21"/>
        </w:rPr>
        <w:t>公司董事、监事在公司领取津贴，高级管理人员及其他核心人员的薪酬由基本工资和绩效奖金组成。 公司董事、监事的津贴经过股东大会审议，高级管理人员的薪酬经过董事会审议。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方育阳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吴章坤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李文斐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356.18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员工数量、专业构成及教育程度" w:id="131"/>
      <w:bookmarkEnd w:id="13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1,176</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pgNumType w:start="101"/>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1,176</w:t>
            </w:r>
          </w:p>
        </w:tc>
      </w:tr>
    </w:tbl>
    <w:p>
      <w:pPr>
        <w:spacing w:line="240" w:lineRule="auto" w:before="3"/>
        <w:rPr>
          <w:rFonts w:ascii="宋体" w:hAnsi="宋体" w:cs="宋体" w:eastAsia="宋体" w:hint="default"/>
          <w:b/>
          <w:bCs/>
          <w:sz w:val="19"/>
          <w:szCs w:val="19"/>
        </w:rPr>
      </w:pPr>
    </w:p>
    <w:p>
      <w:pPr>
        <w:spacing w:before="35"/>
        <w:ind w:left="154" w:right="0" w:firstLine="0"/>
        <w:jc w:val="both"/>
        <w:rPr>
          <w:rFonts w:ascii="宋体" w:hAnsi="宋体" w:cs="宋体" w:eastAsia="宋体" w:hint="default"/>
          <w:sz w:val="21"/>
          <w:szCs w:val="21"/>
        </w:rPr>
      </w:pPr>
      <w:bookmarkStart w:name="2、薪酬政策" w:id="132"/>
      <w:bookmarkEnd w:id="1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4" w:right="1131" w:firstLine="300"/>
        <w:jc w:val="both"/>
        <w:rPr>
          <w:rFonts w:ascii="宋体" w:hAnsi="宋体" w:cs="宋体" w:eastAsia="宋体" w:hint="default"/>
          <w:sz w:val="21"/>
          <w:szCs w:val="21"/>
        </w:rPr>
      </w:pPr>
      <w:r>
        <w:rPr>
          <w:rFonts w:ascii="宋体" w:hAnsi="宋体" w:cs="宋体" w:eastAsia="宋体" w:hint="default"/>
          <w:sz w:val="21"/>
          <w:szCs w:val="21"/>
        </w:rPr>
        <w:t>为充分调动员工的工作积极性、主动性和创造性，根据相关规定，结合具体情况，公司制定了《薪酬 </w:t>
      </w:r>
      <w:r>
        <w:rPr>
          <w:rFonts w:ascii="宋体" w:hAnsi="宋体" w:cs="宋体" w:eastAsia="宋体" w:hint="default"/>
          <w:spacing w:val="-1"/>
          <w:sz w:val="21"/>
          <w:szCs w:val="21"/>
        </w:rPr>
        <w:t>管理制度》，实行结构性薪酬体系。薪酬构成包括固定工资、浮动工资、保险与福利三部分，并实行绩效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考核机制。公司在实践的基础上，对考核指标不断进行优化，加强对考核员工存在问题的反馈，提出解决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和改进方法，对一些关键岗位和重大问题，做到二次或多次考核，多次反馈。将员工的收入与公司的发展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和员工的绩效以及员工价值创造紧密联系，更加有效调动全体员工的积极性和创造力。</w:t>
      </w:r>
    </w:p>
    <w:p>
      <w:pPr>
        <w:spacing w:line="240" w:lineRule="auto" w:before="8"/>
        <w:rPr>
          <w:rFonts w:ascii="宋体" w:hAnsi="宋体" w:cs="宋体" w:eastAsia="宋体" w:hint="default"/>
          <w:sz w:val="24"/>
          <w:szCs w:val="24"/>
        </w:rPr>
      </w:pPr>
    </w:p>
    <w:p>
      <w:pPr>
        <w:spacing w:line="590" w:lineRule="atLeast" w:before="0"/>
        <w:ind w:left="454" w:right="1124" w:hanging="300"/>
        <w:jc w:val="left"/>
        <w:rPr>
          <w:rFonts w:ascii="宋体" w:hAnsi="宋体" w:cs="宋体" w:eastAsia="宋体" w:hint="default"/>
          <w:sz w:val="21"/>
          <w:szCs w:val="21"/>
        </w:rPr>
      </w:pPr>
      <w:bookmarkStart w:name="3、培训计划" w:id="133"/>
      <w:bookmarkEnd w:id="1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b/>
          <w:bCs/>
          <w:w w:val="99"/>
          <w:sz w:val="21"/>
          <w:szCs w:val="21"/>
        </w:rPr>
        <w:t> </w:t>
      </w:r>
      <w:r>
        <w:rPr>
          <w:rFonts w:ascii="宋体" w:hAnsi="宋体" w:cs="宋体" w:eastAsia="宋体" w:hint="default"/>
          <w:spacing w:val="2"/>
          <w:sz w:val="21"/>
          <w:szCs w:val="21"/>
        </w:rPr>
        <w:t>公司针对不同的群体制定针对性的培训计划。人力资源部门将根据各个部门的需求，制定一系列的培</w:t>
      </w:r>
    </w:p>
    <w:p>
      <w:pPr>
        <w:spacing w:line="273" w:lineRule="auto" w:before="37"/>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训计划，并根据实践中的效果对计划进行完善，开展应需式培训。进一步加强中高层领导干部职业能力培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训，通过内外培训相结合的方式，重点提高技术部门的专业水平；市场和采购部门的前瞻性思维、风险控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制意识、产品技术水平和市场敏感度；生产部门成本控制、计划制定、安全生产、提高劳动效率、工艺改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进等方面的能力；财务部门成本核算水平，对税务和外汇结算等政策的掌握能力。</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0"/>
        <w:ind w:left="154" w:right="0" w:firstLine="0"/>
        <w:jc w:val="both"/>
        <w:rPr>
          <w:rFonts w:ascii="宋体" w:hAnsi="宋体" w:cs="宋体" w:eastAsia="宋体" w:hint="default"/>
          <w:sz w:val="21"/>
          <w:szCs w:val="21"/>
        </w:rPr>
      </w:pPr>
      <w:bookmarkStart w:name="4、劳务外包情况" w:id="134"/>
      <w:bookmarkEnd w:id="13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01"/>
        <w:jc w:val="center"/>
        <w:rPr>
          <w:b w:val="0"/>
          <w:bCs w:val="0"/>
        </w:rPr>
      </w:pPr>
      <w:bookmarkStart w:name="第九节 公司治理" w:id="135"/>
      <w:bookmarkEnd w:id="135"/>
      <w:r>
        <w:rPr>
          <w:b w:val="0"/>
          <w:bCs w:val="0"/>
        </w:rPr>
      </w:r>
      <w:bookmarkStart w:name="_bookmark8"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54" w:right="1132"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报告期内，公司严格按照《公司法》、《证券法》、《上市公司治理准则》、《深圳证券交易所创业</w:t>
      </w:r>
      <w:r>
        <w:rPr>
          <w:rFonts w:ascii="宋体" w:hAnsi="宋体" w:cs="宋体" w:eastAsia="宋体" w:hint="default"/>
          <w:sz w:val="21"/>
          <w:szCs w:val="21"/>
        </w:rPr>
        <w:t> </w:t>
      </w:r>
      <w:r>
        <w:rPr>
          <w:rFonts w:ascii="宋体" w:hAnsi="宋体" w:cs="宋体" w:eastAsia="宋体" w:hint="default"/>
          <w:spacing w:val="-1"/>
          <w:sz w:val="21"/>
          <w:szCs w:val="21"/>
        </w:rPr>
        <w:t>板上市公司规范运作指引》、《深圳证券交易所创业板股票上市规则》等法律、法规和中国证监会有关法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律、法规等的要求，不断完善公司的法人治理结构，建立健全公司内部管理和控制制度，持续深入开展公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司治理活动，促进了公司规范运作，提高了公司治理水平。截至报告期末，公司治理的实际状况符合《上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市公司治理准则》和《深圳证券交易所创业板上市公司规范运作指引》等相关规定的要求。</w:t>
      </w:r>
    </w:p>
    <w:p>
      <w:pPr>
        <w:spacing w:line="450" w:lineRule="atLeast" w:before="4"/>
        <w:ind w:left="574" w:right="10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、关于股东及股东大会</w:t>
      </w:r>
      <w:r>
        <w:rPr>
          <w:rFonts w:ascii="宋体" w:hAnsi="宋体" w:cs="宋体" w:eastAsia="宋体" w:hint="default"/>
          <w:b/>
          <w:bCs/>
          <w:w w:val="99"/>
          <w:sz w:val="21"/>
          <w:szCs w:val="21"/>
        </w:rPr>
        <w:t> </w:t>
      </w:r>
      <w:r>
        <w:rPr>
          <w:rFonts w:ascii="宋体" w:hAnsi="宋体" w:cs="宋体" w:eastAsia="宋体" w:hint="default"/>
          <w:spacing w:val="-3"/>
          <w:sz w:val="21"/>
          <w:szCs w:val="21"/>
        </w:rPr>
        <w:t>公司严格按照《上市公司股东大会规则》、《公司章程》和《股东大会议事规则》等相关规定和要求，</w:t>
      </w:r>
    </w:p>
    <w:p>
      <w:pPr>
        <w:spacing w:line="264" w:lineRule="auto" w:before="37"/>
        <w:ind w:left="154" w:right="1110" w:firstLine="0"/>
        <w:jc w:val="both"/>
        <w:rPr>
          <w:rFonts w:ascii="宋体" w:hAnsi="宋体" w:cs="宋体" w:eastAsia="宋体" w:hint="default"/>
          <w:sz w:val="21"/>
          <w:szCs w:val="21"/>
        </w:rPr>
      </w:pPr>
      <w:r>
        <w:rPr>
          <w:rFonts w:ascii="宋体" w:hAnsi="宋体" w:cs="宋体" w:eastAsia="宋体" w:hint="default"/>
          <w:spacing w:val="-1"/>
          <w:sz w:val="21"/>
          <w:szCs w:val="21"/>
        </w:rPr>
        <w:t>规范股东大会召集、召开、表决程序，确保所有股东享有平等地位、平等权利，充分行使自己的权利，并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承担相应的义务。报告期内，公司共召开了</w:t>
      </w:r>
      <w:r>
        <w:rPr>
          <w:rFonts w:ascii="Times New Roman" w:hAnsi="Times New Roman" w:cs="Times New Roman" w:eastAsia="Times New Roman" w:hint="default"/>
          <w:sz w:val="21"/>
          <w:szCs w:val="21"/>
        </w:rPr>
        <w:t>1</w:t>
      </w:r>
      <w:r>
        <w:rPr>
          <w:rFonts w:ascii="宋体" w:hAnsi="宋体" w:cs="宋体" w:eastAsia="宋体" w:hint="default"/>
          <w:sz w:val="21"/>
          <w:szCs w:val="21"/>
        </w:rPr>
        <w:t>次年度股东大会，</w:t>
      </w:r>
      <w:r>
        <w:rPr>
          <w:rFonts w:ascii="Times New Roman" w:hAnsi="Times New Roman" w:cs="Times New Roman" w:eastAsia="Times New Roman" w:hint="default"/>
          <w:sz w:val="21"/>
          <w:szCs w:val="21"/>
        </w:rPr>
        <w:t>3</w:t>
      </w:r>
      <w:r>
        <w:rPr>
          <w:rFonts w:ascii="宋体" w:hAnsi="宋体" w:cs="宋体" w:eastAsia="宋体" w:hint="default"/>
          <w:sz w:val="21"/>
          <w:szCs w:val="21"/>
        </w:rPr>
        <w:t>次临时股东大会，会议均由董事会召集、 召开。</w:t>
      </w:r>
    </w:p>
    <w:p>
      <w:pPr>
        <w:spacing w:line="450" w:lineRule="atLeast" w:before="13"/>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、关于公司与控股股东</w:t>
      </w:r>
      <w:r>
        <w:rPr>
          <w:rFonts w:ascii="宋体" w:hAnsi="宋体" w:cs="宋体" w:eastAsia="宋体" w:hint="default"/>
          <w:b/>
          <w:bCs/>
          <w:w w:val="99"/>
          <w:sz w:val="21"/>
          <w:szCs w:val="21"/>
        </w:rPr>
        <w:t> </w:t>
      </w:r>
      <w:r>
        <w:rPr>
          <w:rFonts w:ascii="宋体" w:hAnsi="宋体" w:cs="宋体" w:eastAsia="宋体" w:hint="default"/>
          <w:spacing w:val="-1"/>
          <w:sz w:val="21"/>
          <w:szCs w:val="21"/>
        </w:rPr>
        <w:t>公司控股股东严格规范自己的行为，没有超越股东大会直接或间接干预公司的决策和经营活动。公司</w:t>
      </w:r>
    </w:p>
    <w:p>
      <w:pPr>
        <w:spacing w:line="273" w:lineRule="auto" w:before="37"/>
        <w:ind w:left="154" w:right="1023" w:firstLine="0"/>
        <w:jc w:val="left"/>
        <w:rPr>
          <w:rFonts w:ascii="宋体" w:hAnsi="宋体" w:cs="宋体" w:eastAsia="宋体" w:hint="default"/>
          <w:sz w:val="21"/>
          <w:szCs w:val="21"/>
        </w:rPr>
      </w:pPr>
      <w:r>
        <w:rPr>
          <w:rFonts w:ascii="宋体" w:hAnsi="宋体" w:cs="宋体" w:eastAsia="宋体" w:hint="default"/>
          <w:spacing w:val="-3"/>
          <w:sz w:val="21"/>
          <w:szCs w:val="21"/>
        </w:rPr>
        <w:t>拥有独立完整的业务和自主经营能力，在业务、人员、资产、机构、财务上独立于控股股东，公司董事会、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监事会和内部机构独立运作。</w:t>
      </w:r>
    </w:p>
    <w:p>
      <w:pPr>
        <w:spacing w:line="468" w:lineRule="exact" w:before="35"/>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、关于董事和董事会</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报告期内，公司董事会设董事</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名，其中独立董事</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名，董事会人数及人员构成符合法律、法规和《公</w:t>
      </w:r>
    </w:p>
    <w:p>
      <w:pPr>
        <w:spacing w:line="248" w:lineRule="exact" w:before="0"/>
        <w:ind w:left="154" w:right="0" w:firstLine="0"/>
        <w:jc w:val="both"/>
        <w:rPr>
          <w:rFonts w:ascii="宋体" w:hAnsi="宋体" w:cs="宋体" w:eastAsia="宋体" w:hint="default"/>
          <w:sz w:val="21"/>
          <w:szCs w:val="21"/>
        </w:rPr>
      </w:pPr>
      <w:r>
        <w:rPr>
          <w:rFonts w:ascii="宋体" w:hAnsi="宋体" w:cs="宋体" w:eastAsia="宋体" w:hint="default"/>
          <w:spacing w:val="-3"/>
          <w:sz w:val="21"/>
          <w:szCs w:val="21"/>
        </w:rPr>
        <w:t>司章程》的要求。各位董事能够依据《深圳证券交易所上市公司规范运作指引》、《公司董事会议事规则》</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和《公司独立董事工作细则》等开展工作，诚信、勤勉地履行职责和义务，同时积极参加有关培训，熟悉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有关法律法规。报告期内，公司共召开了</w:t>
      </w:r>
      <w:r>
        <w:rPr>
          <w:rFonts w:ascii="Times New Roman" w:hAnsi="Times New Roman" w:cs="Times New Roman" w:eastAsia="Times New Roman" w:hint="default"/>
          <w:sz w:val="21"/>
          <w:szCs w:val="21"/>
        </w:rPr>
        <w:t>9</w:t>
      </w:r>
      <w:r>
        <w:rPr>
          <w:rFonts w:ascii="宋体" w:hAnsi="宋体" w:cs="宋体" w:eastAsia="宋体" w:hint="default"/>
          <w:sz w:val="21"/>
          <w:szCs w:val="21"/>
        </w:rPr>
        <w:t>次董事会，均由董事长召集、召开。</w:t>
      </w:r>
    </w:p>
    <w:p>
      <w:pPr>
        <w:spacing w:line="264" w:lineRule="auto" w:before="144"/>
        <w:ind w:left="154" w:right="1020" w:firstLine="420"/>
        <w:jc w:val="left"/>
        <w:rPr>
          <w:rFonts w:ascii="宋体" w:hAnsi="宋体" w:cs="宋体" w:eastAsia="宋体" w:hint="default"/>
          <w:sz w:val="21"/>
          <w:szCs w:val="21"/>
        </w:rPr>
      </w:pPr>
      <w:r>
        <w:rPr>
          <w:rFonts w:ascii="宋体" w:hAnsi="宋体" w:cs="宋体" w:eastAsia="宋体" w:hint="default"/>
          <w:sz w:val="21"/>
          <w:szCs w:val="21"/>
        </w:rPr>
        <w:t>董事会下设战略委员会、提名委员会、审计委员会和薪酬与考核委员会，除战略委员会外其他委员会 </w:t>
      </w:r>
      <w:r>
        <w:rPr>
          <w:rFonts w:ascii="宋体" w:hAnsi="宋体" w:cs="宋体" w:eastAsia="宋体" w:hint="default"/>
          <w:spacing w:val="-4"/>
          <w:sz w:val="21"/>
          <w:szCs w:val="21"/>
        </w:rPr>
        <w:t>中独立董事占比均超过</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，为董事会的决策提供了科学和专业的意见和参考。各个委员会依据《公司章程》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和各委员会议事细则等相关规定履行职权，不受公司其他部门和个人的干预。</w:t>
      </w:r>
    </w:p>
    <w:p>
      <w:pPr>
        <w:spacing w:line="468" w:lineRule="exact" w:before="43"/>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、关于监事和监事会</w:t>
      </w:r>
      <w:r>
        <w:rPr>
          <w:rFonts w:ascii="宋体" w:hAnsi="宋体" w:cs="宋体" w:eastAsia="宋体" w:hint="default"/>
          <w:b/>
          <w:bCs/>
          <w:w w:val="99"/>
          <w:sz w:val="21"/>
          <w:szCs w:val="21"/>
        </w:rPr>
        <w:t> </w:t>
      </w:r>
      <w:r>
        <w:rPr>
          <w:rFonts w:ascii="宋体" w:hAnsi="宋体" w:cs="宋体" w:eastAsia="宋体" w:hint="default"/>
          <w:spacing w:val="-1"/>
          <w:sz w:val="21"/>
          <w:szCs w:val="21"/>
        </w:rPr>
        <w:t>公司监事会设监事</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名，其中职工监事</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名，监事会的人数和构成符合法律、法规的要求。各位监事能</w:t>
      </w:r>
    </w:p>
    <w:p>
      <w:pPr>
        <w:spacing w:line="248"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够按照《监事会议事规则》等相关规定，认真履行自己的职责、对公司重大事项、关联交易、财务状况以</w:t>
      </w:r>
    </w:p>
    <w:p>
      <w:pPr>
        <w:spacing w:line="256" w:lineRule="auto" w:before="37"/>
        <w:ind w:left="154" w:right="817" w:firstLine="0"/>
        <w:jc w:val="left"/>
        <w:rPr>
          <w:rFonts w:ascii="宋体" w:hAnsi="宋体" w:cs="宋体" w:eastAsia="宋体" w:hint="default"/>
          <w:sz w:val="21"/>
          <w:szCs w:val="21"/>
        </w:rPr>
      </w:pPr>
      <w:r>
        <w:rPr>
          <w:rFonts w:ascii="宋体" w:hAnsi="宋体" w:cs="宋体" w:eastAsia="宋体" w:hint="default"/>
          <w:sz w:val="21"/>
          <w:szCs w:val="21"/>
        </w:rPr>
        <w:t>及董事、高管人员履行职责的合法合规性进行监督。报告期内，公司共召开了</w:t>
      </w:r>
      <w:r>
        <w:rPr>
          <w:rFonts w:ascii="Times New Roman" w:hAnsi="Times New Roman" w:cs="Times New Roman" w:eastAsia="Times New Roman" w:hint="default"/>
          <w:sz w:val="21"/>
          <w:szCs w:val="21"/>
        </w:rPr>
        <w:t>9</w:t>
      </w:r>
      <w:r>
        <w:rPr>
          <w:rFonts w:ascii="宋体" w:hAnsi="宋体" w:cs="宋体" w:eastAsia="宋体" w:hint="default"/>
          <w:sz w:val="21"/>
          <w:szCs w:val="21"/>
        </w:rPr>
        <w:t>次监事会，均由监事会主</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席召集、召开。</w:t>
      </w:r>
    </w:p>
    <w:p>
      <w:pPr>
        <w:spacing w:line="450" w:lineRule="atLeast" w:before="19"/>
        <w:ind w:left="574" w:right="8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w:t>
      </w:r>
      <w:r>
        <w:rPr>
          <w:rFonts w:ascii="宋体" w:hAnsi="宋体" w:cs="宋体" w:eastAsia="宋体" w:hint="default"/>
          <w:b/>
          <w:bCs/>
          <w:w w:val="99"/>
          <w:sz w:val="21"/>
          <w:szCs w:val="21"/>
        </w:rPr>
        <w:t> </w:t>
      </w:r>
      <w:r>
        <w:rPr>
          <w:rFonts w:ascii="宋体" w:hAnsi="宋体" w:cs="宋体" w:eastAsia="宋体" w:hint="default"/>
          <w:spacing w:val="-1"/>
          <w:sz w:val="21"/>
          <w:szCs w:val="21"/>
        </w:rPr>
        <w:t>公司严格按照有关法律法规及《信息披露事务管理制度》、《投资者关系管理制度》等相关规定，真</w:t>
      </w:r>
    </w:p>
    <w:p>
      <w:pPr>
        <w:spacing w:line="273" w:lineRule="auto" w:before="37"/>
        <w:ind w:left="154" w:right="817" w:firstLine="0"/>
        <w:jc w:val="left"/>
        <w:rPr>
          <w:rFonts w:ascii="宋体" w:hAnsi="宋体" w:cs="宋体" w:eastAsia="宋体" w:hint="default"/>
          <w:sz w:val="21"/>
          <w:szCs w:val="21"/>
        </w:rPr>
      </w:pPr>
      <w:r>
        <w:rPr>
          <w:rFonts w:ascii="宋体" w:hAnsi="宋体" w:cs="宋体" w:eastAsia="宋体" w:hint="default"/>
          <w:sz w:val="21"/>
          <w:szCs w:val="21"/>
        </w:rPr>
        <w:t>实、准确、完整、及时、公平地披露有关信息，并指定公司董事会秘书负责信息披露工作，协调公司与投 </w:t>
      </w:r>
      <w:r>
        <w:rPr>
          <w:rFonts w:ascii="宋体" w:hAnsi="宋体" w:cs="宋体" w:eastAsia="宋体" w:hint="default"/>
          <w:spacing w:val="-8"/>
          <w:sz w:val="21"/>
          <w:szCs w:val="21"/>
        </w:rPr>
        <w:t>资者的关系，接待股东来访，回答投资者咨询，向投资者提供公司已披露的资料。同时，指定《证券时报》、</w:t>
      </w:r>
    </w:p>
    <w:p>
      <w:pPr>
        <w:spacing w:before="7"/>
        <w:ind w:left="154" w:right="0" w:firstLine="0"/>
        <w:jc w:val="both"/>
        <w:rPr>
          <w:rFonts w:ascii="宋体" w:hAnsi="宋体" w:cs="宋体" w:eastAsia="宋体" w:hint="default"/>
          <w:sz w:val="21"/>
          <w:szCs w:val="21"/>
        </w:rPr>
      </w:pPr>
      <w:r>
        <w:rPr>
          <w:rFonts w:ascii="宋体" w:hAnsi="宋体" w:cs="宋体" w:eastAsia="宋体" w:hint="default"/>
          <w:sz w:val="21"/>
          <w:szCs w:val="21"/>
        </w:rPr>
        <w:t>《中国证券报》、《上海证券报》、《证券日报》和巨潮资讯网（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）为公司信息披露的</w:t>
      </w:r>
    </w:p>
    <w:p>
      <w:pPr>
        <w:spacing w:after="0"/>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r>
        <w:rPr>
          <w:rFonts w:ascii="宋体" w:hAnsi="宋体" w:cs="宋体" w:eastAsia="宋体" w:hint="default"/>
          <w:sz w:val="21"/>
          <w:szCs w:val="21"/>
        </w:rPr>
        <w:t>指定报纸和网站，确保公司所有股东能够以平等的机会获取信息。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817"/>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spacing w:line="273" w:lineRule="auto" w:before="0"/>
        <w:ind w:left="154" w:right="1092" w:firstLine="420"/>
        <w:jc w:val="left"/>
        <w:rPr>
          <w:rFonts w:ascii="宋体" w:hAnsi="宋体" w:cs="宋体" w:eastAsia="宋体" w:hint="default"/>
          <w:sz w:val="21"/>
          <w:szCs w:val="21"/>
        </w:rPr>
      </w:pPr>
      <w:r>
        <w:rPr>
          <w:rFonts w:ascii="宋体" w:hAnsi="宋体" w:cs="宋体" w:eastAsia="宋体" w:hint="default"/>
          <w:sz w:val="21"/>
          <w:szCs w:val="21"/>
        </w:rPr>
        <w:t>公司控股股东、实际控制人为自然人。公司与控股股东实行了业务、人员、资产、机构、财务独立， 各自独立核算、独立承担责任和风险，公司具有独立完整的业务和自主经营的能力。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ind w:right="817"/>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本报告期股东大会情况" w:id="141"/>
      <w:bookmarkEnd w:id="1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2018-001</w:t>
            </w:r>
            <w:r>
              <w:rPr>
                <w:rFonts w:ascii="宋体" w:hAnsi="宋体" w:cs="宋体" w:eastAsia="宋体" w:hint="default"/>
                <w:spacing w:val="-7"/>
                <w:sz w:val="18"/>
                <w:szCs w:val="18"/>
              </w:rPr>
              <w:t>）；巨潮资</w:t>
            </w:r>
            <w:r>
              <w:rPr>
                <w:rFonts w:ascii="宋体" w:hAnsi="宋体" w:cs="宋体" w:eastAsia="宋体" w:hint="default"/>
                <w:sz w:val="18"/>
                <w:szCs w:val="18"/>
              </w:rPr>
              <w:t> 讯网：</w:t>
            </w:r>
          </w:p>
          <w:p>
            <w:pPr>
              <w:pStyle w:val="TableParagraph"/>
              <w:spacing w:line="240" w:lineRule="auto" w:before="6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2018-016</w:t>
            </w:r>
            <w:r>
              <w:rPr>
                <w:rFonts w:ascii="宋体" w:hAnsi="宋体" w:cs="宋体" w:eastAsia="宋体" w:hint="default"/>
                <w:spacing w:val="-7"/>
                <w:sz w:val="18"/>
                <w:szCs w:val="18"/>
              </w:rPr>
              <w:t>）；巨潮资</w:t>
            </w:r>
            <w:r>
              <w:rPr>
                <w:rFonts w:ascii="宋体" w:hAnsi="宋体" w:cs="宋体" w:eastAsia="宋体" w:hint="default"/>
                <w:sz w:val="18"/>
                <w:szCs w:val="18"/>
              </w:rPr>
              <w:t> 讯网：</w:t>
            </w:r>
          </w:p>
          <w:p>
            <w:pPr>
              <w:pStyle w:val="TableParagraph"/>
              <w:spacing w:line="240" w:lineRule="auto" w:before="6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w:t>
            </w:r>
            <w:r>
              <w:rPr>
                <w:rFonts w:ascii="宋体" w:hAnsi="宋体" w:cs="宋体" w:eastAsia="宋体" w:hint="default"/>
                <w:spacing w:val="-17"/>
                <w:sz w:val="18"/>
                <w:szCs w:val="18"/>
              </w:rPr>
              <w:t>告编号：</w:t>
            </w:r>
            <w:r>
              <w:rPr>
                <w:rFonts w:ascii="Times New Roman" w:hAnsi="Times New Roman" w:cs="Times New Roman" w:eastAsia="Times New Roman" w:hint="default"/>
                <w:spacing w:val="-17"/>
                <w:sz w:val="18"/>
                <w:szCs w:val="18"/>
              </w:rPr>
              <w:t>2018-055</w:t>
            </w:r>
            <w:r>
              <w:rPr>
                <w:rFonts w:ascii="宋体" w:hAnsi="宋体" w:cs="宋体" w:eastAsia="宋体" w:hint="default"/>
                <w:spacing w:val="-17"/>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巨潮资讯网：</w:t>
            </w:r>
          </w:p>
          <w:p>
            <w:pPr>
              <w:pStyle w:val="TableParagraph"/>
              <w:spacing w:line="240" w:lineRule="auto" w:before="69"/>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2018-084</w:t>
            </w:r>
            <w:r>
              <w:rPr>
                <w:rFonts w:ascii="宋体" w:hAnsi="宋体" w:cs="宋体" w:eastAsia="宋体" w:hint="default"/>
                <w:spacing w:val="-7"/>
                <w:sz w:val="18"/>
                <w:szCs w:val="18"/>
              </w:rPr>
              <w:t>）；巨潮资</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spacing w:before="35"/>
        <w:ind w:left="154" w:right="817" w:firstLine="0"/>
        <w:jc w:val="left"/>
        <w:rPr>
          <w:rFonts w:ascii="宋体" w:hAnsi="宋体" w:cs="宋体" w:eastAsia="宋体" w:hint="default"/>
          <w:sz w:val="21"/>
          <w:szCs w:val="21"/>
        </w:rPr>
      </w:pPr>
      <w:bookmarkStart w:name="2、表决权恢复的优先股股东请求召开临时股东大会" w:id="142"/>
      <w:bookmarkEnd w:id="1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17"/>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独立董事出席董事会及股东大会的情况" w:id="144"/>
      <w:bookmarkEnd w:id="1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独立董事对公司有关事项提出异议的情况"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3、独立董事履行职责的其他说明" w:id="146"/>
      <w:bookmarkEnd w:id="1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271" w:lineRule="auto" w:before="97"/>
        <w:ind w:left="154" w:right="1110" w:firstLine="420"/>
        <w:jc w:val="both"/>
        <w:rPr>
          <w:rFonts w:ascii="宋体" w:hAnsi="宋体" w:cs="宋体" w:eastAsia="宋体" w:hint="default"/>
          <w:sz w:val="21"/>
          <w:szCs w:val="21"/>
        </w:rPr>
      </w:pPr>
      <w:r>
        <w:rPr>
          <w:rFonts w:ascii="宋体" w:hAnsi="宋体" w:cs="宋体" w:eastAsia="宋体" w:hint="default"/>
          <w:sz w:val="21"/>
          <w:szCs w:val="21"/>
        </w:rPr>
        <w:t>公司独立董事根据《公司法》、《证券法》、《创业板股票上市规则》及《公司章程》等相关规定， 关注公司运作，独立履行职责，对公司的制度完善和日常经营决策等方面提出了很多宝贵的专业性建议， </w:t>
      </w:r>
      <w:r>
        <w:rPr>
          <w:rFonts w:ascii="宋体" w:hAnsi="宋体" w:cs="宋体" w:eastAsia="宋体" w:hint="default"/>
          <w:spacing w:val="-1"/>
          <w:sz w:val="21"/>
          <w:szCs w:val="21"/>
        </w:rPr>
        <w:t>公司结合自身实际情况予以采纳。独立董事对报告期内年度利润分配预案、募集资金使用等事项提出了独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立、客观的意见，为完善公司监督机制，维护公司和全体股东的合法权益发挥了应有的作用。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ind w:right="817"/>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54" w:right="1133" w:firstLine="420"/>
        <w:jc w:val="both"/>
        <w:rPr>
          <w:rFonts w:ascii="宋体" w:hAnsi="宋体" w:cs="宋体" w:eastAsia="宋体" w:hint="default"/>
          <w:sz w:val="21"/>
          <w:szCs w:val="21"/>
        </w:rPr>
      </w:pPr>
      <w:r>
        <w:rPr>
          <w:rFonts w:ascii="宋体" w:hAnsi="宋体" w:cs="宋体" w:eastAsia="宋体" w:hint="default"/>
          <w:spacing w:val="-1"/>
          <w:sz w:val="21"/>
          <w:szCs w:val="21"/>
        </w:rPr>
        <w:t>公司董事会下设审计委员会、战略委员会、提名委员会、薪酬与考核委员会。各专门委员会在报告期</w:t>
      </w:r>
      <w:r>
        <w:rPr>
          <w:rFonts w:ascii="宋体" w:hAnsi="宋体" w:cs="宋体" w:eastAsia="宋体" w:hint="default"/>
          <w:sz w:val="21"/>
          <w:szCs w:val="21"/>
        </w:rPr>
        <w:t> 内的履职情况如下：</w:t>
      </w:r>
    </w:p>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576" w:right="817" w:firstLine="0"/>
        <w:jc w:val="left"/>
        <w:rPr>
          <w:rFonts w:ascii="宋体" w:hAnsi="宋体" w:cs="宋体" w:eastAsia="宋体" w:hint="default"/>
          <w:sz w:val="21"/>
          <w:szCs w:val="21"/>
        </w:rPr>
      </w:pPr>
      <w:r>
        <w:rPr>
          <w:rFonts w:ascii="宋体" w:hAnsi="宋体" w:cs="宋体" w:eastAsia="宋体" w:hint="default"/>
          <w:b/>
          <w:bCs/>
          <w:sz w:val="21"/>
          <w:szCs w:val="21"/>
        </w:rPr>
        <w:t>（一）审计委员的履职情况</w:t>
      </w:r>
      <w:r>
        <w:rPr>
          <w:rFonts w:ascii="宋体" w:hAnsi="宋体" w:cs="宋体" w:eastAsia="宋体" w:hint="default"/>
          <w:sz w:val="21"/>
          <w:szCs w:val="21"/>
        </w:rPr>
      </w:r>
    </w:p>
    <w:p>
      <w:pPr>
        <w:spacing w:line="264" w:lineRule="auto" w:before="157"/>
        <w:ind w:left="154" w:right="1133"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报告期内，公司审计委员会严格按照公司《审计委员会工作细则》等相关要求，积极履行职责，报告</w:t>
      </w:r>
      <w:r>
        <w:rPr>
          <w:rFonts w:ascii="宋体" w:hAnsi="宋体" w:cs="宋体" w:eastAsia="宋体" w:hint="default"/>
          <w:sz w:val="21"/>
          <w:szCs w:val="21"/>
        </w:rPr>
        <w:t> 期内共召开了</w:t>
      </w:r>
      <w:r>
        <w:rPr>
          <w:rFonts w:ascii="Times New Roman" w:hAnsi="Times New Roman" w:cs="Times New Roman" w:eastAsia="Times New Roman" w:hint="default"/>
          <w:sz w:val="21"/>
          <w:szCs w:val="21"/>
        </w:rPr>
        <w:t>4</w:t>
      </w:r>
      <w:r>
        <w:rPr>
          <w:rFonts w:ascii="宋体" w:hAnsi="宋体" w:cs="宋体" w:eastAsia="宋体" w:hint="default"/>
          <w:sz w:val="21"/>
          <w:szCs w:val="21"/>
        </w:rPr>
        <w:t>次会议，对公司定期报告进行审议并形成决议；及时审阅内部审计部门定期工作计划和报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告，并向董事会报告。</w:t>
      </w:r>
    </w:p>
    <w:p>
      <w:pPr>
        <w:spacing w:line="432" w:lineRule="exact" w:before="36"/>
        <w:ind w:left="574" w:right="817" w:firstLine="2"/>
        <w:jc w:val="left"/>
        <w:rPr>
          <w:rFonts w:ascii="宋体" w:hAnsi="宋体" w:cs="宋体" w:eastAsia="宋体" w:hint="default"/>
          <w:sz w:val="21"/>
          <w:szCs w:val="21"/>
        </w:rPr>
      </w:pPr>
      <w:r>
        <w:rPr>
          <w:rFonts w:ascii="宋体" w:hAnsi="宋体" w:cs="宋体" w:eastAsia="宋体" w:hint="default"/>
          <w:b/>
          <w:bCs/>
          <w:sz w:val="21"/>
          <w:szCs w:val="21"/>
        </w:rPr>
        <w:t>（二）提名委员会履职情况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报告期内，提名委员会根据公司《提名委员会工作细则》等相关规定，积极履行职责，报告期内共召</w:t>
      </w:r>
    </w:p>
    <w:p>
      <w:pPr>
        <w:spacing w:line="271"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开了</w:t>
      </w:r>
      <w:r>
        <w:rPr>
          <w:rFonts w:ascii="Times New Roman" w:hAnsi="Times New Roman" w:cs="Times New Roman" w:eastAsia="Times New Roman" w:hint="default"/>
          <w:sz w:val="21"/>
          <w:szCs w:val="21"/>
        </w:rPr>
        <w:t>1</w:t>
      </w:r>
      <w:r>
        <w:rPr>
          <w:rFonts w:ascii="宋体" w:hAnsi="宋体" w:cs="宋体" w:eastAsia="宋体" w:hint="default"/>
          <w:sz w:val="21"/>
          <w:szCs w:val="21"/>
        </w:rPr>
        <w:t>次会议，对公司董事会规模及高级管理人员任职资格进行了审核，并发表审核意见。</w:t>
      </w:r>
    </w:p>
    <w:p>
      <w:pPr>
        <w:spacing w:line="432" w:lineRule="exact" w:before="41"/>
        <w:ind w:left="574" w:right="817" w:firstLine="2"/>
        <w:jc w:val="left"/>
        <w:rPr>
          <w:rFonts w:ascii="宋体" w:hAnsi="宋体" w:cs="宋体" w:eastAsia="宋体" w:hint="default"/>
          <w:sz w:val="21"/>
          <w:szCs w:val="21"/>
        </w:rPr>
      </w:pPr>
      <w:r>
        <w:rPr>
          <w:rFonts w:ascii="宋体" w:hAnsi="宋体" w:cs="宋体" w:eastAsia="宋体" w:hint="default"/>
          <w:b/>
          <w:bCs/>
          <w:sz w:val="21"/>
          <w:szCs w:val="21"/>
        </w:rPr>
        <w:t>（三）薪酬与考核委员会履职情况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报告期内，薪酬与考核委员会根据公司章程及《薪酬与考核委员会工作细则》等相关规定，召开</w:t>
      </w:r>
      <w:r>
        <w:rPr>
          <w:rFonts w:ascii="Times New Roman" w:hAnsi="Times New Roman" w:cs="Times New Roman" w:eastAsia="Times New Roman" w:hint="default"/>
          <w:sz w:val="21"/>
          <w:szCs w:val="21"/>
        </w:rPr>
        <w:t>1</w:t>
      </w:r>
      <w:r>
        <w:rPr>
          <w:rFonts w:ascii="宋体" w:hAnsi="宋体" w:cs="宋体" w:eastAsia="宋体" w:hint="default"/>
          <w:sz w:val="21"/>
          <w:szCs w:val="21"/>
        </w:rPr>
        <w:t>次</w:t>
      </w:r>
    </w:p>
    <w:p>
      <w:pPr>
        <w:spacing w:line="271" w:lineRule="exact"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会议，对公司董事和高级管理人员工作及薪酬情况进行考核和检查；对公司董事和高级管理人员</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p>
      <w:pPr>
        <w:spacing w:before="21"/>
        <w:ind w:left="154" w:right="0" w:firstLine="0"/>
        <w:jc w:val="both"/>
        <w:rPr>
          <w:rFonts w:ascii="宋体" w:hAnsi="宋体" w:cs="宋体" w:eastAsia="宋体" w:hint="default"/>
          <w:sz w:val="21"/>
          <w:szCs w:val="21"/>
        </w:rPr>
      </w:pPr>
      <w:r>
        <w:rPr>
          <w:rFonts w:ascii="宋体" w:hAnsi="宋体" w:cs="宋体" w:eastAsia="宋体" w:hint="default"/>
          <w:sz w:val="21"/>
          <w:szCs w:val="21"/>
        </w:rPr>
        <w:t>薪酬方案发表意见。</w:t>
      </w:r>
    </w:p>
    <w:p>
      <w:pPr>
        <w:spacing w:line="430" w:lineRule="atLeast" w:before="2"/>
        <w:ind w:left="574" w:right="1092" w:firstLine="2"/>
        <w:jc w:val="left"/>
        <w:rPr>
          <w:rFonts w:ascii="宋体" w:hAnsi="宋体" w:cs="宋体" w:eastAsia="宋体" w:hint="default"/>
          <w:sz w:val="21"/>
          <w:szCs w:val="21"/>
        </w:rPr>
      </w:pPr>
      <w:r>
        <w:rPr>
          <w:rFonts w:ascii="宋体" w:hAnsi="宋体" w:cs="宋体" w:eastAsia="宋体" w:hint="default"/>
          <w:b/>
          <w:bCs/>
          <w:sz w:val="21"/>
          <w:szCs w:val="21"/>
        </w:rPr>
        <w:t>（四）战略委员会履职情况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报告期内，战略委员会根据公司《战略委员会工作细则》等相关规定，结合公司实际发展战略需要，</w:t>
      </w:r>
    </w:p>
    <w:p>
      <w:pPr>
        <w:spacing w:before="37"/>
        <w:ind w:left="154" w:right="0" w:firstLine="0"/>
        <w:jc w:val="both"/>
        <w:rPr>
          <w:rFonts w:ascii="宋体" w:hAnsi="宋体" w:cs="宋体" w:eastAsia="宋体" w:hint="default"/>
          <w:sz w:val="21"/>
          <w:szCs w:val="21"/>
        </w:rPr>
      </w:pPr>
      <w:r>
        <w:rPr>
          <w:rFonts w:ascii="宋体" w:hAnsi="宋体" w:cs="宋体" w:eastAsia="宋体" w:hint="default"/>
          <w:sz w:val="21"/>
          <w:szCs w:val="21"/>
        </w:rPr>
        <w:t>共召开了</w:t>
      </w:r>
      <w:r>
        <w:rPr>
          <w:rFonts w:ascii="Times New Roman" w:hAnsi="Times New Roman" w:cs="Times New Roman" w:eastAsia="Times New Roman" w:hint="default"/>
          <w:sz w:val="21"/>
          <w:szCs w:val="21"/>
        </w:rPr>
        <w:t>3</w:t>
      </w:r>
      <w:r>
        <w:rPr>
          <w:rFonts w:ascii="宋体" w:hAnsi="宋体" w:cs="宋体" w:eastAsia="宋体" w:hint="default"/>
          <w:sz w:val="21"/>
          <w:szCs w:val="21"/>
        </w:rPr>
        <w:t>次会议，对收购志良电力少数股权、非公开方案等事项进行审议。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5"/>
        <w:ind w:right="0"/>
        <w:jc w:val="both"/>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spacing w:line="268" w:lineRule="auto" w:before="0"/>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公司根据薪酬管理制度，建立了高级管理人员的薪酬与公司业绩挂钩的绩效考核与激励约束机制，公司高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级管理人员实行岗位薪酬与年终绩效考核相结合的薪酬制度。根据公司年度经营目标完成情况及高级管理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人员的工作业绩，由公司董事会薪酬与考核委员会对高级管理人员进行年度绩效考核，并监督薪酬制度执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行情况。公司则根据绩效考核结果兑现其绩效年薪，并进行奖惩。公司董事会薪酬与考核委员会根据实际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情况对公司高级管理人员进行考核后，一致认为：</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年度公司高级管理人员薪酬方案严格执行了公司薪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酬管理制度。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ind w:right="0"/>
        <w:jc w:val="both"/>
        <w:rPr>
          <w:b w:val="0"/>
          <w:bCs w:val="0"/>
        </w:rPr>
      </w:pPr>
      <w:bookmarkStart w:name="九、内部控制评价报告" w:id="150"/>
      <w:bookmarkEnd w:id="15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报告期内发现的内部控制重大缺陷的具体情况" w:id="151"/>
      <w:bookmarkEnd w:id="1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0" w:firstLine="0"/>
        <w:jc w:val="both"/>
        <w:rPr>
          <w:rFonts w:ascii="宋体" w:hAnsi="宋体" w:cs="宋体" w:eastAsia="宋体" w:hint="default"/>
          <w:sz w:val="21"/>
          <w:szCs w:val="21"/>
        </w:rPr>
      </w:pPr>
      <w:bookmarkStart w:name="2、内控自我评价报告" w:id="152"/>
      <w:bookmarkEnd w:id="1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9"/>
          <w:szCs w:val="29"/>
        </w:rPr>
      </w:pPr>
    </w:p>
    <w:p>
      <w:pPr>
        <w:tabs>
          <w:tab w:pos="3376" w:val="left" w:leader="none"/>
        </w:tabs>
        <w:spacing w:before="44"/>
        <w:ind w:left="181" w:right="817" w:firstLine="0"/>
        <w:jc w:val="left"/>
        <w:rPr>
          <w:rFonts w:ascii="宋体" w:hAnsi="宋体" w:cs="宋体" w:eastAsia="宋体" w:hint="default"/>
          <w:sz w:val="18"/>
          <w:szCs w:val="18"/>
        </w:rPr>
      </w:pPr>
      <w:r>
        <w:rPr/>
        <w:pict>
          <v:group style="position:absolute;margin-left:56.459999pt;margin-top:-1.088316pt;width:478.95pt;height:612.1pt;mso-position-horizontal-relative:page;mso-position-vertical-relative:paragraph;z-index:-1264912" coordorigin="1129,-22" coordsize="9579,12242">
            <v:group style="position:absolute;left:1150;top:-7;width:2;height:393" coordorigin="1150,-7" coordsize="2,393">
              <v:shape style="position:absolute;left:1150;top:-7;width:2;height:393" coordorigin="1150,-7" coordsize="0,393" path="m1150,-7l1150,385e" filled="false" stroked="true" strokeweight="1.140pt" strokecolor="#d2d2d2">
                <v:path arrowok="t"/>
              </v:shape>
            </v:group>
            <v:group style="position:absolute;left:4311;top:-7;width:2;height:393" coordorigin="4311,-7" coordsize="2,393">
              <v:shape style="position:absolute;left:4311;top:-7;width:2;height:393" coordorigin="4311,-7" coordsize="0,393" path="m4311,-7l4311,385e" filled="false" stroked="true" strokeweight="1.140pt" strokecolor="#d2d2d2">
                <v:path arrowok="t"/>
              </v:shape>
            </v:group>
            <v:group style="position:absolute;left:1162;top:-7;width:3139;height:393" coordorigin="1162,-7" coordsize="3139,393">
              <v:shape style="position:absolute;left:1162;top:-7;width:3139;height:393" coordorigin="1162,-7" coordsize="3139,393" path="m1162,385l4300,385,4300,-7,1162,-7,1162,385xe" filled="true" fillcolor="#d2d2d2" stroked="false">
                <v:path arrowok="t"/>
                <v:fill type="solid"/>
              </v:shape>
            </v:group>
            <v:group style="position:absolute;left:1139;top:-12;width:3186;height:2" coordorigin="1139,-12" coordsize="3186,2">
              <v:shape style="position:absolute;left:1139;top:-12;width:3186;height:2" coordorigin="1139,-12" coordsize="3186,0" path="m1139,-12l4324,-12e" filled="false" stroked="true" strokeweight=".48pt" strokecolor="#000000">
                <v:path arrowok="t"/>
              </v:shape>
            </v:group>
            <v:group style="position:absolute;left:4334;top:-12;width:6365;height:2" coordorigin="4334,-12" coordsize="6365,2">
              <v:shape style="position:absolute;left:4334;top:-12;width:6365;height:2" coordorigin="4334,-12" coordsize="6365,0" path="m4334,-12l10698,-12e" filled="false" stroked="true" strokeweight=".48pt" strokecolor="#000000">
                <v:path arrowok="t"/>
              </v:shape>
            </v:group>
            <v:group style="position:absolute;left:1150;top:395;width:2;height:705" coordorigin="1150,395" coordsize="2,705">
              <v:shape style="position:absolute;left:1150;top:395;width:2;height:705" coordorigin="1150,395" coordsize="0,705" path="m1150,395l1150,1099e" filled="false" stroked="true" strokeweight="1.140pt" strokecolor="#d2d2d2">
                <v:path arrowok="t"/>
              </v:shape>
            </v:group>
            <v:group style="position:absolute;left:4311;top:395;width:2;height:705" coordorigin="4311,395" coordsize="2,705">
              <v:shape style="position:absolute;left:4311;top:395;width:2;height:705" coordorigin="4311,395" coordsize="0,705" path="m4311,395l4311,1099e" filled="false" stroked="true" strokeweight="1.140pt" strokecolor="#d2d2d2">
                <v:path arrowok="t"/>
              </v:shape>
            </v:group>
            <v:group style="position:absolute;left:1162;top:395;width:3139;height:353" coordorigin="1162,395" coordsize="3139,353">
              <v:shape style="position:absolute;left:1162;top:395;width:3139;height:353" coordorigin="1162,395" coordsize="3139,353" path="m1162,747l4300,747,4300,395,1162,395,1162,747xe" filled="true" fillcolor="#d2d2d2" stroked="false">
                <v:path arrowok="t"/>
                <v:fill type="solid"/>
              </v:shape>
            </v:group>
            <v:group style="position:absolute;left:1162;top:747;width:3139;height:352" coordorigin="1162,747" coordsize="3139,352">
              <v:shape style="position:absolute;left:1162;top:747;width:3139;height:352" coordorigin="1162,747" coordsize="3139,352" path="m1162,1099l4300,1099,4300,747,1162,747,1162,1099xe" filled="true" fillcolor="#d2d2d2" stroked="false">
                <v:path arrowok="t"/>
                <v:fill type="solid"/>
              </v:shape>
            </v:group>
            <v:group style="position:absolute;left:1139;top:390;width:3186;height:2" coordorigin="1139,390" coordsize="3186,2">
              <v:shape style="position:absolute;left:1139;top:390;width:3186;height:2" coordorigin="1139,390" coordsize="3186,0" path="m1139,390l4324,390e" filled="false" stroked="true" strokeweight=".48pt" strokecolor="#000000">
                <v:path arrowok="t"/>
              </v:shape>
            </v:group>
            <v:group style="position:absolute;left:4334;top:390;width:6365;height:2" coordorigin="4334,390" coordsize="6365,2">
              <v:shape style="position:absolute;left:4334;top:390;width:6365;height:2" coordorigin="4334,390" coordsize="6365,0" path="m4334,390l10698,390e" filled="false" stroked="true" strokeweight=".48pt" strokecolor="#000000">
                <v:path arrowok="t"/>
              </v:shape>
            </v:group>
            <v:group style="position:absolute;left:1150;top:1109;width:2;height:705" coordorigin="1150,1109" coordsize="2,705">
              <v:shape style="position:absolute;left:1150;top:1109;width:2;height:705" coordorigin="1150,1109" coordsize="0,705" path="m1150,1109l1150,1813e" filled="false" stroked="true" strokeweight="1.140pt" strokecolor="#d2d2d2">
                <v:path arrowok="t"/>
              </v:shape>
            </v:group>
            <v:group style="position:absolute;left:4311;top:1109;width:2;height:705" coordorigin="4311,1109" coordsize="2,705">
              <v:shape style="position:absolute;left:4311;top:1109;width:2;height:705" coordorigin="4311,1109" coordsize="0,705" path="m4311,1109l4311,1813e" filled="false" stroked="true" strokeweight="1.140pt" strokecolor="#d2d2d2">
                <v:path arrowok="t"/>
              </v:shape>
            </v:group>
            <v:group style="position:absolute;left:1162;top:1109;width:3139;height:354" coordorigin="1162,1109" coordsize="3139,354">
              <v:shape style="position:absolute;left:1162;top:1109;width:3139;height:354" coordorigin="1162,1109" coordsize="3139,354" path="m1162,1462l4300,1462,4300,1109,1162,1109,1162,1462xe" filled="true" fillcolor="#d2d2d2" stroked="false">
                <v:path arrowok="t"/>
                <v:fill type="solid"/>
              </v:shape>
            </v:group>
            <v:group style="position:absolute;left:1162;top:1462;width:3139;height:352" coordorigin="1162,1462" coordsize="3139,352">
              <v:shape style="position:absolute;left:1162;top:1462;width:3139;height:352" coordorigin="1162,1462" coordsize="3139,352" path="m1162,1813l4300,1813,4300,1462,1162,1462,1162,1813xe" filled="true" fillcolor="#d2d2d2" stroked="false">
                <v:path arrowok="t"/>
                <v:fill type="solid"/>
              </v:shape>
            </v:group>
            <v:group style="position:absolute;left:1139;top:1104;width:3186;height:2" coordorigin="1139,1104" coordsize="3186,2">
              <v:shape style="position:absolute;left:1139;top:1104;width:3186;height:2" coordorigin="1139,1104" coordsize="3186,0" path="m1139,1104l4324,1104e" filled="false" stroked="true" strokeweight=".48pt" strokecolor="#000000">
                <v:path arrowok="t"/>
              </v:shape>
            </v:group>
            <v:group style="position:absolute;left:4334;top:1104;width:6365;height:2" coordorigin="4334,1104" coordsize="6365,2">
              <v:shape style="position:absolute;left:4334;top:1104;width:6365;height:2" coordorigin="4334,1104" coordsize="6365,0" path="m4334,1104l10698,1104e" filled="false" stroked="true" strokeweight=".48pt" strokecolor="#000000">
                <v:path arrowok="t"/>
              </v:shape>
            </v:group>
            <v:group style="position:absolute;left:4329;top:-17;width:2;height:1840" coordorigin="4329,-17" coordsize="2,1840">
              <v:shape style="position:absolute;left:4329;top:-17;width:2;height:1840" coordorigin="4329,-17" coordsize="0,1840" path="m4329,-17l4329,1823e" filled="false" stroked="true" strokeweight=".48pt" strokecolor="#000000">
                <v:path arrowok="t"/>
              </v:shape>
            </v:group>
            <v:group style="position:absolute;left:1150;top:1823;width:2;height:393" coordorigin="1150,1823" coordsize="2,393">
              <v:shape style="position:absolute;left:1150;top:1823;width:2;height:393" coordorigin="1150,1823" coordsize="0,393" path="m1150,1823l1150,2215e" filled="false" stroked="true" strokeweight="1.140pt" strokecolor="#d2d2d2">
                <v:path arrowok="t"/>
              </v:shape>
            </v:group>
            <v:group style="position:absolute;left:10687;top:1823;width:2;height:393" coordorigin="10687,1823" coordsize="2,393">
              <v:shape style="position:absolute;left:10687;top:1823;width:2;height:393" coordorigin="10687,1823" coordsize="0,393" path="m10687,1823l10687,2215e" filled="false" stroked="true" strokeweight="1.140pt" strokecolor="#d2d2d2">
                <v:path arrowok="t"/>
              </v:shape>
            </v:group>
            <v:group style="position:absolute;left:1162;top:1823;width:9514;height:393" coordorigin="1162,1823" coordsize="9514,393">
              <v:shape style="position:absolute;left:1162;top:1823;width:9514;height:393" coordorigin="1162,1823" coordsize="9514,393" path="m1162,2215l10675,2215,10675,1823,1162,1823,1162,2215xe" filled="true" fillcolor="#d2d2d2" stroked="false">
                <v:path arrowok="t"/>
                <v:fill type="solid"/>
              </v:shape>
            </v:group>
            <v:group style="position:absolute;left:1139;top:1818;width:3186;height:2" coordorigin="1139,1818" coordsize="3186,2">
              <v:shape style="position:absolute;left:1139;top:1818;width:3186;height:2" coordorigin="1139,1818" coordsize="3186,0" path="m1139,1818l4324,1818e" filled="false" stroked="true" strokeweight=".48001pt" strokecolor="#000000">
                <v:path arrowok="t"/>
              </v:shape>
            </v:group>
            <v:group style="position:absolute;left:4334;top:1818;width:6365;height:2" coordorigin="4334,1818" coordsize="6365,2">
              <v:shape style="position:absolute;left:4334;top:1818;width:6365;height:2" coordorigin="4334,1818" coordsize="6365,0" path="m4334,1818l10698,1818e" filled="false" stroked="true" strokeweight=".48001pt" strokecolor="#000000">
                <v:path arrowok="t"/>
              </v:shape>
            </v:group>
            <v:group style="position:absolute;left:1150;top:2225;width:2;height:393" coordorigin="1150,2225" coordsize="2,393">
              <v:shape style="position:absolute;left:1150;top:2225;width:2;height:393" coordorigin="1150,2225" coordsize="0,393" path="m1150,2225l1150,2617e" filled="false" stroked="true" strokeweight="1.140pt" strokecolor="#d2d2d2">
                <v:path arrowok="t"/>
              </v:shape>
            </v:group>
            <v:group style="position:absolute;left:4311;top:2225;width:2;height:393" coordorigin="4311,2225" coordsize="2,393">
              <v:shape style="position:absolute;left:4311;top:2225;width:2;height:393" coordorigin="4311,2225" coordsize="0,393" path="m4311,2225l4311,2617e" filled="false" stroked="true" strokeweight="1.140pt" strokecolor="#d2d2d2">
                <v:path arrowok="t"/>
              </v:shape>
            </v:group>
            <v:group style="position:absolute;left:1162;top:2225;width:3139;height:393" coordorigin="1162,2225" coordsize="3139,393">
              <v:shape style="position:absolute;left:1162;top:2225;width:3139;height:393" coordorigin="1162,2225" coordsize="3139,393" path="m1162,2617l4300,2617,4300,2225,1162,2225,1162,2617xe" filled="true" fillcolor="#d2d2d2" stroked="false">
                <v:path arrowok="t"/>
                <v:fill type="solid"/>
              </v:shape>
            </v:group>
            <v:group style="position:absolute;left:4345;top:2225;width:2;height:393" coordorigin="4345,2225" coordsize="2,393">
              <v:shape style="position:absolute;left:4345;top:2225;width:2;height:393" coordorigin="4345,2225" coordsize="0,393" path="m4345,2225l4345,2617e" filled="false" stroked="true" strokeweight="1.140pt" strokecolor="#d2d2d2">
                <v:path arrowok="t"/>
              </v:shape>
            </v:group>
            <v:group style="position:absolute;left:7635;top:2225;width:2;height:393" coordorigin="7635,2225" coordsize="2,393">
              <v:shape style="position:absolute;left:7635;top:2225;width:2;height:393" coordorigin="7635,2225" coordsize="0,393" path="m7635,2225l7635,2617e" filled="false" stroked="true" strokeweight="1.2pt" strokecolor="#d2d2d2">
                <v:path arrowok="t"/>
              </v:shape>
            </v:group>
            <v:group style="position:absolute;left:4356;top:2225;width:3267;height:393" coordorigin="4356,2225" coordsize="3267,393">
              <v:shape style="position:absolute;left:4356;top:2225;width:3267;height:393" coordorigin="4356,2225" coordsize="3267,393" path="m4356,2617l7623,2617,7623,2225,4356,2225,4356,2617xe" filled="true" fillcolor="#d2d2d2" stroked="false">
                <v:path arrowok="t"/>
                <v:fill type="solid"/>
              </v:shape>
            </v:group>
            <v:group style="position:absolute;left:7668;top:2225;width:2;height:393" coordorigin="7668,2225" coordsize="2,393">
              <v:shape style="position:absolute;left:7668;top:2225;width:2;height:393" coordorigin="7668,2225" coordsize="0,393" path="m7668,2225l7668,2617e" filled="false" stroked="true" strokeweight="1.140pt" strokecolor="#d2d2d2">
                <v:path arrowok="t"/>
              </v:shape>
            </v:group>
            <v:group style="position:absolute;left:10687;top:2225;width:2;height:393" coordorigin="10687,2225" coordsize="2,393">
              <v:shape style="position:absolute;left:10687;top:2225;width:2;height:393" coordorigin="10687,2225" coordsize="0,393" path="m10687,2225l10687,2617e" filled="false" stroked="true" strokeweight="1.140pt" strokecolor="#d2d2d2">
                <v:path arrowok="t"/>
              </v:shape>
            </v:group>
            <v:group style="position:absolute;left:7680;top:2225;width:2996;height:393" coordorigin="7680,2225" coordsize="2996,393">
              <v:shape style="position:absolute;left:7680;top:2225;width:2996;height:393" coordorigin="7680,2225" coordsize="2996,393" path="m7680,2617l10675,2617,10675,2225,7680,2225,7680,2617xe" filled="true" fillcolor="#d2d2d2" stroked="false">
                <v:path arrowok="t"/>
                <v:fill type="solid"/>
              </v:shape>
            </v:group>
            <v:group style="position:absolute;left:1139;top:2220;width:3186;height:2" coordorigin="1139,2220" coordsize="3186,2">
              <v:shape style="position:absolute;left:1139;top:2220;width:3186;height:2" coordorigin="1139,2220" coordsize="3186,0" path="m1139,2220l4324,2220e" filled="false" stroked="true" strokeweight=".48pt" strokecolor="#000000">
                <v:path arrowok="t"/>
              </v:shape>
            </v:group>
            <v:group style="position:absolute;left:4334;top:2220;width:3314;height:2" coordorigin="4334,2220" coordsize="3314,2">
              <v:shape style="position:absolute;left:4334;top:2220;width:3314;height:2" coordorigin="4334,2220" coordsize="3314,0" path="m4334,2220l7647,2220e" filled="false" stroked="true" strokeweight=".48pt" strokecolor="#000000">
                <v:path arrowok="t"/>
              </v:shape>
            </v:group>
            <v:group style="position:absolute;left:7657;top:2220;width:3042;height:2" coordorigin="7657,2220" coordsize="3042,2">
              <v:shape style="position:absolute;left:7657;top:2220;width:3042;height:2" coordorigin="7657,2220" coordsize="3042,0" path="m7657,2220l10698,2220e" filled="false" stroked="true" strokeweight=".48pt" strokecolor="#000000">
                <v:path arrowok="t"/>
              </v:shape>
            </v:group>
            <v:group style="position:absolute;left:1139;top:2627;width:3184;height:2496" coordorigin="1139,2627" coordsize="3184,2496">
              <v:shape style="position:absolute;left:1139;top:2627;width:3184;height:2496" coordorigin="1139,2627" coordsize="3184,2496" path="m1139,5123l4323,5123,4323,2627,1139,2627,1139,5123xe" filled="true" fillcolor="#d2d2d2" stroked="false">
                <v:path arrowok="t"/>
                <v:fill type="solid"/>
              </v:shape>
            </v:group>
            <v:group style="position:absolute;left:1150;top:5123;width:2;height:393" coordorigin="1150,5123" coordsize="2,393">
              <v:shape style="position:absolute;left:1150;top:5123;width:2;height:393" coordorigin="1150,5123" coordsize="0,393" path="m1150,5123l1150,5515e" filled="false" stroked="true" strokeweight="1.140pt" strokecolor="#d2d2d2">
                <v:path arrowok="t"/>
              </v:shape>
            </v:group>
            <v:group style="position:absolute;left:4311;top:5123;width:2;height:393" coordorigin="4311,5123" coordsize="2,393">
              <v:shape style="position:absolute;left:4311;top:5123;width:2;height:393" coordorigin="4311,5123" coordsize="0,393" path="m4311,5123l4311,5515e" filled="false" stroked="true" strokeweight="1.140pt" strokecolor="#d2d2d2">
                <v:path arrowok="t"/>
              </v:shape>
            </v:group>
            <v:group style="position:absolute;left:1139;top:5515;width:3184;height:2497" coordorigin="1139,5515" coordsize="3184,2497">
              <v:shape style="position:absolute;left:1139;top:5515;width:3184;height:2497" coordorigin="1139,5515" coordsize="3184,2497" path="m1139,8012l4323,8012,4323,5515,1139,5515,1139,8012xe" filled="true" fillcolor="#d2d2d2" stroked="false">
                <v:path arrowok="t"/>
                <v:fill type="solid"/>
              </v:shape>
            </v:group>
            <v:group style="position:absolute;left:1162;top:5123;width:3139;height:393" coordorigin="1162,5123" coordsize="3139,393">
              <v:shape style="position:absolute;left:1162;top:5123;width:3139;height:393" coordorigin="1162,5123" coordsize="3139,393" path="m1162,5515l4300,5515,4300,5123,1162,5123,1162,5515xe" filled="true" fillcolor="#d2d2d2" stroked="false">
                <v:path arrowok="t"/>
                <v:fill type="solid"/>
              </v:shape>
            </v:group>
            <v:group style="position:absolute;left:7668;top:2939;width:2;height:4761" coordorigin="7668,2939" coordsize="2,4761">
              <v:shape style="position:absolute;left:7668;top:2939;width:2;height:4761" coordorigin="7668,2939" coordsize="0,4761" path="m7668,2939l7668,7700e" filled="false" stroked="true" strokeweight="1.140pt" strokecolor="#ffffff">
                <v:path arrowok="t"/>
              </v:shape>
            </v:group>
            <v:group style="position:absolute;left:7680;top:3292;width:2996;height:312" coordorigin="7680,3292" coordsize="2996,312">
              <v:shape style="position:absolute;left:7680;top:3292;width:2996;height:312" coordorigin="7680,3292" coordsize="2996,312" path="m7680,3604l10675,3604,10675,3292,7680,3292,7680,3604xe" filled="true" fillcolor="#ffffff" stroked="false">
                <v:path arrowok="t"/>
                <v:fill type="solid"/>
              </v:shape>
            </v:group>
            <v:group style="position:absolute;left:7680;top:3604;width:2996;height:312" coordorigin="7680,3604" coordsize="2996,312">
              <v:shape style="position:absolute;left:7680;top:3604;width:2996;height:312" coordorigin="7680,3604" coordsize="2996,312" path="m7680,3916l10675,3916,10675,3604,7680,3604,7680,3916xe" filled="true" fillcolor="#ffffff" stroked="false">
                <v:path arrowok="t"/>
                <v:fill type="solid"/>
              </v:shape>
            </v:group>
            <v:group style="position:absolute;left:7680;top:6100;width:2996;height:312" coordorigin="7680,6100" coordsize="2996,312">
              <v:shape style="position:absolute;left:7680;top:6100;width:2996;height:312" coordorigin="7680,6100" coordsize="2996,312" path="m7680,6412l10675,6412,10675,6100,7680,6100,7680,6412xe" filled="true" fillcolor="#ffffff" stroked="false">
                <v:path arrowok="t"/>
                <v:fill type="solid"/>
              </v:shape>
            </v:group>
            <v:group style="position:absolute;left:1139;top:2622;width:3186;height:2" coordorigin="1139,2622" coordsize="3186,2">
              <v:shape style="position:absolute;left:1139;top:2622;width:3186;height:2" coordorigin="1139,2622" coordsize="3186,0" path="m1139,2622l4324,2622e" filled="false" stroked="true" strokeweight=".48pt" strokecolor="#000000">
                <v:path arrowok="t"/>
              </v:shape>
            </v:group>
            <v:group style="position:absolute;left:4334;top:2622;width:3314;height:2" coordorigin="4334,2622" coordsize="3314,2">
              <v:shape style="position:absolute;left:4334;top:2622;width:3314;height:2" coordorigin="4334,2622" coordsize="3314,0" path="m4334,2622l7647,2622e" filled="false" stroked="true" strokeweight=".48pt" strokecolor="#000000">
                <v:path arrowok="t"/>
              </v:shape>
            </v:group>
            <v:group style="position:absolute;left:7657;top:2622;width:3042;height:2" coordorigin="7657,2622" coordsize="3042,2">
              <v:shape style="position:absolute;left:7657;top:2622;width:3042;height:2" coordorigin="7657,2622" coordsize="3042,0" path="m7657,2622l10698,2622e" filled="false" stroked="true" strokeweight=".48pt" strokecolor="#000000">
                <v:path arrowok="t"/>
              </v:shape>
            </v:group>
            <v:group style="position:absolute;left:1139;top:8021;width:3184;height:1092" coordorigin="1139,8021" coordsize="3184,1092">
              <v:shape style="position:absolute;left:1139;top:8021;width:3184;height:1092" coordorigin="1139,8021" coordsize="3184,1092" path="m1139,9113l4323,9113,4323,8021,1139,8021,1139,9113xe" filled="true" fillcolor="#d2d2d2" stroked="false">
                <v:path arrowok="t"/>
                <v:fill type="solid"/>
              </v:shape>
            </v:group>
            <v:group style="position:absolute;left:1150;top:9113;width:2;height:393" coordorigin="1150,9113" coordsize="2,393">
              <v:shape style="position:absolute;left:1150;top:9113;width:2;height:393" coordorigin="1150,9113" coordsize="0,393" path="m1150,9113l1150,9506e" filled="false" stroked="true" strokeweight="1.140pt" strokecolor="#d2d2d2">
                <v:path arrowok="t"/>
              </v:shape>
            </v:group>
            <v:group style="position:absolute;left:4311;top:9113;width:2;height:393" coordorigin="4311,9113" coordsize="2,393">
              <v:shape style="position:absolute;left:4311;top:9113;width:2;height:393" coordorigin="4311,9113" coordsize="0,393" path="m4311,9113l4311,9506e" filled="false" stroked="true" strokeweight="1.140pt" strokecolor="#d2d2d2">
                <v:path arrowok="t"/>
              </v:shape>
            </v:group>
            <v:group style="position:absolute;left:1139;top:9506;width:3184;height:1092" coordorigin="1139,9506" coordsize="3184,1092">
              <v:shape style="position:absolute;left:1139;top:9506;width:3184;height:1092" coordorigin="1139,9506" coordsize="3184,1092" path="m1139,10598l4323,10598,4323,9506,1139,9506,1139,10598xe" filled="true" fillcolor="#d2d2d2" stroked="false">
                <v:path arrowok="t"/>
                <v:fill type="solid"/>
              </v:shape>
            </v:group>
            <v:group style="position:absolute;left:1162;top:9113;width:3139;height:393" coordorigin="1162,9113" coordsize="3139,393">
              <v:shape style="position:absolute;left:1162;top:9113;width:3139;height:393" coordorigin="1162,9113" coordsize="3139,393" path="m1162,9506l4300,9506,4300,9113,1162,9113,1162,9506xe" filled="true" fillcolor="#d2d2d2" stroked="false">
                <v:path arrowok="t"/>
                <v:fill type="solid"/>
              </v:shape>
            </v:group>
            <v:group style="position:absolute;left:7668;top:8177;width:2;height:2265" coordorigin="7668,8177" coordsize="2,2265">
              <v:shape style="position:absolute;left:7668;top:8177;width:2;height:2265" coordorigin="7668,8177" coordsize="0,2265" path="m7668,8177l7668,10442e" filled="false" stroked="true" strokeweight="1.140pt" strokecolor="#ffffff">
                <v:path arrowok="t"/>
              </v:shape>
            </v:group>
            <v:group style="position:absolute;left:7680;top:9154;width:2996;height:312" coordorigin="7680,9154" coordsize="2996,312">
              <v:shape style="position:absolute;left:7680;top:9154;width:2996;height:312" coordorigin="7680,9154" coordsize="2996,312" path="m7680,9466l10675,9466,10675,9154,7680,9154,7680,9466xe" filled="true" fillcolor="#ffffff" stroked="false">
                <v:path arrowok="t"/>
                <v:fill type="solid"/>
              </v:shape>
            </v:group>
            <v:group style="position:absolute;left:7680;top:9466;width:2996;height:312" coordorigin="7680,9466" coordsize="2996,312">
              <v:shape style="position:absolute;left:7680;top:9466;width:2996;height:312" coordorigin="7680,9466" coordsize="2996,312" path="m7680,9778l10675,9778,10675,9466,7680,9466,7680,9778xe" filled="true" fillcolor="#ffffff" stroked="false">
                <v:path arrowok="t"/>
                <v:fill type="solid"/>
              </v:shape>
            </v:group>
            <v:group style="position:absolute;left:1139;top:8017;width:3186;height:2" coordorigin="1139,8017" coordsize="3186,2">
              <v:shape style="position:absolute;left:1139;top:8017;width:3186;height:2" coordorigin="1139,8017" coordsize="3186,0" path="m1139,8017l4324,8017e" filled="false" stroked="true" strokeweight=".47998pt" strokecolor="#000000">
                <v:path arrowok="t"/>
              </v:shape>
            </v:group>
            <v:group style="position:absolute;left:4334;top:8017;width:3314;height:2" coordorigin="4334,8017" coordsize="3314,2">
              <v:shape style="position:absolute;left:4334;top:8017;width:3314;height:2" coordorigin="4334,8017" coordsize="3314,0" path="m4334,8017l7647,8017e" filled="false" stroked="true" strokeweight=".47998pt" strokecolor="#000000">
                <v:path arrowok="t"/>
              </v:shape>
            </v:group>
            <v:group style="position:absolute;left:7657;top:8017;width:3042;height:2" coordorigin="7657,8017" coordsize="3042,2">
              <v:shape style="position:absolute;left:7657;top:8017;width:3042;height:2" coordorigin="7657,8017" coordsize="3042,0" path="m7657,8017l10698,8017e" filled="false" stroked="true" strokeweight=".47998pt" strokecolor="#000000">
                <v:path arrowok="t"/>
              </v:shape>
            </v:group>
            <v:group style="position:absolute;left:7652;top:2215;width:2;height:8392" coordorigin="7652,2215" coordsize="2,8392">
              <v:shape style="position:absolute;left:7652;top:2215;width:2;height:8392" coordorigin="7652,2215" coordsize="0,8392" path="m7652,2215l7652,10607e" filled="false" stroked="true" strokeweight=".48001pt" strokecolor="#000000">
                <v:path arrowok="t"/>
              </v:shape>
            </v:group>
            <v:group style="position:absolute;left:1150;top:10607;width:2;height:393" coordorigin="1150,10607" coordsize="2,393">
              <v:shape style="position:absolute;left:1150;top:10607;width:2;height:393" coordorigin="1150,10607" coordsize="0,393" path="m1150,10607l1150,11000e" filled="false" stroked="true" strokeweight="1.140pt" strokecolor="#d2d2d2">
                <v:path arrowok="t"/>
              </v:shape>
            </v:group>
            <v:group style="position:absolute;left:4311;top:10607;width:2;height:393" coordorigin="4311,10607" coordsize="2,393">
              <v:shape style="position:absolute;left:4311;top:10607;width:2;height:393" coordorigin="4311,10607" coordsize="0,393" path="m4311,10607l4311,11000e" filled="false" stroked="true" strokeweight="1.140pt" strokecolor="#d2d2d2">
                <v:path arrowok="t"/>
              </v:shape>
            </v:group>
            <v:group style="position:absolute;left:1162;top:10607;width:3139;height:393" coordorigin="1162,10607" coordsize="3139,393">
              <v:shape style="position:absolute;left:1162;top:10607;width:3139;height:393" coordorigin="1162,10607" coordsize="3139,393" path="m1162,11000l4300,11000,4300,10607,1162,10607,1162,11000xe" filled="true" fillcolor="#d2d2d2" stroked="false">
                <v:path arrowok="t"/>
                <v:fill type="solid"/>
              </v:shape>
            </v:group>
            <v:group style="position:absolute;left:1139;top:10603;width:3186;height:2" coordorigin="1139,10603" coordsize="3186,2">
              <v:shape style="position:absolute;left:1139;top:10603;width:3186;height:2" coordorigin="1139,10603" coordsize="3186,0" path="m1139,10603l4324,10603e" filled="false" stroked="true" strokeweight=".47998pt" strokecolor="#000000">
                <v:path arrowok="t"/>
              </v:shape>
            </v:group>
            <v:group style="position:absolute;left:4334;top:10603;width:3314;height:2" coordorigin="4334,10603" coordsize="3314,2">
              <v:shape style="position:absolute;left:4334;top:10603;width:3314;height:2" coordorigin="4334,10603" coordsize="3314,0" path="m4334,10603l7647,10603e" filled="false" stroked="true" strokeweight=".47998pt" strokecolor="#000000">
                <v:path arrowok="t"/>
              </v:shape>
            </v:group>
            <v:group style="position:absolute;left:7657;top:10603;width:3042;height:2" coordorigin="7657,10603" coordsize="3042,2">
              <v:shape style="position:absolute;left:7657;top:10603;width:3042;height:2" coordorigin="7657,10603" coordsize="3042,0" path="m7657,10603l10698,10603e" filled="false" stroked="true" strokeweight=".47998pt" strokecolor="#000000">
                <v:path arrowok="t"/>
              </v:shape>
            </v:group>
            <v:group style="position:absolute;left:1150;top:11009;width:2;height:393" coordorigin="1150,11009" coordsize="2,393">
              <v:shape style="position:absolute;left:1150;top:11009;width:2;height:393" coordorigin="1150,11009" coordsize="0,393" path="m1150,11009l1150,11402e" filled="false" stroked="true" strokeweight="1.140pt" strokecolor="#d2d2d2">
                <v:path arrowok="t"/>
              </v:shape>
            </v:group>
            <v:group style="position:absolute;left:4311;top:11009;width:2;height:393" coordorigin="4311,11009" coordsize="2,393">
              <v:shape style="position:absolute;left:4311;top:11009;width:2;height:393" coordorigin="4311,11009" coordsize="0,393" path="m4311,11009l4311,11402e" filled="false" stroked="true" strokeweight="1.140pt" strokecolor="#d2d2d2">
                <v:path arrowok="t"/>
              </v:shape>
            </v:group>
            <v:group style="position:absolute;left:1162;top:11009;width:3139;height:393" coordorigin="1162,11009" coordsize="3139,393">
              <v:shape style="position:absolute;left:1162;top:11009;width:3139;height:393" coordorigin="1162,11009" coordsize="3139,393" path="m1162,11402l4300,11402,4300,11009,1162,11009,1162,11402xe" filled="true" fillcolor="#d2d2d2" stroked="false">
                <v:path arrowok="t"/>
                <v:fill type="solid"/>
              </v:shape>
            </v:group>
            <v:group style="position:absolute;left:1139;top:11005;width:3186;height:2" coordorigin="1139,11005" coordsize="3186,2">
              <v:shape style="position:absolute;left:1139;top:11005;width:3186;height:2" coordorigin="1139,11005" coordsize="3186,0" path="m1139,11005l4324,11005e" filled="false" stroked="true" strokeweight=".48004pt" strokecolor="#000000">
                <v:path arrowok="t"/>
              </v:shape>
            </v:group>
            <v:group style="position:absolute;left:4334;top:11005;width:6365;height:2" coordorigin="4334,11005" coordsize="6365,2">
              <v:shape style="position:absolute;left:4334;top:11005;width:6365;height:2" coordorigin="4334,11005" coordsize="6365,0" path="m4334,11005l10698,11005e" filled="false" stroked="true" strokeweight=".48004pt" strokecolor="#000000">
                <v:path arrowok="t"/>
              </v:shape>
            </v:group>
            <v:group style="position:absolute;left:1150;top:11411;width:2;height:393" coordorigin="1150,11411" coordsize="2,393">
              <v:shape style="position:absolute;left:1150;top:11411;width:2;height:393" coordorigin="1150,11411" coordsize="0,393" path="m1150,11411l1150,11804e" filled="false" stroked="true" strokeweight="1.140pt" strokecolor="#d2d2d2">
                <v:path arrowok="t"/>
              </v:shape>
            </v:group>
            <v:group style="position:absolute;left:4311;top:11411;width:2;height:393" coordorigin="4311,11411" coordsize="2,393">
              <v:shape style="position:absolute;left:4311;top:11411;width:2;height:393" coordorigin="4311,11411" coordsize="0,393" path="m4311,11411l4311,11804e" filled="false" stroked="true" strokeweight="1.140pt" strokecolor="#d2d2d2">
                <v:path arrowok="t"/>
              </v:shape>
            </v:group>
            <v:group style="position:absolute;left:1162;top:11411;width:3139;height:393" coordorigin="1162,11411" coordsize="3139,393">
              <v:shape style="position:absolute;left:1162;top:11411;width:3139;height:393" coordorigin="1162,11411" coordsize="3139,393" path="m1162,11804l4300,11804,4300,11411,1162,11411,1162,11804xe" filled="true" fillcolor="#d2d2d2" stroked="false">
                <v:path arrowok="t"/>
                <v:fill type="solid"/>
              </v:shape>
            </v:group>
            <v:group style="position:absolute;left:1139;top:11407;width:3186;height:2" coordorigin="1139,11407" coordsize="3186,2">
              <v:shape style="position:absolute;left:1139;top:11407;width:3186;height:2" coordorigin="1139,11407" coordsize="3186,0" path="m1139,11407l4324,11407e" filled="false" stroked="true" strokeweight=".47998pt" strokecolor="#000000">
                <v:path arrowok="t"/>
              </v:shape>
            </v:group>
            <v:group style="position:absolute;left:4334;top:11407;width:6365;height:2" coordorigin="4334,11407" coordsize="6365,2">
              <v:shape style="position:absolute;left:4334;top:11407;width:6365;height:2" coordorigin="4334,11407" coordsize="6365,0" path="m4334,11407l10698,11407e" filled="false" stroked="true" strokeweight=".47998pt" strokecolor="#000000">
                <v:path arrowok="t"/>
              </v:shape>
            </v:group>
            <v:group style="position:absolute;left:1150;top:11813;width:2;height:393" coordorigin="1150,11813" coordsize="2,393">
              <v:shape style="position:absolute;left:1150;top:11813;width:2;height:393" coordorigin="1150,11813" coordsize="0,393" path="m1150,11813l1150,12206e" filled="false" stroked="true" strokeweight="1.140pt" strokecolor="#d2d2d2">
                <v:path arrowok="t"/>
              </v:shape>
            </v:group>
            <v:group style="position:absolute;left:4311;top:11813;width:2;height:393" coordorigin="4311,11813" coordsize="2,393">
              <v:shape style="position:absolute;left:4311;top:11813;width:2;height:393" coordorigin="4311,11813" coordsize="0,393" path="m4311,11813l4311,12206e" filled="false" stroked="true" strokeweight="1.140pt" strokecolor="#d2d2d2">
                <v:path arrowok="t"/>
              </v:shape>
            </v:group>
            <v:group style="position:absolute;left:1162;top:11813;width:3139;height:393" coordorigin="1162,11813" coordsize="3139,393">
              <v:shape style="position:absolute;left:1162;top:11813;width:3139;height:393" coordorigin="1162,11813" coordsize="3139,393" path="m1162,12206l4300,12206,4300,11813,1162,11813,1162,12206xe" filled="true" fillcolor="#d2d2d2" stroked="false">
                <v:path arrowok="t"/>
                <v:fill type="solid"/>
              </v:shape>
            </v:group>
            <v:group style="position:absolute;left:1139;top:11809;width:3186;height:2" coordorigin="1139,11809" coordsize="3186,2">
              <v:shape style="position:absolute;left:1139;top:11809;width:3186;height:2" coordorigin="1139,11809" coordsize="3186,0" path="m1139,11809l4324,11809e" filled="false" stroked="true" strokeweight=".47998pt" strokecolor="#000000">
                <v:path arrowok="t"/>
              </v:shape>
            </v:group>
            <v:group style="position:absolute;left:4334;top:11809;width:6365;height:2" coordorigin="4334,11809" coordsize="6365,2">
              <v:shape style="position:absolute;left:4334;top:11809;width:6365;height:2" coordorigin="4334,11809" coordsize="6365,0" path="m4334,11809l10698,11809e" filled="false" stroked="true" strokeweight=".47998pt" strokecolor="#000000">
                <v:path arrowok="t"/>
              </v:shape>
            </v:group>
            <v:group style="position:absolute;left:1134;top:-17;width:2;height:12233" coordorigin="1134,-17" coordsize="2,12233">
              <v:shape style="position:absolute;left:1134;top:-17;width:2;height:12233" coordorigin="1134,-17" coordsize="0,12233" path="m1134,-17l1134,12215e" filled="false" stroked="true" strokeweight=".48pt" strokecolor="#000000">
                <v:path arrowok="t"/>
              </v:shape>
            </v:group>
            <v:group style="position:absolute;left:1139;top:12211;width:3186;height:2" coordorigin="1139,12211" coordsize="3186,2">
              <v:shape style="position:absolute;left:1139;top:12211;width:3186;height:2" coordorigin="1139,12211" coordsize="3186,0" path="m1139,12211l4324,12211e" filled="false" stroked="true" strokeweight=".47998pt" strokecolor="#000000">
                <v:path arrowok="t"/>
              </v:shape>
            </v:group>
            <v:group style="position:absolute;left:4329;top:2215;width:2;height:10000" coordorigin="4329,2215" coordsize="2,10000">
              <v:shape style="position:absolute;left:4329;top:2215;width:2;height:10000" coordorigin="4329,2215" coordsize="0,10000" path="m4329,2215l4329,12215e" filled="false" stroked="true" strokeweight=".48pt" strokecolor="#000000">
                <v:path arrowok="t"/>
              </v:shape>
            </v:group>
            <v:group style="position:absolute;left:4334;top:12211;width:6365;height:2" coordorigin="4334,12211" coordsize="6365,2">
              <v:shape style="position:absolute;left:4334;top:12211;width:6365;height:2" coordorigin="4334,12211" coordsize="6365,0" path="m4334,12211l10698,12211e" filled="false" stroked="true" strokeweight=".47998pt" strokecolor="#000000">
                <v:path arrowok="t"/>
              </v:shape>
            </v:group>
            <v:group style="position:absolute;left:10703;top:-17;width:2;height:12233" coordorigin="10703,-17" coordsize="2,12233">
              <v:shape style="position:absolute;left:10703;top:-17;width:2;height:12233" coordorigin="10703,-17" coordsize="0,12233" path="m10703,-17l10703,12215e" filled="false" stroked="true" strokeweight=".48004pt" strokecolor="#000000">
                <v:path arrowok="t"/>
              </v:shape>
            </v:group>
            <w10:wrap type="none"/>
          </v:group>
        </w:pict>
      </w:r>
      <w:r>
        <w:rPr>
          <w:rFonts w:ascii="宋体" w:hAnsi="宋体" w:cs="宋体" w:eastAsia="宋体" w:hint="default"/>
          <w:sz w:val="18"/>
          <w:szCs w:val="18"/>
        </w:rPr>
        <w:t>内部控制评价报告全文披露索引</w:t>
        <w:tab/>
        <w:t>巨潮资讯网</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line="319" w:lineRule="auto"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99.97%</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3242" w:space="5717"/>
            <w:col w:w="1971"/>
          </w:cols>
        </w:sectPr>
      </w:pPr>
    </w:p>
    <w:p>
      <w:pPr>
        <w:spacing w:line="319" w:lineRule="auto" w:before="106"/>
        <w:ind w:left="181" w:right="-20" w:firstLine="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p>
      <w:pPr>
        <w:spacing w:line="240" w:lineRule="auto" w:before="1"/>
        <w:rPr>
          <w:rFonts w:ascii="宋体" w:hAnsi="宋体" w:cs="宋体" w:eastAsia="宋体" w:hint="default"/>
          <w:sz w:val="23"/>
          <w:szCs w:val="23"/>
        </w:rPr>
      </w:pPr>
      <w:r>
        <w:rPr/>
        <w:br w:type="column"/>
      </w:r>
      <w:r>
        <w:rPr>
          <w:rFonts w:ascii="宋体"/>
          <w:sz w:val="23"/>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94.82%</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3242" w:space="5717"/>
            <w:col w:w="1971"/>
          </w:cols>
        </w:sectPr>
      </w:pPr>
    </w:p>
    <w:p>
      <w:pPr>
        <w:spacing w:before="106"/>
        <w:ind w:left="423" w:right="1471"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4"/>
        <w:rPr>
          <w:rFonts w:ascii="宋体" w:hAnsi="宋体" w:cs="宋体" w:eastAsia="宋体" w:hint="default"/>
          <w:sz w:val="9"/>
          <w:szCs w:val="9"/>
        </w:rPr>
      </w:pPr>
    </w:p>
    <w:p>
      <w:pPr>
        <w:tabs>
          <w:tab w:pos="4649" w:val="left" w:leader="none"/>
          <w:tab w:pos="7747" w:val="left" w:leader="none"/>
        </w:tabs>
        <w:spacing w:before="44"/>
        <w:ind w:left="1570" w:right="817"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line="302" w:lineRule="auto" w:before="44"/>
        <w:ind w:left="181" w:right="1124" w:firstLine="0"/>
        <w:jc w:val="left"/>
        <w:rPr>
          <w:rFonts w:ascii="宋体" w:hAnsi="宋体" w:cs="宋体" w:eastAsia="宋体" w:hint="default"/>
          <w:sz w:val="18"/>
          <w:szCs w:val="18"/>
        </w:rPr>
      </w:pPr>
      <w:r>
        <w:rPr/>
        <w:br w:type="column"/>
      </w:r>
      <w:r>
        <w:rPr>
          <w:rFonts w:ascii="宋体" w:hAnsi="宋体" w:cs="宋体" w:eastAsia="宋体" w:hint="default"/>
          <w:sz w:val="18"/>
          <w:szCs w:val="18"/>
        </w:rPr>
        <w:t>定性标准</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、具有以下特征的缺陷，认定 </w:t>
      </w:r>
      <w:r>
        <w:rPr>
          <w:rFonts w:ascii="宋体" w:hAnsi="宋体" w:cs="宋体" w:eastAsia="宋体" w:hint="default"/>
          <w:spacing w:val="-5"/>
          <w:sz w:val="18"/>
          <w:szCs w:val="18"/>
        </w:rPr>
        <w:t>为重大缺陷：（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）审计委员会和审计部门</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、具有下列特征的缺陷，为重大缺陷：</w:t>
      </w:r>
      <w:r>
        <w:rPr>
          <w:rFonts w:ascii="宋体" w:hAnsi="宋体" w:cs="宋体" w:eastAsia="宋体" w:hint="default"/>
          <w:sz w:val="18"/>
          <w:szCs w:val="18"/>
        </w:rPr>
        <w:t> </w:t>
      </w:r>
      <w:r>
        <w:rPr>
          <w:rFonts w:ascii="宋体" w:hAnsi="宋体" w:cs="宋体" w:eastAsia="宋体" w:hint="default"/>
          <w:spacing w:val="-9"/>
          <w:sz w:val="18"/>
          <w:szCs w:val="18"/>
        </w:rPr>
        <w:t>对公司财务报告的内部控制监督无效；（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）公司决策程序导致重大失误；（</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宋体" w:hAnsi="宋体" w:cs="宋体" w:eastAsia="宋体" w:hint="default"/>
          <w:spacing w:val="-83"/>
          <w:sz w:val="18"/>
          <w:szCs w:val="18"/>
        </w:rPr>
        <w:t> </w:t>
      </w:r>
      <w:r>
        <w:rPr>
          <w:rFonts w:ascii="宋体" w:hAnsi="宋体" w:cs="宋体" w:eastAsia="宋体" w:hint="default"/>
          <w:spacing w:val="-6"/>
          <w:sz w:val="18"/>
          <w:szCs w:val="18"/>
        </w:rPr>
        <w:t>公司董事、监事和高级管理人员舞弊；（</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）重要业务缺乏制度控制或制度系统性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外部审计师发现当期财务报表存在重大错</w:t>
      </w:r>
      <w:r>
        <w:rPr>
          <w:rFonts w:ascii="宋体" w:hAnsi="宋体" w:cs="宋体" w:eastAsia="宋体" w:hint="default"/>
          <w:spacing w:val="-5"/>
          <w:sz w:val="18"/>
          <w:szCs w:val="18"/>
        </w:rPr>
        <w:t> </w:t>
      </w:r>
      <w:r>
        <w:rPr>
          <w:rFonts w:ascii="宋体" w:hAnsi="宋体" w:cs="宋体" w:eastAsia="宋体" w:hint="default"/>
          <w:spacing w:val="-9"/>
          <w:sz w:val="18"/>
          <w:szCs w:val="18"/>
        </w:rPr>
        <w:t>失效；（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）缺陷发生的可能性高，会严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报，而内部控制运行过程中未能发现该错</w:t>
      </w:r>
      <w:r>
        <w:rPr>
          <w:rFonts w:ascii="宋体" w:hAnsi="宋体" w:cs="宋体" w:eastAsia="宋体" w:hint="default"/>
          <w:spacing w:val="-6"/>
          <w:sz w:val="18"/>
          <w:szCs w:val="18"/>
        </w:rPr>
        <w:t> </w:t>
      </w:r>
      <w:r>
        <w:rPr>
          <w:rFonts w:ascii="宋体" w:hAnsi="宋体" w:cs="宋体" w:eastAsia="宋体" w:hint="default"/>
          <w:spacing w:val="-4"/>
          <w:sz w:val="18"/>
          <w:szCs w:val="18"/>
        </w:rPr>
        <w:t>重降低工作效率或效果，或严重偏离预</w:t>
      </w:r>
      <w:r>
        <w:rPr>
          <w:rFonts w:ascii="宋体" w:hAnsi="宋体" w:cs="宋体" w:eastAsia="宋体" w:hint="default"/>
          <w:sz w:val="18"/>
          <w:szCs w:val="18"/>
        </w:rPr>
        <w:t> </w:t>
      </w: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）其他可能导致公司严重偏离控制</w:t>
      </w:r>
      <w:r>
        <w:rPr>
          <w:rFonts w:ascii="宋体" w:hAnsi="宋体" w:cs="宋体" w:eastAsia="宋体" w:hint="default"/>
          <w:spacing w:val="-4"/>
          <w:sz w:val="18"/>
          <w:szCs w:val="18"/>
        </w:rPr>
        <w:t> </w:t>
      </w:r>
      <w:r>
        <w:rPr>
          <w:rFonts w:ascii="宋体" w:hAnsi="宋体" w:cs="宋体" w:eastAsia="宋体" w:hint="default"/>
          <w:sz w:val="18"/>
          <w:szCs w:val="18"/>
        </w:rPr>
        <w:t>期目标。</w:t>
      </w:r>
      <w:r>
        <w:rPr>
          <w:rFonts w:ascii="宋体" w:hAnsi="宋体" w:cs="宋体" w:eastAsia="宋体" w:hint="default"/>
          <w:spacing w:val="-19"/>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、具有下列特征的缺陷，为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目标的缺陷。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、具有以下特征的缺陷，为</w:t>
      </w:r>
      <w:r>
        <w:rPr>
          <w:rFonts w:ascii="宋体" w:hAnsi="宋体" w:cs="宋体" w:eastAsia="宋体" w:hint="default"/>
          <w:spacing w:val="-38"/>
          <w:sz w:val="18"/>
          <w:szCs w:val="18"/>
        </w:rPr>
        <w:t> </w:t>
      </w:r>
      <w:r>
        <w:rPr>
          <w:rFonts w:ascii="宋体" w:hAnsi="宋体" w:cs="宋体" w:eastAsia="宋体" w:hint="default"/>
          <w:sz w:val="18"/>
          <w:szCs w:val="18"/>
        </w:rPr>
        <w:t>重要缺陷：</w:t>
      </w:r>
      <w:r>
        <w:rPr>
          <w:rFonts w:ascii="宋体" w:hAnsi="宋体" w:cs="宋体" w:eastAsia="宋体" w:hint="default"/>
          <w:spacing w:val="-4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）公司决策程序导致一 </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w:t>
      </w:r>
      <w:r>
        <w:rPr>
          <w:rFonts w:ascii="宋体" w:hAnsi="宋体" w:cs="宋体" w:eastAsia="宋体" w:hint="default"/>
          <w:sz w:val="18"/>
          <w:szCs w:val="18"/>
        </w:rPr>
        <w:t> </w:t>
      </w:r>
      <w:r>
        <w:rPr>
          <w:rFonts w:ascii="宋体" w:hAnsi="宋体" w:cs="宋体" w:eastAsia="宋体" w:hint="default"/>
          <w:spacing w:val="-9"/>
          <w:sz w:val="18"/>
          <w:szCs w:val="18"/>
        </w:rPr>
        <w:t>般性失误；（</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）重要业务制度或系统存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 在缺陷；（</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）缺陷发生的可能性较高，</w:t>
      </w:r>
      <w:r>
        <w:rPr>
          <w:rFonts w:ascii="宋体" w:hAnsi="宋体" w:cs="宋体" w:eastAsia="宋体" w:hint="default"/>
          <w:sz w:val="18"/>
          <w:szCs w:val="18"/>
        </w:rPr>
        <w:t> </w:t>
      </w:r>
      <w:r>
        <w:rPr>
          <w:rFonts w:ascii="宋体" w:hAnsi="宋体" w:cs="宋体" w:eastAsia="宋体" w:hint="default"/>
          <w:spacing w:val="-5"/>
          <w:sz w:val="18"/>
          <w:szCs w:val="18"/>
        </w:rPr>
        <w:t>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 </w:t>
      </w:r>
      <w:r>
        <w:rPr>
          <w:rFonts w:ascii="宋体" w:hAnsi="宋体" w:cs="宋体" w:eastAsia="宋体" w:hint="default"/>
          <w:spacing w:val="-4"/>
          <w:sz w:val="18"/>
          <w:szCs w:val="18"/>
        </w:rPr>
        <w:t>会显著降低工作效率或效果，或显著偏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的账务处理没有建立相应的控制程序；（</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）离预期目标。</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、具有下列特征的缺陷，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对于期末的财务报告过程的控制存在一项</w:t>
      </w:r>
      <w:r>
        <w:rPr>
          <w:rFonts w:ascii="宋体" w:hAnsi="宋体" w:cs="宋体" w:eastAsia="宋体" w:hint="default"/>
          <w:spacing w:val="-5"/>
          <w:sz w:val="18"/>
          <w:szCs w:val="18"/>
        </w:rPr>
        <w:t> </w:t>
      </w:r>
      <w:r>
        <w:rPr>
          <w:rFonts w:ascii="宋体" w:hAnsi="宋体" w:cs="宋体" w:eastAsia="宋体" w:hint="default"/>
          <w:spacing w:val="-9"/>
          <w:sz w:val="18"/>
          <w:szCs w:val="18"/>
        </w:rPr>
        <w:t>为一般缺陷：（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）公司决策程序效率不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或多项缺陷，虽未达到重大缺陷标准，但</w:t>
      </w:r>
      <w:r>
        <w:rPr>
          <w:rFonts w:ascii="宋体" w:hAnsi="宋体" w:cs="宋体" w:eastAsia="宋体" w:hint="default"/>
          <w:spacing w:val="-7"/>
          <w:sz w:val="18"/>
          <w:szCs w:val="18"/>
        </w:rPr>
        <w:t> </w:t>
      </w:r>
      <w:r>
        <w:rPr>
          <w:rFonts w:ascii="宋体" w:hAnsi="宋体" w:cs="宋体" w:eastAsia="宋体" w:hint="default"/>
          <w:spacing w:val="-13"/>
          <w:sz w:val="18"/>
          <w:szCs w:val="18"/>
        </w:rPr>
        <w:t>高；（</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）一般业务制度或系统存在缺陷；</w:t>
      </w:r>
      <w:r>
        <w:rPr>
          <w:rFonts w:ascii="宋体" w:hAnsi="宋体" w:cs="宋体" w:eastAsia="宋体" w:hint="default"/>
          <w:sz w:val="18"/>
          <w:szCs w:val="18"/>
        </w:rPr>
        <w:t> 影响财务报告达到合理、准确的目标。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）缺陷发生的可能性较小，会降低 除上述重大缺陷、重要缺陷之外的其他控</w:t>
      </w:r>
      <w:r>
        <w:rPr>
          <w:rFonts w:ascii="宋体" w:hAnsi="宋体" w:cs="宋体" w:eastAsia="宋体" w:hint="default"/>
          <w:spacing w:val="-7"/>
          <w:sz w:val="18"/>
          <w:szCs w:val="18"/>
        </w:rPr>
        <w:t> </w:t>
      </w:r>
      <w:r>
        <w:rPr>
          <w:rFonts w:ascii="宋体" w:hAnsi="宋体" w:cs="宋体" w:eastAsia="宋体" w:hint="default"/>
          <w:sz w:val="18"/>
          <w:szCs w:val="18"/>
        </w:rPr>
        <w:t>工作效率或偏离预期目标。</w:t>
      </w:r>
      <w:r>
        <w:rPr>
          <w:rFonts w:ascii="宋体" w:hAnsi="宋体" w:cs="宋体" w:eastAsia="宋体" w:hint="default"/>
          <w:sz w:val="18"/>
          <w:szCs w:val="18"/>
        </w:rPr>
        <w:t> 制缺陷，则认定为一般缺陷。</w:t>
      </w:r>
    </w:p>
    <w:p>
      <w:pPr>
        <w:spacing w:after="0" w:line="302" w:lineRule="auto"/>
        <w:jc w:val="left"/>
        <w:rPr>
          <w:rFonts w:ascii="宋体" w:hAnsi="宋体" w:cs="宋体" w:eastAsia="宋体" w:hint="default"/>
          <w:sz w:val="18"/>
          <w:szCs w:val="18"/>
        </w:rPr>
        <w:sectPr>
          <w:type w:val="continuous"/>
          <w:pgSz w:w="11910" w:h="16840"/>
          <w:pgMar w:top="1060" w:bottom="1160" w:left="980" w:right="0"/>
          <w:cols w:num="2" w:equalWidth="0">
            <w:col w:w="902" w:space="2293"/>
            <w:col w:w="773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line="212"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16" w:lineRule="auto" w:before="118"/>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财务报告内部控制缺陷定量标准以合并会 计报表营业收入为衡量指标。内部控制缺 陷单独或连同其他缺陷可能导致的财务报 告错报金额大于或等于营业收入的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240" w:lineRule="auto" w:before="13"/>
        <w:rPr>
          <w:rFonts w:ascii="宋体" w:hAnsi="宋体" w:cs="宋体" w:eastAsia="宋体" w:hint="default"/>
          <w:sz w:val="17"/>
          <w:szCs w:val="17"/>
        </w:rPr>
      </w:pPr>
      <w:r>
        <w:rPr/>
        <w:br w:type="column"/>
      </w:r>
      <w:r>
        <w:rPr>
          <w:rFonts w:ascii="宋体"/>
          <w:sz w:val="17"/>
        </w:rPr>
      </w:r>
    </w:p>
    <w:p>
      <w:pPr>
        <w:spacing w:line="312" w:lineRule="exact" w:before="0"/>
        <w:ind w:left="43" w:right="1125" w:firstLine="0"/>
        <w:jc w:val="left"/>
        <w:rPr>
          <w:rFonts w:ascii="宋体" w:hAnsi="宋体" w:cs="宋体" w:eastAsia="宋体" w:hint="default"/>
          <w:sz w:val="18"/>
          <w:szCs w:val="18"/>
        </w:rPr>
      </w:pPr>
      <w:r>
        <w:rPr>
          <w:rFonts w:ascii="宋体" w:hAnsi="宋体" w:cs="宋体" w:eastAsia="宋体" w:hint="default"/>
          <w:sz w:val="18"/>
          <w:szCs w:val="18"/>
        </w:rPr>
        <w:t>如果某项内部控制缺陷单独或连同其 他缺陷可能导致的损失金额大于或等 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，则认定为重大缺陷；</w:t>
      </w:r>
      <w:r>
        <w:rPr>
          <w:rFonts w:ascii="宋体" w:hAnsi="宋体" w:cs="宋体" w:eastAsia="宋体" w:hint="default"/>
          <w:sz w:val="18"/>
          <w:szCs w:val="18"/>
        </w:rPr>
        <w:t> 损失金额小于营业收入的</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，大于或</w:t>
      </w:r>
    </w:p>
    <w:p>
      <w:pPr>
        <w:spacing w:after="0" w:line="312" w:lineRule="exact"/>
        <w:jc w:val="left"/>
        <w:rPr>
          <w:rFonts w:ascii="宋体" w:hAnsi="宋体" w:cs="宋体" w:eastAsia="宋体" w:hint="default"/>
          <w:sz w:val="18"/>
          <w:szCs w:val="18"/>
        </w:rPr>
        <w:sectPr>
          <w:type w:val="continuous"/>
          <w:pgSz w:w="11910" w:h="16840"/>
          <w:pgMar w:top="1060" w:bottom="1160" w:left="980" w:right="0"/>
          <w:cols w:num="3" w:equalWidth="0">
            <w:col w:w="902" w:space="2293"/>
            <w:col w:w="3422" w:space="40"/>
            <w:col w:w="4273"/>
          </w:cols>
        </w:sectPr>
      </w:pPr>
    </w:p>
    <w:p>
      <w:pPr>
        <w:spacing w:line="86" w:lineRule="exact" w:before="0"/>
        <w:ind w:left="3376" w:right="817" w:firstLine="0"/>
        <w:jc w:val="left"/>
        <w:rPr>
          <w:rFonts w:ascii="宋体" w:hAnsi="宋体" w:cs="宋体" w:eastAsia="宋体" w:hint="default"/>
          <w:sz w:val="18"/>
          <w:szCs w:val="18"/>
        </w:rPr>
      </w:pPr>
      <w:r>
        <w:rPr>
          <w:rFonts w:ascii="宋体" w:hAnsi="宋体" w:cs="宋体" w:eastAsia="宋体" w:hint="default"/>
          <w:spacing w:val="-3"/>
          <w:sz w:val="18"/>
          <w:szCs w:val="18"/>
        </w:rPr>
        <w:t>则认定为重大缺陷；小于营业收入的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165" w:lineRule="exact" w:before="0"/>
        <w:ind w:left="6699" w:right="817" w:firstLine="0"/>
        <w:jc w:val="left"/>
        <w:rPr>
          <w:rFonts w:ascii="宋体" w:hAnsi="宋体" w:cs="宋体" w:eastAsia="宋体" w:hint="default"/>
          <w:sz w:val="18"/>
          <w:szCs w:val="18"/>
        </w:rPr>
      </w:pPr>
      <w:r>
        <w:rPr>
          <w:rFonts w:ascii="宋体" w:hAnsi="宋体" w:cs="宋体" w:eastAsia="宋体" w:hint="default"/>
          <w:sz w:val="18"/>
          <w:szCs w:val="18"/>
        </w:rPr>
        <w:t>等于营业收入的</w:t>
      </w:r>
      <w:r>
        <w:rPr>
          <w:rFonts w:ascii="宋体" w:hAnsi="宋体" w:cs="宋体" w:eastAsia="宋体" w:hint="default"/>
          <w:spacing w:val="5"/>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，则认定为重要缺</w:t>
      </w:r>
    </w:p>
    <w:p>
      <w:pPr>
        <w:spacing w:after="0" w:line="165" w:lineRule="exact"/>
        <w:jc w:val="left"/>
        <w:rPr>
          <w:rFonts w:ascii="宋体" w:hAnsi="宋体" w:cs="宋体" w:eastAsia="宋体" w:hint="default"/>
          <w:sz w:val="18"/>
          <w:szCs w:val="18"/>
        </w:rPr>
        <w:sectPr>
          <w:type w:val="continuous"/>
          <w:pgSz w:w="11910" w:h="16840"/>
          <w:pgMar w:top="1060" w:bottom="1160" w:left="980" w:right="0"/>
        </w:sectPr>
      </w:pPr>
    </w:p>
    <w:p>
      <w:pPr>
        <w:spacing w:line="194" w:lineRule="exact" w:before="0"/>
        <w:ind w:left="3376" w:right="-20" w:firstLine="0"/>
        <w:jc w:val="left"/>
        <w:rPr>
          <w:rFonts w:ascii="宋体" w:hAnsi="宋体" w:cs="宋体" w:eastAsia="宋体" w:hint="default"/>
          <w:sz w:val="18"/>
          <w:szCs w:val="18"/>
        </w:rPr>
      </w:pPr>
      <w:r>
        <w:rPr>
          <w:rFonts w:ascii="宋体" w:hAnsi="宋体" w:cs="宋体" w:eastAsia="宋体" w:hint="default"/>
          <w:sz w:val="18"/>
          <w:szCs w:val="18"/>
        </w:rPr>
        <w:t>大于或等于营业收入的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w:t>
      </w:r>
    </w:p>
    <w:p>
      <w:pPr>
        <w:spacing w:line="302" w:lineRule="auto" w:before="63"/>
        <w:ind w:left="3376" w:right="-20" w:firstLine="0"/>
        <w:jc w:val="left"/>
        <w:rPr>
          <w:rFonts w:ascii="宋体" w:hAnsi="宋体" w:cs="宋体" w:eastAsia="宋体" w:hint="default"/>
          <w:sz w:val="18"/>
          <w:szCs w:val="18"/>
        </w:rPr>
      </w:pPr>
      <w:r>
        <w:rPr>
          <w:rFonts w:ascii="宋体" w:hAnsi="宋体" w:cs="宋体" w:eastAsia="宋体" w:hint="default"/>
          <w:sz w:val="18"/>
          <w:szCs w:val="18"/>
        </w:rPr>
        <w:t>要缺陷；小于营业收入的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一般缺陷。</w:t>
      </w:r>
    </w:p>
    <w:p>
      <w:pPr>
        <w:spacing w:line="302" w:lineRule="auto" w:before="100"/>
        <w:ind w:left="72" w:right="1230" w:firstLine="0"/>
        <w:jc w:val="left"/>
        <w:rPr>
          <w:rFonts w:ascii="宋体" w:hAnsi="宋体" w:cs="宋体" w:eastAsia="宋体" w:hint="default"/>
          <w:sz w:val="18"/>
          <w:szCs w:val="18"/>
        </w:rPr>
      </w:pPr>
      <w:r>
        <w:rPr/>
        <w:br w:type="column"/>
      </w:r>
      <w:r>
        <w:rPr>
          <w:rFonts w:ascii="宋体" w:hAnsi="宋体" w:cs="宋体" w:eastAsia="宋体" w:hint="default"/>
          <w:sz w:val="18"/>
          <w:szCs w:val="18"/>
        </w:rPr>
        <w:t>陷；损失金额小于营业收入的</w:t>
      </w:r>
      <w:r>
        <w:rPr>
          <w:rFonts w:ascii="宋体" w:hAnsi="宋体" w:cs="宋体" w:eastAsia="宋体" w:hint="default"/>
          <w:spacing w:val="-17"/>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，则</w:t>
      </w:r>
      <w:r>
        <w:rPr>
          <w:rFonts w:ascii="宋体" w:hAnsi="宋体" w:cs="宋体" w:eastAsia="宋体" w:hint="default"/>
          <w:spacing w:val="-18"/>
          <w:sz w:val="18"/>
          <w:szCs w:val="18"/>
        </w:rPr>
        <w:t> </w:t>
      </w:r>
      <w:r>
        <w:rPr>
          <w:rFonts w:ascii="宋体" w:hAnsi="宋体" w:cs="宋体" w:eastAsia="宋体" w:hint="default"/>
          <w:sz w:val="18"/>
          <w:szCs w:val="18"/>
        </w:rPr>
        <w:t>认定为一般缺陷</w:t>
      </w:r>
    </w:p>
    <w:p>
      <w:pPr>
        <w:spacing w:after="0" w:line="302" w:lineRule="auto"/>
        <w:jc w:val="left"/>
        <w:rPr>
          <w:rFonts w:ascii="宋体" w:hAnsi="宋体" w:cs="宋体" w:eastAsia="宋体" w:hint="default"/>
          <w:sz w:val="18"/>
          <w:szCs w:val="18"/>
        </w:rPr>
        <w:sectPr>
          <w:type w:val="continuous"/>
          <w:pgSz w:w="11910" w:h="16840"/>
          <w:pgMar w:top="1060" w:bottom="1160" w:left="980" w:right="0"/>
          <w:cols w:num="2" w:equalWidth="0">
            <w:col w:w="6587" w:space="40"/>
            <w:col w:w="4303"/>
          </w:cols>
        </w:sectPr>
      </w:pPr>
    </w:p>
    <w:p>
      <w:pPr>
        <w:tabs>
          <w:tab w:pos="9605" w:val="left" w:leader="none"/>
        </w:tabs>
        <w:spacing w:before="118"/>
        <w:ind w:left="181" w:right="8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9605" w:val="left" w:leader="none"/>
        </w:tabs>
        <w:spacing w:before="44"/>
        <w:ind w:left="181" w:right="8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非财务报告重大缺陷数量（个）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9605" w:val="left" w:leader="none"/>
        </w:tabs>
        <w:spacing w:before="44"/>
        <w:ind w:left="181" w:right="8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财务报告重要缺陷数量（个）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9605" w:val="left" w:leader="none"/>
        </w:tabs>
        <w:spacing w:before="44"/>
        <w:ind w:left="181" w:right="8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非财务报告重要缺陷数量（个）</w:t>
      </w:r>
      <w:r>
        <w:rPr>
          <w:rFonts w:ascii="Times New Roman" w:hAnsi="Times New Roman" w:cs="Times New Roman" w:eastAsia="Times New Roman" w:hint="default"/>
          <w:sz w:val="18"/>
          <w:szCs w:val="18"/>
        </w:rPr>
        <w:tab/>
        <w:t>0</w:t>
      </w:r>
    </w:p>
    <w:p>
      <w:pPr>
        <w:spacing w:line="240" w:lineRule="auto" w:before="6"/>
        <w:rPr>
          <w:rFonts w:ascii="Times New Roman" w:hAnsi="Times New Roman" w:cs="Times New Roman" w:eastAsia="Times New Roman" w:hint="default"/>
          <w:sz w:val="29"/>
          <w:szCs w:val="29"/>
        </w:rPr>
      </w:pPr>
    </w:p>
    <w:p>
      <w:pPr>
        <w:pStyle w:val="Heading2"/>
        <w:spacing w:line="240" w:lineRule="auto" w:before="26"/>
        <w:ind w:right="817"/>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817"/>
        <w:jc w:val="left"/>
        <w:rPr>
          <w:b w:val="0"/>
          <w:bCs w:val="0"/>
        </w:rPr>
      </w:pPr>
      <w:bookmarkStart w:name="第十节 公司债券相关情况" w:id="154"/>
      <w:bookmarkEnd w:id="154"/>
      <w:r>
        <w:rPr>
          <w:b w:val="0"/>
          <w:bCs w:val="0"/>
        </w:rPr>
      </w:r>
      <w:bookmarkStart w:name="_bookmark9"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817"/>
        <w:jc w:val="left"/>
        <w:rPr>
          <w:b w:val="0"/>
          <w:bCs w:val="0"/>
        </w:rPr>
      </w:pPr>
      <w:bookmarkStart w:name="第十一节 财务报告" w:id="156"/>
      <w:bookmarkEnd w:id="156"/>
      <w:r>
        <w:rPr>
          <w:b w:val="0"/>
          <w:bCs w:val="0"/>
        </w:rPr>
      </w:r>
      <w:bookmarkStart w:name="_bookmark10"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7"/>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350ZA0100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张凌雯、巫宝才</w:t>
            </w:r>
          </w:p>
        </w:tc>
      </w:tr>
    </w:tbl>
    <w:p>
      <w:pPr>
        <w:spacing w:before="51"/>
        <w:ind w:left="423" w:right="139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3"/>
        <w:rPr>
          <w:rFonts w:ascii="宋体" w:hAnsi="宋体" w:cs="宋体" w:eastAsia="宋体" w:hint="default"/>
          <w:sz w:val="27"/>
          <w:szCs w:val="27"/>
        </w:rPr>
      </w:pPr>
    </w:p>
    <w:p>
      <w:pPr>
        <w:spacing w:before="35"/>
        <w:ind w:left="6679" w:right="817" w:firstLine="0"/>
        <w:jc w:val="left"/>
        <w:rPr>
          <w:rFonts w:ascii="宋体" w:hAnsi="宋体" w:cs="宋体" w:eastAsia="宋体" w:hint="default"/>
          <w:sz w:val="21"/>
          <w:szCs w:val="21"/>
        </w:rPr>
      </w:pPr>
      <w:r>
        <w:rPr>
          <w:rFonts w:ascii="宋体" w:hAnsi="宋体" w:cs="宋体" w:eastAsia="宋体" w:hint="default"/>
          <w:sz w:val="21"/>
          <w:szCs w:val="21"/>
        </w:rPr>
        <w:t>致同审字（</w:t>
      </w:r>
      <w:r>
        <w:rPr>
          <w:rFonts w:ascii="Times New Roman" w:hAnsi="Times New Roman" w:cs="Times New Roman" w:eastAsia="Times New Roman" w:hint="default"/>
          <w:sz w:val="21"/>
          <w:szCs w:val="21"/>
        </w:rPr>
        <w:t>2019</w:t>
      </w:r>
      <w:r>
        <w:rPr>
          <w:rFonts w:ascii="宋体" w:hAnsi="宋体" w:cs="宋体" w:eastAsia="宋体" w:hint="default"/>
          <w:sz w:val="21"/>
          <w:szCs w:val="21"/>
        </w:rPr>
        <w:t>）第</w:t>
      </w:r>
      <w:r>
        <w:rPr>
          <w:rFonts w:ascii="Times New Roman" w:hAnsi="Times New Roman" w:cs="Times New Roman" w:eastAsia="Times New Roman" w:hint="default"/>
          <w:sz w:val="21"/>
          <w:szCs w:val="21"/>
        </w:rPr>
        <w:t>350ZA0100</w:t>
      </w:r>
      <w:r>
        <w:rPr>
          <w:rFonts w:ascii="宋体" w:hAnsi="宋体" w:cs="宋体" w:eastAsia="宋体" w:hint="default"/>
          <w:sz w:val="21"/>
          <w:szCs w:val="21"/>
        </w:rPr>
        <w:t>号</w:t>
      </w:r>
    </w:p>
    <w:p>
      <w:pPr>
        <w:spacing w:line="240" w:lineRule="auto" w:before="11"/>
        <w:rPr>
          <w:rFonts w:ascii="宋体" w:hAnsi="宋体" w:cs="宋体" w:eastAsia="宋体" w:hint="default"/>
          <w:sz w:val="10"/>
          <w:szCs w:val="10"/>
        </w:rPr>
      </w:pPr>
    </w:p>
    <w:p>
      <w:pPr>
        <w:spacing w:line="408" w:lineRule="auto" w:before="35"/>
        <w:ind w:left="576" w:right="8012" w:hanging="423"/>
        <w:jc w:val="left"/>
        <w:rPr>
          <w:rFonts w:ascii="宋体" w:hAnsi="宋体" w:cs="宋体" w:eastAsia="宋体" w:hint="default"/>
          <w:sz w:val="21"/>
          <w:szCs w:val="21"/>
        </w:rPr>
      </w:pPr>
      <w:r>
        <w:rPr>
          <w:rFonts w:ascii="宋体" w:hAnsi="宋体" w:cs="宋体" w:eastAsia="宋体" w:hint="default"/>
          <w:b/>
          <w:bCs/>
          <w:sz w:val="21"/>
          <w:szCs w:val="21"/>
        </w:rPr>
        <w:t>红相股份有限公司全体股东：</w:t>
      </w:r>
      <w:r>
        <w:rPr>
          <w:rFonts w:ascii="宋体" w:hAnsi="宋体" w:cs="宋体" w:eastAsia="宋体" w:hint="default"/>
          <w:b/>
          <w:bCs/>
          <w:w w:val="99"/>
          <w:sz w:val="21"/>
          <w:szCs w:val="21"/>
        </w:rPr>
        <w:t> </w:t>
      </w:r>
      <w:r>
        <w:rPr>
          <w:rFonts w:ascii="宋体" w:hAnsi="宋体" w:cs="宋体" w:eastAsia="宋体" w:hint="default"/>
          <w:b/>
          <w:bCs/>
          <w:sz w:val="21"/>
          <w:szCs w:val="21"/>
        </w:rPr>
        <w:t>一、审计意见</w:t>
      </w:r>
      <w:r>
        <w:rPr>
          <w:rFonts w:ascii="宋体" w:hAnsi="宋体" w:cs="宋体" w:eastAsia="宋体" w:hint="default"/>
          <w:sz w:val="21"/>
          <w:szCs w:val="21"/>
        </w:rPr>
      </w:r>
    </w:p>
    <w:p>
      <w:pPr>
        <w:spacing w:line="256" w:lineRule="auto" w:before="46"/>
        <w:ind w:left="154" w:right="1132" w:firstLine="420"/>
        <w:jc w:val="both"/>
        <w:rPr>
          <w:rFonts w:ascii="宋体" w:hAnsi="宋体" w:cs="宋体" w:eastAsia="宋体" w:hint="default"/>
          <w:sz w:val="21"/>
          <w:szCs w:val="21"/>
        </w:rPr>
      </w:pPr>
      <w:r>
        <w:rPr>
          <w:rFonts w:ascii="宋体" w:hAnsi="宋体" w:cs="宋体" w:eastAsia="宋体" w:hint="default"/>
          <w:spacing w:val="-1"/>
          <w:sz w:val="21"/>
          <w:szCs w:val="21"/>
        </w:rPr>
        <w:t>我们审计了红相股份有限公司（以下简称红相股份）财务报表，包括</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日的合并及公司资</w:t>
      </w:r>
      <w:r>
        <w:rPr>
          <w:rFonts w:ascii="宋体" w:hAnsi="宋体" w:cs="宋体" w:eastAsia="宋体" w:hint="default"/>
          <w:sz w:val="21"/>
          <w:szCs w:val="21"/>
        </w:rPr>
        <w:t> </w:t>
      </w:r>
      <w:r>
        <w:rPr>
          <w:rFonts w:ascii="宋体" w:hAnsi="宋体" w:cs="宋体" w:eastAsia="宋体" w:hint="default"/>
          <w:spacing w:val="-1"/>
          <w:sz w:val="21"/>
          <w:szCs w:val="21"/>
        </w:rPr>
        <w:t>产负债表，</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年度的合并及公司利润表、合并及公司现金流量表、合并及公司股东权益变动表以及相关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财务报表附注。</w:t>
      </w:r>
    </w:p>
    <w:p>
      <w:pPr>
        <w:spacing w:line="256" w:lineRule="auto" w:before="178"/>
        <w:ind w:left="154" w:right="1130" w:firstLine="420"/>
        <w:jc w:val="both"/>
        <w:rPr>
          <w:rFonts w:ascii="宋体" w:hAnsi="宋体" w:cs="宋体" w:eastAsia="宋体" w:hint="default"/>
          <w:sz w:val="21"/>
          <w:szCs w:val="21"/>
        </w:rPr>
      </w:pPr>
      <w:r>
        <w:rPr>
          <w:rFonts w:ascii="宋体" w:hAnsi="宋体" w:cs="宋体" w:eastAsia="宋体" w:hint="default"/>
          <w:spacing w:val="-1"/>
          <w:sz w:val="21"/>
          <w:szCs w:val="21"/>
        </w:rPr>
        <w:t>我们认为，后附的财务报表在所有重大方面按照企业会计准则的规定编制，公允反映了红相股份</w:t>
      </w:r>
      <w:r>
        <w:rPr>
          <w:rFonts w:ascii="Times New Roman" w:hAnsi="Times New Roman" w:cs="Times New Roman" w:eastAsia="Times New Roman" w:hint="default"/>
          <w:spacing w:val="-1"/>
          <w:sz w:val="21"/>
          <w:szCs w:val="21"/>
        </w:rPr>
        <w:t>2018</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日的合并及公司财务状况以及</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年度的合并及公司的经营成果和现金流量。</w:t>
      </w:r>
    </w:p>
    <w:p>
      <w:pPr>
        <w:spacing w:line="468" w:lineRule="exact" w:before="32"/>
        <w:ind w:left="589" w:right="817" w:hanging="14"/>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spacing w:line="264"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的责任</w:t>
      </w:r>
      <w:r>
        <w:rPr>
          <w:rFonts w:ascii="Times New Roman" w:hAnsi="Times New Roman" w:cs="Times New Roman" w:eastAsia="Times New Roman" w:hint="default"/>
          <w:sz w:val="21"/>
          <w:szCs w:val="21"/>
        </w:rPr>
        <w:t>”</w:t>
      </w:r>
      <w:r>
        <w:rPr>
          <w:rFonts w:ascii="宋体" w:hAnsi="宋体" w:cs="宋体" w:eastAsia="宋体" w:hint="default"/>
          <w:sz w:val="21"/>
          <w:szCs w:val="21"/>
        </w:rPr>
        <w:t>部分进一步阐述了我们在这些准则下的责任。按照中国注册会计师职业道德守则，我们独立于红</w:t>
      </w:r>
    </w:p>
    <w:p>
      <w:pPr>
        <w:spacing w:line="273" w:lineRule="auto" w:before="21"/>
        <w:ind w:left="154" w:right="817" w:firstLine="0"/>
        <w:jc w:val="left"/>
        <w:rPr>
          <w:rFonts w:ascii="宋体" w:hAnsi="宋体" w:cs="宋体" w:eastAsia="宋体" w:hint="default"/>
          <w:sz w:val="21"/>
          <w:szCs w:val="21"/>
        </w:rPr>
      </w:pPr>
      <w:r>
        <w:rPr>
          <w:rFonts w:ascii="宋体" w:hAnsi="宋体" w:cs="宋体" w:eastAsia="宋体" w:hint="default"/>
          <w:spacing w:val="-1"/>
          <w:sz w:val="21"/>
          <w:szCs w:val="21"/>
        </w:rPr>
        <w:t>相股份，并履行了职业道德方面的其他责任。我们相信，我们获取的审计证据是充分、适当的，为发表审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计意见提供了基础。</w:t>
      </w:r>
    </w:p>
    <w:p>
      <w:pPr>
        <w:spacing w:line="468" w:lineRule="exact" w:before="34"/>
        <w:ind w:left="589" w:right="1121" w:hanging="14"/>
        <w:jc w:val="left"/>
        <w:rPr>
          <w:rFonts w:ascii="宋体" w:hAnsi="宋体" w:cs="宋体" w:eastAsia="宋体" w:hint="default"/>
          <w:sz w:val="21"/>
          <w:szCs w:val="21"/>
        </w:rPr>
      </w:pPr>
      <w:r>
        <w:rPr>
          <w:rFonts w:ascii="宋体" w:hAnsi="宋体" w:cs="宋体" w:eastAsia="宋体" w:hint="default"/>
          <w:b/>
          <w:bCs/>
          <w:sz w:val="21"/>
          <w:szCs w:val="21"/>
        </w:rPr>
        <w:t>三、关键审计事项</w:t>
      </w:r>
      <w:r>
        <w:rPr>
          <w:rFonts w:ascii="宋体" w:hAnsi="宋体" w:cs="宋体" w:eastAsia="宋体" w:hint="default"/>
          <w:b/>
          <w:bCs/>
          <w:w w:val="99"/>
          <w:sz w:val="21"/>
          <w:szCs w:val="21"/>
        </w:rPr>
        <w:t> </w:t>
      </w:r>
      <w:r>
        <w:rPr>
          <w:rFonts w:ascii="宋体" w:hAnsi="宋体" w:cs="宋体" w:eastAsia="宋体" w:hint="default"/>
          <w:spacing w:val="-1"/>
          <w:sz w:val="21"/>
          <w:szCs w:val="21"/>
        </w:rPr>
        <w:t>关键审计事项是我们根据职业判断，认为对本期财务报表审计最为重要的事项。这些事项的应对以对</w:t>
      </w:r>
    </w:p>
    <w:p>
      <w:pPr>
        <w:spacing w:line="248"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财务报表整体进行审计并形成审计意见为背景，我们不对这些事项单独发表意见。</w:t>
      </w:r>
    </w:p>
    <w:p>
      <w:pPr>
        <w:spacing w:line="468" w:lineRule="exact" w:before="64"/>
        <w:ind w:left="589" w:right="5382" w:firstLine="0"/>
        <w:jc w:val="left"/>
        <w:rPr>
          <w:rFonts w:ascii="宋体" w:hAnsi="宋体" w:cs="宋体" w:eastAsia="宋体" w:hint="default"/>
          <w:sz w:val="21"/>
          <w:szCs w:val="21"/>
        </w:rPr>
      </w:pPr>
      <w:r>
        <w:rPr>
          <w:rFonts w:ascii="宋体" w:hAnsi="宋体" w:cs="宋体" w:eastAsia="宋体" w:hint="default"/>
          <w:sz w:val="21"/>
          <w:szCs w:val="21"/>
        </w:rPr>
        <w:t>（一）应收账款坏账准备计提 相关信息披露详见财务报表附注三之</w:t>
      </w:r>
      <w:r>
        <w:rPr>
          <w:rFonts w:ascii="Times New Roman" w:hAnsi="Times New Roman" w:cs="Times New Roman" w:eastAsia="Times New Roman" w:hint="default"/>
          <w:sz w:val="21"/>
          <w:szCs w:val="21"/>
        </w:rPr>
        <w:t>11</w:t>
      </w:r>
      <w:r>
        <w:rPr>
          <w:rFonts w:ascii="宋体" w:hAnsi="宋体" w:cs="宋体" w:eastAsia="宋体" w:hint="default"/>
          <w:sz w:val="21"/>
          <w:szCs w:val="21"/>
        </w:rPr>
        <w:t>、附注五之</w:t>
      </w:r>
      <w:r>
        <w:rPr>
          <w:rFonts w:ascii="Times New Roman" w:hAnsi="Times New Roman" w:cs="Times New Roman" w:eastAsia="Times New Roman" w:hint="default"/>
          <w:sz w:val="21"/>
          <w:szCs w:val="21"/>
        </w:rPr>
        <w:t>2</w:t>
      </w:r>
      <w:r>
        <w:rPr>
          <w:rFonts w:ascii="宋体" w:hAnsi="宋体" w:cs="宋体" w:eastAsia="宋体" w:hint="default"/>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w:t>
      </w:r>
    </w:p>
    <w:p>
      <w:pPr>
        <w:spacing w:line="264" w:lineRule="exact" w:before="0"/>
        <w:ind w:left="589" w:right="817"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日止，红相股份应收账款账面余额为人民币</w:t>
      </w:r>
      <w:r>
        <w:rPr>
          <w:rFonts w:ascii="Times New Roman" w:hAnsi="Times New Roman" w:cs="Times New Roman" w:eastAsia="Times New Roman" w:hint="default"/>
          <w:sz w:val="21"/>
          <w:szCs w:val="21"/>
        </w:rPr>
        <w:t>1,192,360,651.29</w:t>
      </w:r>
      <w:r>
        <w:rPr>
          <w:rFonts w:ascii="宋体" w:hAnsi="宋体" w:cs="宋体" w:eastAsia="宋体" w:hint="default"/>
          <w:sz w:val="21"/>
          <w:szCs w:val="21"/>
        </w:rPr>
        <w:t>元，计提坏账准备人民</w:t>
      </w:r>
    </w:p>
    <w:p>
      <w:pPr>
        <w:spacing w:line="264" w:lineRule="auto" w:before="21"/>
        <w:ind w:left="154" w:right="817"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Times New Roman" w:hAnsi="Times New Roman" w:cs="Times New Roman" w:eastAsia="Times New Roman" w:hint="default"/>
          <w:sz w:val="21"/>
          <w:szCs w:val="21"/>
        </w:rPr>
        <w:t>129,735,618.68</w:t>
      </w:r>
      <w:r>
        <w:rPr>
          <w:rFonts w:ascii="宋体" w:hAnsi="宋体" w:cs="宋体" w:eastAsia="宋体" w:hint="default"/>
          <w:sz w:val="21"/>
          <w:szCs w:val="21"/>
        </w:rPr>
        <w:t>元，坏账准备计提比例为</w:t>
      </w:r>
      <w:r>
        <w:rPr>
          <w:rFonts w:ascii="Times New Roman" w:hAnsi="Times New Roman" w:cs="Times New Roman" w:eastAsia="Times New Roman" w:hint="default"/>
          <w:sz w:val="21"/>
          <w:szCs w:val="21"/>
        </w:rPr>
        <w:t>10.88%</w:t>
      </w:r>
      <w:r>
        <w:rPr>
          <w:rFonts w:ascii="宋体" w:hAnsi="宋体" w:cs="宋体" w:eastAsia="宋体" w:hint="default"/>
          <w:sz w:val="21"/>
          <w:szCs w:val="21"/>
        </w:rPr>
        <w:t>，应收账款期末净值占期末总资产</w:t>
      </w:r>
      <w:r>
        <w:rPr>
          <w:rFonts w:ascii="Times New Roman" w:hAnsi="Times New Roman" w:cs="Times New Roman" w:eastAsia="Times New Roman" w:hint="default"/>
          <w:sz w:val="21"/>
          <w:szCs w:val="21"/>
        </w:rPr>
        <w:t>29.36%</w:t>
      </w:r>
      <w:r>
        <w:rPr>
          <w:rFonts w:ascii="宋体" w:hAnsi="宋体" w:cs="宋体" w:eastAsia="宋体" w:hint="default"/>
          <w:sz w:val="21"/>
          <w:szCs w:val="21"/>
        </w:rPr>
        <w:t>。红相股份的 </w:t>
      </w:r>
      <w:r>
        <w:rPr>
          <w:rFonts w:ascii="宋体" w:hAnsi="宋体" w:cs="宋体" w:eastAsia="宋体" w:hint="default"/>
          <w:spacing w:val="-1"/>
          <w:sz w:val="21"/>
          <w:szCs w:val="21"/>
        </w:rPr>
        <w:t>应收账款主要来自于两大电网公司及其下属企业、发电企业及化工等用电企业、铁路总公司及相关铁路建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设企业、国内军工科研院所、军工厂、军事院校等单位。</w:t>
      </w:r>
    </w:p>
    <w:p>
      <w:pPr>
        <w:spacing w:after="0" w:line="264"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4" w:right="1131" w:firstLine="435"/>
        <w:jc w:val="both"/>
        <w:rPr>
          <w:rFonts w:ascii="宋体" w:hAnsi="宋体" w:cs="宋体" w:eastAsia="宋体" w:hint="default"/>
          <w:sz w:val="21"/>
          <w:szCs w:val="21"/>
        </w:rPr>
      </w:pPr>
      <w:r>
        <w:rPr>
          <w:rFonts w:ascii="宋体" w:hAnsi="宋体" w:cs="宋体" w:eastAsia="宋体" w:hint="default"/>
          <w:spacing w:val="-1"/>
          <w:sz w:val="21"/>
          <w:szCs w:val="21"/>
        </w:rPr>
        <w:t>当存在客观证据表明应收账款存在减值时，管理层根据预计未来现金流量现值低于账面价值的差额计</w:t>
      </w:r>
      <w:r>
        <w:rPr>
          <w:rFonts w:ascii="宋体" w:hAnsi="宋体" w:cs="宋体" w:eastAsia="宋体" w:hint="default"/>
          <w:sz w:val="21"/>
          <w:szCs w:val="21"/>
        </w:rPr>
        <w:t> </w:t>
      </w:r>
      <w:r>
        <w:rPr>
          <w:rFonts w:ascii="宋体" w:hAnsi="宋体" w:cs="宋体" w:eastAsia="宋体" w:hint="default"/>
          <w:spacing w:val="-1"/>
          <w:sz w:val="21"/>
          <w:szCs w:val="21"/>
        </w:rPr>
        <w:t>提单项减值准备。对于不存在减值客观证据的应收账款，管理层根据信用风险特征将其分为若干组合进行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评估。管理层根据历史损失率为基础估计未来现金流量及账龄分析为基础，结合现时情况确定应计提的坏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账准备。</w:t>
      </w:r>
    </w:p>
    <w:p>
      <w:pPr>
        <w:spacing w:line="273" w:lineRule="auto" w:before="164"/>
        <w:ind w:left="154" w:right="1133" w:firstLine="435"/>
        <w:jc w:val="both"/>
        <w:rPr>
          <w:rFonts w:ascii="宋体" w:hAnsi="宋体" w:cs="宋体" w:eastAsia="宋体" w:hint="default"/>
          <w:sz w:val="21"/>
          <w:szCs w:val="21"/>
        </w:rPr>
      </w:pPr>
      <w:r>
        <w:rPr>
          <w:rFonts w:ascii="宋体" w:hAnsi="宋体" w:cs="宋体" w:eastAsia="宋体" w:hint="default"/>
          <w:spacing w:val="-1"/>
          <w:sz w:val="21"/>
          <w:szCs w:val="21"/>
        </w:rPr>
        <w:t>由于应收账款金额重大，且管理层在确定应收账款减值时作出了重大判断，我们将应收账款的减值确</w:t>
      </w:r>
      <w:r>
        <w:rPr>
          <w:rFonts w:ascii="宋体" w:hAnsi="宋体" w:cs="宋体" w:eastAsia="宋体" w:hint="default"/>
          <w:sz w:val="21"/>
          <w:szCs w:val="21"/>
        </w:rPr>
        <w:t> 定为关键审计事项。</w:t>
      </w:r>
    </w:p>
    <w:p>
      <w:pPr>
        <w:spacing w:line="450" w:lineRule="atLeast" w:before="4"/>
        <w:ind w:left="589" w:right="464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 我们针对应收账款坏账准备的计提主要执行了以下审计程序：</w:t>
      </w:r>
    </w:p>
    <w:p>
      <w:pPr>
        <w:spacing w:before="37"/>
        <w:ind w:left="15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）对公司信用政策及应收账款管理相关内部控制的设计和运行有效性进行了评估和测试；</w:t>
      </w:r>
    </w:p>
    <w:p>
      <w:pPr>
        <w:spacing w:before="21"/>
        <w:ind w:left="15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）复核公司应收账款坏账准备计提政策是否符合准则规定；</w:t>
      </w:r>
    </w:p>
    <w:p>
      <w:pPr>
        <w:spacing w:line="256" w:lineRule="auto" w:before="21"/>
        <w:ind w:left="154" w:right="11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）选取单项金额重大的应收账款，独立测试其可收回性，检查相关的支持性证据，包括期后收款、客 户的信用历史、经营情况和还款能力；</w:t>
      </w:r>
    </w:p>
    <w:p>
      <w:pPr>
        <w:spacing w:line="256" w:lineRule="auto" w:before="22"/>
        <w:ind w:left="154" w:right="11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）执行应收账款函证程序，检查客户期后回款情况，并根据公司性质与历史回款记录等资料，评价应 收账款坏账准备计提的充分性；</w:t>
      </w:r>
    </w:p>
    <w:p>
      <w:pPr>
        <w:spacing w:before="22"/>
        <w:ind w:left="15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）复核应收账款的账龄分析表，检查坏账准备计提金额是否准确。</w:t>
      </w:r>
    </w:p>
    <w:p>
      <w:pPr>
        <w:spacing w:line="468" w:lineRule="exact" w:before="48"/>
        <w:ind w:left="589" w:right="5277" w:firstLine="0"/>
        <w:jc w:val="left"/>
        <w:rPr>
          <w:rFonts w:ascii="宋体" w:hAnsi="宋体" w:cs="宋体" w:eastAsia="宋体" w:hint="default"/>
          <w:sz w:val="21"/>
          <w:szCs w:val="21"/>
        </w:rPr>
      </w:pPr>
      <w:r>
        <w:rPr>
          <w:rFonts w:ascii="宋体" w:hAnsi="宋体" w:cs="宋体" w:eastAsia="宋体" w:hint="default"/>
          <w:sz w:val="21"/>
          <w:szCs w:val="21"/>
        </w:rPr>
        <w:t>（二）商誉减值 相关信息披露详见财务报表附注三之</w:t>
      </w:r>
      <w:r>
        <w:rPr>
          <w:rFonts w:ascii="Times New Roman" w:hAnsi="Times New Roman" w:cs="Times New Roman" w:eastAsia="Times New Roman" w:hint="default"/>
          <w:sz w:val="21"/>
          <w:szCs w:val="21"/>
        </w:rPr>
        <w:t>20</w:t>
      </w:r>
      <w:r>
        <w:rPr>
          <w:rFonts w:ascii="宋体" w:hAnsi="宋体" w:cs="宋体" w:eastAsia="宋体" w:hint="default"/>
          <w:sz w:val="21"/>
          <w:szCs w:val="21"/>
        </w:rPr>
        <w:t>、附注五之</w:t>
      </w:r>
      <w:r>
        <w:rPr>
          <w:rFonts w:ascii="Times New Roman" w:hAnsi="Times New Roman" w:cs="Times New Roman" w:eastAsia="Times New Roman" w:hint="default"/>
          <w:sz w:val="21"/>
          <w:szCs w:val="21"/>
        </w:rPr>
        <w:t>13</w:t>
      </w:r>
      <w:r>
        <w:rPr>
          <w:rFonts w:ascii="宋体" w:hAnsi="宋体" w:cs="宋体" w:eastAsia="宋体" w:hint="default"/>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w:t>
      </w:r>
    </w:p>
    <w:p>
      <w:pPr>
        <w:spacing w:line="264" w:lineRule="exact" w:before="0"/>
        <w:ind w:left="481" w:right="817"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日止，红相股份商誉余额为人民币</w:t>
      </w:r>
      <w:r>
        <w:rPr>
          <w:rFonts w:ascii="Times New Roman" w:hAnsi="Times New Roman" w:cs="Times New Roman" w:eastAsia="Times New Roman" w:hint="default"/>
          <w:sz w:val="21"/>
          <w:szCs w:val="21"/>
        </w:rPr>
        <w:t>1,069,680,816.47</w:t>
      </w:r>
      <w:r>
        <w:rPr>
          <w:rFonts w:ascii="宋体" w:hAnsi="宋体" w:cs="宋体" w:eastAsia="宋体" w:hint="default"/>
          <w:sz w:val="21"/>
          <w:szCs w:val="21"/>
        </w:rPr>
        <w:t>元，占期末总资产的</w:t>
      </w:r>
      <w:r>
        <w:rPr>
          <w:rFonts w:ascii="Times New Roman" w:hAnsi="Times New Roman" w:cs="Times New Roman" w:eastAsia="Times New Roman" w:hint="default"/>
          <w:sz w:val="21"/>
          <w:szCs w:val="21"/>
        </w:rPr>
        <w:t>29.55%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w:t>
      </w:r>
    </w:p>
    <w:p>
      <w:pPr>
        <w:spacing w:line="256" w:lineRule="auto" w:before="21"/>
        <w:ind w:left="154" w:right="1302" w:firstLine="0"/>
        <w:jc w:val="left"/>
        <w:rPr>
          <w:rFonts w:ascii="宋体" w:hAnsi="宋体" w:cs="宋体" w:eastAsia="宋体" w:hint="default"/>
          <w:sz w:val="21"/>
          <w:szCs w:val="21"/>
        </w:rPr>
      </w:pPr>
      <w:r>
        <w:rPr>
          <w:rFonts w:ascii="宋体" w:hAnsi="宋体" w:cs="宋体" w:eastAsia="宋体" w:hint="default"/>
          <w:sz w:val="21"/>
          <w:szCs w:val="21"/>
        </w:rPr>
        <w:t>主要为红相股份于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年非同一控制下企业合并收购卧龙电气银川变压器有限公司及合肥星波通信技术 有限公司股权所产生的商誉，红相股份根据商誉减值测试结果未计提减值准备。</w:t>
      </w:r>
    </w:p>
    <w:p>
      <w:pPr>
        <w:spacing w:line="273" w:lineRule="auto" w:before="22"/>
        <w:ind w:left="154" w:right="1109" w:firstLine="435"/>
        <w:jc w:val="both"/>
        <w:rPr>
          <w:rFonts w:ascii="宋体" w:hAnsi="宋体" w:cs="宋体" w:eastAsia="宋体" w:hint="default"/>
          <w:sz w:val="21"/>
          <w:szCs w:val="21"/>
        </w:rPr>
      </w:pPr>
      <w:r>
        <w:rPr>
          <w:rFonts w:ascii="宋体" w:hAnsi="宋体" w:cs="宋体" w:eastAsia="宋体" w:hint="default"/>
          <w:spacing w:val="-1"/>
          <w:sz w:val="21"/>
          <w:szCs w:val="21"/>
        </w:rPr>
        <w:t>商誉的账面价值对财务报表影响重大，减值测试评估涉及确定折现率等评估参数及对未来若干年的经</w:t>
      </w:r>
      <w:r>
        <w:rPr>
          <w:rFonts w:ascii="宋体" w:hAnsi="宋体" w:cs="宋体" w:eastAsia="宋体" w:hint="default"/>
          <w:sz w:val="21"/>
          <w:szCs w:val="21"/>
        </w:rPr>
        <w:t> 营和财务情况的假设，包括未来若干年的销售增长率和毛利率等，上述判断具有一定的复杂性和主观性， 因此我们将该事项作为关键审计事项。</w:t>
      </w:r>
    </w:p>
    <w:p>
      <w:pPr>
        <w:spacing w:line="450" w:lineRule="atLeast" w:before="4"/>
        <w:ind w:left="589" w:right="61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 我们针对商誉减值主要执行了以下审计程序：</w:t>
      </w:r>
    </w:p>
    <w:p>
      <w:pPr>
        <w:spacing w:before="37"/>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）评价与商誉减值测试相关的内部控制的设计及执行有效性；</w:t>
      </w:r>
    </w:p>
    <w:p>
      <w:pPr>
        <w:spacing w:before="21"/>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）评价评估机构的独立性与胜任能力；</w:t>
      </w:r>
    </w:p>
    <w:p>
      <w:pPr>
        <w:spacing w:line="256" w:lineRule="auto" w:before="21"/>
        <w:ind w:left="154" w:right="114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）获取管理层编制的商誉减值测试表及相关预测资料，获取评估机构的估值报告及资料与商誉减 值测试相关的重大判断和关键假设的合理性；</w:t>
      </w:r>
    </w:p>
    <w:p>
      <w:pPr>
        <w:spacing w:before="22"/>
        <w:ind w:left="574"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）执行重新计算程序，确认商誉减值测试所涉及到的计算过程准确性。</w:t>
      </w:r>
    </w:p>
    <w:p>
      <w:pPr>
        <w:spacing w:line="386" w:lineRule="auto" w:before="21"/>
        <w:ind w:left="576" w:right="4138" w:hanging="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）利用估值专家对评估机构出具的企业商誉估值报告进行复核。 </w:t>
      </w:r>
      <w:r>
        <w:rPr>
          <w:rFonts w:ascii="宋体" w:hAnsi="宋体" w:cs="宋体" w:eastAsia="宋体" w:hint="default"/>
          <w:b/>
          <w:bCs/>
          <w:sz w:val="21"/>
          <w:szCs w:val="21"/>
        </w:rPr>
        <w:t>四、其他信息</w:t>
      </w:r>
      <w:r>
        <w:rPr>
          <w:rFonts w:ascii="宋体" w:hAnsi="宋体" w:cs="宋体" w:eastAsia="宋体" w:hint="default"/>
          <w:sz w:val="21"/>
          <w:szCs w:val="21"/>
        </w:rPr>
      </w:r>
    </w:p>
    <w:p>
      <w:pPr>
        <w:spacing w:line="256" w:lineRule="auto" w:before="65"/>
        <w:ind w:left="154" w:right="1132" w:firstLine="435"/>
        <w:jc w:val="both"/>
        <w:rPr>
          <w:rFonts w:ascii="宋体" w:hAnsi="宋体" w:cs="宋体" w:eastAsia="宋体" w:hint="default"/>
          <w:sz w:val="21"/>
          <w:szCs w:val="21"/>
        </w:rPr>
      </w:pPr>
      <w:r>
        <w:rPr>
          <w:rFonts w:ascii="宋体" w:hAnsi="宋体" w:cs="宋体" w:eastAsia="宋体" w:hint="default"/>
          <w:spacing w:val="-1"/>
          <w:sz w:val="21"/>
          <w:szCs w:val="21"/>
        </w:rPr>
        <w:t>红相股份管理层（以下简称管理层）对其他信息负责。其他信息包括红相股份</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年年度报告中涵盖</w:t>
      </w:r>
      <w:r>
        <w:rPr>
          <w:rFonts w:ascii="宋体" w:hAnsi="宋体" w:cs="宋体" w:eastAsia="宋体" w:hint="default"/>
          <w:sz w:val="21"/>
          <w:szCs w:val="21"/>
        </w:rPr>
        <w:t> 的信息，但不包括财务报表和我们的审计报告。</w:t>
      </w:r>
    </w:p>
    <w:p>
      <w:pPr>
        <w:spacing w:line="468" w:lineRule="exact" w:before="49"/>
        <w:ind w:left="589" w:right="1121" w:firstLine="0"/>
        <w:jc w:val="left"/>
        <w:rPr>
          <w:rFonts w:ascii="宋体" w:hAnsi="宋体" w:cs="宋体" w:eastAsia="宋体" w:hint="default"/>
          <w:sz w:val="21"/>
          <w:szCs w:val="21"/>
        </w:rPr>
      </w:pPr>
      <w:r>
        <w:rPr>
          <w:rFonts w:ascii="宋体" w:hAnsi="宋体" w:cs="宋体" w:eastAsia="宋体" w:hint="default"/>
          <w:sz w:val="21"/>
          <w:szCs w:val="21"/>
        </w:rPr>
        <w:t>我们对财务报表发表的审计意见不涵盖其他信息，我们也不对其他信息发表任何形式的鉴证结论。 </w:t>
      </w:r>
      <w:r>
        <w:rPr>
          <w:rFonts w:ascii="宋体" w:hAnsi="宋体" w:cs="宋体" w:eastAsia="宋体" w:hint="default"/>
          <w:spacing w:val="-1"/>
          <w:sz w:val="21"/>
          <w:szCs w:val="21"/>
        </w:rPr>
        <w:t>结合我们对财务报表的审计，我们的责任是阅读其他信息，在此过程中，考虑其他信息是否与财务报</w:t>
      </w:r>
    </w:p>
    <w:p>
      <w:pPr>
        <w:spacing w:line="248"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表或我们在审计过程中了解到的情况存在重大不一致或者似乎存在重大错报。</w:t>
      </w:r>
    </w:p>
    <w:p>
      <w:pPr>
        <w:spacing w:after="0" w:line="248"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4" w:right="1121" w:firstLine="435"/>
        <w:jc w:val="left"/>
        <w:rPr>
          <w:rFonts w:ascii="宋体" w:hAnsi="宋体" w:cs="宋体" w:eastAsia="宋体" w:hint="default"/>
          <w:sz w:val="21"/>
          <w:szCs w:val="21"/>
        </w:rPr>
      </w:pPr>
      <w:r>
        <w:rPr>
          <w:rFonts w:ascii="宋体" w:hAnsi="宋体" w:cs="宋体" w:eastAsia="宋体" w:hint="default"/>
          <w:spacing w:val="-1"/>
          <w:sz w:val="21"/>
          <w:szCs w:val="21"/>
        </w:rPr>
        <w:t>基于我们已执行的工作，如果我们确定其他信息存在重大错报，我们应当报告该事实。在这方面，我</w:t>
      </w:r>
      <w:r>
        <w:rPr>
          <w:rFonts w:ascii="宋体" w:hAnsi="宋体" w:cs="宋体" w:eastAsia="宋体" w:hint="default"/>
          <w:sz w:val="21"/>
          <w:szCs w:val="21"/>
        </w:rPr>
        <w:t> 们无任何事项需要报告。</w:t>
      </w:r>
    </w:p>
    <w:p>
      <w:pPr>
        <w:spacing w:line="468" w:lineRule="exact" w:before="34"/>
        <w:ind w:left="589" w:right="1121" w:hanging="14"/>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红相股份管理层负责按照企业会计准则的规定编制财务报表，使其实现公允反映，并设计、执行和维</w:t>
      </w:r>
    </w:p>
    <w:p>
      <w:pPr>
        <w:spacing w:line="248" w:lineRule="exact" w:before="0"/>
        <w:ind w:left="154" w:right="817" w:firstLine="0"/>
        <w:jc w:val="left"/>
        <w:rPr>
          <w:rFonts w:ascii="宋体" w:hAnsi="宋体" w:cs="宋体" w:eastAsia="宋体" w:hint="default"/>
          <w:sz w:val="21"/>
          <w:szCs w:val="21"/>
        </w:rPr>
      </w:pPr>
      <w:r>
        <w:rPr>
          <w:rFonts w:ascii="宋体" w:hAnsi="宋体" w:cs="宋体" w:eastAsia="宋体" w:hint="default"/>
          <w:sz w:val="21"/>
          <w:szCs w:val="21"/>
        </w:rPr>
        <w:t>护必要的内部控制，以使财务报表不存在由于舞弊或错误导致的重大错报。</w:t>
      </w:r>
    </w:p>
    <w:p>
      <w:pPr>
        <w:spacing w:line="240" w:lineRule="auto" w:before="10"/>
        <w:rPr>
          <w:rFonts w:ascii="宋体" w:hAnsi="宋体" w:cs="宋体" w:eastAsia="宋体" w:hint="default"/>
          <w:sz w:val="14"/>
          <w:szCs w:val="14"/>
        </w:rPr>
      </w:pPr>
    </w:p>
    <w:p>
      <w:pPr>
        <w:spacing w:line="273" w:lineRule="auto" w:before="0"/>
        <w:ind w:left="154" w:right="1121" w:firstLine="435"/>
        <w:jc w:val="left"/>
        <w:rPr>
          <w:rFonts w:ascii="宋体" w:hAnsi="宋体" w:cs="宋体" w:eastAsia="宋体" w:hint="default"/>
          <w:sz w:val="21"/>
          <w:szCs w:val="21"/>
        </w:rPr>
      </w:pPr>
      <w:r>
        <w:rPr>
          <w:rFonts w:ascii="宋体" w:hAnsi="宋体" w:cs="宋体" w:eastAsia="宋体" w:hint="default"/>
          <w:spacing w:val="-1"/>
          <w:sz w:val="21"/>
          <w:szCs w:val="21"/>
        </w:rPr>
        <w:t>在编制财务报表时，管理层负责评估红相股份的持续经营能力，并运用持续经营假设，除非管理层计</w:t>
      </w:r>
      <w:r>
        <w:rPr>
          <w:rFonts w:ascii="宋体" w:hAnsi="宋体" w:cs="宋体" w:eastAsia="宋体" w:hint="default"/>
          <w:sz w:val="21"/>
          <w:szCs w:val="21"/>
        </w:rPr>
        <w:t> 划清算红相股份、终止运营或别无其他现实的选择。</w:t>
      </w:r>
    </w:p>
    <w:p>
      <w:pPr>
        <w:spacing w:line="408" w:lineRule="auto" w:before="163"/>
        <w:ind w:left="576" w:right="6327" w:firstLine="13"/>
        <w:jc w:val="left"/>
        <w:rPr>
          <w:rFonts w:ascii="宋体" w:hAnsi="宋体" w:cs="宋体" w:eastAsia="宋体" w:hint="default"/>
          <w:sz w:val="21"/>
          <w:szCs w:val="21"/>
        </w:rPr>
      </w:pPr>
      <w:r>
        <w:rPr>
          <w:rFonts w:ascii="宋体" w:hAnsi="宋体" w:cs="宋体" w:eastAsia="宋体" w:hint="default"/>
          <w:sz w:val="21"/>
          <w:szCs w:val="21"/>
        </w:rPr>
        <w:t>治理层负责监督红相股份的财务报告过程。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spacing w:line="273" w:lineRule="auto" w:before="46"/>
        <w:ind w:left="154" w:right="1131" w:firstLine="435"/>
        <w:jc w:val="both"/>
        <w:rPr>
          <w:rFonts w:ascii="宋体" w:hAnsi="宋体" w:cs="宋体" w:eastAsia="宋体" w:hint="default"/>
          <w:sz w:val="21"/>
          <w:szCs w:val="21"/>
        </w:rPr>
      </w:pPr>
      <w:r>
        <w:rPr>
          <w:rFonts w:ascii="宋体" w:hAnsi="宋体" w:cs="宋体" w:eastAsia="宋体" w:hint="default"/>
          <w:spacing w:val="-1"/>
          <w:sz w:val="21"/>
          <w:szCs w:val="21"/>
        </w:rPr>
        <w:t>我们的目标是对财务报表整体是否不存在由于舞弊或错误导致的重大错报获取合理保证，并出具包含</w:t>
      </w:r>
      <w:r>
        <w:rPr>
          <w:rFonts w:ascii="宋体" w:hAnsi="宋体" w:cs="宋体" w:eastAsia="宋体" w:hint="default"/>
          <w:sz w:val="21"/>
          <w:szCs w:val="21"/>
        </w:rPr>
        <w:t> </w:t>
      </w:r>
      <w:r>
        <w:rPr>
          <w:rFonts w:ascii="宋体" w:hAnsi="宋体" w:cs="宋体" w:eastAsia="宋体" w:hint="default"/>
          <w:spacing w:val="-1"/>
          <w:sz w:val="21"/>
          <w:szCs w:val="21"/>
        </w:rPr>
        <w:t>审计意见的审计报告。合理保证是高水平的保证，但并不能保证按照审计准则执行的审计在某一重大错报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存在时总能发现。错报可能由于舞弊或错误导致，如果合理预期错报单独或汇总起来可能影响财务报表使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用者依据财务报表作出的经济决策，则通常认为错报是重大的。</w:t>
      </w:r>
    </w:p>
    <w:p>
      <w:pPr>
        <w:spacing w:line="273" w:lineRule="auto" w:before="163"/>
        <w:ind w:left="154" w:right="1121" w:firstLine="435"/>
        <w:jc w:val="left"/>
        <w:rPr>
          <w:rFonts w:ascii="宋体" w:hAnsi="宋体" w:cs="宋体" w:eastAsia="宋体" w:hint="default"/>
          <w:sz w:val="21"/>
          <w:szCs w:val="21"/>
        </w:rPr>
      </w:pPr>
      <w:r>
        <w:rPr>
          <w:rFonts w:ascii="宋体" w:hAnsi="宋体" w:cs="宋体" w:eastAsia="宋体" w:hint="default"/>
          <w:spacing w:val="-1"/>
          <w:sz w:val="21"/>
          <w:szCs w:val="21"/>
        </w:rPr>
        <w:t>在按照审计准则执行审计工作的过程中，我们运用职业判断，并保持职业怀疑。同时，我们也执行以</w:t>
      </w:r>
      <w:r>
        <w:rPr>
          <w:rFonts w:ascii="宋体" w:hAnsi="宋体" w:cs="宋体" w:eastAsia="宋体" w:hint="default"/>
          <w:sz w:val="21"/>
          <w:szCs w:val="21"/>
        </w:rPr>
        <w:t> 下工作：</w:t>
      </w:r>
    </w:p>
    <w:p>
      <w:pPr>
        <w:spacing w:line="268" w:lineRule="auto" w:before="163"/>
        <w:ind w:left="154" w:right="1023" w:firstLine="43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）识别和评估由于舞弊或错误导致的财务报表重大错报风险，设计和实施审计程序以应对这些风 </w:t>
      </w:r>
      <w:r>
        <w:rPr>
          <w:rFonts w:ascii="宋体" w:hAnsi="宋体" w:cs="宋体" w:eastAsia="宋体" w:hint="default"/>
          <w:spacing w:val="-3"/>
          <w:sz w:val="21"/>
          <w:szCs w:val="21"/>
        </w:rPr>
        <w:t>险，并获取充分、适当的审计证据，作为发表审计意见的基础。由于舞弊可能涉及串通、伪造、故意遗漏、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虚假陈述或凌驾于内部控制之上，未能发现由于舞弊导致的重大错报的风险高于未能发现由于错误导致的</w:t>
      </w:r>
      <w:r>
        <w:rPr>
          <w:rFonts w:ascii="宋体" w:hAnsi="宋体" w:cs="宋体" w:eastAsia="宋体" w:hint="default"/>
          <w:sz w:val="21"/>
          <w:szCs w:val="21"/>
        </w:rPr>
        <w:t> 重大错报的风险。</w:t>
      </w:r>
    </w:p>
    <w:p>
      <w:pPr>
        <w:spacing w:line="240" w:lineRule="auto" w:before="2"/>
        <w:rPr>
          <w:rFonts w:ascii="宋体" w:hAnsi="宋体" w:cs="宋体" w:eastAsia="宋体" w:hint="default"/>
          <w:sz w:val="10"/>
          <w:szCs w:val="10"/>
        </w:rPr>
      </w:pPr>
    </w:p>
    <w:p>
      <w:pPr>
        <w:spacing w:before="35"/>
        <w:ind w:left="589"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）了解与审计相关的内部控制，以设计恰当的审计程序，但目的并非对内部控制的有效性发表意</w:t>
      </w:r>
    </w:p>
    <w:p>
      <w:pPr>
        <w:spacing w:before="21"/>
        <w:ind w:left="154" w:right="817" w:firstLine="0"/>
        <w:jc w:val="left"/>
        <w:rPr>
          <w:rFonts w:ascii="宋体" w:hAnsi="宋体" w:cs="宋体" w:eastAsia="宋体" w:hint="default"/>
          <w:sz w:val="21"/>
          <w:szCs w:val="21"/>
        </w:rPr>
      </w:pPr>
      <w:r>
        <w:rPr>
          <w:rFonts w:ascii="宋体" w:hAnsi="宋体" w:cs="宋体" w:eastAsia="宋体" w:hint="default"/>
          <w:sz w:val="21"/>
          <w:szCs w:val="21"/>
        </w:rPr>
        <w:t>见。</w:t>
      </w:r>
    </w:p>
    <w:p>
      <w:pPr>
        <w:spacing w:line="240" w:lineRule="auto" w:before="1"/>
        <w:rPr>
          <w:rFonts w:ascii="宋体" w:hAnsi="宋体" w:cs="宋体" w:eastAsia="宋体" w:hint="default"/>
          <w:sz w:val="12"/>
          <w:szCs w:val="12"/>
        </w:rPr>
      </w:pPr>
    </w:p>
    <w:p>
      <w:pPr>
        <w:spacing w:before="35"/>
        <w:ind w:left="589" w:right="81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）评价管理层选用会计政策的恰当性和作出会计估计及相关披露的合理性。</w:t>
      </w:r>
    </w:p>
    <w:p>
      <w:pPr>
        <w:spacing w:line="268" w:lineRule="auto" w:before="177"/>
        <w:ind w:left="154" w:right="1131" w:firstLine="435"/>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）对管理层使用持续经营假设的恰当性得出结论。同时，根据获取的审计证据，就可能导致对红 </w:t>
      </w:r>
      <w:r>
        <w:rPr>
          <w:rFonts w:ascii="宋体" w:hAnsi="宋体" w:cs="宋体" w:eastAsia="宋体" w:hint="default"/>
          <w:spacing w:val="-1"/>
          <w:sz w:val="21"/>
          <w:szCs w:val="21"/>
        </w:rPr>
        <w:t>相股份的持续经营能力产生重大疑虑的事项或情况是否存在重大不确定性得出结论。如果我们得出结论认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为存在重大不确定性，审计准则要求我们在审计报告中提请报表使用者注意财务报表中的相关披露；如果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披露不充分，我们应当发表非无保留意见。我们的结论基于截至审计报告日可获得的信息。然而，未来的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事项或情况可能导致红相股份不能持续经营。</w:t>
      </w:r>
    </w:p>
    <w:p>
      <w:pPr>
        <w:spacing w:line="256" w:lineRule="auto" w:before="168"/>
        <w:ind w:left="154" w:right="817" w:firstLine="43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）评价财务报表的总体列报、结构和内容（包括披露），并评价财务报表是否公允反映相关交易 和事项。</w:t>
      </w:r>
    </w:p>
    <w:p>
      <w:pPr>
        <w:spacing w:line="256" w:lineRule="auto" w:before="178"/>
        <w:ind w:left="154" w:right="1017" w:firstLine="43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）就红相股份中实体或业务活动的财务信息获取充分、适当的审计证据，以对财务报表发表意见。</w:t>
      </w:r>
      <w:r>
        <w:rPr>
          <w:rFonts w:ascii="宋体" w:hAnsi="宋体" w:cs="宋体" w:eastAsia="宋体" w:hint="default"/>
          <w:sz w:val="21"/>
          <w:szCs w:val="21"/>
        </w:rPr>
        <w:t> 我们负责指导、监督和执行集团审计，并对审计意见承担全部责任。</w:t>
      </w:r>
    </w:p>
    <w:p>
      <w:pPr>
        <w:spacing w:line="273" w:lineRule="auto" w:before="178"/>
        <w:ind w:left="154" w:right="1121" w:firstLine="435"/>
        <w:jc w:val="left"/>
        <w:rPr>
          <w:rFonts w:ascii="宋体" w:hAnsi="宋体" w:cs="宋体" w:eastAsia="宋体" w:hint="default"/>
          <w:sz w:val="21"/>
          <w:szCs w:val="21"/>
        </w:rPr>
      </w:pPr>
      <w:r>
        <w:rPr>
          <w:rFonts w:ascii="宋体" w:hAnsi="宋体" w:cs="宋体" w:eastAsia="宋体" w:hint="default"/>
          <w:spacing w:val="-1"/>
          <w:sz w:val="21"/>
          <w:szCs w:val="21"/>
        </w:rPr>
        <w:t>我们与治理层就计划的审计范围、时间安排和重大审计发现等事项进行沟通，包括沟通我们在审计中</w:t>
      </w:r>
      <w:r>
        <w:rPr>
          <w:rFonts w:ascii="宋体" w:hAnsi="宋体" w:cs="宋体" w:eastAsia="宋体" w:hint="default"/>
          <w:sz w:val="21"/>
          <w:szCs w:val="21"/>
        </w:rPr>
        <w:t> 识别出的值得关注的内部控制缺陷。</w:t>
      </w:r>
    </w:p>
    <w:p>
      <w:pPr>
        <w:spacing w:line="273" w:lineRule="auto" w:before="164"/>
        <w:ind w:left="154" w:right="1121" w:firstLine="435"/>
        <w:jc w:val="left"/>
        <w:rPr>
          <w:rFonts w:ascii="宋体" w:hAnsi="宋体" w:cs="宋体" w:eastAsia="宋体" w:hint="default"/>
          <w:sz w:val="21"/>
          <w:szCs w:val="21"/>
        </w:rPr>
      </w:pPr>
      <w:r>
        <w:rPr>
          <w:rFonts w:ascii="宋体" w:hAnsi="宋体" w:cs="宋体" w:eastAsia="宋体" w:hint="default"/>
          <w:spacing w:val="-1"/>
          <w:sz w:val="21"/>
          <w:szCs w:val="21"/>
        </w:rPr>
        <w:t>我们还就已遵守与独立性相关的职业道德要求向治理层提供声明，并与治理层沟通可能被合理认为影</w:t>
      </w:r>
      <w:r>
        <w:rPr>
          <w:rFonts w:ascii="宋体" w:hAnsi="宋体" w:cs="宋体" w:eastAsia="宋体" w:hint="default"/>
          <w:sz w:val="21"/>
          <w:szCs w:val="21"/>
        </w:rPr>
        <w:t> 响我们独立性的所有关系和其他事项，以及相关的防范措施（如适用）。</w:t>
      </w:r>
    </w:p>
    <w:p>
      <w:pPr>
        <w:spacing w:before="163"/>
        <w:ind w:left="589" w:right="817" w:firstLine="0"/>
        <w:jc w:val="left"/>
        <w:rPr>
          <w:rFonts w:ascii="宋体" w:hAnsi="宋体" w:cs="宋体" w:eastAsia="宋体" w:hint="default"/>
          <w:sz w:val="21"/>
          <w:szCs w:val="21"/>
        </w:rPr>
      </w:pPr>
      <w:r>
        <w:rPr>
          <w:rFonts w:ascii="宋体" w:hAnsi="宋体" w:cs="宋体" w:eastAsia="宋体" w:hint="default"/>
          <w:sz w:val="21"/>
          <w:szCs w:val="21"/>
        </w:rPr>
        <w:t>从与治理层沟通过的事项中，我们确定哪些事项对本期财务报表审计最为重要，因而构成关键审计事</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4" w:right="1131" w:firstLine="0"/>
        <w:jc w:val="both"/>
        <w:rPr>
          <w:rFonts w:ascii="宋体" w:hAnsi="宋体" w:cs="宋体" w:eastAsia="宋体" w:hint="default"/>
          <w:sz w:val="21"/>
          <w:szCs w:val="21"/>
        </w:rPr>
      </w:pPr>
      <w:r>
        <w:rPr>
          <w:rFonts w:ascii="宋体" w:hAnsi="宋体" w:cs="宋体" w:eastAsia="宋体" w:hint="default"/>
          <w:spacing w:val="-1"/>
          <w:sz w:val="21"/>
          <w:szCs w:val="21"/>
        </w:rPr>
        <w:t>项。我们在审计报告中描述这些事项，除非法律法规禁止公开披露这些事项，或在极少数情形下，如果合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理预期在审计报告中沟通某事项造成的负面后果超过在公众利益方面产生的益处，我们确定不应在审计报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告中沟通该事项。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3088"/>
        <w:gridCol w:w="3718"/>
      </w:tblGrid>
      <w:tr>
        <w:trPr>
          <w:trHeight w:val="1519"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3718" w:type="dxa"/>
            <w:tcBorders>
              <w:top w:val="nil" w:sz="6" w:space="0" w:color="auto"/>
              <w:left w:val="nil" w:sz="6" w:space="0" w:color="auto"/>
              <w:bottom w:val="nil" w:sz="6" w:space="0" w:color="auto"/>
              <w:right w:val="nil" w:sz="6" w:space="0" w:color="auto"/>
            </w:tcBorders>
          </w:tcPr>
          <w:p>
            <w:pPr>
              <w:pStyle w:val="TableParagraph"/>
              <w:spacing w:line="210" w:lineRule="exact"/>
              <w:ind w:left="1799"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544" w:lineRule="auto" w:before="37"/>
              <w:ind w:left="1799" w:right="446"/>
              <w:jc w:val="left"/>
              <w:rPr>
                <w:rFonts w:ascii="宋体" w:hAnsi="宋体" w:cs="宋体" w:eastAsia="宋体" w:hint="default"/>
                <w:sz w:val="21"/>
                <w:szCs w:val="21"/>
              </w:rPr>
            </w:pPr>
            <w:r>
              <w:rPr>
                <w:rFonts w:ascii="宋体" w:hAnsi="宋体" w:cs="宋体" w:eastAsia="宋体" w:hint="default"/>
                <w:sz w:val="21"/>
                <w:szCs w:val="21"/>
              </w:rPr>
              <w:t>（项目合伙人） 中国注册会计师</w:t>
            </w:r>
          </w:p>
        </w:tc>
      </w:tr>
      <w:tr>
        <w:trPr>
          <w:trHeight w:val="595"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52"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08" w:right="0"/>
              <w:jc w:val="left"/>
              <w:rPr>
                <w:rFonts w:ascii="宋体" w:hAnsi="宋体" w:cs="宋体" w:eastAsia="宋体" w:hint="default"/>
                <w:sz w:val="21"/>
                <w:szCs w:val="21"/>
              </w:rPr>
            </w:pPr>
            <w:r>
              <w:rPr>
                <w:rFonts w:ascii="宋体" w:hAnsi="宋体" w:cs="宋体" w:eastAsia="宋体" w:hint="default"/>
                <w:sz w:val="21"/>
                <w:szCs w:val="21"/>
              </w:rPr>
              <w:t>二Ｏ一九年四月二十三日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right="817"/>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合并资产负债表" w:id="160"/>
      <w:bookmarkEnd w:id="1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编制单位：红相股份有限公司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495" w:space="15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311,118,247.11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539,543,984.07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1,160,271,312.96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929,996,453.28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62,247,203.20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264,300,699.00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1,098,024,109.76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665,695,754.28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60,799,767.62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14,985,001.99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6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36,740,659.71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20,604,232.57</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668,002.90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234,032,834.43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170,113,937.06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14,738,437.72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57,592.80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1,817,701,259.55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1,675,301,201.77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104,969,524.26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104,969,524.26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29,013,067.33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13,985,085.11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210,073,309.26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226,807,394.29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240,225,721.53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69,173,903.36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65,956,874.63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9,955,166.05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5,855,667.57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1,069,680,816.47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1,069,680,816.47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765,899.55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1,052,101.93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30,331,045.68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20,283,956.34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73,124,782.98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9,182,440.00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1,837,313,236.47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1,517,773,860.60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3,655,014,496.02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3,193,075,062.37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435,445,795.70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403,936,553.70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321,662,514.11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75,065,372.47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44,084,868.00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27,988,999.04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25,541,035.89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52,236,294.83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56,991,447.47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36,686,753.87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490,213,784.24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906,975.57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936,376.14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17,994,554.51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15,358,853.37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122,932,746.91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770,833.29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1,154,292,516.52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1,139,264,483.00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227,218,695.53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14,578,586.94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11,348,937.18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16,301,901.77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18,440,235.25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261,701,743.51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33,391,731.70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1,415,994,260.03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1,172,656,214.70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352,586,786.00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352,586,786.00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1,082,117,957.07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1,082,117,957.07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-748,332.17</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-792,633.91</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49,837,673.61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40,186,038.54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592,559,417.53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398,551,154.43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2,076,353,502.04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1,872,649,302.13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162,666,733.95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147,769,545.54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2,239,020,235.99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2,020,418,847.67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3,655,014,496.02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3,193,075,062.37</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法定代表人：杨成</w:t>
        <w:tab/>
        <w:t>主管会计工作负责人：廖雪林</w:t>
        <w:tab/>
        <w:t>会计机构负责人：黄雅琼</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母公司资产负债表" w:id="161"/>
      <w:bookmarkEnd w:id="1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111,862,817.10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293,808,799.13</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278,363,142.58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143,815,507.97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3,453,042.85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7,531,199.91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274,910,099.73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136,284,308.06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27,308,255.25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11,373,635.47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140,712,509.62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19,218,064.98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19,400,608.64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11,193,042.14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91,929,635.56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23,919,242.05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650,176,360.11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492,135,249.60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1,769,998,574.53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12,941,241.71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13,985,085.11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48,077,506.02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46,482,816.30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752,942.74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995,304.33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8,668,739.74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5,006,884.34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42,181,035.00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8,791,440.00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1,883,180,039.74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1,846,060,104.61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2,533,356,399.85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2,338,195,354.21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232,445,795.70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131,330,366.55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123,419,639.29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51,238,117.08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6,693,655.68</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8,384,728.34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7,813,461.40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14,352,584.28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10,232,413.69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28,128,364.91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463,830,789.73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608,225.57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596.45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479,166.62</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555,879,956.86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612,469,126.41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6,102.71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33,982.07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184,608,661.98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3,636,541.34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740,488,618.84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616,105,667.75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352,586,786.00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352,586,786.00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1,077,883,895.33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1,077,883,895.33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49,837,673.61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40,186,038.54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312,559,426.07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251,432,966.59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1,792,867,781.01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1,722,089,686.46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2,533,356,399.85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2,338,195,354.21</w:t>
            </w:r>
          </w:p>
        </w:tc>
      </w:tr>
    </w:tbl>
    <w:p>
      <w:pPr>
        <w:spacing w:line="240" w:lineRule="auto" w:before="10"/>
        <w:rPr>
          <w:rFonts w:ascii="Times New Roman" w:hAnsi="Times New Roman" w:cs="Times New Roman" w:eastAsia="Times New Roman" w:hint="default"/>
          <w:sz w:val="21"/>
          <w:szCs w:val="21"/>
        </w:rPr>
      </w:pPr>
    </w:p>
    <w:p>
      <w:pPr>
        <w:spacing w:before="35"/>
        <w:ind w:left="154" w:right="817" w:firstLine="0"/>
        <w:jc w:val="left"/>
        <w:rPr>
          <w:rFonts w:ascii="宋体" w:hAnsi="宋体" w:cs="宋体" w:eastAsia="宋体" w:hint="default"/>
          <w:sz w:val="21"/>
          <w:szCs w:val="21"/>
        </w:rPr>
      </w:pPr>
      <w:bookmarkStart w:name="3、合并利润表" w:id="162"/>
      <w:bookmarkEnd w:id="1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1,311,493,532.52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743,861,467.27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1,311,493,532.52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743,861,467.27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1,042,789,787.18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601,540,493.99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727,305,745.72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422,652,317.63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11,099,855.71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7,345,183.75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110,381,751.81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67,176,944.96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64,784,664.12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55,112,144.21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61,832,661.97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43,947,984.93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19,600,208.61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-949,536.54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22,884,318.23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4,335,686.90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2,779,362.84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5,788,965.03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47,784,899.24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6,255,455.05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32,786,757.10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15,204,115.60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-19,514.66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301,470,987.78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157,534,690.10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1,190,771.42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206,414.24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420,392.15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688,391.82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302,241,367.05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157,052,712.52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42,089,623.24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19,238,915.08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260,151,743.81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137,813,797.44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260,151,743.81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137,813,797.44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229,398,154.36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117,949,954.85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30,753,589.45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19,863,842.59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16,787.98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16,787.98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16,787.98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16,787.98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260,196,045.55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137,830,585.42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229,442,456.10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117,966,742.83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30,753,589.45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19,863,842.59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法定代表人：杨成</w:t>
        <w:tab/>
        <w:t>主管会计工作负责人：廖雪林</w:t>
        <w:tab/>
        <w:t>会计机构负责人：黄雅琼</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386,786,228.34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233,059,408.92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219,768,676.02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145,088,686.94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2,628,100.24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3,450,040.56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39,721,315.93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32,221,872.96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21,318,133.31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24,608,072.78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15,709,698.58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10,818,993.92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15,328,407.94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-5,113,549.79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17,245,920.14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154,858.93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2,312,735.89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5,210,292.21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8,000,465.73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-1,995,396.13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8,621,428.26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3,644,872.09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34,035,588.74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9,977,949.21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106,968,447.59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37,603,508.98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7,305.43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128,371.84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1,030.84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106,847,381.18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37,604,533.89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10,331,030.44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4,642,626.11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96,516,350.74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32,961,907.78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96,516,350.74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32,961,907.78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96,516,350.74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32,961,907.78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5、合并现金流量表" w:id="164"/>
      <w:bookmarkEnd w:id="1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1,087,295,875.39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802,471,806.26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6,633,360.13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9,277,909.10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67,194,130.23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62,641,368.48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1,161,123,365.75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874,391,083.84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644,058,739.57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319,297,051.87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137,711,578.31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86,084,649.91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137,666,093.63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58,684,390.45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204,429,504.14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113,296,174.92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1,123,865,915.65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577,362,267.15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37,257,450.10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297,028,816.69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7,094,092.86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7,094,092.86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346,259,374.75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27,213,002.96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462,604,229.84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15,721,913.36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808,863,604.59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42,934,916.32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-801,769,511.73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-42,934,916.32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823,445,795.70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32,315,278.19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823,445,795.70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32,315,278.19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238,327,724.18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65,875,000.08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64,138,921.56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22,885,941.92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7,970,699.90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4,179,782.49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114,490,055.08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310,466,645.74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203,250,997.08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512,979,149.96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-170,935,718.89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-46,144.53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-63,959.91</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-251,579,056.20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83,094,221.57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521,318,266.70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438,224,045.13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269,739,210.50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521,318,266.70</w:t>
            </w:r>
          </w:p>
        </w:tc>
      </w:tr>
    </w:tbl>
    <w:p>
      <w:pPr>
        <w:spacing w:line="240" w:lineRule="auto" w:before="10"/>
        <w:rPr>
          <w:rFonts w:ascii="Times New Roman" w:hAnsi="Times New Roman" w:cs="Times New Roman" w:eastAsia="Times New Roman" w:hint="default"/>
          <w:sz w:val="21"/>
          <w:szCs w:val="21"/>
        </w:rPr>
      </w:pPr>
    </w:p>
    <w:p>
      <w:pPr>
        <w:spacing w:before="35"/>
        <w:ind w:left="154" w:right="817" w:firstLine="0"/>
        <w:jc w:val="left"/>
        <w:rPr>
          <w:rFonts w:ascii="宋体" w:hAnsi="宋体" w:cs="宋体" w:eastAsia="宋体" w:hint="default"/>
          <w:sz w:val="21"/>
          <w:szCs w:val="21"/>
        </w:rPr>
      </w:pPr>
      <w:bookmarkStart w:name="6、母公司现金流量表" w:id="165"/>
      <w:bookmarkEnd w:id="1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358,604,281.97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352,597,877.84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57,216,436.39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26,804,618.65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415,820,718.36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379,402,496.49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331,477,376.75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140,764,693.38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34,893,885.85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28,533,225.77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28,073,056.11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33,588,165.29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70,074,644.88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61,091,118.22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464,518,963.59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263,977,202.66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-48,698,245.23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115,425,293.83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25,828,022.24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3,991,179.69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128,652,702.23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154,480,724.47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3,991,179.69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43,784,851.53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21,878,560.19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462,604,229.84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71,539,632.78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746,389,081.37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93,418,192.97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-591,908,356.90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-89,427,013.28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532,445,795.70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32,315,278.19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532,445,795.70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32,315,278.19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30,479,166.62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2,875,000.08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42,402,285.47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12,743,625.21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114,490,055.08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72,881,452.09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130,108,680.37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459,564,343.61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-97,793,402.18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-141.81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-181,042,400.33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-71,795,119.96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292,628,795.63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364,423,915.59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111,586,395.30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292,628,795.63</w:t>
            </w:r>
          </w:p>
        </w:tc>
      </w:tr>
    </w:tbl>
    <w:p>
      <w:pPr>
        <w:spacing w:line="240" w:lineRule="auto" w:before="10"/>
        <w:rPr>
          <w:rFonts w:ascii="Times New Roman" w:hAnsi="Times New Roman" w:cs="Times New Roman" w:eastAsia="Times New Roman" w:hint="default"/>
          <w:sz w:val="21"/>
          <w:szCs w:val="21"/>
        </w:rPr>
      </w:pPr>
    </w:p>
    <w:p>
      <w:pPr>
        <w:spacing w:before="35"/>
        <w:ind w:left="154" w:right="817" w:firstLine="0"/>
        <w:jc w:val="left"/>
        <w:rPr>
          <w:rFonts w:ascii="宋体" w:hAnsi="宋体" w:cs="宋体" w:eastAsia="宋体" w:hint="default"/>
          <w:sz w:val="21"/>
          <w:szCs w:val="21"/>
        </w:rPr>
      </w:pPr>
      <w:bookmarkStart w:name="7、合并所有者权益变动表" w:id="166"/>
      <w:bookmarkEnd w:id="16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17,957.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-792,63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038.54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398,551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,154.43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147,769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,545.54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17,957.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-792,63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038.54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398,551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,154.43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147,769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,545.54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194,008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,263.10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14,897,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188.41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218,601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,388.32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229,398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,154.36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30,753,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589.45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260,196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,045.55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-35,389,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891.26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-15,856,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401.04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-41,594,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657.23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35.07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-25,738,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256.19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-15,856,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401.04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-41,594,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657.23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17,957.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-748,33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2.17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673.61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592,559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,417.53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162,666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,733.95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20,235.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283,74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4,450,5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-809,42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847.76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296,665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,870.36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69,075,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690,016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,513.92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283,74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4,450,5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-809,42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847.76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296,665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,870.36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69,075,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690,016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,513.92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101,885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,284.07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78,693,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885.66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117,949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,954.85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19,863,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842.59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137,830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,585.42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2,034,9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45,092.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33,337.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2,034,9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6,268,9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69.12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-16,064,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670.78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-9,586,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657.09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-22,355,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137.09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90.78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-12,768,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480.00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-9,586,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657.09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-22,355,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137.09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66,381,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792.78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66,381,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792.78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17,957.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-792,63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038.54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398,551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,154.43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147,769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,545.54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10"/>
        <w:rPr>
          <w:rFonts w:ascii="Times New Roman" w:hAnsi="Times New Roman" w:cs="Times New Roman" w:eastAsia="Times New Roman" w:hint="default"/>
          <w:sz w:val="21"/>
          <w:szCs w:val="21"/>
        </w:rPr>
      </w:pPr>
    </w:p>
    <w:p>
      <w:pPr>
        <w:spacing w:before="35"/>
        <w:ind w:left="154" w:right="817" w:firstLine="0"/>
        <w:jc w:val="left"/>
        <w:rPr>
          <w:rFonts w:ascii="宋体" w:hAnsi="宋体" w:cs="宋体" w:eastAsia="宋体" w:hint="default"/>
          <w:sz w:val="21"/>
          <w:szCs w:val="21"/>
        </w:rPr>
      </w:pPr>
      <w:bookmarkStart w:name="8、母公司所有者权益变动表" w:id="167"/>
      <w:bookmarkEnd w:id="1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352,586,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1,077,883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,895.33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40,186,03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251,432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,966.59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1,722,089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,686.46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352,586,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786.00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1,077,883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,895.33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40,186,03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251,432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,966.59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1,722,089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,686.46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9,651,635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61,126,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70,778,09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center"/>
              <w:rPr>
                <w:rFonts w:ascii="Times New Roman" w:hAnsi="Times New Roman" w:cs="Times New Roman" w:eastAsia="Times New Roman" w:hint="default"/>
                <w:sz w:val="18"/>
                <w:szCs w:val="18"/>
              </w:rPr>
            </w:pPr>
            <w:r>
              <w:rPr>
                <w:rFonts w:ascii="Times New Roman"/>
                <w:sz w:val="18"/>
              </w:rPr>
              <w:t>459.48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350.74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96,516,35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9,651,635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-35,389,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891.26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-25,738,2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9,651,635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-9,651,6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-25,738,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256.19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-25,738,2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56.19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352,586,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1,077,883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49,837,67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312,559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1,792,867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786.00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,895.33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3.61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,426.07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,781.01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283,744,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4,450,557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36,889,84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234,535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,729.59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559,620,1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283,744,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4,450,557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36,889,84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234,535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,729.59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559,620,1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68,842,7</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1,073,433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,337.52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16,897,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1,162,469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,551.30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907.78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7.78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68,842,7</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1,073,433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,337.52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1,142,276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,123.52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68,842,7</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1,073,433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,337.52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1,142,276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,123.52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-16,064,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670.78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-12,768,4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90.78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-12,768,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-12,768,4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352,586,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1,077,883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40,186,03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251,432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,966.59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1,722,089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,686.46</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公司基本情况" w:id="168"/>
      <w:bookmarkEnd w:id="168"/>
      <w:r>
        <w:rPr>
          <w:b w:val="0"/>
          <w:bCs w:val="0"/>
        </w:rPr>
      </w:r>
      <w:r>
        <w:rPr/>
        <w:t>三、公司基本情况</w:t>
      </w:r>
      <w:r>
        <w:rPr>
          <w:b w:val="0"/>
          <w:bCs w:val="0"/>
        </w:rPr>
      </w:r>
    </w:p>
    <w:p>
      <w:pPr>
        <w:spacing w:line="240" w:lineRule="auto" w:before="1"/>
        <w:rPr>
          <w:rFonts w:ascii="宋体" w:hAnsi="宋体" w:cs="宋体" w:eastAsia="宋体" w:hint="default"/>
          <w:b/>
          <w:bCs/>
          <w:sz w:val="25"/>
          <w:szCs w:val="25"/>
        </w:rPr>
      </w:pPr>
    </w:p>
    <w:p>
      <w:pPr>
        <w:pStyle w:val="BodyText"/>
        <w:spacing w:line="312" w:lineRule="exact"/>
        <w:ind w:right="1013"/>
        <w:jc w:val="both"/>
      </w:pPr>
      <w:r>
        <w:rPr/>
        <w:t>红相股份有限公司（以下简称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红相股份</w:t>
      </w:r>
      <w:r>
        <w:rPr>
          <w:rFonts w:ascii="Times New Roman" w:hAnsi="Times New Roman" w:cs="Times New Roman" w:eastAsia="Times New Roman" w:hint="default"/>
        </w:rPr>
        <w:t>”</w:t>
      </w:r>
      <w:r>
        <w:rPr/>
        <w:t>）前身为于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月设立的厦门红相电 力设备进出口有限公司（以下简称</w:t>
      </w:r>
      <w:r>
        <w:rPr>
          <w:rFonts w:ascii="Times New Roman" w:hAnsi="Times New Roman" w:cs="Times New Roman" w:eastAsia="Times New Roman" w:hint="default"/>
        </w:rPr>
        <w:t>“</w:t>
      </w:r>
      <w:r>
        <w:rPr/>
        <w:t>厦门红相进出口公司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年根据厦门红相进出口公</w:t>
      </w:r>
      <w:r>
        <w:rPr>
          <w:spacing w:val="-81"/>
        </w:rPr>
        <w:t> </w:t>
      </w:r>
      <w:r>
        <w:rPr>
          <w:spacing w:val="-81"/>
        </w:rPr>
      </w:r>
      <w:r>
        <w:rPr>
          <w:spacing w:val="-2"/>
        </w:rPr>
        <w:t>司股东会决议，公司依法整体变更为股份有限公司，更名为厦门红相电力设备股份有限公司。</w:t>
      </w:r>
    </w:p>
    <w:p>
      <w:pPr>
        <w:spacing w:line="240" w:lineRule="auto" w:before="7"/>
        <w:rPr>
          <w:rFonts w:ascii="宋体" w:hAnsi="宋体" w:cs="宋体" w:eastAsia="宋体" w:hint="default"/>
          <w:sz w:val="16"/>
          <w:szCs w:val="16"/>
        </w:rPr>
      </w:pPr>
    </w:p>
    <w:p>
      <w:pPr>
        <w:pStyle w:val="BodyText"/>
        <w:spacing w:line="312" w:lineRule="exact"/>
        <w:ind w:right="1130"/>
        <w:jc w:val="both"/>
      </w:pPr>
      <w:r>
        <w:rPr>
          <w:rFonts w:ascii="Times New Roman" w:hAnsi="Times New Roman" w:cs="Times New Roman" w:eastAsia="Times New Roman" w:hint="default"/>
          <w:spacing w:val="-2"/>
        </w:rPr>
        <w:t>2015</w:t>
      </w:r>
      <w:r>
        <w:rPr>
          <w:spacing w:val="-2"/>
        </w:rPr>
        <w:t>年经中国证券监督管理委员会证监许可【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179</w:t>
      </w:r>
      <w:r>
        <w:rPr>
          <w:spacing w:val="-2"/>
        </w:rPr>
        <w:t>号文核准，经深圳证券交易所《关于</w:t>
      </w:r>
      <w:r>
        <w:rPr>
          <w:spacing w:val="-112"/>
        </w:rPr>
        <w:t> </w:t>
      </w:r>
      <w:r>
        <w:rPr>
          <w:spacing w:val="-112"/>
        </w:rPr>
      </w:r>
      <w:r>
        <w:rPr/>
        <w:t>厦门红相电力设备股份有限公司人民币普通股股票在创业板上市的通知》（深证上【</w:t>
      </w:r>
      <w:r>
        <w:rPr>
          <w:rFonts w:ascii="Times New Roman" w:hAnsi="Times New Roman" w:cs="Times New Roman" w:eastAsia="Times New Roman" w:hint="default"/>
        </w:rPr>
        <w:t>2015</w:t>
      </w:r>
      <w:r>
        <w:rPr/>
        <w:t>】</w:t>
      </w:r>
      <w:r>
        <w:rPr>
          <w:spacing w:val="-110"/>
        </w:rPr>
        <w:t> </w:t>
      </w:r>
      <w:r>
        <w:rPr>
          <w:rFonts w:ascii="Times New Roman" w:hAnsi="Times New Roman" w:cs="Times New Roman" w:eastAsia="Times New Roman" w:hint="default"/>
          <w:spacing w:val="-6"/>
        </w:rPr>
        <w:t>81</w:t>
      </w:r>
      <w:r>
        <w:rPr>
          <w:spacing w:val="-6"/>
        </w:rPr>
        <w:t>号）同意，本公司在深圳证券交易所创业板上市，首次公开发行后总股本为</w:t>
      </w:r>
      <w:r>
        <w:rPr>
          <w:rFonts w:ascii="Times New Roman" w:hAnsi="Times New Roman" w:cs="Times New Roman" w:eastAsia="Times New Roman" w:hint="default"/>
          <w:spacing w:val="-6"/>
        </w:rPr>
        <w:t>8,867</w:t>
      </w:r>
      <w:r>
        <w:rPr>
          <w:spacing w:val="-6"/>
        </w:rPr>
        <w:t>万股。</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41"/>
        </w:rPr>
        <w:t> </w:t>
      </w:r>
      <w:r>
        <w:rPr>
          <w:spacing w:val="4"/>
        </w:rPr>
        <w:t>年本公司根据</w:t>
      </w:r>
      <w:r>
        <w:rPr>
          <w:rFonts w:ascii="Times New Roman" w:hAnsi="Times New Roman" w:cs="Times New Roman" w:eastAsia="Times New Roman" w:hint="default"/>
          <w:spacing w:val="4"/>
        </w:rPr>
        <w:t>2015</w:t>
      </w:r>
      <w:r>
        <w:rPr>
          <w:spacing w:val="4"/>
        </w:rPr>
        <w:t>年年度股东大会决议，以截至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8,867</w:t>
      </w:r>
      <w:r>
        <w:rPr>
          <w:spacing w:val="4"/>
        </w:rPr>
        <w:t>万股为基</w:t>
      </w:r>
      <w:r>
        <w:rPr>
          <w:spacing w:val="-117"/>
        </w:rPr>
        <w:t> </w:t>
      </w:r>
      <w:r>
        <w:rPr>
          <w:spacing w:val="-117"/>
        </w:rPr>
      </w:r>
      <w:r>
        <w:rPr/>
        <w:t>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22</w:t>
      </w:r>
      <w:r>
        <w:rPr/>
        <w:t>股，共计转增股份</w:t>
      </w:r>
      <w:r>
        <w:rPr>
          <w:rFonts w:ascii="Times New Roman" w:hAnsi="Times New Roman" w:cs="Times New Roman" w:eastAsia="Times New Roman" w:hint="default"/>
        </w:rPr>
        <w:t>19,507.40</w:t>
      </w:r>
      <w:r>
        <w:rPr/>
        <w:t>万股，本公司总股本由</w:t>
      </w:r>
      <w:r>
        <w:rPr>
          <w:spacing w:val="-107"/>
        </w:rPr>
        <w:t> </w:t>
      </w:r>
      <w:r>
        <w:rPr>
          <w:spacing w:val="-107"/>
        </w:rPr>
      </w:r>
      <w:r>
        <w:rPr>
          <w:rFonts w:ascii="Times New Roman" w:hAnsi="Times New Roman" w:cs="Times New Roman" w:eastAsia="Times New Roman" w:hint="default"/>
        </w:rPr>
        <w:t>8,867</w:t>
      </w:r>
      <w:r>
        <w:rPr/>
        <w:t>万股变更为</w:t>
      </w:r>
      <w:r>
        <w:rPr>
          <w:rFonts w:ascii="Times New Roman" w:hAnsi="Times New Roman" w:cs="Times New Roman" w:eastAsia="Times New Roman" w:hint="default"/>
        </w:rPr>
        <w:t>28,374.40</w:t>
      </w:r>
      <w:r>
        <w:rPr/>
        <w:t>万股。</w:t>
      </w:r>
    </w:p>
    <w:p>
      <w:pPr>
        <w:pStyle w:val="BodyText"/>
        <w:spacing w:line="312" w:lineRule="exact" w:before="216"/>
        <w:ind w:right="99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日，经中国证券监督管理委员会《关于核准厦门红相电力设备股份有限公司向卧 </w:t>
      </w:r>
      <w:r>
        <w:rPr>
          <w:spacing w:val="-3"/>
        </w:rPr>
        <w:t>龙电气集团股份有限公司等发行股份购买资产并募集配套资金的批复》（证监许可</w:t>
      </w:r>
      <w:r>
        <w:rPr>
          <w:rFonts w:ascii="Times New Roman" w:hAnsi="Times New Roman" w:cs="Times New Roman" w:eastAsia="Times New Roman" w:hint="default"/>
          <w:spacing w:val="-3"/>
        </w:rPr>
        <w:t>[2017]1351</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7"/>
        </w:rPr>
        <w:t>号）核准，本公司获准向卧龙电气集团股份有限公司、席立功等</w:t>
      </w:r>
      <w:r>
        <w:rPr>
          <w:rFonts w:ascii="Times New Roman" w:hAnsi="Times New Roman" w:cs="Times New Roman" w:eastAsia="Times New Roman" w:hint="default"/>
          <w:spacing w:val="-7"/>
        </w:rPr>
        <w:t>27</w:t>
      </w:r>
      <w:r>
        <w:rPr>
          <w:spacing w:val="-7"/>
        </w:rPr>
        <w:t>位新股东发行共计</w:t>
      </w:r>
      <w:r>
        <w:rPr>
          <w:rFonts w:ascii="Times New Roman" w:hAnsi="Times New Roman" w:cs="Times New Roman" w:eastAsia="Times New Roman" w:hint="default"/>
          <w:spacing w:val="-7"/>
        </w:rPr>
        <w:t>68,842,786</w:t>
      </w:r>
      <w:r>
        <w:rPr>
          <w:rFonts w:ascii="Times New Roman" w:hAnsi="Times New Roman" w:cs="Times New Roman" w:eastAsia="Times New Roman" w:hint="default"/>
          <w:spacing w:val="-47"/>
        </w:rPr>
        <w:t> </w:t>
      </w:r>
      <w:r>
        <w:rPr>
          <w:spacing w:val="-4"/>
        </w:rPr>
        <w:t>股股份购买相关资产，</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13</w:t>
      </w:r>
      <w:r>
        <w:rPr>
          <w:spacing w:val="-4"/>
        </w:rPr>
        <w:t>日，本公司发行股份购买资产新增股份</w:t>
      </w:r>
      <w:r>
        <w:rPr>
          <w:rFonts w:ascii="Times New Roman" w:hAnsi="Times New Roman" w:cs="Times New Roman" w:eastAsia="Times New Roman" w:hint="default"/>
          <w:spacing w:val="-4"/>
        </w:rPr>
        <w:t>68,842,786</w:t>
      </w:r>
      <w:r>
        <w:rPr>
          <w:spacing w:val="-4"/>
        </w:rPr>
        <w:t>股上市，</w:t>
      </w:r>
      <w:r>
        <w:rPr>
          <w:spacing w:val="-118"/>
        </w:rPr>
        <w:t> </w:t>
      </w:r>
      <w:r>
        <w:rPr/>
        <w:t>本公司总股本由</w:t>
      </w:r>
      <w:r>
        <w:rPr>
          <w:rFonts w:ascii="Times New Roman" w:hAnsi="Times New Roman" w:cs="Times New Roman" w:eastAsia="Times New Roman" w:hint="default"/>
        </w:rPr>
        <w:t>28,374.40</w:t>
      </w:r>
      <w:r>
        <w:rPr/>
        <w:t>万股变更为</w:t>
      </w:r>
      <w:r>
        <w:rPr>
          <w:rFonts w:ascii="Times New Roman" w:hAnsi="Times New Roman" w:cs="Times New Roman" w:eastAsia="Times New Roman" w:hint="default"/>
        </w:rPr>
        <w:t>35,258.6786</w:t>
      </w:r>
      <w:r>
        <w:rPr/>
        <w:t>万股。</w:t>
      </w:r>
    </w:p>
    <w:p>
      <w:pPr>
        <w:pStyle w:val="BodyText"/>
        <w:spacing w:line="225" w:lineRule="auto" w:before="202"/>
        <w:ind w:right="113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9"/>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日，本公司召开</w:t>
      </w:r>
      <w:r>
        <w:rPr>
          <w:spacing w:val="-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9"/>
        </w:rPr>
        <w:t> </w:t>
      </w:r>
      <w:r>
        <w:rPr>
          <w:spacing w:val="2"/>
        </w:rPr>
        <w:t>年第二次临时股东大会，审议通过了《关于拟变更公司</w:t>
      </w:r>
      <w:r>
        <w:rPr>
          <w:spacing w:val="-118"/>
        </w:rPr>
        <w:t> </w:t>
      </w:r>
      <w:r>
        <w:rPr>
          <w:spacing w:val="-118"/>
        </w:rPr>
      </w:r>
      <w:r>
        <w:rPr>
          <w:spacing w:val="-2"/>
        </w:rPr>
        <w:t>名称、证券简称的议案》，将本公司原名称</w:t>
      </w:r>
      <w:r>
        <w:rPr>
          <w:rFonts w:ascii="Times New Roman" w:hAnsi="Times New Roman" w:cs="Times New Roman" w:eastAsia="Times New Roman" w:hint="default"/>
          <w:spacing w:val="-2"/>
        </w:rPr>
        <w:t>“</w:t>
      </w:r>
      <w:r>
        <w:rPr>
          <w:spacing w:val="-2"/>
        </w:rPr>
        <w:t>厦门红相电力设备股份有限公司</w:t>
      </w:r>
      <w:r>
        <w:rPr>
          <w:rFonts w:ascii="Times New Roman" w:hAnsi="Times New Roman" w:cs="Times New Roman" w:eastAsia="Times New Roman" w:hint="default"/>
          <w:spacing w:val="-2"/>
        </w:rPr>
        <w:t>”</w:t>
      </w:r>
      <w:r>
        <w:rPr>
          <w:spacing w:val="-2"/>
        </w:rPr>
        <w:t>变更为</w:t>
      </w:r>
      <w:r>
        <w:rPr>
          <w:rFonts w:ascii="Times New Roman" w:hAnsi="Times New Roman" w:cs="Times New Roman" w:eastAsia="Times New Roman" w:hint="default"/>
          <w:spacing w:val="-2"/>
        </w:rPr>
        <w:t>“</w:t>
      </w:r>
      <w:r>
        <w:rPr>
          <w:spacing w:val="-2"/>
        </w:rPr>
        <w:t>红相股</w:t>
      </w:r>
      <w:r>
        <w:rPr>
          <w:spacing w:val="-80"/>
        </w:rPr>
        <w:t> </w:t>
      </w:r>
      <w:r>
        <w:rPr/>
        <w:t>份有限公司</w:t>
      </w:r>
      <w:r>
        <w:rPr>
          <w:rFonts w:ascii="Times New Roman" w:hAnsi="Times New Roman" w:cs="Times New Roman" w:eastAsia="Times New Roman" w:hint="default"/>
        </w:rPr>
        <w:t>”</w:t>
      </w:r>
      <w:r>
        <w:rPr/>
        <w:t>；英文名称变更为</w:t>
      </w:r>
      <w:r>
        <w:rPr>
          <w:rFonts w:ascii="Times New Roman" w:hAnsi="Times New Roman" w:cs="Times New Roman" w:eastAsia="Times New Roman" w:hint="default"/>
        </w:rPr>
        <w:t>“Red phase</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t>；本公司证券简称变更为</w:t>
      </w:r>
      <w:r>
        <w:rPr>
          <w:rFonts w:ascii="Times New Roman" w:hAnsi="Times New Roman" w:cs="Times New Roman" w:eastAsia="Times New Roman" w:hint="default"/>
        </w:rPr>
        <w:t>“</w:t>
      </w:r>
      <w:r>
        <w:rPr/>
        <w:t>红相股份</w:t>
      </w:r>
      <w:r>
        <w:rPr>
          <w:rFonts w:ascii="Times New Roman" w:hAnsi="Times New Roman" w:cs="Times New Roman" w:eastAsia="Times New Roman" w:hint="default"/>
        </w:rPr>
        <w:t>”</w:t>
      </w:r>
      <w:r>
        <w:rPr/>
        <w:t>。</w:t>
      </w:r>
    </w:p>
    <w:p>
      <w:pPr>
        <w:pStyle w:val="BodyText"/>
        <w:spacing w:line="240" w:lineRule="auto" w:before="199"/>
        <w:ind w:right="0"/>
        <w:jc w:val="both"/>
        <w:rPr>
          <w:rFonts w:ascii="Times New Roman" w:hAnsi="Times New Roman" w:cs="Times New Roman" w:eastAsia="Times New Roman" w:hint="default"/>
        </w:rPr>
      </w:pPr>
      <w:r>
        <w:rPr>
          <w:spacing w:val="-3"/>
        </w:rPr>
        <w:t>本公司统一社会信用代码：：</w:t>
      </w:r>
      <w:r>
        <w:rPr>
          <w:rFonts w:ascii="Times New Roman" w:hAnsi="Times New Roman" w:cs="Times New Roman" w:eastAsia="Times New Roman" w:hint="default"/>
          <w:spacing w:val="-3"/>
        </w:rPr>
        <w:t>91350200776007963Y</w:t>
      </w:r>
      <w:r>
        <w:rPr>
          <w:spacing w:val="-3"/>
        </w:rPr>
        <w:t>；注册地址：厦门市思明区南投路</w:t>
      </w:r>
      <w:r>
        <w:rPr>
          <w:rFonts w:ascii="Times New Roman" w:hAnsi="Times New Roman" w:cs="Times New Roman" w:eastAsia="Times New Roman" w:hint="default"/>
          <w:spacing w:val="-3"/>
        </w:rPr>
        <w:t>3</w:t>
      </w:r>
      <w:r>
        <w:rPr>
          <w:spacing w:val="-3"/>
        </w:rPr>
        <w:t>号</w:t>
      </w:r>
      <w:r>
        <w:rPr>
          <w:rFonts w:ascii="Times New Roman" w:hAnsi="Times New Roman" w:cs="Times New Roman" w:eastAsia="Times New Roman" w:hint="default"/>
          <w:spacing w:val="-3"/>
        </w:rPr>
        <w:t>1002</w:t>
      </w:r>
    </w:p>
    <w:p>
      <w:pPr>
        <w:spacing w:after="0" w:line="24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9"/>
        <w:rPr>
          <w:rFonts w:ascii="Times New Roman" w:hAnsi="Times New Roman" w:cs="Times New Roman" w:eastAsia="Times New Roman" w:hint="default"/>
          <w:sz w:val="26"/>
          <w:szCs w:val="26"/>
        </w:rPr>
      </w:pPr>
    </w:p>
    <w:p>
      <w:pPr>
        <w:pStyle w:val="BodyText"/>
        <w:spacing w:line="403" w:lineRule="auto" w:before="26"/>
        <w:ind w:right="6912"/>
        <w:jc w:val="left"/>
      </w:pPr>
      <w:r>
        <w:rPr/>
        <w:t>单元之一；法定代表人：杨成。 本公司实际控制人为杨保田、杨成。</w:t>
      </w:r>
    </w:p>
    <w:p>
      <w:pPr>
        <w:pStyle w:val="BodyText"/>
        <w:spacing w:line="237" w:lineRule="auto" w:before="53"/>
        <w:ind w:right="1135"/>
        <w:jc w:val="both"/>
      </w:pPr>
      <w:r>
        <w:rPr/>
        <w:t>本公司建立了股东大会、董事会、监事会的法人治理结构，目前设有轨道事业部、发电事业 部、证券投资中心、财务中心、工厂、技术部、研发部、营销中心、行政人事中心、物流中 心、内部审计部等部门，并拥有七家子公司及六家孙公司。</w:t>
      </w:r>
    </w:p>
    <w:p>
      <w:pPr>
        <w:spacing w:line="240" w:lineRule="auto" w:before="9"/>
        <w:rPr>
          <w:rFonts w:ascii="宋体" w:hAnsi="宋体" w:cs="宋体" w:eastAsia="宋体" w:hint="default"/>
          <w:sz w:val="18"/>
          <w:szCs w:val="18"/>
        </w:rPr>
      </w:pPr>
    </w:p>
    <w:p>
      <w:pPr>
        <w:pStyle w:val="BodyText"/>
        <w:spacing w:line="312" w:lineRule="exact"/>
        <w:ind w:right="1135"/>
        <w:jc w:val="both"/>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）属电气机械和器材制造业，主要研发生产和销售电</w:t>
      </w:r>
      <w:r>
        <w:rPr>
          <w:spacing w:val="-84"/>
        </w:rPr>
        <w:t> </w:t>
      </w:r>
      <w:r>
        <w:rPr>
          <w:spacing w:val="-84"/>
        </w:rPr>
      </w:r>
      <w:r>
        <w:rPr/>
        <w:t>力设备、铁路与轨道交通牵引供电装备、军工电子等相关产品，包括电力设备状态检测、监 测产品，电测产品，智能配网产品，电力设备，牵引变压器，新能源工程总包，射频／微波 通信产品及相关的技术服务。</w:t>
      </w:r>
    </w:p>
    <w:p>
      <w:pPr>
        <w:spacing w:line="240" w:lineRule="auto" w:before="12"/>
        <w:rPr>
          <w:rFonts w:ascii="宋体" w:hAnsi="宋体" w:cs="宋体" w:eastAsia="宋体" w:hint="default"/>
          <w:sz w:val="22"/>
          <w:szCs w:val="22"/>
        </w:rPr>
      </w:pPr>
    </w:p>
    <w:p>
      <w:pPr>
        <w:pStyle w:val="BodyText"/>
        <w:spacing w:line="530" w:lineRule="atLeast"/>
        <w:ind w:right="1127"/>
        <w:jc w:val="both"/>
      </w:pPr>
      <w:r>
        <w:rPr/>
        <w:t>本财务报表及财务报表附注业经本公司第四届董事会第十五次会议于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日止，本公司拥有红相电力（上海）有限公司（以下简称</w:t>
      </w:r>
      <w:r>
        <w:rPr>
          <w:rFonts w:ascii="Times New Roman" w:hAnsi="Times New Roman" w:cs="Times New Roman" w:eastAsia="Times New Roman" w:hint="default"/>
        </w:rPr>
        <w:t>“</w:t>
      </w:r>
      <w:r>
        <w:rPr/>
        <w:t>上海红相</w:t>
      </w:r>
      <w:r>
        <w:rPr>
          <w:rFonts w:ascii="Times New Roman" w:hAnsi="Times New Roman" w:cs="Times New Roman" w:eastAsia="Times New Roman" w:hint="default"/>
        </w:rPr>
        <w:t>”</w:t>
      </w:r>
      <w:r>
        <w:rPr/>
        <w:t>）、</w:t>
      </w:r>
    </w:p>
    <w:p>
      <w:pPr>
        <w:pStyle w:val="BodyText"/>
        <w:spacing w:line="225" w:lineRule="auto"/>
        <w:ind w:right="1009"/>
        <w:jc w:val="left"/>
      </w:pPr>
      <w:r>
        <w:rPr>
          <w:rFonts w:ascii="Times New Roman" w:hAnsi="Times New Roman" w:cs="Times New Roman" w:eastAsia="Times New Roman" w:hint="default"/>
        </w:rPr>
        <w:t>RED PHASE INSTRUMENTS AUSTRALIA PTY</w:t>
      </w:r>
      <w:r>
        <w:rPr>
          <w:rFonts w:ascii="Times New Roman" w:hAnsi="Times New Roman" w:cs="Times New Roman" w:eastAsia="Times New Roman" w:hint="default"/>
          <w:spacing w:val="19"/>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澳洲红相</w:t>
      </w:r>
      <w:r>
        <w:rPr>
          <w:rFonts w:ascii="Times New Roman" w:hAnsi="Times New Roman" w:cs="Times New Roman" w:eastAsia="Times New Roman" w:hint="default"/>
        </w:rPr>
        <w:t>”</w:t>
      </w:r>
      <w:r>
        <w:rPr/>
        <w:t>）、厦门红相软 </w:t>
      </w:r>
      <w:r>
        <w:rPr>
          <w:spacing w:val="-1"/>
        </w:rPr>
        <w:t>件有限公司（以下简称</w:t>
      </w:r>
      <w:r>
        <w:rPr>
          <w:rFonts w:ascii="Times New Roman" w:hAnsi="Times New Roman" w:cs="Times New Roman" w:eastAsia="Times New Roman" w:hint="default"/>
          <w:spacing w:val="-1"/>
        </w:rPr>
        <w:t>“</w:t>
      </w:r>
      <w:r>
        <w:rPr>
          <w:spacing w:val="-1"/>
        </w:rPr>
        <w:t>红相软件</w:t>
      </w:r>
      <w:r>
        <w:rPr>
          <w:rFonts w:ascii="Times New Roman" w:hAnsi="Times New Roman" w:cs="Times New Roman" w:eastAsia="Times New Roman" w:hint="default"/>
          <w:spacing w:val="-1"/>
        </w:rPr>
        <w:t>”</w:t>
      </w:r>
      <w:r>
        <w:rPr>
          <w:spacing w:val="-1"/>
        </w:rPr>
        <w:t>）、厦门红相信息科技有限公司（以下简称</w:t>
      </w:r>
      <w:r>
        <w:rPr>
          <w:rFonts w:ascii="Times New Roman" w:hAnsi="Times New Roman" w:cs="Times New Roman" w:eastAsia="Times New Roman" w:hint="default"/>
          <w:spacing w:val="-1"/>
        </w:rPr>
        <w:t>“</w:t>
      </w:r>
      <w:r>
        <w:rPr>
          <w:spacing w:val="-1"/>
        </w:rPr>
        <w:t>红相信息</w:t>
      </w:r>
      <w:r>
        <w:rPr>
          <w:rFonts w:ascii="Times New Roman" w:hAnsi="Times New Roman" w:cs="Times New Roman" w:eastAsia="Times New Roman" w:hint="default"/>
          <w:spacing w:val="-1"/>
        </w:rPr>
        <w:t>”</w:t>
      </w:r>
      <w:r>
        <w:rPr>
          <w:spacing w:val="-1"/>
        </w:rPr>
        <w:t>）、</w:t>
      </w:r>
      <w:r>
        <w:rPr>
          <w:spacing w:val="-112"/>
        </w:rPr>
        <w:t> </w:t>
      </w:r>
      <w:r>
        <w:rPr/>
        <w:t>浙江涵普电力科技有限公司（以下简称</w:t>
      </w:r>
      <w:r>
        <w:rPr>
          <w:rFonts w:ascii="Times New Roman" w:hAnsi="Times New Roman" w:cs="Times New Roman" w:eastAsia="Times New Roman" w:hint="default"/>
        </w:rPr>
        <w:t>“</w:t>
      </w:r>
      <w:r>
        <w:rPr/>
        <w:t>浙江涵普</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涵普电力</w:t>
      </w:r>
      <w:r>
        <w:rPr>
          <w:rFonts w:ascii="Times New Roman" w:hAnsi="Times New Roman" w:cs="Times New Roman" w:eastAsia="Times New Roman" w:hint="default"/>
        </w:rPr>
        <w:t>”</w:t>
      </w:r>
      <w:r>
        <w:rPr/>
        <w:t>）、卧龙电气银川变压器有</w:t>
      </w:r>
      <w:r>
        <w:rPr>
          <w:spacing w:val="-46"/>
        </w:rPr>
        <w:t> </w:t>
      </w:r>
      <w:r>
        <w:rPr>
          <w:spacing w:val="-46"/>
        </w:rPr>
      </w:r>
      <w:r>
        <w:rPr>
          <w:spacing w:val="-3"/>
        </w:rPr>
        <w:t>限公司（以下简称</w:t>
      </w:r>
      <w:r>
        <w:rPr>
          <w:rFonts w:ascii="Times New Roman" w:hAnsi="Times New Roman" w:cs="Times New Roman" w:eastAsia="Times New Roman" w:hint="default"/>
          <w:spacing w:val="-3"/>
        </w:rPr>
        <w:t>"</w:t>
      </w:r>
      <w:r>
        <w:rPr>
          <w:spacing w:val="-3"/>
        </w:rPr>
        <w:t>银川卧龙</w:t>
      </w:r>
      <w:r>
        <w:rPr>
          <w:rFonts w:ascii="Times New Roman" w:hAnsi="Times New Roman" w:cs="Times New Roman" w:eastAsia="Times New Roman" w:hint="default"/>
          <w:spacing w:val="-3"/>
        </w:rPr>
        <w:t>"</w:t>
      </w:r>
      <w:r>
        <w:rPr>
          <w:spacing w:val="-3"/>
        </w:rPr>
        <w:t>）和合肥星波通信技术有限公司（以下简称</w:t>
      </w:r>
      <w:r>
        <w:rPr>
          <w:rFonts w:ascii="Times New Roman" w:hAnsi="Times New Roman" w:cs="Times New Roman" w:eastAsia="Times New Roman" w:hint="default"/>
          <w:spacing w:val="-3"/>
        </w:rPr>
        <w:t>"</w:t>
      </w:r>
      <w:r>
        <w:rPr>
          <w:spacing w:val="-3"/>
        </w:rPr>
        <w:t>星波通信</w:t>
      </w:r>
      <w:r>
        <w:rPr>
          <w:rFonts w:ascii="Times New Roman" w:hAnsi="Times New Roman" w:cs="Times New Roman" w:eastAsia="Times New Roman" w:hint="default"/>
          <w:spacing w:val="-3"/>
        </w:rPr>
        <w:t>"</w:t>
      </w:r>
      <w:r>
        <w:rPr>
          <w:spacing w:val="-3"/>
        </w:rPr>
        <w:t>）七家子</w:t>
      </w:r>
      <w:r>
        <w:rPr>
          <w:spacing w:val="-108"/>
        </w:rPr>
        <w:t> </w:t>
      </w:r>
      <w:r>
        <w:rPr>
          <w:spacing w:val="-108"/>
        </w:rPr>
      </w:r>
      <w:r>
        <w:rPr/>
        <w:t>公司；并且拥有浙江涵普三维电力科技有限公司（以下简称</w:t>
      </w:r>
      <w:r>
        <w:rPr>
          <w:rFonts w:ascii="Times New Roman" w:hAnsi="Times New Roman" w:cs="Times New Roman" w:eastAsia="Times New Roman" w:hint="default"/>
        </w:rPr>
        <w:t>“</w:t>
      </w:r>
      <w:r>
        <w:rPr/>
        <w:t>涵普三维</w:t>
      </w:r>
      <w:r>
        <w:rPr>
          <w:rFonts w:ascii="Times New Roman" w:hAnsi="Times New Roman" w:cs="Times New Roman" w:eastAsia="Times New Roman" w:hint="default"/>
        </w:rPr>
        <w:t>”</w:t>
      </w:r>
      <w:r>
        <w:rPr/>
        <w:t>）、浙江涵普新能源</w:t>
      </w:r>
      <w:r>
        <w:rPr>
          <w:spacing w:val="-81"/>
        </w:rPr>
        <w:t> </w:t>
      </w:r>
      <w:r>
        <w:rPr>
          <w:spacing w:val="-81"/>
        </w:rPr>
      </w:r>
      <w:r>
        <w:rPr>
          <w:spacing w:val="-1"/>
        </w:rPr>
        <w:t>科技有限公司（以下简称</w:t>
      </w:r>
      <w:r>
        <w:rPr>
          <w:rFonts w:ascii="Times New Roman" w:hAnsi="Times New Roman" w:cs="Times New Roman" w:eastAsia="Times New Roman" w:hint="default"/>
          <w:spacing w:val="-1"/>
        </w:rPr>
        <w:t>“</w:t>
      </w:r>
      <w:r>
        <w:rPr>
          <w:spacing w:val="-1"/>
        </w:rPr>
        <w:t>涵普新能源</w:t>
      </w:r>
      <w:r>
        <w:rPr>
          <w:rFonts w:ascii="Times New Roman" w:hAnsi="Times New Roman" w:cs="Times New Roman" w:eastAsia="Times New Roman" w:hint="default"/>
          <w:spacing w:val="-1"/>
        </w:rPr>
        <w:t>”</w:t>
      </w:r>
      <w:r>
        <w:rPr>
          <w:spacing w:val="-1"/>
        </w:rPr>
        <w:t>）、合肥星波电子有限公司（以下简称</w:t>
      </w:r>
      <w:r>
        <w:rPr>
          <w:rFonts w:ascii="Times New Roman" w:hAnsi="Times New Roman" w:cs="Times New Roman" w:eastAsia="Times New Roman" w:hint="default"/>
          <w:spacing w:val="-1"/>
        </w:rPr>
        <w:t>“</w:t>
      </w:r>
      <w:r>
        <w:rPr>
          <w:spacing w:val="-1"/>
        </w:rPr>
        <w:t>星波电子</w:t>
      </w:r>
      <w:r>
        <w:rPr>
          <w:rFonts w:ascii="Times New Roman" w:hAnsi="Times New Roman" w:cs="Times New Roman" w:eastAsia="Times New Roman" w:hint="default"/>
          <w:spacing w:val="-1"/>
        </w:rPr>
        <w:t>”</w:t>
      </w:r>
      <w:r>
        <w:rPr>
          <w:spacing w:val="-1"/>
        </w:rPr>
        <w:t>）、</w:t>
      </w:r>
      <w:r>
        <w:rPr>
          <w:spacing w:val="-113"/>
        </w:rPr>
        <w:t> </w:t>
      </w:r>
      <w:r>
        <w:rPr/>
        <w:t>中宁县银变新能源有限公司（以下简称</w:t>
      </w:r>
      <w:r>
        <w:rPr>
          <w:rFonts w:ascii="Times New Roman" w:hAnsi="Times New Roman" w:cs="Times New Roman" w:eastAsia="Times New Roman" w:hint="default"/>
        </w:rPr>
        <w:t>“</w:t>
      </w:r>
      <w:r>
        <w:rPr/>
        <w:t>中宁新能源</w:t>
      </w:r>
      <w:r>
        <w:rPr>
          <w:rFonts w:ascii="Times New Roman" w:hAnsi="Times New Roman" w:cs="Times New Roman" w:eastAsia="Times New Roman" w:hint="default"/>
        </w:rPr>
        <w:t>”</w:t>
      </w:r>
      <w:r>
        <w:rPr/>
        <w:t>）、宁夏银变新能源有限公司（以下简</w:t>
      </w:r>
      <w:r>
        <w:rPr>
          <w:spacing w:val="-82"/>
        </w:rPr>
        <w:t> </w:t>
      </w:r>
      <w:r>
        <w:rPr>
          <w:spacing w:val="-82"/>
        </w:rPr>
      </w:r>
      <w:r>
        <w:rPr/>
        <w:t>称</w:t>
      </w:r>
      <w:r>
        <w:rPr>
          <w:rFonts w:ascii="Times New Roman" w:hAnsi="Times New Roman" w:cs="Times New Roman" w:eastAsia="Times New Roman" w:hint="default"/>
        </w:rPr>
        <w:t>“</w:t>
      </w:r>
      <w:r>
        <w:rPr/>
        <w:t>宁夏新能源</w:t>
      </w:r>
      <w:r>
        <w:rPr>
          <w:rFonts w:ascii="Times New Roman" w:hAnsi="Times New Roman" w:cs="Times New Roman" w:eastAsia="Times New Roman" w:hint="default"/>
        </w:rPr>
        <w:t>”</w:t>
      </w:r>
      <w:r>
        <w:rPr/>
        <w:t>）、宁夏银相电力工程技术有限公司（以下简称</w:t>
      </w:r>
      <w:r>
        <w:rPr>
          <w:rFonts w:ascii="Times New Roman" w:hAnsi="Times New Roman" w:cs="Times New Roman" w:eastAsia="Times New Roman" w:hint="default"/>
        </w:rPr>
        <w:t>“</w:t>
      </w:r>
      <w:r>
        <w:rPr/>
        <w:t>宁夏银相</w:t>
      </w:r>
      <w:r>
        <w:rPr>
          <w:rFonts w:ascii="Times New Roman" w:hAnsi="Times New Roman" w:cs="Times New Roman" w:eastAsia="Times New Roman" w:hint="default"/>
        </w:rPr>
        <w:t>”</w:t>
      </w:r>
      <w:r>
        <w:rPr/>
        <w:t>）和吴忠市红寺</w:t>
      </w:r>
      <w:r>
        <w:rPr>
          <w:spacing w:val="-46"/>
        </w:rPr>
        <w:t> </w:t>
      </w:r>
      <w:r>
        <w:rPr>
          <w:spacing w:val="-46"/>
        </w:rPr>
      </w:r>
      <w:r>
        <w:rPr/>
        <w:t>堡区银变新能源有限公司（以下简称</w:t>
      </w:r>
      <w:r>
        <w:rPr>
          <w:rFonts w:ascii="Times New Roman" w:hAnsi="Times New Roman" w:cs="Times New Roman" w:eastAsia="Times New Roman" w:hint="default"/>
        </w:rPr>
        <w:t>“</w:t>
      </w:r>
      <w:r>
        <w:rPr/>
        <w:t>红寺堡新能源</w:t>
      </w:r>
      <w:r>
        <w:rPr>
          <w:rFonts w:ascii="Times New Roman" w:hAnsi="Times New Roman" w:cs="Times New Roman" w:eastAsia="Times New Roman" w:hint="default"/>
        </w:rPr>
        <w:t>”</w:t>
      </w:r>
      <w:r>
        <w:rPr/>
        <w:t>）七家孙公司。本公司及其子公司以下</w:t>
      </w:r>
      <w:r>
        <w:rPr>
          <w:spacing w:val="-82"/>
        </w:rPr>
        <w:t> </w:t>
      </w:r>
      <w:r>
        <w:rPr>
          <w:spacing w:val="-82"/>
        </w:rPr>
      </w:r>
      <w:r>
        <w:rPr/>
        <w:t>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w:t>
      </w:r>
    </w:p>
    <w:p>
      <w:pPr>
        <w:pStyle w:val="BodyText"/>
        <w:spacing w:line="312" w:lineRule="exact" w:before="133"/>
        <w:ind w:right="1130"/>
        <w:jc w:val="both"/>
      </w:pPr>
      <w:r>
        <w:rPr>
          <w:spacing w:val="-2"/>
        </w:rPr>
        <w:t>报告期内，子公司涵普电力公司于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月份成立全资子公司涵普新能能源公司，纳入本报</w:t>
      </w:r>
      <w:r>
        <w:rPr>
          <w:spacing w:val="-116"/>
        </w:rPr>
        <w:t> </w:t>
      </w:r>
      <w:r>
        <w:rPr>
          <w:spacing w:val="-116"/>
        </w:rPr>
      </w:r>
      <w:r>
        <w:rPr/>
        <w:t>告期合并范围；子公司银川卧龙于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月份分别设立全资子公司宁夏新能</w:t>
      </w:r>
      <w:r>
        <w:rPr>
          <w:spacing w:val="-112"/>
        </w:rPr>
        <w:t> </w:t>
      </w:r>
      <w:r>
        <w:rPr>
          <w:spacing w:val="-2"/>
        </w:rPr>
        <w:t>源和宁夏银相，纳入本报告期合并范围，详见</w:t>
      </w:r>
      <w:r>
        <w:rPr>
          <w:rFonts w:ascii="Times New Roman" w:hAnsi="Times New Roman" w:cs="Times New Roman" w:eastAsia="Times New Roman" w:hint="default"/>
          <w:spacing w:val="-2"/>
        </w:rPr>
        <w:t>“</w:t>
      </w:r>
      <w:r>
        <w:rPr>
          <w:spacing w:val="-2"/>
        </w:rPr>
        <w:t>本节八、合并范围的变更</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本节九、在其他</w:t>
      </w:r>
      <w:r>
        <w:rPr>
          <w:spacing w:val="-80"/>
        </w:rPr>
        <w:t> </w:t>
      </w:r>
      <w:r>
        <w:rPr>
          <w:spacing w:val="-80"/>
        </w:rPr>
      </w:r>
      <w:r>
        <w:rPr/>
        <w:t>主体中的权益</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编制基础"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w:t>
      </w:r>
      <w:r>
        <w:rPr>
          <w:spacing w:val="-107"/>
        </w:rPr>
        <w:t> </w:t>
      </w:r>
      <w:r>
        <w:rPr>
          <w:spacing w:val="-2"/>
        </w:rPr>
        <w:t>会计准则</w:t>
      </w:r>
      <w:r>
        <w:rPr>
          <w:rFonts w:ascii="Times New Roman" w:hAnsi="Times New Roman" w:cs="Times New Roman" w:eastAsia="Times New Roman" w:hint="default"/>
          <w:spacing w:val="-2"/>
        </w:rPr>
        <w:t>”</w:t>
      </w:r>
      <w:r>
        <w:rPr>
          <w:spacing w:val="-2"/>
        </w:rPr>
        <w:t>）编制。此外，本集团还按照中国证监会《公开发行证券的公司信息披露编报规则</w:t>
      </w:r>
      <w:r>
        <w:rPr>
          <w:spacing w:val="-108"/>
        </w:rPr>
        <w:t> </w:t>
      </w:r>
      <w:r>
        <w:rPr>
          <w:spacing w:val="-108"/>
        </w:rPr>
      </w:r>
      <w:r>
        <w:rPr/>
        <w:t>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年修订）披露有关财务信息。</w:t>
      </w:r>
    </w:p>
    <w:p>
      <w:pPr>
        <w:pStyle w:val="BodyText"/>
        <w:spacing w:line="240" w:lineRule="auto" w:before="185"/>
        <w:ind w:right="0"/>
        <w:jc w:val="both"/>
      </w:pPr>
      <w:r>
        <w:rPr/>
        <w:t>本财务报表以持续经营为基础列报。</w:t>
      </w:r>
    </w:p>
    <w:p>
      <w:pPr>
        <w:spacing w:line="240" w:lineRule="auto" w:before="10"/>
        <w:rPr>
          <w:rFonts w:ascii="宋体" w:hAnsi="宋体" w:cs="宋体" w:eastAsia="宋体" w:hint="default"/>
          <w:sz w:val="18"/>
          <w:szCs w:val="18"/>
        </w:rPr>
      </w:pPr>
    </w:p>
    <w:p>
      <w:pPr>
        <w:pStyle w:val="BodyText"/>
        <w:spacing w:line="312" w:lineRule="exact"/>
        <w:ind w:right="1138"/>
        <w:jc w:val="both"/>
      </w:pPr>
      <w:r>
        <w:rPr/>
        <w:t>本集团会计核算以权责发生制为基础。除某些金融工具外，本财务报表均以历史成本为计量</w:t>
      </w:r>
      <w:r>
        <w:rPr>
          <w:spacing w:val="-116"/>
        </w:rPr>
        <w:t> </w:t>
      </w:r>
      <w:r>
        <w:rPr>
          <w:spacing w:val="-116"/>
        </w:rPr>
      </w:r>
      <w:r>
        <w:rPr/>
        <w:t>基础。资产如果发生减值，则按照相关规定计提相应的减值准备。</w:t>
      </w:r>
    </w:p>
    <w:p>
      <w:pPr>
        <w:spacing w:after="0" w:line="312"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持续经营"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52"/>
        <w:jc w:val="left"/>
      </w:pPr>
      <w:r>
        <w:rPr/>
        <w:t>公司对自报告期末起</w:t>
      </w:r>
      <w:r>
        <w:rPr>
          <w:rFonts w:ascii="Times New Roman" w:hAnsi="Times New Roman" w:cs="Times New Roman" w:eastAsia="Times New Roman" w:hint="default"/>
        </w:rPr>
        <w:t>12</w:t>
      </w:r>
      <w:r>
        <w:rPr/>
        <w:t>个月的持续经营能力进行了评估，未发现影响本公司持续经营能力的 事项，本公司以持续经营为基础编制报表是合理的。</w:t>
      </w:r>
    </w:p>
    <w:p>
      <w:pPr>
        <w:spacing w:line="240" w:lineRule="auto" w:before="10"/>
        <w:rPr>
          <w:rFonts w:ascii="宋体" w:hAnsi="宋体" w:cs="宋体" w:eastAsia="宋体" w:hint="default"/>
          <w:sz w:val="20"/>
          <w:szCs w:val="20"/>
        </w:rPr>
      </w:pPr>
    </w:p>
    <w:p>
      <w:pPr>
        <w:pStyle w:val="Heading2"/>
        <w:spacing w:line="240" w:lineRule="auto"/>
        <w:ind w:right="817"/>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54" w:right="817"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6"/>
        <w:ind w:right="817"/>
        <w:jc w:val="left"/>
      </w:pPr>
      <w:r>
        <w:rPr/>
        <w:t>本集团根据自身生产经营特点，确定研发费用资本化条件、收入确认等会计政策，具体参见 本节之</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“19</w:t>
      </w:r>
      <w:r>
        <w:rPr/>
        <w:t>、研究开发支出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“26</w:t>
      </w:r>
      <w:r>
        <w:rPr/>
        <w:t>、收入</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54" w:right="817" w:firstLine="0"/>
        <w:jc w:val="left"/>
        <w:rPr>
          <w:rFonts w:ascii="宋体" w:hAnsi="宋体" w:cs="宋体" w:eastAsia="宋体" w:hint="default"/>
          <w:sz w:val="21"/>
          <w:szCs w:val="21"/>
        </w:rPr>
      </w:pPr>
      <w:bookmarkStart w:name="1、遵循企业会计准则的声明" w:id="173"/>
      <w:bookmarkEnd w:id="17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817"/>
        <w:jc w:val="left"/>
      </w:pPr>
      <w:r>
        <w:rPr/>
        <w:t>本财务报表符合企业会计准则的要求，真实、完整地反映了本公司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w:t>
      </w:r>
      <w:r>
        <w:rPr>
          <w:spacing w:val="-110"/>
        </w:rPr>
        <w:t> </w:t>
      </w:r>
      <w:r>
        <w:rPr>
          <w:spacing w:val="-110"/>
        </w:rPr>
      </w:r>
      <w:r>
        <w:rPr/>
        <w:t>公司财务状况以及</w:t>
      </w:r>
      <w:r>
        <w:rPr>
          <w:rFonts w:ascii="Times New Roman" w:hAnsi="Times New Roman" w:cs="Times New Roman" w:eastAsia="Times New Roman" w:hint="default"/>
        </w:rPr>
        <w:t>2018</w:t>
      </w:r>
      <w:r>
        <w:rPr/>
        <w:t>年度的合并及公司经营成果和合并及公司现金流量等有关信息。</w:t>
      </w:r>
    </w:p>
    <w:p>
      <w:pPr>
        <w:spacing w:line="240" w:lineRule="auto" w:before="7"/>
        <w:rPr>
          <w:rFonts w:ascii="宋体" w:hAnsi="宋体" w:cs="宋体" w:eastAsia="宋体" w:hint="default"/>
          <w:sz w:val="22"/>
          <w:szCs w:val="22"/>
        </w:rPr>
      </w:pPr>
    </w:p>
    <w:p>
      <w:pPr>
        <w:spacing w:line="472" w:lineRule="auto" w:before="0"/>
        <w:ind w:left="154" w:right="3792" w:firstLine="0"/>
        <w:jc w:val="left"/>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4"/>
          <w:szCs w:val="24"/>
        </w:rPr>
        <w:t>本集团会计期间采用公历年度，即每年自</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日起至</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 </w:t>
      </w:r>
      <w:bookmarkStart w:name="3、营业周期" w:id="175"/>
      <w:bookmarkEnd w:id="175"/>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71"/>
        <w:ind w:right="817"/>
        <w:jc w:val="left"/>
      </w:pPr>
      <w:r>
        <w:rPr/>
        <w:t>本集团的营业周期为</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23"/>
          <w:szCs w:val="23"/>
        </w:rPr>
      </w:pPr>
    </w:p>
    <w:p>
      <w:pPr>
        <w:spacing w:before="0"/>
        <w:ind w:left="154" w:right="817" w:firstLine="0"/>
        <w:jc w:val="left"/>
        <w:rPr>
          <w:rFonts w:ascii="宋体" w:hAnsi="宋体" w:cs="宋体" w:eastAsia="宋体" w:hint="default"/>
          <w:sz w:val="21"/>
          <w:szCs w:val="21"/>
        </w:rPr>
      </w:pPr>
      <w:bookmarkStart w:name="4、记账本位币" w:id="176"/>
      <w:bookmarkEnd w:id="1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23"/>
        <w:jc w:val="left"/>
      </w:pPr>
      <w:r>
        <w:rPr/>
        <w:t>本公司及境内子公司以人民币为记账本位币。本公司之境外子公司</w:t>
      </w:r>
      <w:r>
        <w:rPr>
          <w:rFonts w:ascii="Times New Roman" w:hAnsi="Times New Roman" w:cs="Times New Roman" w:eastAsia="Times New Roman" w:hint="default"/>
        </w:rPr>
        <w:t>RED</w:t>
      </w:r>
      <w:r>
        <w:rPr>
          <w:rFonts w:ascii="Times New Roman" w:hAnsi="Times New Roman" w:cs="Times New Roman" w:eastAsia="Times New Roman" w:hint="default"/>
          <w:spacing w:val="-2"/>
        </w:rPr>
        <w:t> </w:t>
      </w:r>
      <w:r>
        <w:rPr>
          <w:rFonts w:ascii="Times New Roman" w:hAnsi="Times New Roman" w:cs="Times New Roman" w:eastAsia="Times New Roman" w:hint="default"/>
        </w:rPr>
        <w:t>PHASE</w:t>
      </w:r>
      <w:r>
        <w:rPr>
          <w:rFonts w:ascii="Times New Roman" w:hAnsi="Times New Roman" w:cs="Times New Roman" w:eastAsia="Times New Roman" w:hint="default"/>
          <w:w w:val="99"/>
        </w:rPr>
        <w:t> </w:t>
      </w:r>
      <w:r>
        <w:rPr>
          <w:rFonts w:ascii="Times New Roman" w:hAnsi="Times New Roman" w:cs="Times New Roman" w:eastAsia="Times New Roman" w:hint="default"/>
        </w:rPr>
        <w:t>INSTRUMENTS AUSTRALIA PTY</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（以下简称</w:t>
      </w:r>
      <w:r>
        <w:rPr>
          <w:rFonts w:ascii="Times New Roman" w:hAnsi="Times New Roman" w:cs="Times New Roman" w:eastAsia="Times New Roman" w:hint="default"/>
        </w:rPr>
        <w:t>“</w:t>
      </w:r>
      <w:r>
        <w:rPr/>
        <w:t>澳洲红相</w:t>
      </w:r>
      <w:r>
        <w:rPr>
          <w:rFonts w:ascii="Times New Roman" w:hAnsi="Times New Roman" w:cs="Times New Roman" w:eastAsia="Times New Roman" w:hint="default"/>
        </w:rPr>
        <w:t>”</w:t>
      </w:r>
      <w:r>
        <w:rPr/>
        <w:t>）根据其经营所处的主要经济 环境中的货币确定澳元为其记账本位币。本集团编制本财务报表时所采用的货币为人民币。</w:t>
      </w:r>
    </w:p>
    <w:p>
      <w:pPr>
        <w:spacing w:line="240" w:lineRule="auto" w:before="7"/>
        <w:rPr>
          <w:rFonts w:ascii="宋体" w:hAnsi="宋体" w:cs="宋体" w:eastAsia="宋体" w:hint="default"/>
          <w:sz w:val="22"/>
          <w:szCs w:val="22"/>
        </w:rPr>
      </w:pPr>
    </w:p>
    <w:p>
      <w:pPr>
        <w:spacing w:before="0"/>
        <w:ind w:left="154" w:right="817" w:firstLine="0"/>
        <w:jc w:val="left"/>
        <w:rPr>
          <w:rFonts w:ascii="宋体" w:hAnsi="宋体" w:cs="宋体" w:eastAsia="宋体" w:hint="default"/>
          <w:sz w:val="21"/>
          <w:szCs w:val="21"/>
        </w:rPr>
      </w:pPr>
      <w:bookmarkStart w:name="5、同一控制下和非同一控制下企业合并的会计处理方法" w:id="177"/>
      <w:bookmarkEnd w:id="17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817"/>
        <w:jc w:val="left"/>
      </w:pPr>
      <w:r>
        <w:rPr/>
        <w:t>（</w:t>
      </w:r>
      <w:r>
        <w:rPr>
          <w:rFonts w:ascii="Times New Roman" w:hAnsi="Times New Roman" w:cs="Times New Roman" w:eastAsia="Times New Roman" w:hint="default"/>
        </w:rPr>
        <w:t>1</w:t>
      </w:r>
      <w:r>
        <w:rPr/>
        <w:t>）同一控制下的企业合并</w:t>
      </w:r>
    </w:p>
    <w:p>
      <w:pPr>
        <w:pStyle w:val="BodyText"/>
        <w:spacing w:line="237" w:lineRule="auto" w:before="198"/>
        <w:ind w:right="1139"/>
        <w:jc w:val="both"/>
      </w:pPr>
      <w:r>
        <w:rPr/>
        <w:t>对于同一控制下的企业合并，合并方在合并中取得的被合并方的资产、负债，除因会计政策 不同而进行的调整以外，按合并日被合并方在最终控制方合并财务报表中的账面价值计量。 合并对价的账面价值与合并中取得的净资产账面价值的差额调整资本公积（股本溢价），资 本公积（股本溢价）不足冲减的，调整留存收益。</w:t>
      </w:r>
    </w:p>
    <w:p>
      <w:pPr>
        <w:pStyle w:val="BodyText"/>
        <w:spacing w:line="403" w:lineRule="auto" w:before="214"/>
        <w:ind w:right="817"/>
        <w:jc w:val="left"/>
      </w:pPr>
      <w:r>
        <w:rPr/>
        <w:t>通过多次交易分步实现同一控制下的企业合并 在个别财务报表中，以合并日持股比例计算的合并日应享有被合并方净资产在最终控制方合</w:t>
      </w:r>
    </w:p>
    <w:p>
      <w:pPr>
        <w:spacing w:after="0" w:line="403"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817"/>
        <w:jc w:val="left"/>
      </w:pPr>
      <w:r>
        <w:rPr/>
        <w:t>并财务报表中的账面价值的份额作为该项投资的初始投资成本；初始投资成本与合并前持有 </w:t>
      </w:r>
      <w:r>
        <w:rPr>
          <w:spacing w:val="-3"/>
        </w:rPr>
        <w:t>投资的账面价值加上合并日新支付对价的账面价值之和的差额，调整资本公积（资本溢价），</w:t>
      </w:r>
      <w:r>
        <w:rPr>
          <w:spacing w:val="-81"/>
        </w:rPr>
        <w:t> </w:t>
      </w:r>
      <w:r>
        <w:rPr>
          <w:spacing w:val="-81"/>
        </w:rPr>
      </w:r>
      <w:r>
        <w:rPr/>
        <w:t>资本公积不足冲减的，调整留存收益。</w:t>
      </w:r>
    </w:p>
    <w:p>
      <w:pPr>
        <w:pStyle w:val="BodyText"/>
        <w:spacing w:line="237" w:lineRule="auto" w:before="92"/>
        <w:ind w:right="1132"/>
        <w:jc w:val="both"/>
      </w:pPr>
      <w:r>
        <w:rPr/>
        <w:t>在合并财务报表中，合并方在合并中取得的被合并方的资产、负债，除因会计政策不同而进 行的调整以外，按合并日在最终控制方合并财务报表中的账面价值计量；合并前持有投资的 账面价值加上合并日新支付对价的账面价值之和，与合并中取得的净资产账面价值的差额，</w:t>
      </w:r>
      <w:r>
        <w:rPr>
          <w:spacing w:val="-112"/>
        </w:rPr>
        <w:t> </w:t>
      </w:r>
      <w:r>
        <w:rPr>
          <w:spacing w:val="-112"/>
        </w:rPr>
      </w:r>
      <w:r>
        <w:rPr/>
        <w:t>调整资本公积（资本溢价），资本公积不足冲减的，调整留存收益。合并方在取得被合并方 控制权之前持有的长期股权投资，在取得原股权之日与合并方与被合并方同处于同一方最终 控制之日孰晚日起至合并日之间已确认有关损益、其他综合收益和其他所有者权益变动，应 分别冲减比较报表期间的期初留存收益或当期损益。</w:t>
      </w:r>
    </w:p>
    <w:p>
      <w:pPr>
        <w:spacing w:line="240" w:lineRule="auto" w:before="5"/>
        <w:rPr>
          <w:rFonts w:ascii="宋体" w:hAnsi="宋体" w:cs="宋体" w:eastAsia="宋体" w:hint="default"/>
          <w:sz w:val="27"/>
          <w:szCs w:val="27"/>
        </w:rPr>
      </w:pPr>
    </w:p>
    <w:p>
      <w:pPr>
        <w:pStyle w:val="BodyText"/>
        <w:spacing w:line="240" w:lineRule="auto"/>
        <w:ind w:right="0"/>
        <w:jc w:val="both"/>
      </w:pPr>
      <w:r>
        <w:rPr/>
        <w:t>（</w:t>
      </w:r>
      <w:r>
        <w:rPr>
          <w:rFonts w:ascii="Times New Roman" w:hAnsi="Times New Roman" w:cs="Times New Roman" w:eastAsia="Times New Roman" w:hint="default"/>
        </w:rPr>
        <w:t>2</w:t>
      </w:r>
      <w:r>
        <w:rPr/>
        <w:t>）非同一控制下的企业合并</w:t>
      </w:r>
    </w:p>
    <w:p>
      <w:pPr>
        <w:pStyle w:val="BodyText"/>
        <w:spacing w:line="312" w:lineRule="exact" w:before="130"/>
        <w:ind w:right="994"/>
        <w:jc w:val="left"/>
      </w:pPr>
      <w:r>
        <w:rPr>
          <w:spacing w:val="-2"/>
        </w:rPr>
        <w:t>对于非同一控制下的企业合并，合并成本为购买日为取得对被购买方的控制权而付出的资产、</w:t>
      </w:r>
      <w:r>
        <w:rPr/>
        <w:t> 发生或承担的负债以及发行的权益性证券的公允价值。在购买日，取得的被购买方的资产、 负债及或有负债按公允价值确认。</w:t>
      </w:r>
    </w:p>
    <w:p>
      <w:pPr>
        <w:pStyle w:val="BodyText"/>
        <w:spacing w:line="312" w:lineRule="exact" w:before="216"/>
        <w:ind w:right="1132"/>
        <w:jc w:val="both"/>
      </w:pPr>
      <w:r>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BodyText"/>
        <w:spacing w:line="312" w:lineRule="exact" w:before="216"/>
        <w:ind w:right="1132"/>
        <w:jc w:val="both"/>
      </w:pPr>
      <w:r>
        <w:rPr/>
        <w:t>所涉及的或有对价按其在购买日的公允价值计入合并成本，购买日后</w:t>
      </w:r>
      <w:r>
        <w:rPr>
          <w:rFonts w:ascii="Times New Roman" w:hAnsi="Times New Roman" w:cs="Times New Roman" w:eastAsia="Times New Roman" w:hint="default"/>
        </w:rPr>
        <w:t>12</w:t>
      </w:r>
      <w:r>
        <w:rPr/>
        <w:t>个月内出现对购买日</w:t>
      </w:r>
      <w:r>
        <w:rPr>
          <w:spacing w:val="-113"/>
        </w:rPr>
        <w:t> </w:t>
      </w:r>
      <w:r>
        <w:rPr/>
        <w:t>已存在情况的新的或进一步证据而需要调整或有对价的，相应调整合并商誉。</w:t>
      </w:r>
    </w:p>
    <w:p>
      <w:pPr>
        <w:pStyle w:val="BodyText"/>
        <w:spacing w:line="240" w:lineRule="auto" w:before="185"/>
        <w:ind w:right="0"/>
        <w:jc w:val="both"/>
      </w:pPr>
      <w:r>
        <w:rPr/>
        <w:t>通过多次交易分步实现非同一控制下的企业合并</w:t>
      </w:r>
    </w:p>
    <w:p>
      <w:pPr>
        <w:spacing w:line="240" w:lineRule="auto" w:before="9"/>
        <w:rPr>
          <w:rFonts w:ascii="宋体" w:hAnsi="宋体" w:cs="宋体" w:eastAsia="宋体" w:hint="default"/>
          <w:sz w:val="18"/>
          <w:szCs w:val="18"/>
        </w:rPr>
      </w:pPr>
    </w:p>
    <w:p>
      <w:pPr>
        <w:pStyle w:val="BodyText"/>
        <w:spacing w:line="312" w:lineRule="exact"/>
        <w:ind w:right="1129"/>
        <w:jc w:val="both"/>
      </w:pPr>
      <w:r>
        <w:rPr/>
        <w:t>在个别财务报表中，以购买日之前所持被购买方的股权投资的账面价值与购买日新增投资成 本之和，作为该项投资的初始投资成本。购买日之前持有的股权投资因采用权益法核算而确</w:t>
      </w:r>
      <w:r>
        <w:rPr>
          <w:spacing w:val="-117"/>
        </w:rPr>
        <w:t> </w:t>
      </w:r>
      <w:r>
        <w:rPr>
          <w:spacing w:val="-117"/>
        </w:rPr>
      </w:r>
      <w:r>
        <w:rPr/>
        <w:t>认的其他综合收益，购买日对这部分其他综合收益不作处理，在处置该项投资时采用与被投 资单位直接处置相关资产或负债相同的基础进行会计处理；因被投资方除净损益、其他综合 收益和利润分配以外的其他所有者权益变动而确认的所有者权益，在处置该项投资时转入处 置期间的当期损益。购买日之前持有的股权投资采用公允价值计量的，原计入其他综合收益 的累计公允价值变动在改按成本法核算时转入当期损益。</w:t>
      </w:r>
    </w:p>
    <w:p>
      <w:pPr>
        <w:pStyle w:val="BodyText"/>
        <w:spacing w:line="312" w:lineRule="exact" w:before="216"/>
        <w:ind w:right="1129"/>
        <w:jc w:val="both"/>
      </w:pPr>
      <w:r>
        <w:rPr/>
        <w:t>在合并财务报表中，合并成本为购买日支付的对价与购买日之前已经持有的被购买方的股权</w:t>
      </w:r>
      <w:r>
        <w:rPr>
          <w:spacing w:val="-110"/>
        </w:rPr>
        <w:t> </w:t>
      </w:r>
      <w:r>
        <w:rPr>
          <w:spacing w:val="-110"/>
        </w:rPr>
      </w:r>
      <w:r>
        <w:rPr/>
        <w:t>在购买日的公允价值之和。对于购买日之前已经持有的被购买方的股权，按照该股权在购买</w:t>
      </w:r>
      <w:r>
        <w:rPr/>
        <w:t>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BodyText"/>
        <w:spacing w:line="240" w:lineRule="auto" w:before="185"/>
        <w:ind w:left="155"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4"/>
        <w:rPr>
          <w:rFonts w:ascii="宋体" w:hAnsi="宋体" w:cs="宋体" w:eastAsia="宋体" w:hint="default"/>
          <w:sz w:val="17"/>
          <w:szCs w:val="17"/>
        </w:rPr>
      </w:pPr>
    </w:p>
    <w:p>
      <w:pPr>
        <w:pStyle w:val="BodyText"/>
        <w:spacing w:line="312" w:lineRule="exact"/>
        <w:ind w:right="1129"/>
        <w:jc w:val="both"/>
      </w:pPr>
      <w:r>
        <w:rPr/>
        <w:t>为进行企业合并发生的审计、法律服务、评估咨询等中介费用以及其他相关管理费用，于发 生时计入当期损益。作为合并对价发行的权益性证券或债务性证券的交易费用，计入权益性</w:t>
      </w:r>
      <w:r>
        <w:rPr>
          <w:spacing w:val="-109"/>
        </w:rPr>
        <w:t> </w:t>
      </w:r>
      <w:r>
        <w:rPr>
          <w:spacing w:val="-109"/>
        </w:rPr>
      </w:r>
      <w:r>
        <w:rPr/>
        <w:t>证券或债务性证券的初始确认金额。</w:t>
      </w:r>
    </w:p>
    <w:p>
      <w:pPr>
        <w:spacing w:after="0" w:line="312"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6、合并财务报表的编制方法" w:id="178"/>
      <w:bookmarkEnd w:id="17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）合并范围</w:t>
      </w:r>
    </w:p>
    <w:p>
      <w:pPr>
        <w:spacing w:line="240" w:lineRule="auto" w:before="4"/>
        <w:rPr>
          <w:rFonts w:ascii="宋体" w:hAnsi="宋体" w:cs="宋体" w:eastAsia="宋体" w:hint="default"/>
          <w:sz w:val="17"/>
          <w:szCs w:val="17"/>
        </w:rPr>
      </w:pPr>
    </w:p>
    <w:p>
      <w:pPr>
        <w:pStyle w:val="BodyText"/>
        <w:spacing w:line="312" w:lineRule="exact"/>
        <w:ind w:right="994"/>
        <w:jc w:val="left"/>
      </w:pPr>
      <w:r>
        <w:rPr>
          <w:spacing w:val="-2"/>
        </w:rPr>
        <w:t>合并财务报表的合并范围以控制为基础予以确定。控制是指本公司拥有对被投资单位的权力，</w:t>
      </w:r>
      <w:r>
        <w:rPr/>
        <w:t> 通过参与被投资单位的相关活动而享有可变回报，并且有能力运用对被投资单位的权力影响 其回报金额。子公司，是指被本公司控制的主体（含企业、被投资单位中可分割的部分、结 构化主体等）。</w:t>
      </w:r>
    </w:p>
    <w:p>
      <w:pPr>
        <w:pStyle w:val="BodyText"/>
        <w:spacing w:line="240" w:lineRule="auto" w:before="185"/>
        <w:ind w:right="0"/>
        <w:jc w:val="both"/>
      </w:pPr>
      <w:r>
        <w:rPr/>
        <w:t>（</w:t>
      </w:r>
      <w:r>
        <w:rPr>
          <w:rFonts w:ascii="Times New Roman" w:hAnsi="Times New Roman" w:cs="Times New Roman" w:eastAsia="Times New Roman" w:hint="default"/>
        </w:rPr>
        <w:t>2</w:t>
      </w:r>
      <w:r>
        <w:rPr/>
        <w:t>）合并财务报表的编制方法</w:t>
      </w:r>
    </w:p>
    <w:p>
      <w:pPr>
        <w:spacing w:line="240" w:lineRule="auto" w:before="4"/>
        <w:rPr>
          <w:rFonts w:ascii="宋体" w:hAnsi="宋体" w:cs="宋体" w:eastAsia="宋体" w:hint="default"/>
          <w:sz w:val="17"/>
          <w:szCs w:val="17"/>
        </w:rPr>
      </w:pPr>
    </w:p>
    <w:p>
      <w:pPr>
        <w:pStyle w:val="BodyText"/>
        <w:spacing w:line="312" w:lineRule="exact"/>
        <w:ind w:right="1132"/>
        <w:jc w:val="both"/>
      </w:pPr>
      <w:r>
        <w:rPr/>
        <w:t>合并财务报表以本公司和子公司的财务报表为基础，根据其他有关资料，由本公司编制。在 编制合并财务报表时，本公司和子公司的会计政策和会计期间要求保持一致，公司间的重大</w:t>
      </w:r>
      <w:r>
        <w:rPr>
          <w:spacing w:val="-113"/>
        </w:rPr>
        <w:t> </w:t>
      </w:r>
      <w:r>
        <w:rPr>
          <w:spacing w:val="-113"/>
        </w:rPr>
      </w:r>
      <w:r>
        <w:rPr/>
        <w:t>交易和往来余额予以抵销。</w:t>
      </w:r>
    </w:p>
    <w:p>
      <w:pPr>
        <w:pStyle w:val="BodyText"/>
        <w:spacing w:line="312" w:lineRule="exact" w:before="216"/>
        <w:ind w:right="1139"/>
        <w:jc w:val="both"/>
      </w:pPr>
      <w:r>
        <w:rPr/>
        <w:t>在报告期内因同一控制下企业合并增加的子公司以及业务，视同该子公司以及业务自同受最 终控制方控制之日起纳入本公司的合并范围，将其自同受最终控制方控制之日起的经营成果 纳入合并利润表中。</w:t>
      </w:r>
    </w:p>
    <w:p>
      <w:pPr>
        <w:pStyle w:val="BodyText"/>
        <w:spacing w:line="312" w:lineRule="exact" w:before="216"/>
        <w:ind w:right="1139"/>
        <w:jc w:val="both"/>
      </w:pPr>
      <w:r>
        <w:rPr/>
        <w:t>因非同一控制下企业合并增加的子公司以及业务，将该子公司以及业务自购买日至报告期末 的收入、费用、利润纳入合并利润表。</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BodyText"/>
        <w:spacing w:line="235" w:lineRule="auto"/>
        <w:ind w:right="1136"/>
        <w:jc w:val="both"/>
      </w:pPr>
      <w:r>
        <w:rPr/>
        <w:t>子公司的股东权益中不属于本公司所拥有的部分，作为少数股东权益在合并资产负债表中股 东权益项下单独列示；子公司当期净损益中属于少数股东权益的份额，在合并利润表中净利 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项目列示。少数股东分担的子公司的亏损超过了少数股东在该子</w:t>
      </w:r>
      <w:r>
        <w:rPr>
          <w:spacing w:val="-84"/>
        </w:rPr>
        <w:t> </w:t>
      </w:r>
      <w:r>
        <w:rPr>
          <w:spacing w:val="-84"/>
        </w:rPr>
      </w:r>
      <w:r>
        <w:rPr/>
        <w:t>公司期初所有者权益中所享有的份额，其余额仍冲减少数股东权益。</w:t>
      </w:r>
    </w:p>
    <w:p>
      <w:pPr>
        <w:pStyle w:val="BodyText"/>
        <w:spacing w:line="240" w:lineRule="auto" w:before="214"/>
        <w:ind w:right="0"/>
        <w:jc w:val="both"/>
      </w:pPr>
      <w:r>
        <w:rPr/>
        <w:t>（</w:t>
      </w:r>
      <w:r>
        <w:rPr>
          <w:rFonts w:ascii="Times New Roman" w:hAnsi="Times New Roman" w:cs="Times New Roman" w:eastAsia="Times New Roman" w:hint="default"/>
        </w:rPr>
        <w:t>3</w:t>
      </w:r>
      <w:r>
        <w:rPr/>
        <w:t>）购买子公司少数股东股权</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因购买少数股权新取得的长期股权投资成本与按照新增持股比例计算应享有子公司自购买日 或合并日开始持续计算的净资产份额之间的差额，以及在不丧失控制权的情况下因部分处置 对子公司的股权投资而取得的处置价款与处置长期股权投资相对应享有子公司自购买日或合 并日开始持续计算的净资产份额之间的差额，均调整合并资产负债表中的资本公积（股本溢 价</w:t>
      </w:r>
      <w:r>
        <w:rPr>
          <w:rFonts w:ascii="Times New Roman" w:hAnsi="Times New Roman" w:cs="Times New Roman" w:eastAsia="Times New Roman" w:hint="default"/>
        </w:rPr>
        <w:t>/</w:t>
      </w:r>
      <w:r>
        <w:rPr/>
        <w:t>资本溢价），资本公积不足冲减的，调整留存收益。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7、现金及现金等价物的确定标准" w:id="179"/>
      <w:bookmarkEnd w:id="17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现金是指库存现金以及可以随时用于支付的存款。现金等价物，是指本集团持有的期限短、 流动性强、易于转换为已知金额现金、价值变动风险很小的投资。</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8、外币业务和外币报表折算" w:id="180"/>
      <w:bookmarkEnd w:id="18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81" w:lineRule="auto"/>
        <w:ind w:right="3072"/>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spacing w:after="0" w:line="381"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7" w:lineRule="auto" w:before="28"/>
        <w:ind w:right="1134"/>
        <w:jc w:val="both"/>
      </w:pPr>
      <w:r>
        <w:rPr/>
        <w:t>资产负债表日，对外币货币性项目，采用资产负债表日即期汇率折算。因资产负债表日即期 汇率与初始确认时或者前一资产负债表日即期汇率不同而产生的汇兑差额，计入当期损益； 对以历史成本计量的外币非货币性项目，仍采用交易发生日的即期汇率折算；对以公允价值</w:t>
      </w:r>
      <w:r>
        <w:rPr>
          <w:spacing w:val="-115"/>
        </w:rPr>
        <w:t> </w:t>
      </w:r>
      <w:r>
        <w:rPr>
          <w:spacing w:val="-115"/>
        </w:rPr>
      </w:r>
      <w:r>
        <w:rPr/>
        <w:t>计量的外币非货币性项目，采用公允价值确定日的即期汇率折算，折算后的记账本位币金额 与原记账本位币金额的差额，计入当期损益。</w:t>
      </w:r>
    </w:p>
    <w:p>
      <w:pPr>
        <w:pStyle w:val="BodyText"/>
        <w:spacing w:line="240" w:lineRule="auto" w:before="214"/>
        <w:ind w:right="0"/>
        <w:jc w:val="both"/>
      </w:pPr>
      <w:r>
        <w:rPr/>
        <w:t>（</w:t>
      </w:r>
      <w:r>
        <w:rPr>
          <w:rFonts w:ascii="Times New Roman" w:hAnsi="Times New Roman" w:cs="Times New Roman" w:eastAsia="Times New Roman" w:hint="default"/>
        </w:rPr>
        <w:t>2</w:t>
      </w:r>
      <w:r>
        <w:rPr/>
        <w:t>）外币财务报表的折算</w:t>
      </w:r>
    </w:p>
    <w:p>
      <w:pPr>
        <w:spacing w:line="240" w:lineRule="auto" w:before="4"/>
        <w:rPr>
          <w:rFonts w:ascii="宋体" w:hAnsi="宋体" w:cs="宋体" w:eastAsia="宋体" w:hint="default"/>
          <w:sz w:val="17"/>
          <w:szCs w:val="17"/>
        </w:rPr>
      </w:pPr>
    </w:p>
    <w:p>
      <w:pPr>
        <w:pStyle w:val="BodyText"/>
        <w:spacing w:line="312" w:lineRule="exact"/>
        <w:ind w:right="1133"/>
        <w:jc w:val="both"/>
      </w:pPr>
      <w:r>
        <w:rPr/>
        <w:t>资产负债表日，对境外子公司外币财务报表进行折算时，资产负债表中的资产和负债项目， 采用资产负债表日的即期汇率折算，股东权益项目除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w:t>
      </w:r>
      <w:r>
        <w:rPr>
          <w:spacing w:val="-82"/>
        </w:rPr>
        <w:t> </w:t>
      </w:r>
      <w:r>
        <w:rPr>
          <w:spacing w:val="-82"/>
        </w:rPr>
      </w:r>
      <w:r>
        <w:rPr/>
        <w:t>的即期汇率折算。</w:t>
      </w:r>
    </w:p>
    <w:p>
      <w:pPr>
        <w:pStyle w:val="BodyText"/>
        <w:spacing w:line="240" w:lineRule="auto" w:before="185"/>
        <w:ind w:right="0"/>
        <w:jc w:val="both"/>
      </w:pPr>
      <w:r>
        <w:rPr/>
        <w:t>利润表中的收入和费用项目，采用会计期间的平均汇率折算。</w:t>
      </w:r>
    </w:p>
    <w:p>
      <w:pPr>
        <w:spacing w:line="240" w:lineRule="auto" w:before="9"/>
        <w:rPr>
          <w:rFonts w:ascii="宋体" w:hAnsi="宋体" w:cs="宋体" w:eastAsia="宋体" w:hint="default"/>
          <w:sz w:val="18"/>
          <w:szCs w:val="18"/>
        </w:rPr>
      </w:pPr>
    </w:p>
    <w:p>
      <w:pPr>
        <w:pStyle w:val="BodyText"/>
        <w:spacing w:line="312" w:lineRule="exact"/>
        <w:ind w:right="817"/>
        <w:jc w:val="left"/>
      </w:pPr>
      <w:r>
        <w:rPr/>
        <w:t>现金流量表所有项目均按照会计期间的平均汇率汇率折算。汇率变动对现金的影响额作为调 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项目反映。</w:t>
      </w:r>
    </w:p>
    <w:p>
      <w:pPr>
        <w:pStyle w:val="BodyText"/>
        <w:spacing w:line="240" w:lineRule="auto" w:before="185"/>
        <w:ind w:right="0"/>
        <w:jc w:val="both"/>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处置境外经营并丧失控制权时，将资产负债表中股东权益项目下列示的、与该境外经营相关 的外币报表折算差额，全部或按处置该境外经营的比例转入处置当期损益。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9、金融工具" w:id="181"/>
      <w:bookmarkEnd w:id="18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both"/>
      </w:pPr>
      <w:r>
        <w:rPr/>
        <w:t>金融工具是指形成一个企业的金融资产，并形成其他单位的金融负债或权益工具的合同。</w:t>
      </w:r>
    </w:p>
    <w:p>
      <w:pPr>
        <w:pStyle w:val="BodyText"/>
        <w:spacing w:line="393" w:lineRule="auto" w:before="214"/>
        <w:ind w:right="3552"/>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60"/>
        <w:ind w:right="0"/>
        <w:jc w:val="both"/>
      </w:pPr>
      <w:r>
        <w:rPr/>
        <w:t>①</w:t>
      </w:r>
      <w:r>
        <w:rPr>
          <w:spacing w:val="-24"/>
        </w:rPr>
        <w:t> </w:t>
      </w:r>
      <w:r>
        <w:rPr/>
        <w:t>收取该金融资产现金流量的合同权利终止；</w:t>
      </w:r>
    </w:p>
    <w:p>
      <w:pPr>
        <w:pStyle w:val="BodyText"/>
        <w:spacing w:line="240" w:lineRule="auto" w:before="214"/>
        <w:ind w:right="0"/>
        <w:jc w:val="both"/>
      </w:pPr>
      <w:r>
        <w:rPr/>
        <w:t>②</w:t>
      </w:r>
      <w:r>
        <w:rPr>
          <w:spacing w:val="-24"/>
        </w:rPr>
        <w:t> </w:t>
      </w:r>
      <w:r>
        <w:rPr/>
        <w:t>该金融资产已转移，且符合下述金融资产转移的终止确认条件。</w:t>
      </w:r>
    </w:p>
    <w:p>
      <w:pPr>
        <w:spacing w:line="240" w:lineRule="auto" w:before="9"/>
        <w:rPr>
          <w:rFonts w:ascii="宋体" w:hAnsi="宋体" w:cs="宋体" w:eastAsia="宋体" w:hint="default"/>
          <w:sz w:val="18"/>
          <w:szCs w:val="18"/>
        </w:rPr>
      </w:pPr>
    </w:p>
    <w:p>
      <w:pPr>
        <w:pStyle w:val="BodyText"/>
        <w:spacing w:line="312" w:lineRule="exact"/>
        <w:ind w:right="1139"/>
        <w:jc w:val="both"/>
      </w:pPr>
      <w:r>
        <w:rPr/>
        <w:t>金融负债的现时义务全部或部分已经解除的，终止确认该金融负债或其一部分。本集团（债 务人）与债权人之间签订协议，以承担新金融负债方式替换现存金融负债，且新金融负债与 现存金融负债的合同条款实质上不同的，终止确认现存金融负债，并同时确认新金融负债。</w:t>
      </w:r>
    </w:p>
    <w:p>
      <w:pPr>
        <w:pStyle w:val="BodyText"/>
        <w:spacing w:line="240" w:lineRule="auto" w:before="185"/>
        <w:ind w:right="0"/>
        <w:jc w:val="both"/>
      </w:pPr>
      <w:r>
        <w:rPr/>
        <w:t>以常规方式买卖金融资产，按交易日进行会计确认和终止确认。</w:t>
      </w:r>
    </w:p>
    <w:p>
      <w:pPr>
        <w:pStyle w:val="BodyText"/>
        <w:spacing w:line="240" w:lineRule="auto" w:before="214"/>
        <w:ind w:right="0"/>
        <w:jc w:val="both"/>
      </w:pPr>
      <w:r>
        <w:rPr/>
        <w:t>（</w:t>
      </w:r>
      <w:r>
        <w:rPr>
          <w:rFonts w:ascii="Times New Roman" w:hAnsi="Times New Roman" w:cs="Times New Roman" w:eastAsia="Times New Roman" w:hint="default"/>
        </w:rPr>
        <w:t>2</w:t>
      </w:r>
      <w:r>
        <w:rPr/>
        <w:t>）金融资产分类和计量</w:t>
      </w:r>
    </w:p>
    <w:p>
      <w:pPr>
        <w:spacing w:line="240" w:lineRule="auto" w:before="4"/>
        <w:rPr>
          <w:rFonts w:ascii="宋体" w:hAnsi="宋体" w:cs="宋体" w:eastAsia="宋体" w:hint="default"/>
          <w:sz w:val="17"/>
          <w:szCs w:val="17"/>
        </w:rPr>
      </w:pPr>
    </w:p>
    <w:p>
      <w:pPr>
        <w:pStyle w:val="BodyText"/>
        <w:spacing w:line="312" w:lineRule="exact"/>
        <w:ind w:right="1132"/>
        <w:jc w:val="both"/>
      </w:pPr>
      <w:r>
        <w:rPr/>
        <w:t>本集团的金融资产于初始确认时分为以下四类：以公允价值计量且其变动计入当期损益的金</w:t>
      </w:r>
      <w:r>
        <w:rPr>
          <w:spacing w:val="-113"/>
        </w:rPr>
        <w:t> </w:t>
      </w:r>
      <w:r>
        <w:rPr>
          <w:spacing w:val="-113"/>
        </w:rPr>
      </w:r>
      <w:r>
        <w:rPr/>
        <w:t>融资产、持有至到期投资、贷款和应收款项、可供出售金融资产。金融资产在初始确认时以 公允价值计量。对于以公允价值计量且其变动计入当期损益的金融资产，相关交易费用直接 计入当期损益，其他类别的金融资产相关交易费用计入其初始确认金额。</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以公允价值计量且其变动计入当期损益的金融资产</w:t>
      </w:r>
    </w:p>
    <w:p>
      <w:pPr>
        <w:spacing w:line="240" w:lineRule="auto" w:before="7"/>
        <w:rPr>
          <w:rFonts w:ascii="宋体" w:hAnsi="宋体" w:cs="宋体" w:eastAsia="宋体" w:hint="default"/>
          <w:sz w:val="16"/>
          <w:szCs w:val="16"/>
        </w:rPr>
      </w:pPr>
    </w:p>
    <w:p>
      <w:pPr>
        <w:pStyle w:val="BodyText"/>
        <w:spacing w:line="237" w:lineRule="auto"/>
        <w:ind w:right="1132"/>
        <w:jc w:val="both"/>
      </w:pPr>
      <w:r>
        <w:rPr/>
        <w:t>以公允价值计量且其变动计入当期损益的金融资产，包括交易性金融资产和初始确认时指定 为以公允价值计量且其变动计入当期损益的金融资产。对于此类金融资产，采用公允价值进 行后续计量，公允价值变动形成的利得或损失以及与该等金融资产相关的股利和利息收入计</w:t>
      </w:r>
      <w:r>
        <w:rPr>
          <w:spacing w:val="-113"/>
        </w:rPr>
        <w:t> </w:t>
      </w:r>
      <w:r>
        <w:rPr>
          <w:spacing w:val="-113"/>
        </w:rPr>
      </w:r>
      <w:r>
        <w:rPr/>
        <w:t>入当期损益。</w:t>
      </w:r>
    </w:p>
    <w:p>
      <w:pPr>
        <w:pStyle w:val="BodyText"/>
        <w:spacing w:line="240" w:lineRule="auto" w:before="214"/>
        <w:ind w:right="0"/>
        <w:jc w:val="both"/>
      </w:pPr>
      <w:r>
        <w:rPr/>
        <w:t>应收款项</w:t>
      </w:r>
    </w:p>
    <w:p>
      <w:pPr>
        <w:spacing w:line="240" w:lineRule="auto" w:before="9"/>
        <w:rPr>
          <w:rFonts w:ascii="宋体" w:hAnsi="宋体" w:cs="宋体" w:eastAsia="宋体" w:hint="default"/>
          <w:sz w:val="18"/>
          <w:szCs w:val="18"/>
        </w:rPr>
      </w:pPr>
    </w:p>
    <w:p>
      <w:pPr>
        <w:pStyle w:val="BodyText"/>
        <w:spacing w:line="312" w:lineRule="exact"/>
        <w:ind w:right="1132"/>
        <w:jc w:val="both"/>
      </w:pPr>
      <w:r>
        <w:rPr/>
        <w:t>应收款项，是指在活跃市场中没有报价、回收金额固定或可确定的非衍生金融资产，包括应 </w:t>
      </w:r>
      <w:r>
        <w:rPr>
          <w:spacing w:val="-2"/>
        </w:rPr>
        <w:t>收票据、应收账款和其他应收款等（本节之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“11</w:t>
      </w:r>
      <w:r>
        <w:rPr>
          <w:spacing w:val="-2"/>
        </w:rPr>
        <w:t>、应收票据</w:t>
      </w:r>
      <w:r>
        <w:rPr>
          <w:spacing w:val="-78"/>
        </w:rPr>
        <w:t> </w:t>
      </w:r>
      <w:r>
        <w:rPr>
          <w:spacing w:val="-78"/>
        </w:rPr>
      </w:r>
      <w:r>
        <w:rPr>
          <w:spacing w:val="-2"/>
        </w:rPr>
        <w:t>及应收账款</w:t>
      </w:r>
      <w:r>
        <w:rPr>
          <w:rFonts w:ascii="Times New Roman" w:hAnsi="Times New Roman" w:cs="Times New Roman" w:eastAsia="Times New Roman" w:hint="default"/>
          <w:spacing w:val="-2"/>
        </w:rPr>
        <w:t>”</w:t>
      </w:r>
      <w:r>
        <w:rPr>
          <w:spacing w:val="-2"/>
        </w:rPr>
        <w:t>。）。应收款项采用实际利率法，按摊余成本进行后续计量，在终止确认、发生</w:t>
      </w:r>
      <w:r>
        <w:rPr>
          <w:spacing w:val="-110"/>
        </w:rPr>
        <w:t> </w:t>
      </w:r>
      <w:r>
        <w:rPr>
          <w:spacing w:val="-110"/>
        </w:rPr>
      </w:r>
      <w:r>
        <w:rPr/>
        <w:t>减值或摊销时产生的利得或损失，计入当期损益。</w:t>
      </w:r>
    </w:p>
    <w:p>
      <w:pPr>
        <w:pStyle w:val="BodyText"/>
        <w:spacing w:line="240" w:lineRule="auto" w:before="185"/>
        <w:ind w:right="0"/>
        <w:jc w:val="both"/>
      </w:pPr>
      <w:r>
        <w:rPr/>
        <w:t>可供出售金融资产</w:t>
      </w:r>
    </w:p>
    <w:p>
      <w:pPr>
        <w:spacing w:line="240" w:lineRule="auto" w:before="9"/>
        <w:rPr>
          <w:rFonts w:ascii="宋体" w:hAnsi="宋体" w:cs="宋体" w:eastAsia="宋体" w:hint="default"/>
          <w:sz w:val="18"/>
          <w:szCs w:val="18"/>
        </w:rPr>
      </w:pPr>
    </w:p>
    <w:p>
      <w:pPr>
        <w:pStyle w:val="BodyText"/>
        <w:spacing w:line="312" w:lineRule="exact"/>
        <w:ind w:right="1129"/>
        <w:jc w:val="both"/>
      </w:pPr>
      <w:r>
        <w:rPr/>
        <w:t>可供出售金融资产，是指初始确认时即指定为可供出售的非衍生金融资产，以及除上述金融 资产类别以外的金融资产。可供出售金融资产采用公允价值进行后续计量，其折溢价采用实</w:t>
      </w:r>
      <w:r>
        <w:rPr>
          <w:spacing w:val="-109"/>
        </w:rPr>
        <w:t> </w:t>
      </w:r>
      <w:r>
        <w:rPr>
          <w:spacing w:val="-109"/>
        </w:rPr>
      </w:r>
      <w:r>
        <w:rPr/>
        <w:t>际利率法摊销并确认为利息收入。除减值损失及外币货币性金融资产的汇兑差额确认为当期</w:t>
      </w:r>
      <w:r>
        <w:rPr/>
        <w:t> 损益外，可供出售金融资产的公允价值变动确认为其他综合收益，在该金融资产终止确认时 转出，计入当期损益。与可供出售金融资产相关的股利或利息收入，计入当期损益。</w:t>
      </w:r>
    </w:p>
    <w:p>
      <w:pPr>
        <w:pStyle w:val="BodyText"/>
        <w:spacing w:line="312" w:lineRule="exact" w:before="216"/>
        <w:ind w:right="1139"/>
        <w:jc w:val="both"/>
      </w:pPr>
      <w:r>
        <w:rPr/>
        <w:t>对于在活跃市场中没有报价且其公允价值不能可靠计量的权益工具投资，以及与该权益工具 挂钩并须通过交付该权益工具结算的衍生金融资产，按成本计量。</w:t>
      </w:r>
    </w:p>
    <w:p>
      <w:pPr>
        <w:spacing w:line="240" w:lineRule="auto" w:before="7"/>
        <w:rPr>
          <w:rFonts w:ascii="宋体" w:hAnsi="宋体" w:cs="宋体" w:eastAsia="宋体" w:hint="default"/>
          <w:sz w:val="16"/>
          <w:szCs w:val="16"/>
        </w:rPr>
      </w:pPr>
    </w:p>
    <w:p>
      <w:pPr>
        <w:pStyle w:val="BodyText"/>
        <w:spacing w:line="312" w:lineRule="exact"/>
        <w:ind w:right="1134"/>
        <w:jc w:val="both"/>
      </w:pPr>
      <w:r>
        <w:rPr/>
        <w:t>因持有意图或能力发生改变，或公允价值不再能够可靠计量，或持有至到期投资重分类为可 供出售金融资产后持有期限已超过两个完整的会计年度，使金融资产不再适合按照公允价值</w:t>
      </w:r>
      <w:r>
        <w:rPr>
          <w:spacing w:val="-115"/>
        </w:rPr>
        <w:t> </w:t>
      </w:r>
      <w:r>
        <w:rPr>
          <w:spacing w:val="-115"/>
        </w:rPr>
      </w:r>
      <w:r>
        <w:rPr/>
        <w:t>计量时，本集团将可供出售金融资产改按成本或摊余成本计量。成本或摊余成本为重分类日 该金融资产的公允价值或账面价值。</w:t>
      </w:r>
    </w:p>
    <w:p>
      <w:pPr>
        <w:pStyle w:val="BodyText"/>
        <w:spacing w:line="312" w:lineRule="exact" w:before="216"/>
        <w:ind w:right="1139"/>
        <w:jc w:val="both"/>
      </w:pPr>
      <w:r>
        <w:rPr/>
        <w:t>该金融资产有固定到期日的，与该金融资产相关、原直接计入其他综合收益的利得或损失， 在该金融资产的剩余期限内，采用实际利率法摊销，计入当期损益；该金融资产的摊余成本 与到期日金额之间的差额，在该金融资产的剩余期限内，采用实际利率法摊销，计入当期损 益。该金融资产没有固定到期日的，与该金融资产相关、原直接计入其他综合收益的利得或 损失仍保留在股东权益中，在该金融资产被处置时转出，计入当期损益。</w:t>
      </w:r>
    </w:p>
    <w:p>
      <w:pPr>
        <w:pStyle w:val="BodyText"/>
        <w:spacing w:line="240" w:lineRule="auto" w:before="185"/>
        <w:ind w:right="0"/>
        <w:jc w:val="both"/>
      </w:pPr>
      <w:r>
        <w:rPr/>
        <w:t>（</w:t>
      </w:r>
      <w:r>
        <w:rPr>
          <w:rFonts w:ascii="Times New Roman" w:hAnsi="Times New Roman" w:cs="Times New Roman" w:eastAsia="Times New Roman" w:hint="default"/>
        </w:rPr>
        <w:t>3</w:t>
      </w:r>
      <w:r>
        <w:rPr/>
        <w:t>）金融负债分类和计量</w:t>
      </w:r>
    </w:p>
    <w:p>
      <w:pPr>
        <w:spacing w:line="240" w:lineRule="auto" w:before="4"/>
        <w:rPr>
          <w:rFonts w:ascii="宋体" w:hAnsi="宋体" w:cs="宋体" w:eastAsia="宋体" w:hint="default"/>
          <w:sz w:val="17"/>
          <w:szCs w:val="17"/>
        </w:rPr>
      </w:pPr>
    </w:p>
    <w:p>
      <w:pPr>
        <w:pStyle w:val="BodyText"/>
        <w:spacing w:line="312" w:lineRule="exact"/>
        <w:ind w:right="994"/>
        <w:jc w:val="left"/>
      </w:pPr>
      <w:r>
        <w:rPr>
          <w:spacing w:val="-2"/>
        </w:rPr>
        <w:t>本集团的金融负债于初始确认时分类为：以公允价值计量且其变动计入当期损益的金融负债、</w:t>
      </w:r>
      <w:r>
        <w:rPr/>
        <w:t> 其他金融负债。对于未划分为以公允价值计量且其变动计入当期损益的金融负债的，相关交 易费用计入其初始确认金额。</w:t>
      </w:r>
    </w:p>
    <w:p>
      <w:pPr>
        <w:pStyle w:val="BodyText"/>
        <w:spacing w:line="240" w:lineRule="auto" w:before="185"/>
        <w:ind w:right="0"/>
        <w:jc w:val="both"/>
      </w:pPr>
      <w:r>
        <w:rPr/>
        <w:t>以公允价值计量且其变动计入当期损益的金融负债</w:t>
      </w:r>
    </w:p>
    <w:p>
      <w:pPr>
        <w:spacing w:line="240" w:lineRule="auto" w:before="10"/>
        <w:rPr>
          <w:rFonts w:ascii="宋体" w:hAnsi="宋体" w:cs="宋体" w:eastAsia="宋体" w:hint="default"/>
          <w:sz w:val="18"/>
          <w:szCs w:val="18"/>
        </w:rPr>
      </w:pPr>
    </w:p>
    <w:p>
      <w:pPr>
        <w:pStyle w:val="BodyText"/>
        <w:spacing w:line="312" w:lineRule="exact"/>
        <w:ind w:right="1129"/>
        <w:jc w:val="both"/>
      </w:pPr>
      <w:r>
        <w:rPr/>
        <w:t>以公允价值计量且其变动计入当期损益的金融负债，包括交易性金融负债和初始确认时指定 为以公允价值计量且其变动计入当期损益的金融负债。对于此类金融负债，按照公允价值进 行后续计量，公允价值变动形成的利得或损失以及与该等金融负债相关的股利和利息支出计</w:t>
      </w:r>
      <w:r>
        <w:rPr>
          <w:spacing w:val="-108"/>
        </w:rPr>
        <w:t> </w:t>
      </w:r>
      <w:r>
        <w:rPr>
          <w:spacing w:val="-108"/>
        </w:rPr>
      </w:r>
      <w:r>
        <w:rPr/>
        <w:t>入当期损益。</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其他金融负债</w:t>
      </w:r>
    </w:p>
    <w:p>
      <w:pPr>
        <w:spacing w:line="240" w:lineRule="auto" w:before="9"/>
        <w:rPr>
          <w:rFonts w:ascii="宋体" w:hAnsi="宋体" w:cs="宋体" w:eastAsia="宋体" w:hint="default"/>
          <w:sz w:val="18"/>
          <w:szCs w:val="18"/>
        </w:rPr>
      </w:pPr>
    </w:p>
    <w:p>
      <w:pPr>
        <w:pStyle w:val="BodyText"/>
        <w:spacing w:line="312" w:lineRule="exact"/>
        <w:ind w:right="1139"/>
        <w:jc w:val="both"/>
      </w:pPr>
      <w:r>
        <w:rPr/>
        <w:t>与在活跃市场中没有报价、公允价值不能可靠计量的权益工具挂钩并须通过交付该权益工具 结算的衍生金融负债，按照成本进行后续计量。其他金融负债采用实际利率法，按摊余成本 进行后续计量，终止确认或摊销产生的利得或损失计入当期损益。</w:t>
      </w:r>
    </w:p>
    <w:p>
      <w:pPr>
        <w:pStyle w:val="BodyText"/>
        <w:spacing w:line="403" w:lineRule="auto" w:before="185"/>
        <w:ind w:right="6192"/>
        <w:jc w:val="left"/>
      </w:pPr>
      <w:r>
        <w:rPr/>
        <w:t>金融负债与权益工具的区分 金融负债，是指符合下列条件之一的负债：</w:t>
      </w:r>
    </w:p>
    <w:p>
      <w:pPr>
        <w:pStyle w:val="BodyText"/>
        <w:spacing w:line="240" w:lineRule="auto" w:before="50"/>
        <w:ind w:right="0"/>
        <w:jc w:val="both"/>
      </w:pPr>
      <w:r>
        <w:rPr/>
        <w:t>①向其他方交付现金或其他金融资产的合同义务。</w:t>
      </w:r>
    </w:p>
    <w:p>
      <w:pPr>
        <w:pStyle w:val="BodyText"/>
        <w:spacing w:line="240" w:lineRule="auto" w:before="214"/>
        <w:ind w:right="0"/>
        <w:jc w:val="both"/>
      </w:pPr>
      <w:r>
        <w:rPr/>
        <w:t>②在潜在不利条件下，与其他方交换金融资产或金融负债的合同义务。</w:t>
      </w:r>
    </w:p>
    <w:p>
      <w:pPr>
        <w:spacing w:line="240" w:lineRule="auto" w:before="9"/>
        <w:rPr>
          <w:rFonts w:ascii="宋体" w:hAnsi="宋体" w:cs="宋体" w:eastAsia="宋体" w:hint="default"/>
          <w:sz w:val="18"/>
          <w:szCs w:val="18"/>
        </w:rPr>
      </w:pPr>
    </w:p>
    <w:p>
      <w:pPr>
        <w:pStyle w:val="BodyText"/>
        <w:spacing w:line="312" w:lineRule="exact"/>
        <w:ind w:right="1139"/>
        <w:jc w:val="both"/>
      </w:pPr>
      <w:r>
        <w:rPr/>
        <w:t>③将来须用或可用企业自身权益工具进行结算的非衍生工具合同，且企业根据该合同将交付 可变数量的自身权益工具。</w:t>
      </w:r>
    </w:p>
    <w:p>
      <w:pPr>
        <w:spacing w:line="240" w:lineRule="auto" w:before="7"/>
        <w:rPr>
          <w:rFonts w:ascii="宋体" w:hAnsi="宋体" w:cs="宋体" w:eastAsia="宋体" w:hint="default"/>
          <w:sz w:val="16"/>
          <w:szCs w:val="16"/>
        </w:rPr>
      </w:pPr>
    </w:p>
    <w:p>
      <w:pPr>
        <w:pStyle w:val="BodyText"/>
        <w:spacing w:line="312" w:lineRule="exact"/>
        <w:ind w:right="1139"/>
        <w:jc w:val="both"/>
      </w:pPr>
      <w:r>
        <w:rPr/>
        <w:t>④将来须用或可用企业自身权益工具进行结算的衍生工具合同，但以固定数量的自身权益工 具交换固定金额的现金或其他金融资产的衍生工具合同除外。</w:t>
      </w:r>
    </w:p>
    <w:p>
      <w:pPr>
        <w:pStyle w:val="BodyText"/>
        <w:spacing w:line="240" w:lineRule="auto" w:before="185"/>
        <w:ind w:right="0"/>
        <w:jc w:val="both"/>
      </w:pPr>
      <w:r>
        <w:rPr/>
        <w:t>权益工具，是指能证明拥有某个企业在扣除所有负债后的资产中剩余权益的合同。</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如果本集团不能无条件地避免以交付现金或其他金融资产来履行一项合同义务，则该合同义 务符合金融负债的定义。</w:t>
      </w:r>
    </w:p>
    <w:p>
      <w:pPr>
        <w:spacing w:line="240" w:lineRule="auto" w:before="7"/>
        <w:rPr>
          <w:rFonts w:ascii="宋体" w:hAnsi="宋体" w:cs="宋体" w:eastAsia="宋体" w:hint="default"/>
          <w:sz w:val="16"/>
          <w:szCs w:val="16"/>
        </w:rPr>
      </w:pPr>
    </w:p>
    <w:p>
      <w:pPr>
        <w:pStyle w:val="BodyText"/>
        <w:spacing w:line="312" w:lineRule="exact"/>
        <w:ind w:right="1138"/>
        <w:jc w:val="both"/>
      </w:pPr>
      <w:r>
        <w:rPr/>
        <w:t>如果一项金融工具须用或可用本集团自身权益工具进行结算，需要考虑用于结算该工具的本 集团自身权益工具，是作为现金或其他金融资产的替代品，还是为了使该工具持有方享有在 发行方扣除所有负债后的资产中的剩余权益。如果是前者，该工具是本集团的金融负债；如 果是后者，该工具是本集团的权益工具。</w:t>
      </w:r>
    </w:p>
    <w:p>
      <w:pPr>
        <w:pStyle w:val="BodyText"/>
        <w:spacing w:line="240" w:lineRule="auto" w:before="185"/>
        <w:ind w:right="0"/>
        <w:jc w:val="both"/>
      </w:pPr>
      <w:r>
        <w:rPr/>
        <w:t>（</w:t>
      </w:r>
      <w:r>
        <w:rPr>
          <w:rFonts w:ascii="Times New Roman" w:hAnsi="Times New Roman" w:cs="Times New Roman" w:eastAsia="Times New Roman" w:hint="default"/>
        </w:rPr>
        <w:t>4</w:t>
      </w:r>
      <w:r>
        <w:rPr/>
        <w:t>）金融工具的公允价值</w:t>
      </w:r>
    </w:p>
    <w:p>
      <w:pPr>
        <w:spacing w:line="240" w:lineRule="auto" w:before="4"/>
        <w:rPr>
          <w:rFonts w:ascii="宋体" w:hAnsi="宋体" w:cs="宋体" w:eastAsia="宋体" w:hint="default"/>
          <w:sz w:val="17"/>
          <w:szCs w:val="17"/>
        </w:rPr>
      </w:pPr>
    </w:p>
    <w:p>
      <w:pPr>
        <w:pStyle w:val="BodyText"/>
        <w:spacing w:line="312" w:lineRule="exact"/>
        <w:ind w:right="1153"/>
        <w:jc w:val="both"/>
      </w:pPr>
      <w:r>
        <w:rPr>
          <w:spacing w:val="-2"/>
        </w:rPr>
        <w:t>金融资产和金融负债的公允价值确定方法见本节之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“10</w:t>
      </w:r>
      <w:r>
        <w:rPr>
          <w:spacing w:val="-2"/>
        </w:rPr>
        <w:t>、公</w:t>
      </w:r>
      <w:r>
        <w:rPr>
          <w:spacing w:val="-100"/>
        </w:rPr>
        <w:t> </w:t>
      </w:r>
      <w:r>
        <w:rPr/>
        <w:t>允价值</w:t>
      </w:r>
      <w:r>
        <w:rPr>
          <w:rFonts w:ascii="Times New Roman" w:hAnsi="Times New Roman" w:cs="Times New Roman" w:eastAsia="Times New Roman" w:hint="default"/>
        </w:rPr>
        <w:t>”</w:t>
      </w:r>
      <w:r>
        <w:rPr/>
        <w:t>。。</w:t>
      </w:r>
    </w:p>
    <w:p>
      <w:pPr>
        <w:pStyle w:val="BodyText"/>
        <w:spacing w:line="240" w:lineRule="auto" w:before="185"/>
        <w:ind w:right="0"/>
        <w:jc w:val="both"/>
      </w:pPr>
      <w:r>
        <w:rPr/>
        <w:t>（</w:t>
      </w:r>
      <w:r>
        <w:rPr>
          <w:rFonts w:ascii="Times New Roman" w:hAnsi="Times New Roman" w:cs="Times New Roman" w:eastAsia="Times New Roman" w:hint="default"/>
        </w:rPr>
        <w:t>5</w:t>
      </w:r>
      <w:r>
        <w:rPr/>
        <w:t>）金融资产减值</w:t>
      </w:r>
    </w:p>
    <w:p>
      <w:pPr>
        <w:spacing w:line="240" w:lineRule="auto" w:before="4"/>
        <w:rPr>
          <w:rFonts w:ascii="宋体" w:hAnsi="宋体" w:cs="宋体" w:eastAsia="宋体" w:hint="default"/>
          <w:sz w:val="17"/>
          <w:szCs w:val="17"/>
        </w:rPr>
      </w:pPr>
    </w:p>
    <w:p>
      <w:pPr>
        <w:pStyle w:val="BodyText"/>
        <w:spacing w:line="312" w:lineRule="exact"/>
        <w:ind w:right="1139"/>
        <w:jc w:val="both"/>
      </w:pPr>
      <w:r>
        <w:rPr/>
        <w:t>除了以公允价值计量且其变动计入当期损益的金融资产外，本集团于资产负债表日对其他金 融资产的账面价值进行检查，有客观证据表明该金融资产发生减值的，计提减值准备。表明 金融资产发生减值的客观证据，是指金融资产初始确认后实际发生的、对该金融资产的预计 未来现金流量有影响，且企业能够对该影响进行可靠计量的事项。</w:t>
      </w:r>
    </w:p>
    <w:p>
      <w:pPr>
        <w:pStyle w:val="BodyText"/>
        <w:spacing w:line="240" w:lineRule="auto" w:before="185"/>
        <w:ind w:right="0"/>
        <w:jc w:val="both"/>
      </w:pPr>
      <w:r>
        <w:rPr/>
        <w:t>金融资产发生减值的客观证据，包括下列可观察到的情形：</w:t>
      </w:r>
    </w:p>
    <w:p>
      <w:pPr>
        <w:pStyle w:val="BodyText"/>
        <w:spacing w:line="240" w:lineRule="auto" w:before="214"/>
        <w:ind w:right="0"/>
        <w:jc w:val="both"/>
      </w:pPr>
      <w:r>
        <w:rPr/>
        <w:t>①发行方或债务人发生严重财务困难；</w:t>
      </w:r>
    </w:p>
    <w:p>
      <w:pPr>
        <w:pStyle w:val="BodyText"/>
        <w:spacing w:line="240" w:lineRule="auto" w:before="214"/>
        <w:ind w:right="0"/>
        <w:jc w:val="both"/>
      </w:pPr>
      <w:r>
        <w:rPr/>
        <w:t>②债务人违反了合同条款，如偿付利息或本金发生违约或逾期等；</w:t>
      </w:r>
    </w:p>
    <w:p>
      <w:pPr>
        <w:pStyle w:val="BodyText"/>
        <w:spacing w:line="240" w:lineRule="auto" w:before="214"/>
        <w:ind w:right="0"/>
        <w:jc w:val="both"/>
      </w:pPr>
      <w:r>
        <w:rPr/>
        <w:t>③本集团出于经济或法律等方面因素的考虑，对发生财务困难的债务人作出让步；</w:t>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④债务人很可能倒闭或者进行其他财务重组；</w:t>
      </w:r>
    </w:p>
    <w:p>
      <w:pPr>
        <w:pStyle w:val="BodyText"/>
        <w:spacing w:line="240" w:lineRule="auto" w:before="214"/>
        <w:ind w:right="0"/>
        <w:jc w:val="both"/>
      </w:pPr>
      <w:r>
        <w:rPr/>
        <w:t>⑤因发行方发生重大财务困难，导致金融资产无法在活跃市场继续交易；</w:t>
      </w:r>
    </w:p>
    <w:p>
      <w:pPr>
        <w:spacing w:line="240" w:lineRule="auto" w:before="7"/>
        <w:rPr>
          <w:rFonts w:ascii="宋体" w:hAnsi="宋体" w:cs="宋体" w:eastAsia="宋体" w:hint="default"/>
          <w:sz w:val="16"/>
          <w:szCs w:val="16"/>
        </w:rPr>
      </w:pPr>
    </w:p>
    <w:p>
      <w:pPr>
        <w:pStyle w:val="BodyText"/>
        <w:spacing w:line="237" w:lineRule="auto"/>
        <w:ind w:right="1132"/>
        <w:jc w:val="both"/>
      </w:pPr>
      <w:r>
        <w:rPr/>
        <w:t>⑥无法辨认一组金融资产中的某项资产的现金流量是否已经减少，但根据公开的数据对其进 行总体评价后发现，该组金融资产自初始确认以来的预计未来现金流量确已减少且可计量，</w:t>
      </w:r>
      <w:r>
        <w:rPr>
          <w:spacing w:val="-114"/>
        </w:rPr>
        <w:t> </w:t>
      </w:r>
      <w:r>
        <w:rPr>
          <w:spacing w:val="-114"/>
        </w:rPr>
      </w:r>
      <w:r>
        <w:rPr/>
        <w:t>包括：</w:t>
      </w:r>
    </w:p>
    <w:p>
      <w:pPr>
        <w:pStyle w:val="BodyText"/>
        <w:spacing w:line="240" w:lineRule="auto" w:before="214"/>
        <w:ind w:left="574" w:right="81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该组金融资产的债务人支付能力逐步恶化；</w:t>
      </w:r>
    </w:p>
    <w:p>
      <w:pPr>
        <w:pStyle w:val="BodyText"/>
        <w:spacing w:line="240" w:lineRule="auto" w:before="99"/>
        <w:ind w:left="574" w:right="81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债务人所在国家或地区经济出现了可能导致该组金融资产无法支付的状况；</w:t>
      </w:r>
    </w:p>
    <w:p>
      <w:pPr>
        <w:spacing w:line="240" w:lineRule="auto" w:before="4"/>
        <w:rPr>
          <w:rFonts w:ascii="宋体" w:hAnsi="宋体" w:cs="宋体" w:eastAsia="宋体" w:hint="default"/>
          <w:sz w:val="17"/>
          <w:szCs w:val="17"/>
        </w:rPr>
      </w:pPr>
    </w:p>
    <w:p>
      <w:pPr>
        <w:pStyle w:val="BodyText"/>
        <w:spacing w:line="312" w:lineRule="exact"/>
        <w:ind w:right="1139"/>
        <w:jc w:val="both"/>
      </w:pPr>
      <w:r>
        <w:rPr/>
        <w:t>⑦债务人经营所处的技术、市场、经济或法律环境等发生重大不利变化，使权益工具投资人 可能无法收回投资成本；</w:t>
      </w:r>
    </w:p>
    <w:p>
      <w:pPr>
        <w:pStyle w:val="BodyText"/>
        <w:spacing w:line="312" w:lineRule="exact" w:before="120"/>
        <w:ind w:right="1127"/>
        <w:jc w:val="both"/>
      </w:pPr>
      <w:r>
        <w:rPr/>
        <w:t>⑧权益工具投资的公允价值发生严重或非暂时性下跌，如权益工具投资于资产负债表日的公 </w:t>
      </w:r>
      <w:r>
        <w:rPr>
          <w:spacing w:val="2"/>
        </w:rPr>
        <w:t>允价值低于其初始投资成本超过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）或低于其初始投资成本持续时间超过</w:t>
      </w:r>
      <w:r>
        <w:rPr>
          <w:rFonts w:ascii="Times New Roman" w:hAnsi="Times New Roman" w:cs="Times New Roman" w:eastAsia="Times New Roman" w:hint="default"/>
          <w:spacing w:val="2"/>
        </w:rPr>
        <w:t>12</w:t>
      </w:r>
      <w:r>
        <w:rPr>
          <w:spacing w:val="2"/>
        </w:rPr>
        <w:t>个月</w:t>
      </w:r>
      <w:r>
        <w:rPr/>
      </w:r>
    </w:p>
    <w:p>
      <w:pPr>
        <w:pStyle w:val="BodyText"/>
        <w:spacing w:line="302" w:lineRule="exact"/>
        <w:ind w:right="0"/>
        <w:jc w:val="both"/>
      </w:pPr>
      <w:r>
        <w:rPr/>
        <w:t>（含</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17"/>
          <w:szCs w:val="17"/>
        </w:rPr>
      </w:pPr>
    </w:p>
    <w:p>
      <w:pPr>
        <w:pStyle w:val="BodyText"/>
        <w:spacing w:line="312" w:lineRule="exact"/>
        <w:ind w:right="1129"/>
        <w:jc w:val="both"/>
      </w:pPr>
      <w:r>
        <w:rPr/>
        <w:t>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个月）是指，权益工具投资公允价值月度均</w:t>
      </w:r>
      <w:r>
        <w:rPr>
          <w:spacing w:val="-105"/>
        </w:rPr>
        <w:t> </w:t>
      </w:r>
      <w:r>
        <w:rPr>
          <w:spacing w:val="-105"/>
        </w:rPr>
      </w:r>
      <w:r>
        <w:rPr/>
        <w:t>值连续</w:t>
      </w:r>
      <w:r>
        <w:rPr>
          <w:rFonts w:ascii="Times New Roman" w:hAnsi="Times New Roman" w:cs="Times New Roman" w:eastAsia="Times New Roman" w:hint="default"/>
        </w:rPr>
        <w:t>12</w:t>
      </w:r>
      <w:r>
        <w:rPr/>
        <w:t>个月均低于其初始投资成本。</w:t>
      </w:r>
    </w:p>
    <w:p>
      <w:pPr>
        <w:pStyle w:val="BodyText"/>
        <w:spacing w:line="403" w:lineRule="auto" w:before="185"/>
        <w:ind w:right="6192"/>
        <w:jc w:val="left"/>
      </w:pPr>
      <w:r>
        <w:rPr/>
        <w:t>⑨其他表明金融资产发生减值的客观证据。 以摊余成本计量的金融资产</w:t>
      </w:r>
    </w:p>
    <w:p>
      <w:pPr>
        <w:pStyle w:val="BodyText"/>
        <w:spacing w:line="312" w:lineRule="exact" w:before="82"/>
        <w:ind w:right="1139"/>
        <w:jc w:val="both"/>
      </w:pPr>
      <w:r>
        <w:rPr/>
        <w:t>如果有客观证据表明该金融资产发生减值，则将该金融资产的账面价值减记至预计未来现金 流量（不包括尚未发生的未来信用损失）现值，减记金额计入当期损益。预计未来现金流量 现值，按照该金融资产原实际利率折现确定，并考虑相关担保物的价值。</w:t>
      </w:r>
    </w:p>
    <w:p>
      <w:pPr>
        <w:pStyle w:val="BodyText"/>
        <w:spacing w:line="312" w:lineRule="exact" w:before="216"/>
        <w:ind w:right="1137"/>
        <w:jc w:val="both"/>
      </w:pPr>
      <w:r>
        <w:rPr/>
        <w:t>对单项金额重大的金融资产单独进行减值测试，如有客观证据表明其已发生减值，确认减值 损失，计入当期损益。对单项金额不重大的金融资产，单独进行减值测试或包括在具有类似 信用风险特征的金融资产组合中进行减值测试。单独测试未发生减值的金融资产（包括单项 金额重大和不重大的金融资产），包括在具有类似信用风险特征的金融资产组合中再进行减 值测试。已单项确认减值损失的金融资产，不包括在具有类似信用风险特征的金融资产组合 中进行减值测试。</w:t>
      </w:r>
    </w:p>
    <w:p>
      <w:pPr>
        <w:pStyle w:val="BodyText"/>
        <w:spacing w:line="312" w:lineRule="exact" w:before="216"/>
        <w:ind w:right="1139"/>
        <w:jc w:val="both"/>
      </w:pPr>
      <w:r>
        <w:rPr/>
        <w:t>本集团对以摊余成本计量的金融资产确认减值损失后，如有客观证据表明该金融资产价值已 恢复，且客观上与确认该损失后发生的事项有关，原确认的减值损失予以转回，计入当期损 益。但是，该转回后的账面价值不超过假定不计提减值准备情况下该金融资产在转回日的摊 余成本。</w:t>
      </w:r>
    </w:p>
    <w:p>
      <w:pPr>
        <w:pStyle w:val="BodyText"/>
        <w:spacing w:line="240" w:lineRule="auto" w:before="185"/>
        <w:ind w:right="0"/>
        <w:jc w:val="both"/>
      </w:pPr>
      <w:r>
        <w:rPr/>
        <w:t>可供出售金融资产</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如果有客观证据表明该金融资产发生减值，原直接计入其他综合收益的因公允价值下降形成 的累计损失，予以转出，计入当期损益。该转出的累计损失，为可供出售金融资产的初始取 得成本扣除已收回本金和已摊销金额、当前公允价值和原已计入损益的减值损失后的余额。</w:t>
      </w:r>
    </w:p>
    <w:p>
      <w:pPr>
        <w:pStyle w:val="BodyText"/>
        <w:spacing w:line="240" w:lineRule="auto" w:before="185"/>
        <w:ind w:right="0"/>
        <w:jc w:val="both"/>
      </w:pPr>
      <w:r>
        <w:rPr/>
        <w:t>对于已确认减值损失的可供出售债务工具，在随后的会计期间公允价值已上升且客观上与确</w:t>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817"/>
        <w:jc w:val="left"/>
      </w:pPr>
      <w:r>
        <w:rPr/>
        <w:t>认原减值损失确认后发生的事项有关的，原确认的减值损失予以转回，计入当期损益。可供 出售权益工具投资发生的减值损失，不通过损益转回。</w:t>
      </w:r>
    </w:p>
    <w:p>
      <w:pPr>
        <w:pStyle w:val="BodyText"/>
        <w:spacing w:line="240" w:lineRule="auto" w:before="185"/>
        <w:ind w:right="0"/>
        <w:jc w:val="both"/>
      </w:pPr>
      <w:r>
        <w:rPr/>
        <w:t>以成本计量的金融资产</w:t>
      </w:r>
    </w:p>
    <w:p>
      <w:pPr>
        <w:spacing w:line="240" w:lineRule="auto" w:before="10"/>
        <w:rPr>
          <w:rFonts w:ascii="宋体" w:hAnsi="宋体" w:cs="宋体" w:eastAsia="宋体" w:hint="default"/>
          <w:sz w:val="18"/>
          <w:szCs w:val="18"/>
        </w:rPr>
      </w:pPr>
    </w:p>
    <w:p>
      <w:pPr>
        <w:pStyle w:val="BodyText"/>
        <w:spacing w:line="312" w:lineRule="exact"/>
        <w:ind w:right="994"/>
        <w:jc w:val="left"/>
      </w:pPr>
      <w:r>
        <w:rPr/>
        <w:t>在活跃市场中没有报价且其公允价值不能可靠计量的权益工具投资，或与该权益工具挂钩并</w:t>
      </w:r>
      <w:r>
        <w:rPr>
          <w:spacing w:val="-115"/>
        </w:rPr>
        <w:t> </w:t>
      </w:r>
      <w:r>
        <w:rPr>
          <w:spacing w:val="-115"/>
        </w:rPr>
      </w:r>
      <w:r>
        <w:rPr/>
        <w:t>须通过交付该权益工具结算的衍生金融资产发生减值时，将该金融资产的账面价值，与按照 </w:t>
      </w:r>
      <w:r>
        <w:rPr>
          <w:spacing w:val="-2"/>
        </w:rPr>
        <w:t>类似金融资产当时市场收益率对未来现金流量折现确定的现值之间的差额，确认为减值损失，</w:t>
      </w:r>
      <w:r>
        <w:rPr/>
        <w:t> 计入当期损益。发生的减值损失一经确认，不得转回。</w:t>
      </w:r>
    </w:p>
    <w:p>
      <w:pPr>
        <w:pStyle w:val="BodyText"/>
        <w:spacing w:line="381" w:lineRule="auto" w:before="185"/>
        <w:ind w:right="817"/>
        <w:jc w:val="left"/>
      </w:pPr>
      <w:r>
        <w:rPr/>
        <w:t>（</w:t>
      </w:r>
      <w:r>
        <w:rPr>
          <w:rFonts w:ascii="Times New Roman" w:hAnsi="Times New Roman" w:cs="Times New Roman" w:eastAsia="Times New Roman" w:hint="default"/>
        </w:rPr>
        <w:t>6</w:t>
      </w:r>
      <w:r>
        <w:rPr/>
        <w:t>）金融资产转移 金融资产转移，是指将金融资产让与或交付给该金融资产发行方以外的另一方（转入方）。</w:t>
      </w:r>
    </w:p>
    <w:p>
      <w:pPr>
        <w:pStyle w:val="BodyText"/>
        <w:spacing w:line="312" w:lineRule="exact" w:before="103"/>
        <w:ind w:right="994"/>
        <w:jc w:val="left"/>
      </w:pPr>
      <w:r>
        <w:rPr>
          <w:spacing w:val="-2"/>
        </w:rPr>
        <w:t>本集团已将金融资产所有权上几乎所有的风险和报酬转移给转入方的，终止确认该金融资产；</w:t>
      </w:r>
      <w:r>
        <w:rPr/>
        <w:t> 保留了金融资产所有权上几乎所有的风险和报酬的，不终止确认该金融资产。</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本集团既没有转移也没有保留金融资产所有权上几乎所有的风险和报酬的，分别下列情况处 理：放弃了对该金融资产控制的，终止确认该金融资产并确认产生的资产和负债；未放弃对 该金融资产控制的，按照其继续涉入所转移金融资产的程度确认有关金融资产，并相应确认 有关负债。</w:t>
      </w:r>
    </w:p>
    <w:p>
      <w:pPr>
        <w:pStyle w:val="BodyText"/>
        <w:spacing w:line="240" w:lineRule="auto" w:before="185"/>
        <w:ind w:right="0"/>
        <w:jc w:val="both"/>
      </w:pPr>
      <w:r>
        <w:rPr/>
        <w:t>（</w:t>
      </w:r>
      <w:r>
        <w:rPr>
          <w:rFonts w:ascii="Times New Roman" w:hAnsi="Times New Roman" w:cs="Times New Roman" w:eastAsia="Times New Roman" w:hint="default"/>
        </w:rPr>
        <w:t>7</w:t>
      </w:r>
      <w:r>
        <w:rPr/>
        <w:t>）金融资产和金融负债的抵销</w:t>
      </w:r>
    </w:p>
    <w:p>
      <w:pPr>
        <w:pStyle w:val="BodyText"/>
        <w:spacing w:line="237" w:lineRule="auto" w:before="198"/>
        <w:ind w:right="1129"/>
        <w:jc w:val="both"/>
      </w:pPr>
      <w:r>
        <w:rPr/>
        <w:t>当本集团具有抵销已确认金融资产和金融负债的法定权利，且目前可执行该种法定权利，同 时本集团计划以净额结算或同时变现该金融资产和清偿该金融负债时，金融资产和金融负债 以相互抵销后的金额在资产负债表内列示。除此以外，金融资产和金融负债在资产负债表内</w:t>
      </w:r>
      <w:r>
        <w:rPr>
          <w:spacing w:val="-108"/>
        </w:rPr>
        <w:t> </w:t>
      </w:r>
      <w:r>
        <w:rPr>
          <w:spacing w:val="-108"/>
        </w:rPr>
      </w:r>
      <w:r>
        <w:rPr/>
        <w:t>分别列示，不予相互抵销。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10、 公允价值" w:id="182"/>
      <w:bookmarkEnd w:id="18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817"/>
        <w:jc w:val="left"/>
      </w:pPr>
      <w:r>
        <w:rPr/>
        <w:t>公允价值是指市场参与者在计量日发生的有序交易中，出售一项资产所能收到或者转移一项 负债所需支付的价格。</w:t>
      </w:r>
    </w:p>
    <w:p>
      <w:pPr>
        <w:pStyle w:val="BodyText"/>
        <w:spacing w:line="312" w:lineRule="exact" w:before="216"/>
        <w:ind w:right="1134"/>
        <w:jc w:val="both"/>
      </w:pPr>
      <w:r>
        <w:rPr/>
        <w:t>本集团以公允价值计量相关资产或负债，假定出售资产或者转移负债的有序交易在相关资产 或负债的主要市场进行；不存在主要市场的，本集团假定该交易在相关资产或负债的最有利 市场进行。主要市场（或最有利市场）是本集团在计量日能够进入的交易市场。本集团采用 市场参与者在对该资产或负债定价时为实现其经济利益最大化所使用的假设。</w:t>
      </w:r>
    </w:p>
    <w:p>
      <w:pPr>
        <w:pStyle w:val="BodyText"/>
        <w:spacing w:line="312" w:lineRule="exact" w:before="216"/>
        <w:ind w:right="817"/>
        <w:jc w:val="left"/>
      </w:pPr>
      <w:r>
        <w:rPr/>
        <w:t>存在活跃市场的金融资产或金融负债，本集团采用活跃市场中的报价确定其公允价值。金融</w:t>
      </w:r>
      <w:r>
        <w:rPr>
          <w:spacing w:val="-114"/>
        </w:rPr>
        <w:t> </w:t>
      </w:r>
      <w:r>
        <w:rPr>
          <w:spacing w:val="-114"/>
        </w:rPr>
      </w:r>
      <w:r>
        <w:rPr/>
        <w:t>工具不存在活跃市场的，本集团采用估值技术确定其公允价值。</w:t>
      </w:r>
    </w:p>
    <w:p>
      <w:pPr>
        <w:spacing w:line="240" w:lineRule="auto" w:before="7"/>
        <w:rPr>
          <w:rFonts w:ascii="宋体" w:hAnsi="宋体" w:cs="宋体" w:eastAsia="宋体" w:hint="default"/>
          <w:sz w:val="16"/>
          <w:szCs w:val="16"/>
        </w:rPr>
      </w:pPr>
    </w:p>
    <w:p>
      <w:pPr>
        <w:pStyle w:val="BodyText"/>
        <w:spacing w:line="312" w:lineRule="exact"/>
        <w:ind w:right="994"/>
        <w:jc w:val="left"/>
      </w:pPr>
      <w:r>
        <w:rPr>
          <w:spacing w:val="-2"/>
        </w:rPr>
        <w:t>以公允价值计量非金融资产的，考虑市场参与者将该资产用于最佳用途产生经济利益的能力，</w:t>
      </w:r>
      <w:r>
        <w:rPr/>
        <w:t> 或者将该资产出售给能够用于最佳用途的其他市场参与者产生经济利益的能力。</w:t>
      </w:r>
    </w:p>
    <w:p>
      <w:pPr>
        <w:pStyle w:val="BodyText"/>
        <w:spacing w:line="312" w:lineRule="exact" w:before="216"/>
        <w:ind w:right="817"/>
        <w:jc w:val="left"/>
      </w:pPr>
      <w:r>
        <w:rPr/>
        <w:t>本集团采用在当前情况下适用并且有足够可利用数据和其他信息支持的估值技术，优先使用 相关可观察输入值，只有在可观察输入值无法取得或取得不切实可行的情况下，才使用不可</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观察输入值。</w:t>
      </w:r>
    </w:p>
    <w:p>
      <w:pPr>
        <w:spacing w:line="240" w:lineRule="auto" w:before="7"/>
        <w:rPr>
          <w:rFonts w:ascii="宋体" w:hAnsi="宋体" w:cs="宋体" w:eastAsia="宋体" w:hint="default"/>
          <w:sz w:val="16"/>
          <w:szCs w:val="16"/>
        </w:rPr>
      </w:pPr>
    </w:p>
    <w:p>
      <w:pPr>
        <w:pStyle w:val="BodyText"/>
        <w:spacing w:line="237" w:lineRule="auto"/>
        <w:ind w:right="1138"/>
        <w:jc w:val="both"/>
      </w:pPr>
      <w:r>
        <w:rPr/>
        <w:t>在财务报表中以公允价值计量或披露的资产和负债，根据对公允价值计量整体而言具有重要 意义的最低层次输入值，确定所属的公允价值层次：第一层次输入值，是在计量日能够取得 的相同资产或负债在活跃市场上未经调整的报价；第二层次输入值，是除第一层次输入值外 相关资产或负债直接或间接可观察的输入值；第三层次输入值，是相关资产或负债的不可观 察输入值。</w:t>
      </w:r>
    </w:p>
    <w:p>
      <w:pPr>
        <w:spacing w:line="240" w:lineRule="auto" w:before="9"/>
        <w:rPr>
          <w:rFonts w:ascii="宋体" w:hAnsi="宋体" w:cs="宋体" w:eastAsia="宋体" w:hint="default"/>
          <w:sz w:val="18"/>
          <w:szCs w:val="18"/>
        </w:rPr>
      </w:pPr>
    </w:p>
    <w:p>
      <w:pPr>
        <w:pStyle w:val="BodyText"/>
        <w:spacing w:line="312" w:lineRule="exact"/>
        <w:ind w:right="1139"/>
        <w:jc w:val="both"/>
      </w:pPr>
      <w:r>
        <w:rPr/>
        <w:t>每个资产负债表日，本集团对在财务报表中确认的持续以公允价值计量的资产和负债进行重 新评估，以确定是否在公允价值计量层次之间发生转换。</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11、应收票据及应收账款" w:id="183"/>
      <w:bookmarkEnd w:id="18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单项金额重大并单独计提坏账准备的应收款项"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289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应收款项按照所归属经营管理分部类型（电力板块、铁路与 轨道交通板块、军工板块）不同适用不同的政策和估计：电 力板块：单项金额重大的判断依据或金额标准：期末余额达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万元）以上的应收款项为单项金额重大 的应收款项。铁路与轨道交通板块：单项金额重大的判断依 据或金额标准：期末余额达到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的应收款项为单项金额重大的应收款项。军工板块：单项金 额重大的判断依据或金额标准：期末余额达到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p>
          <w:p>
            <w:pPr>
              <w:pStyle w:val="TableParagraph"/>
              <w:spacing w:line="240" w:lineRule="auto" w:before="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单项金额重大并单项计提坏账准备的计提方法：对于单项金 额重大的应收款项单独进行减值测试，有客观证据表明发生 了减值，根据其未来现金流量现值低于其账面价值的差额计 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单项金额重大经单独测试未发生减值的应收款 项，再按组合计提坏账准备。</w:t>
            </w:r>
          </w:p>
        </w:tc>
      </w:tr>
    </w:tbl>
    <w:p>
      <w:pPr>
        <w:spacing w:line="240" w:lineRule="auto" w:before="2"/>
        <w:rPr>
          <w:rFonts w:ascii="宋体" w:hAnsi="宋体" w:cs="宋体" w:eastAsia="宋体" w:hint="default"/>
          <w:b/>
          <w:bCs/>
          <w:sz w:val="19"/>
          <w:szCs w:val="19"/>
        </w:rPr>
      </w:pPr>
    </w:p>
    <w:p>
      <w:pPr>
        <w:spacing w:before="35"/>
        <w:ind w:left="154" w:right="817" w:firstLine="0"/>
        <w:jc w:val="left"/>
        <w:rPr>
          <w:rFonts w:ascii="宋体" w:hAnsi="宋体" w:cs="宋体" w:eastAsia="宋体" w:hint="default"/>
          <w:sz w:val="21"/>
          <w:szCs w:val="21"/>
        </w:rPr>
      </w:pPr>
      <w:bookmarkStart w:name="（2）按信用风险特征组合计提坏账准备的应收款项"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：应收销货款及除组合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之外的其他 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：其他应收款之应收备用金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：其他应收款之应收保证金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：未逾期的应收银行承兑汇票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：未逾期的应收商业承兑汇票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铁路与轨道交通板块</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：未逾期的应收银行承兑汇票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：未逾期的应收商业承兑汇票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：未逾期的应收银行承兑汇票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：未逾期的应收商业承兑汇票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铁路与轨道交通板块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：其他应收款之应收备用金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：其他应收款之应收保证金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单项金额不重大但单独计提坏账准备的应收款项"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w:t>
            </w:r>
          </w:p>
        </w:tc>
      </w:tr>
    </w:tbl>
    <w:p>
      <w:pPr>
        <w:spacing w:line="240" w:lineRule="auto" w:before="2"/>
        <w:rPr>
          <w:rFonts w:ascii="宋体" w:hAnsi="宋体" w:cs="宋体" w:eastAsia="宋体" w:hint="default"/>
          <w:b/>
          <w:bCs/>
          <w:sz w:val="19"/>
          <w:szCs w:val="19"/>
        </w:rPr>
      </w:pPr>
    </w:p>
    <w:p>
      <w:pPr>
        <w:spacing w:before="35"/>
        <w:ind w:left="154" w:right="817" w:firstLine="0"/>
        <w:jc w:val="left"/>
        <w:rPr>
          <w:rFonts w:ascii="宋体" w:hAnsi="宋体" w:cs="宋体" w:eastAsia="宋体" w:hint="default"/>
          <w:sz w:val="21"/>
          <w:szCs w:val="21"/>
        </w:rPr>
      </w:pPr>
      <w:bookmarkStart w:name="12、存货" w:id="187"/>
      <w:bookmarkEnd w:id="187"/>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09" w:lineRule="exact"/>
        <w:ind w:right="817"/>
        <w:jc w:val="left"/>
      </w:pPr>
      <w:r>
        <w:rPr/>
        <w:t>（</w:t>
      </w:r>
      <w:r>
        <w:rPr>
          <w:rFonts w:ascii="Times New Roman" w:hAnsi="Times New Roman" w:cs="Times New Roman" w:eastAsia="Times New Roman" w:hint="default"/>
        </w:rPr>
        <w:t>1</w:t>
      </w:r>
      <w:r>
        <w:rPr/>
        <w:t>）存货的分类</w:t>
      </w:r>
    </w:p>
    <w:p>
      <w:pPr>
        <w:pStyle w:val="BodyText"/>
        <w:spacing w:line="240" w:lineRule="auto" w:before="195"/>
        <w:ind w:right="817"/>
        <w:jc w:val="left"/>
      </w:pPr>
      <w:r>
        <w:rPr>
          <w:spacing w:val="-3"/>
        </w:rPr>
        <w:t>本集团存货分为在途物资、原材料、在产品、低值易耗品、库存商品、半成品、发出商品等。</w:t>
      </w:r>
    </w:p>
    <w:p>
      <w:pPr>
        <w:pStyle w:val="BodyText"/>
        <w:spacing w:line="240" w:lineRule="auto" w:before="214"/>
        <w:ind w:right="817"/>
        <w:jc w:val="left"/>
      </w:pPr>
      <w:r>
        <w:rPr/>
        <w:t>（</w:t>
      </w:r>
      <w:r>
        <w:rPr>
          <w:rFonts w:ascii="Times New Roman" w:hAnsi="Times New Roman" w:cs="Times New Roman" w:eastAsia="Times New Roman" w:hint="default"/>
        </w:rPr>
        <w:t>2</w:t>
      </w:r>
      <w:r>
        <w:rPr/>
        <w:t>）发出存货的计价方法</w:t>
      </w:r>
    </w:p>
    <w:p>
      <w:pPr>
        <w:pStyle w:val="BodyText"/>
        <w:spacing w:line="240" w:lineRule="auto" w:before="195"/>
        <w:ind w:right="817"/>
        <w:jc w:val="left"/>
      </w:pPr>
      <w:r>
        <w:rPr/>
        <w:t>本集团存货取得时按实际成本计价。原材料、在产品、库存商品、发出商品等发出时采用加 权平均法或个别计价法计价。</w:t>
      </w:r>
    </w:p>
    <w:p>
      <w:pPr>
        <w:pStyle w:val="BodyText"/>
        <w:spacing w:line="240" w:lineRule="auto" w:before="214"/>
        <w:ind w:right="817"/>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spacing w:line="240" w:lineRule="auto" w:before="7"/>
        <w:rPr>
          <w:rFonts w:ascii="宋体" w:hAnsi="宋体" w:cs="宋体" w:eastAsia="宋体" w:hint="default"/>
          <w:sz w:val="16"/>
          <w:szCs w:val="16"/>
        </w:rPr>
      </w:pPr>
    </w:p>
    <w:p>
      <w:pPr>
        <w:pStyle w:val="BodyText"/>
        <w:spacing w:line="312" w:lineRule="exact"/>
        <w:ind w:right="994"/>
        <w:jc w:val="left"/>
      </w:pPr>
      <w:r>
        <w:rPr/>
        <w:t>资产负债表日，存货成本高于其可变现净值的，计提存货跌价准备。本集团通常按照单个或 </w:t>
      </w:r>
      <w:r>
        <w:rPr>
          <w:spacing w:val="-2"/>
        </w:rPr>
        <w:t>类别存货项目计提存货跌价准备，资产负债表日，以前减记存货价值的影响因素已经消失的，</w:t>
      </w:r>
      <w:r>
        <w:rPr/>
        <w:t> 存货跌价准备在原已计提的金额内转回。</w:t>
      </w:r>
    </w:p>
    <w:p>
      <w:pPr>
        <w:pStyle w:val="BodyText"/>
        <w:spacing w:line="381" w:lineRule="auto" w:before="185"/>
        <w:ind w:right="667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81" w:lineRule="auto" w:before="72"/>
        <w:ind w:right="4752"/>
        <w:jc w:val="left"/>
      </w:pPr>
      <w:r>
        <w:rPr/>
        <w:t>（</w:t>
      </w:r>
      <w:r>
        <w:rPr>
          <w:rFonts w:ascii="Times New Roman" w:hAnsi="Times New Roman" w:cs="Times New Roman" w:eastAsia="Times New Roman" w:hint="default"/>
        </w:rPr>
        <w:t>5</w:t>
      </w:r>
      <w:r>
        <w:rPr/>
        <w:t>）低值易耗品和包装物的摊销方法 本集团低值易耗品领用时采用一次转销法或五五摊销法。</w:t>
      </w:r>
    </w:p>
    <w:p>
      <w:pPr>
        <w:spacing w:line="240" w:lineRule="auto" w:before="0"/>
        <w:rPr>
          <w:rFonts w:ascii="宋体" w:hAnsi="宋体" w:cs="宋体" w:eastAsia="宋体" w:hint="default"/>
          <w:sz w:val="24"/>
          <w:szCs w:val="24"/>
        </w:rPr>
      </w:pPr>
    </w:p>
    <w:p>
      <w:pPr>
        <w:spacing w:before="180"/>
        <w:ind w:left="154" w:right="817" w:firstLine="0"/>
        <w:jc w:val="left"/>
        <w:rPr>
          <w:rFonts w:ascii="宋体" w:hAnsi="宋体" w:cs="宋体" w:eastAsia="宋体" w:hint="default"/>
          <w:sz w:val="21"/>
          <w:szCs w:val="21"/>
        </w:rPr>
      </w:pPr>
      <w:bookmarkStart w:name="13、长期股权投资" w:id="188"/>
      <w:bookmarkEnd w:id="188"/>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817"/>
        <w:jc w:val="left"/>
      </w:pPr>
      <w:r>
        <w:rPr/>
        <w:t>长期股权投资包括对子公司的权益性投资。</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w:t>
      </w:r>
      <w:r>
        <w:rPr>
          <w:rFonts w:ascii="Times New Roman" w:hAnsi="Times New Roman" w:cs="Times New Roman" w:eastAsia="Times New Roman" w:hint="default"/>
        </w:rPr>
        <w:t>1</w:t>
      </w:r>
      <w:r>
        <w:rPr/>
        <w:t>）初始投资成本确定</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BodyText"/>
        <w:spacing w:line="312" w:lineRule="exact" w:before="216"/>
        <w:ind w:right="1139"/>
        <w:jc w:val="both"/>
      </w:pPr>
      <w:r>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BodyText"/>
        <w:spacing w:line="381" w:lineRule="auto" w:before="185"/>
        <w:ind w:right="1139"/>
        <w:jc w:val="both"/>
      </w:pPr>
      <w:r>
        <w:rPr/>
        <w:t>（</w:t>
      </w:r>
      <w:r>
        <w:rPr>
          <w:rFonts w:ascii="Times New Roman" w:hAnsi="Times New Roman" w:cs="Times New Roman" w:eastAsia="Times New Roman" w:hint="default"/>
        </w:rPr>
        <w:t>2</w:t>
      </w:r>
      <w:r>
        <w:rPr/>
        <w:t>）后续计量及损益确认方法 对子公司的投资，采用成本法核算，除非投资符合持有待售的条件。</w:t>
      </w:r>
    </w:p>
    <w:p>
      <w:pPr>
        <w:pStyle w:val="BodyText"/>
        <w:spacing w:line="312" w:lineRule="exact" w:before="103"/>
        <w:ind w:right="1139"/>
        <w:jc w:val="both"/>
      </w:pPr>
      <w:r>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BodyText"/>
        <w:spacing w:line="240" w:lineRule="auto" w:before="185"/>
        <w:ind w:right="0"/>
        <w:jc w:val="both"/>
      </w:pPr>
      <w:r>
        <w:rPr/>
        <w:t>（</w:t>
      </w:r>
      <w:r>
        <w:rPr>
          <w:rFonts w:ascii="Times New Roman" w:hAnsi="Times New Roman" w:cs="Times New Roman" w:eastAsia="Times New Roman" w:hint="default"/>
        </w:rPr>
        <w:t>3</w:t>
      </w:r>
      <w:r>
        <w:rPr/>
        <w:t>）减值测试方法及减值准备计提方法</w:t>
      </w:r>
    </w:p>
    <w:p>
      <w:pPr>
        <w:spacing w:line="240" w:lineRule="auto" w:before="4"/>
        <w:rPr>
          <w:rFonts w:ascii="宋体" w:hAnsi="宋体" w:cs="宋体" w:eastAsia="宋体" w:hint="default"/>
          <w:sz w:val="17"/>
          <w:szCs w:val="17"/>
        </w:rPr>
      </w:pPr>
    </w:p>
    <w:p>
      <w:pPr>
        <w:pStyle w:val="BodyText"/>
        <w:spacing w:line="312" w:lineRule="exact"/>
        <w:ind w:right="1130"/>
        <w:jc w:val="both"/>
      </w:pPr>
      <w:r>
        <w:rPr>
          <w:spacing w:val="-2"/>
        </w:rPr>
        <w:t>对子公司、联营企业及合营企业的投资，计提资产减值的方法见本节之</w:t>
      </w:r>
      <w:r>
        <w:rPr>
          <w:rFonts w:ascii="Times New Roman" w:hAnsi="Times New Roman" w:cs="Times New Roman" w:eastAsia="Times New Roman" w:hint="default"/>
          <w:spacing w:val="-2"/>
        </w:rPr>
        <w:t>“</w:t>
      </w:r>
      <w:r>
        <w:rPr>
          <w:spacing w:val="-2"/>
        </w:rPr>
        <w:t>五、重要会计政策及</w:t>
      </w:r>
      <w:r>
        <w:rPr>
          <w:spacing w:val="-106"/>
        </w:rPr>
        <w:t> </w:t>
      </w:r>
      <w:r>
        <w:rPr>
          <w:spacing w:val="-106"/>
        </w:rPr>
      </w:r>
      <w:r>
        <w:rPr/>
        <w:t>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14、投资性房地产" w:id="189"/>
      <w:bookmarkEnd w:id="18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2" w:lineRule="exact" w:before="86"/>
        <w:ind w:right="1139"/>
        <w:jc w:val="both"/>
      </w:pPr>
      <w:r>
        <w:rPr/>
        <w:t>投资性房地产是指为赚取租金或资本增值，或两者兼有而持有的房地产。本集团投资性房地 产是已出租的建筑物。</w:t>
      </w:r>
    </w:p>
    <w:p>
      <w:pPr>
        <w:pStyle w:val="BodyText"/>
        <w:spacing w:line="312" w:lineRule="exact" w:before="216"/>
        <w:ind w:right="1139"/>
        <w:jc w:val="both"/>
      </w:pPr>
      <w:r>
        <w:rPr/>
        <w:t>本集团投资性房地产按照取得时的成本进行初始计量，并按照固定资产或无形资产的有关规 定，按期计提折旧或摊销。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53" w:type="dxa"/>
        <w:tblLayout w:type="fixed"/>
        <w:tblCellMar>
          <w:top w:w="0" w:type="dxa"/>
          <w:left w:w="0" w:type="dxa"/>
          <w:bottom w:w="0" w:type="dxa"/>
          <w:right w:w="0" w:type="dxa"/>
        </w:tblCellMar>
        <w:tblLook w:val="01E0"/>
      </w:tblPr>
      <w:tblGrid>
        <w:gridCol w:w="2204"/>
        <w:gridCol w:w="2945"/>
        <w:gridCol w:w="1680"/>
        <w:gridCol w:w="2454"/>
      </w:tblGrid>
      <w:tr>
        <w:trPr>
          <w:trHeight w:val="347" w:hRule="exact"/>
        </w:trPr>
        <w:tc>
          <w:tcPr>
            <w:tcW w:w="2204"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2945"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249" w:right="0"/>
              <w:jc w:val="center"/>
              <w:rPr>
                <w:rFonts w:ascii="宋体" w:hAnsi="宋体" w:cs="宋体" w:eastAsia="宋体" w:hint="default"/>
                <w:sz w:val="24"/>
                <w:szCs w:val="24"/>
              </w:rPr>
            </w:pPr>
            <w:r>
              <w:rPr>
                <w:rFonts w:ascii="宋体" w:hAnsi="宋体" w:cs="宋体" w:eastAsia="宋体" w:hint="default"/>
                <w:b/>
                <w:bCs/>
                <w:sz w:val="24"/>
                <w:szCs w:val="24"/>
              </w:rPr>
              <w:t>折旧年限（年）</w:t>
            </w:r>
            <w:r>
              <w:rPr>
                <w:rFonts w:ascii="宋体" w:hAnsi="宋体" w:cs="宋体" w:eastAsia="宋体" w:hint="default"/>
                <w:sz w:val="24"/>
                <w:szCs w:val="24"/>
              </w:rPr>
            </w:r>
          </w:p>
        </w:tc>
        <w:tc>
          <w:tcPr>
            <w:tcW w:w="1680"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54" w:right="0"/>
              <w:jc w:val="center"/>
              <w:rPr>
                <w:rFonts w:ascii="宋体" w:hAnsi="宋体" w:cs="宋体" w:eastAsia="宋体" w:hint="default"/>
                <w:sz w:val="24"/>
                <w:szCs w:val="24"/>
              </w:rPr>
            </w:pPr>
            <w:r>
              <w:rPr>
                <w:rFonts w:ascii="宋体" w:hAnsi="宋体" w:cs="宋体" w:eastAsia="宋体" w:hint="default"/>
                <w:b/>
                <w:bCs/>
                <w:sz w:val="24"/>
                <w:szCs w:val="24"/>
              </w:rPr>
              <w:t>残值率</w:t>
            </w:r>
            <w:r>
              <w:rPr>
                <w:rFonts w:ascii="宋体" w:hAnsi="宋体" w:cs="宋体" w:eastAsia="宋体" w:hint="default"/>
                <w:sz w:val="24"/>
                <w:szCs w:val="24"/>
              </w:rPr>
            </w:r>
          </w:p>
        </w:tc>
        <w:tc>
          <w:tcPr>
            <w:tcW w:w="2454" w:type="dxa"/>
            <w:tcBorders>
              <w:top w:val="single" w:sz="6" w:space="0" w:color="000000"/>
              <w:left w:val="nil" w:sz="6" w:space="0" w:color="auto"/>
              <w:bottom w:val="single" w:sz="6" w:space="0" w:color="000000"/>
              <w:right w:val="nil" w:sz="6" w:space="0" w:color="auto"/>
            </w:tcBorders>
          </w:tcPr>
          <w:p>
            <w:pPr>
              <w:pStyle w:val="TableParagraph"/>
              <w:spacing w:line="304" w:lineRule="exact"/>
              <w:ind w:left="131" w:right="0"/>
              <w:jc w:val="center"/>
              <w:rPr>
                <w:rFonts w:ascii="宋体" w:hAnsi="宋体" w:cs="宋体" w:eastAsia="宋体" w:hint="default"/>
                <w:sz w:val="24"/>
                <w:szCs w:val="24"/>
              </w:rPr>
            </w:pPr>
            <w:r>
              <w:rPr>
                <w:rFonts w:ascii="宋体" w:hAnsi="宋体" w:cs="宋体" w:eastAsia="宋体" w:hint="default"/>
                <w:b/>
                <w:bCs/>
                <w:sz w:val="24"/>
                <w:szCs w:val="24"/>
              </w:rPr>
              <w:t>年折旧率（</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348" w:hRule="exact"/>
        </w:trPr>
        <w:tc>
          <w:tcPr>
            <w:tcW w:w="2204"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945" w:type="dxa"/>
            <w:tcBorders>
              <w:top w:val="single" w:sz="6" w:space="0" w:color="000000"/>
              <w:left w:val="nil" w:sz="6" w:space="0" w:color="auto"/>
              <w:bottom w:val="single" w:sz="6" w:space="0" w:color="000000"/>
              <w:right w:val="nil" w:sz="6" w:space="0" w:color="auto"/>
            </w:tcBorders>
          </w:tcPr>
          <w:p>
            <w:pPr>
              <w:pStyle w:val="TableParagraph"/>
              <w:spacing w:line="304" w:lineRule="exact"/>
              <w:ind w:left="251"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w:t>
            </w:r>
            <w:r>
              <w:rPr>
                <w:rFonts w:ascii="宋体" w:hAnsi="宋体" w:cs="宋体" w:eastAsia="宋体" w:hint="default"/>
                <w:sz w:val="24"/>
                <w:szCs w:val="24"/>
              </w:rPr>
              <w:t>、</w:t>
            </w:r>
            <w:r>
              <w:rPr>
                <w:rFonts w:ascii="Times New Roman" w:hAnsi="Times New Roman" w:cs="Times New Roman" w:eastAsia="Times New Roman" w:hint="default"/>
                <w:sz w:val="24"/>
                <w:szCs w:val="24"/>
              </w:rPr>
              <w:t>30</w:t>
            </w:r>
          </w:p>
        </w:tc>
        <w:tc>
          <w:tcPr>
            <w:tcW w:w="1680"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left="51" w:right="0"/>
              <w:jc w:val="center"/>
              <w:rPr>
                <w:rFonts w:ascii="Times New Roman" w:hAnsi="Times New Roman" w:cs="Times New Roman" w:eastAsia="Times New Roman" w:hint="default"/>
                <w:sz w:val="24"/>
                <w:szCs w:val="24"/>
              </w:rPr>
            </w:pPr>
            <w:r>
              <w:rPr>
                <w:rFonts w:ascii="Times New Roman"/>
                <w:sz w:val="24"/>
              </w:rPr>
              <w:t>5%</w:t>
            </w:r>
          </w:p>
        </w:tc>
        <w:tc>
          <w:tcPr>
            <w:tcW w:w="2454" w:type="dxa"/>
            <w:tcBorders>
              <w:top w:val="single" w:sz="6" w:space="0" w:color="000000"/>
              <w:left w:val="nil" w:sz="6" w:space="0" w:color="auto"/>
              <w:bottom w:val="single" w:sz="6" w:space="0" w:color="000000"/>
              <w:right w:val="nil" w:sz="6" w:space="0" w:color="auto"/>
            </w:tcBorders>
          </w:tcPr>
          <w:p>
            <w:pPr>
              <w:pStyle w:val="TableParagraph"/>
              <w:spacing w:line="304" w:lineRule="exact"/>
              <w:ind w:left="132"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3.17</w:t>
            </w:r>
            <w:r>
              <w:rPr>
                <w:rFonts w:ascii="宋体" w:hAnsi="宋体" w:cs="宋体" w:eastAsia="宋体" w:hint="default"/>
                <w:sz w:val="24"/>
                <w:szCs w:val="24"/>
              </w:rPr>
              <w:t>、</w:t>
            </w:r>
            <w:r>
              <w:rPr>
                <w:rFonts w:ascii="Times New Roman" w:hAnsi="Times New Roman" w:cs="Times New Roman" w:eastAsia="Times New Roman" w:hint="default"/>
                <w:sz w:val="24"/>
                <w:szCs w:val="24"/>
              </w:rPr>
              <w:t>4.75</w:t>
            </w:r>
          </w:p>
        </w:tc>
      </w:tr>
    </w:tbl>
    <w:p>
      <w:pPr>
        <w:pStyle w:val="BodyText"/>
        <w:spacing w:line="312" w:lineRule="exact" w:before="111"/>
        <w:ind w:right="1127"/>
        <w:jc w:val="left"/>
      </w:pPr>
      <w:r>
        <w:rPr>
          <w:spacing w:val="-2"/>
        </w:rPr>
        <w:t>采用成本模式进行后续计量的投资性房地产，计提资产减值方法见本节之</w:t>
      </w:r>
      <w:r>
        <w:rPr>
          <w:rFonts w:ascii="Times New Roman" w:hAnsi="Times New Roman" w:cs="Times New Roman" w:eastAsia="Times New Roman" w:hint="default"/>
          <w:spacing w:val="-2"/>
        </w:rPr>
        <w:t>“</w:t>
      </w:r>
      <w:r>
        <w:rPr>
          <w:spacing w:val="-2"/>
        </w:rPr>
        <w:t>五、重要会计政策</w:t>
      </w:r>
      <w:r>
        <w:rPr>
          <w:spacing w:val="-107"/>
        </w:rPr>
        <w:t> </w:t>
      </w:r>
      <w:r>
        <w:rPr>
          <w:spacing w:val="-107"/>
        </w:rPr>
      </w:r>
      <w:r>
        <w:rPr/>
        <w:t>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pStyle w:val="BodyText"/>
        <w:spacing w:line="240" w:lineRule="auto" w:before="185"/>
        <w:ind w:right="817"/>
        <w:jc w:val="left"/>
      </w:pPr>
      <w:r>
        <w:rPr/>
        <w:t>投资性房地产出售、转让、报废或毁损的处置收入扣除其账面价值和相关税费后的差额计入 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15、固定资产" w:id="190"/>
      <w:bookmarkEnd w:id="190"/>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确认条件"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本集团固定资产是指为生产商品、提供劳务、出租或经营管理而持有的，使用寿命超过一个会计年度的有形资产。与该固定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资产有关的经济利益很可能流入企业，并且该固定资产的成本能够可靠地计量时，固定资产才能予以确认。本集团固定资产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按照取得时的实际成本进行初始计量。</w:t>
      </w:r>
    </w:p>
    <w:p>
      <w:pPr>
        <w:spacing w:line="240" w:lineRule="auto" w:before="3"/>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折旧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3.17%</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23.75%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7.92%-31.67%</w:t>
            </w:r>
          </w:p>
        </w:tc>
      </w:tr>
    </w:tbl>
    <w:p>
      <w:pPr>
        <w:pStyle w:val="BodyText"/>
        <w:spacing w:line="274" w:lineRule="exact"/>
        <w:ind w:right="817"/>
        <w:jc w:val="left"/>
      </w:pPr>
      <w:r>
        <w:rPr/>
        <w:t>其中，已计提减值准备的固定资产，还应扣除已计提的固定资产减值准备累计金额计算确定</w:t>
      </w:r>
    </w:p>
    <w:p>
      <w:pPr>
        <w:pStyle w:val="BodyText"/>
        <w:spacing w:line="313" w:lineRule="exact"/>
        <w:ind w:right="817"/>
        <w:jc w:val="left"/>
      </w:pPr>
      <w:r>
        <w:rPr/>
        <w:t>折旧率。</w:t>
      </w:r>
    </w:p>
    <w:p>
      <w:pPr>
        <w:spacing w:line="240" w:lineRule="auto" w:before="9"/>
        <w:rPr>
          <w:rFonts w:ascii="宋体" w:hAnsi="宋体" w:cs="宋体" w:eastAsia="宋体" w:hint="default"/>
          <w:sz w:val="24"/>
          <w:szCs w:val="24"/>
        </w:rPr>
      </w:pPr>
    </w:p>
    <w:p>
      <w:pPr>
        <w:spacing w:before="0"/>
        <w:ind w:left="154" w:right="817" w:firstLine="0"/>
        <w:jc w:val="left"/>
        <w:rPr>
          <w:rFonts w:ascii="宋体" w:hAnsi="宋体" w:cs="宋体" w:eastAsia="宋体" w:hint="default"/>
          <w:sz w:val="21"/>
          <w:szCs w:val="21"/>
        </w:rPr>
      </w:pPr>
      <w:bookmarkStart w:name="（3）融资租入固定资产的认定依据、计价和折旧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spacing w:before="0"/>
        <w:ind w:left="154" w:right="817" w:firstLine="0"/>
        <w:jc w:val="left"/>
        <w:rPr>
          <w:rFonts w:ascii="宋体" w:hAnsi="宋体" w:cs="宋体" w:eastAsia="宋体" w:hint="default"/>
          <w:sz w:val="21"/>
          <w:szCs w:val="21"/>
        </w:rPr>
      </w:pPr>
      <w:bookmarkStart w:name="16、在建工程" w:id="194"/>
      <w:bookmarkEnd w:id="194"/>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7"/>
        <w:ind w:right="817"/>
        <w:jc w:val="left"/>
      </w:pPr>
      <w:r>
        <w:rPr/>
        <w:t>本集团在建工程成本按实际工程支出确定，包括在建期间发生的各项必要工程支出、工程达 到预定可使用状态前的应予资本化的借款费用以及其他相关费用等。</w:t>
      </w:r>
    </w:p>
    <w:p>
      <w:pPr>
        <w:pStyle w:val="BodyText"/>
        <w:spacing w:line="403" w:lineRule="auto" w:before="185"/>
        <w:ind w:right="1072"/>
        <w:jc w:val="left"/>
      </w:pPr>
      <w:r>
        <w:rPr/>
        <w:t>在建工程在达到预定可使用状态时转入固定资产。 在建工程计提资产减值方法见本节之</w:t>
      </w:r>
      <w:r>
        <w:rPr>
          <w:rFonts w:ascii="Times New Roman" w:hAnsi="Times New Roman" w:cs="Times New Roman" w:eastAsia="Times New Roman" w:hint="default"/>
        </w:rPr>
        <w:t>“</w:t>
      </w:r>
      <w:r>
        <w:rPr/>
        <w:t>五、重要会计政策及会计估计之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33"/>
          <w:szCs w:val="33"/>
        </w:rPr>
      </w:pPr>
    </w:p>
    <w:p>
      <w:pPr>
        <w:spacing w:before="0"/>
        <w:ind w:left="154" w:right="817" w:firstLine="0"/>
        <w:jc w:val="left"/>
        <w:rPr>
          <w:rFonts w:ascii="宋体" w:hAnsi="宋体" w:cs="宋体" w:eastAsia="宋体" w:hint="default"/>
          <w:sz w:val="21"/>
          <w:szCs w:val="21"/>
        </w:rPr>
      </w:pPr>
      <w:bookmarkStart w:name="17、借款费用" w:id="195"/>
      <w:bookmarkEnd w:id="195"/>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817"/>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17"/>
          <w:szCs w:val="17"/>
        </w:rPr>
      </w:pPr>
    </w:p>
    <w:p>
      <w:pPr>
        <w:pStyle w:val="BodyText"/>
        <w:spacing w:line="312" w:lineRule="exact"/>
        <w:ind w:right="817"/>
        <w:jc w:val="left"/>
      </w:pPr>
      <w:r>
        <w:rPr/>
        <w:t>本集团发生的借款费用，可直接归属于符合资本化条件的资产的购建或者生产的，予以资本 </w:t>
      </w:r>
      <w:r>
        <w:rPr>
          <w:spacing w:val="-3"/>
        </w:rPr>
        <w:t>化，计入相关资产成本；其他借款费用，在发生时根据其发生额确认为费用，计入当期损益。</w:t>
      </w:r>
      <w:r>
        <w:rPr>
          <w:spacing w:val="-81"/>
        </w:rPr>
        <w:t> </w:t>
      </w:r>
      <w:r>
        <w:rPr>
          <w:spacing w:val="-81"/>
        </w:rPr>
      </w:r>
      <w:r>
        <w:rPr/>
        <w:t>借款费用同时满足下列条件的，开始资本化：</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056"/>
        <w:jc w:val="left"/>
      </w:pPr>
      <w:r>
        <w:rPr/>
        <w:t>①</w:t>
      </w:r>
      <w:r>
        <w:rPr>
          <w:spacing w:val="-24"/>
        </w:rPr>
        <w:t> </w:t>
      </w:r>
      <w:r>
        <w:rPr/>
        <w:t>资产支出已经发生，资产支出包括为购建或者生产符合资本化条件的资产而以支付现金、</w:t>
      </w:r>
      <w:r>
        <w:rPr/>
        <w:t> 转移非现金资产或者承担带息债务形式发生的支出；</w:t>
      </w:r>
    </w:p>
    <w:p>
      <w:pPr>
        <w:pStyle w:val="BodyText"/>
        <w:spacing w:line="240" w:lineRule="auto" w:before="185"/>
        <w:ind w:right="0"/>
        <w:jc w:val="both"/>
      </w:pPr>
      <w:r>
        <w:rPr/>
        <w:t>②</w:t>
      </w:r>
      <w:r>
        <w:rPr>
          <w:spacing w:val="-24"/>
        </w:rPr>
        <w:t> </w:t>
      </w:r>
      <w:r>
        <w:rPr/>
        <w:t>借款费用已经发生；</w:t>
      </w:r>
    </w:p>
    <w:p>
      <w:pPr>
        <w:pStyle w:val="BodyText"/>
        <w:spacing w:line="240" w:lineRule="auto" w:before="214"/>
        <w:ind w:right="0"/>
        <w:jc w:val="both"/>
      </w:pPr>
      <w:r>
        <w:rPr/>
        <w:t>③</w:t>
      </w:r>
      <w:r>
        <w:rPr>
          <w:spacing w:val="-24"/>
        </w:rPr>
        <w:t> </w:t>
      </w:r>
      <w:r>
        <w:rPr/>
        <w:t>为使资产达到预定可使用或者可销售状态所必要的购建或者生产活动已经开始。</w:t>
      </w:r>
    </w:p>
    <w:p>
      <w:pPr>
        <w:pStyle w:val="BodyText"/>
        <w:spacing w:line="240" w:lineRule="auto" w:before="214"/>
        <w:ind w:right="0"/>
        <w:jc w:val="both"/>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17"/>
          <w:szCs w:val="17"/>
        </w:rPr>
      </w:pPr>
    </w:p>
    <w:p>
      <w:pPr>
        <w:pStyle w:val="BodyText"/>
        <w:spacing w:line="312" w:lineRule="exact"/>
        <w:ind w:right="994"/>
        <w:jc w:val="left"/>
      </w:pPr>
      <w:r>
        <w:rPr/>
        <w:t>本集团购建或者生产符合资本化条件的资产达到预定可使用或者可销售状态时，借款费用停 </w:t>
      </w:r>
      <w:r>
        <w:rPr>
          <w:spacing w:val="-2"/>
        </w:rPr>
        <w:t>止资本化。在符合资本化条件的资产达到预定可使用或者可销售状态之后所发生的借款费用，</w:t>
      </w:r>
      <w:r>
        <w:rPr/>
        <w:t> 在发生时根据其发生额确认为费用，计入当期损益。</w:t>
      </w:r>
    </w:p>
    <w:p>
      <w:pPr>
        <w:spacing w:line="240" w:lineRule="auto" w:before="7"/>
        <w:rPr>
          <w:rFonts w:ascii="宋体" w:hAnsi="宋体" w:cs="宋体" w:eastAsia="宋体" w:hint="default"/>
          <w:sz w:val="16"/>
          <w:szCs w:val="16"/>
        </w:rPr>
      </w:pPr>
    </w:p>
    <w:p>
      <w:pPr>
        <w:pStyle w:val="BodyText"/>
        <w:spacing w:line="312" w:lineRule="exact"/>
        <w:ind w:right="817"/>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w:t>
      </w:r>
      <w:r>
        <w:rPr>
          <w:spacing w:val="-97"/>
        </w:rPr>
        <w:t> </w:t>
      </w:r>
      <w:r>
        <w:rPr/>
        <w:t>的，暂停借款费用的资本化；正常中断期间的借款费用继续资本化。</w:t>
      </w:r>
    </w:p>
    <w:p>
      <w:pPr>
        <w:pStyle w:val="BodyText"/>
        <w:spacing w:line="240" w:lineRule="auto" w:before="185"/>
        <w:ind w:right="0"/>
        <w:jc w:val="both"/>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17"/>
          <w:szCs w:val="17"/>
        </w:rPr>
      </w:pPr>
    </w:p>
    <w:p>
      <w:pPr>
        <w:pStyle w:val="BodyText"/>
        <w:spacing w:line="312" w:lineRule="exact"/>
        <w:ind w:right="1139"/>
        <w:jc w:val="both"/>
      </w:pPr>
      <w:r>
        <w:rPr/>
        <w:t>专门借款当期实际发生的利息费用，减去尚未动用的借款资金存入银行取得的利息收入或进 行暂时性投资取得的投资收益后的金额予以资本化；一般借款根据累计资产支出超过专门借 款部分的资产支出加权平均数乘以所占用一般借款的资本化率，确定资本化金额。资本化率 根据一般借款的加权平均利率计算确定。</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18、 无形资产" w:id="196"/>
      <w:bookmarkEnd w:id="196"/>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本集团无形资产包括土地使用权、办公软件、专利和非专利技术等。</w:t>
      </w:r>
    </w:p>
    <w:p>
      <w:pPr>
        <w:spacing w:line="240" w:lineRule="auto" w:before="9"/>
        <w:rPr>
          <w:rFonts w:ascii="宋体" w:hAnsi="宋体" w:cs="宋体" w:eastAsia="宋体" w:hint="default"/>
          <w:sz w:val="18"/>
          <w:szCs w:val="18"/>
        </w:rPr>
      </w:pPr>
    </w:p>
    <w:p>
      <w:pPr>
        <w:pStyle w:val="BodyText"/>
        <w:spacing w:line="312" w:lineRule="exact"/>
        <w:ind w:right="1132"/>
        <w:jc w:val="both"/>
      </w:pPr>
      <w:r>
        <w:rPr/>
        <w:t>无形资产按照成本进行初始计量，并于取得无形资产时分析判断其使用寿命。使用寿命为有 限的，自无形资产可供使用时起，采用能反映与该资产有关的经济利益的预期实现方式的摊</w:t>
      </w:r>
      <w:r>
        <w:rPr>
          <w:spacing w:val="-112"/>
        </w:rPr>
        <w:t> </w:t>
      </w:r>
      <w:r>
        <w:rPr>
          <w:spacing w:val="-112"/>
        </w:rPr>
      </w:r>
      <w:r>
        <w:rPr/>
        <w:t>销方法，在预计使用年限内摊销；无法可靠确定预期实现方式的，采用直线法摊销；使用寿 命不确定的无形资产，不作摊销。</w:t>
      </w:r>
    </w:p>
    <w:p>
      <w:pPr>
        <w:pStyle w:val="BodyText"/>
        <w:spacing w:line="240" w:lineRule="auto" w:before="185"/>
        <w:ind w:right="0"/>
        <w:jc w:val="both"/>
      </w:pPr>
      <w:r>
        <w:rPr/>
        <w:t>使用寿命有限的无形资产摊销方法如下：</w:t>
      </w:r>
    </w:p>
    <w:p>
      <w:pPr>
        <w:spacing w:line="240" w:lineRule="auto" w:before="4"/>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3221"/>
        <w:gridCol w:w="3983"/>
        <w:gridCol w:w="1814"/>
      </w:tblGrid>
      <w:tr>
        <w:trPr>
          <w:trHeight w:val="349" w:hRule="exact"/>
        </w:trPr>
        <w:tc>
          <w:tcPr>
            <w:tcW w:w="3221"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3983"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766" w:right="0"/>
              <w:jc w:val="center"/>
              <w:rPr>
                <w:rFonts w:ascii="宋体" w:hAnsi="宋体" w:cs="宋体" w:eastAsia="宋体" w:hint="default"/>
                <w:sz w:val="24"/>
                <w:szCs w:val="24"/>
              </w:rPr>
            </w:pPr>
            <w:r>
              <w:rPr>
                <w:rFonts w:ascii="宋体" w:hAnsi="宋体" w:cs="宋体" w:eastAsia="宋体" w:hint="default"/>
                <w:b/>
                <w:bCs/>
                <w:sz w:val="24"/>
                <w:szCs w:val="24"/>
              </w:rPr>
              <w:t>预计使用寿命（年）</w:t>
            </w:r>
            <w:r>
              <w:rPr>
                <w:rFonts w:ascii="宋体" w:hAnsi="宋体" w:cs="宋体" w:eastAsia="宋体" w:hint="default"/>
                <w:sz w:val="24"/>
                <w:szCs w:val="24"/>
              </w:rPr>
            </w:r>
          </w:p>
        </w:tc>
        <w:tc>
          <w:tcPr>
            <w:tcW w:w="1814"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38"/>
              <w:jc w:val="center"/>
              <w:rPr>
                <w:rFonts w:ascii="宋体" w:hAnsi="宋体" w:cs="宋体" w:eastAsia="宋体" w:hint="default"/>
                <w:sz w:val="24"/>
                <w:szCs w:val="24"/>
              </w:rPr>
            </w:pPr>
            <w:r>
              <w:rPr>
                <w:rFonts w:ascii="宋体" w:hAnsi="宋体" w:cs="宋体" w:eastAsia="宋体" w:hint="default"/>
                <w:b/>
                <w:bCs/>
                <w:sz w:val="24"/>
                <w:szCs w:val="24"/>
              </w:rPr>
              <w:t>净残值</w:t>
            </w:r>
            <w:r>
              <w:rPr>
                <w:rFonts w:ascii="宋体" w:hAnsi="宋体" w:cs="宋体" w:eastAsia="宋体" w:hint="default"/>
                <w:sz w:val="24"/>
                <w:szCs w:val="24"/>
              </w:rPr>
            </w:r>
          </w:p>
        </w:tc>
      </w:tr>
      <w:tr>
        <w:trPr>
          <w:trHeight w:val="347" w:hRule="exact"/>
        </w:trPr>
        <w:tc>
          <w:tcPr>
            <w:tcW w:w="322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39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67" w:right="0"/>
              <w:jc w:val="center"/>
              <w:rPr>
                <w:rFonts w:ascii="Times New Roman" w:hAnsi="Times New Roman" w:cs="Times New Roman" w:eastAsia="Times New Roman" w:hint="default"/>
                <w:sz w:val="24"/>
                <w:szCs w:val="24"/>
              </w:rPr>
            </w:pPr>
            <w:r>
              <w:rPr>
                <w:rFonts w:ascii="Times New Roman"/>
                <w:sz w:val="24"/>
              </w:rPr>
              <w:t>30-50</w:t>
            </w:r>
          </w:p>
        </w:tc>
        <w:tc>
          <w:tcPr>
            <w:tcW w:w="1814"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39"/>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348" w:hRule="exact"/>
        </w:trPr>
        <w:tc>
          <w:tcPr>
            <w:tcW w:w="322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办公软件</w:t>
            </w:r>
          </w:p>
        </w:tc>
        <w:tc>
          <w:tcPr>
            <w:tcW w:w="39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67" w:right="0"/>
              <w:jc w:val="center"/>
              <w:rPr>
                <w:rFonts w:ascii="Times New Roman" w:hAnsi="Times New Roman" w:cs="Times New Roman" w:eastAsia="Times New Roman" w:hint="default"/>
                <w:sz w:val="24"/>
                <w:szCs w:val="24"/>
              </w:rPr>
            </w:pPr>
            <w:r>
              <w:rPr>
                <w:rFonts w:ascii="Times New Roman"/>
                <w:sz w:val="24"/>
              </w:rPr>
              <w:t>1-10</w:t>
            </w:r>
          </w:p>
        </w:tc>
        <w:tc>
          <w:tcPr>
            <w:tcW w:w="1814"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39"/>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347" w:hRule="exact"/>
        </w:trPr>
        <w:tc>
          <w:tcPr>
            <w:tcW w:w="3221"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9" w:right="0"/>
              <w:jc w:val="left"/>
              <w:rPr>
                <w:rFonts w:ascii="宋体" w:hAnsi="宋体" w:cs="宋体" w:eastAsia="宋体" w:hint="default"/>
                <w:sz w:val="24"/>
                <w:szCs w:val="24"/>
              </w:rPr>
            </w:pPr>
            <w:r>
              <w:rPr>
                <w:rFonts w:ascii="宋体" w:hAnsi="宋体" w:cs="宋体" w:eastAsia="宋体" w:hint="default"/>
                <w:sz w:val="24"/>
                <w:szCs w:val="24"/>
              </w:rPr>
              <w:t>专利和非专利技术</w:t>
            </w:r>
          </w:p>
        </w:tc>
        <w:tc>
          <w:tcPr>
            <w:tcW w:w="398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767" w:right="0"/>
              <w:jc w:val="center"/>
              <w:rPr>
                <w:rFonts w:ascii="Times New Roman" w:hAnsi="Times New Roman" w:cs="Times New Roman" w:eastAsia="Times New Roman" w:hint="default"/>
                <w:sz w:val="24"/>
                <w:szCs w:val="24"/>
              </w:rPr>
            </w:pPr>
            <w:r>
              <w:rPr>
                <w:rFonts w:ascii="Times New Roman"/>
                <w:sz w:val="24"/>
              </w:rPr>
              <w:t>5-10</w:t>
            </w:r>
          </w:p>
        </w:tc>
        <w:tc>
          <w:tcPr>
            <w:tcW w:w="1814"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39"/>
              <w:jc w:val="center"/>
              <w:rPr>
                <w:rFonts w:ascii="宋体" w:hAnsi="宋体" w:cs="宋体" w:eastAsia="宋体" w:hint="default"/>
                <w:sz w:val="24"/>
                <w:szCs w:val="24"/>
              </w:rPr>
            </w:pPr>
            <w:r>
              <w:rPr>
                <w:rFonts w:ascii="宋体" w:hAnsi="宋体" w:cs="宋体" w:eastAsia="宋体" w:hint="default"/>
                <w:sz w:val="24"/>
                <w:szCs w:val="24"/>
              </w:rPr>
              <w:t>－</w:t>
            </w:r>
          </w:p>
        </w:tc>
      </w:tr>
    </w:tbl>
    <w:p>
      <w:pPr>
        <w:pStyle w:val="BodyText"/>
        <w:spacing w:line="312" w:lineRule="exact" w:before="111"/>
        <w:ind w:right="817"/>
        <w:jc w:val="left"/>
      </w:pPr>
      <w:r>
        <w:rPr/>
        <w:t>本集团于每年年度终了，对使用寿命有限的无形资产的使用寿命及摊销方法进行复核，与以 前估计不同的，调整原先估计数，并按会计估计变更处理。</w:t>
      </w:r>
    </w:p>
    <w:p>
      <w:pPr>
        <w:pStyle w:val="BodyText"/>
        <w:spacing w:line="240" w:lineRule="auto" w:before="185"/>
        <w:ind w:right="817"/>
        <w:jc w:val="left"/>
      </w:pPr>
      <w:r>
        <w:rPr/>
        <w:t>资产负债表日预计某项无形资产已经不能给企业带来未来经济利益的，将该项无形资产的账 面价值全部转入当期损益。</w:t>
      </w:r>
    </w:p>
    <w:p>
      <w:pPr>
        <w:pStyle w:val="BodyText"/>
        <w:spacing w:line="240" w:lineRule="auto" w:before="214"/>
        <w:ind w:right="817"/>
        <w:jc w:val="left"/>
      </w:pPr>
      <w:r>
        <w:rPr/>
        <w:t>无形资产计提资产减值方法见本节之</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19、 研究开发支出" w:id="197"/>
      <w:bookmarkEnd w:id="197"/>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研究开发支出</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403" w:lineRule="auto"/>
        <w:ind w:right="817"/>
        <w:jc w:val="left"/>
      </w:pPr>
      <w:r>
        <w:rPr/>
        <w:t>本集团将内部研究开发项目的支出，区分为研究阶段支出和开发阶段支出。 研究阶段的支出，于发生时计入当期损益。</w:t>
      </w:r>
    </w:p>
    <w:p>
      <w:pPr>
        <w:pStyle w:val="BodyText"/>
        <w:spacing w:line="312" w:lineRule="exact" w:before="81"/>
        <w:ind w:right="1013"/>
        <w:jc w:val="both"/>
      </w:pPr>
      <w:r>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w:t>
      </w:r>
      <w:r>
        <w:rPr>
          <w:spacing w:val="-116"/>
        </w:rPr>
        <w:t> </w:t>
      </w:r>
      <w:r>
        <w:rPr>
          <w:spacing w:val="-116"/>
        </w:rPr>
      </w:r>
      <w:r>
        <w:rPr/>
        <w:t>持，以完成该无形资产的开发，并有能力使用或出售该无形资产；归属于该无形资产开发阶 段的支出能够可靠地计量。不满足上述条件的开发支出计入当期损益。</w:t>
      </w:r>
    </w:p>
    <w:p>
      <w:pPr>
        <w:spacing w:line="240" w:lineRule="auto" w:before="7"/>
        <w:rPr>
          <w:rFonts w:ascii="宋体" w:hAnsi="宋体" w:cs="宋体" w:eastAsia="宋体" w:hint="default"/>
          <w:sz w:val="16"/>
          <w:szCs w:val="16"/>
        </w:rPr>
      </w:pPr>
    </w:p>
    <w:p>
      <w:pPr>
        <w:pStyle w:val="BodyText"/>
        <w:spacing w:line="312" w:lineRule="exact"/>
        <w:ind w:right="994"/>
        <w:jc w:val="left"/>
      </w:pPr>
      <w:r>
        <w:rPr>
          <w:spacing w:val="-2"/>
        </w:rPr>
        <w:t>本集团研究开发项目在满足上述条件，通过技术可行性及经济可行性研究，形成项目立项后，</w:t>
      </w:r>
      <w:r>
        <w:rPr/>
        <w:t> 进入开发阶段。</w:t>
      </w:r>
    </w:p>
    <w:p>
      <w:pPr>
        <w:spacing w:line="240" w:lineRule="auto" w:before="7"/>
        <w:rPr>
          <w:rFonts w:ascii="宋体" w:hAnsi="宋体" w:cs="宋体" w:eastAsia="宋体" w:hint="default"/>
          <w:sz w:val="16"/>
          <w:szCs w:val="16"/>
        </w:rPr>
      </w:pPr>
    </w:p>
    <w:p>
      <w:pPr>
        <w:pStyle w:val="BodyText"/>
        <w:spacing w:line="312" w:lineRule="exact"/>
        <w:ind w:right="817"/>
        <w:jc w:val="left"/>
      </w:pPr>
      <w:r>
        <w:rPr/>
        <w:t>已资本化的开发阶段的支出在资产负债表上列示为开发支出，自该项目达到预定可使用状态 之日转为无形资产。</w:t>
      </w:r>
    </w:p>
    <w:p>
      <w:pPr>
        <w:pStyle w:val="BodyText"/>
        <w:spacing w:line="403" w:lineRule="auto" w:before="185"/>
        <w:ind w:right="817"/>
        <w:jc w:val="left"/>
      </w:pPr>
      <w:r>
        <w:rPr/>
        <w:t>具体研发项目的资本化条件： 本集团内部研究开发项目的支出分为研究阶段支出和开发阶段支出。</w:t>
      </w:r>
    </w:p>
    <w:p>
      <w:pPr>
        <w:pStyle w:val="BodyText"/>
        <w:spacing w:line="240" w:lineRule="auto" w:before="50"/>
        <w:ind w:right="817"/>
        <w:jc w:val="left"/>
      </w:pPr>
      <w:r>
        <w:rPr/>
        <w:t>研究阶段：为获取并理解新的科学或技术知识等而进行的独创性的有计划调查、研究活动的</w:t>
      </w:r>
      <w:r>
        <w:rPr>
          <w:spacing w:val="-117"/>
        </w:rPr>
        <w:t> </w:t>
      </w:r>
      <w:r>
        <w:rPr>
          <w:spacing w:val="-117"/>
        </w:rPr>
      </w:r>
      <w:r>
        <w:rPr/>
        <w:t>阶段。</w:t>
      </w:r>
    </w:p>
    <w:p>
      <w:pPr>
        <w:spacing w:line="240" w:lineRule="auto" w:before="9"/>
        <w:rPr>
          <w:rFonts w:ascii="宋体" w:hAnsi="宋体" w:cs="宋体" w:eastAsia="宋体" w:hint="default"/>
          <w:sz w:val="18"/>
          <w:szCs w:val="18"/>
        </w:rPr>
      </w:pPr>
    </w:p>
    <w:p>
      <w:pPr>
        <w:pStyle w:val="BodyText"/>
        <w:spacing w:line="312" w:lineRule="exact"/>
        <w:ind w:right="817"/>
        <w:jc w:val="left"/>
      </w:pPr>
      <w:r>
        <w:rPr/>
        <w:t>开发阶段：在进行商业性生产或使用前，将研究成果或其他知识应用于某项计划或设计，以 生产出新的或具有实质性改进的产品等活动的阶段。</w:t>
      </w:r>
    </w:p>
    <w:p>
      <w:pPr>
        <w:pStyle w:val="BodyText"/>
        <w:spacing w:line="403" w:lineRule="auto" w:before="185"/>
        <w:ind w:right="2832"/>
        <w:jc w:val="left"/>
      </w:pPr>
      <w:r>
        <w:rPr/>
        <w:t>开发阶段支出符合资本化的具体标准 内部研究开发项目开发阶段的支出，同时满足下列条件时确认为无形资产：</w:t>
      </w:r>
    </w:p>
    <w:p>
      <w:pPr>
        <w:pStyle w:val="BodyText"/>
        <w:spacing w:line="240" w:lineRule="auto" w:before="50"/>
        <w:ind w:right="0"/>
        <w:jc w:val="both"/>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95"/>
        <w:ind w:right="0"/>
        <w:jc w:val="both"/>
      </w:pPr>
      <w:r>
        <w:rPr/>
        <w:t>（</w:t>
      </w:r>
      <w:r>
        <w:rPr>
          <w:rFonts w:ascii="Times New Roman" w:hAnsi="Times New Roman" w:cs="Times New Roman" w:eastAsia="Times New Roman" w:hint="default"/>
        </w:rPr>
        <w:t>2</w:t>
      </w:r>
      <w:r>
        <w:rPr/>
        <w:t>）具有完成该无形资产并使用或出售的意图；</w:t>
      </w:r>
    </w:p>
    <w:p>
      <w:pPr>
        <w:spacing w:line="240" w:lineRule="auto" w:before="4"/>
        <w:rPr>
          <w:rFonts w:ascii="宋体" w:hAnsi="宋体" w:cs="宋体" w:eastAsia="宋体" w:hint="default"/>
          <w:sz w:val="17"/>
          <w:szCs w:val="17"/>
        </w:rPr>
      </w:pPr>
    </w:p>
    <w:p>
      <w:pPr>
        <w:pStyle w:val="BodyText"/>
        <w:spacing w:line="312" w:lineRule="exact"/>
        <w:ind w:right="1114"/>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w:t>
      </w:r>
      <w:r>
        <w:rPr/>
        <w:t> 形资产自身存在市场，无形资产将在内部使用的，能够证明其有用性；</w:t>
      </w:r>
    </w:p>
    <w:p>
      <w:pPr>
        <w:spacing w:line="240" w:lineRule="auto" w:before="7"/>
        <w:rPr>
          <w:rFonts w:ascii="宋体" w:hAnsi="宋体" w:cs="宋体" w:eastAsia="宋体" w:hint="default"/>
          <w:sz w:val="16"/>
          <w:szCs w:val="16"/>
        </w:rPr>
      </w:pPr>
    </w:p>
    <w:p>
      <w:pPr>
        <w:pStyle w:val="BodyText"/>
        <w:spacing w:line="312" w:lineRule="exact"/>
        <w:ind w:right="817"/>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w:t>
      </w:r>
      <w:r>
        <w:rPr>
          <w:spacing w:val="-81"/>
        </w:rPr>
        <w:t> </w:t>
      </w:r>
      <w:r>
        <w:rPr>
          <w:spacing w:val="-81"/>
        </w:rPr>
      </w:r>
      <w:r>
        <w:rPr/>
        <w:t>出售该无形资产；</w:t>
      </w:r>
    </w:p>
    <w:p>
      <w:pPr>
        <w:pStyle w:val="BodyText"/>
        <w:spacing w:line="240" w:lineRule="auto" w:before="185"/>
        <w:ind w:right="0"/>
        <w:jc w:val="both"/>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4"/>
        <w:rPr>
          <w:rFonts w:ascii="宋体" w:hAnsi="宋体" w:cs="宋体" w:eastAsia="宋体" w:hint="default"/>
          <w:sz w:val="17"/>
          <w:szCs w:val="17"/>
        </w:rPr>
      </w:pPr>
    </w:p>
    <w:p>
      <w:pPr>
        <w:pStyle w:val="BodyText"/>
        <w:spacing w:line="312" w:lineRule="exact"/>
        <w:ind w:right="817"/>
        <w:jc w:val="left"/>
      </w:pPr>
      <w:r>
        <w:rPr/>
        <w:t>开发阶段的支出，若不满足上列条件的，于发生时计入当期损益。研究阶段的支出，在发生 时计入当期损益。</w:t>
      </w:r>
    </w:p>
    <w:p>
      <w:pPr>
        <w:spacing w:after="0" w:line="31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1）计价方法、使用寿命、减值测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1"/>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2）内部研究开发支出会计政策"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20、长期资产减值" w:id="200"/>
      <w:bookmarkEnd w:id="200"/>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9"/>
        <w:jc w:val="both"/>
      </w:pPr>
      <w:r>
        <w:rPr/>
        <w:t>对子公司的长期股权投资、采用成本模式进行后续计量的投资性房地产、固定资产、在建工 程、无形资产、商誉等的资产减值，按以下方法确定：</w:t>
      </w:r>
    </w:p>
    <w:p>
      <w:pPr>
        <w:spacing w:line="240" w:lineRule="auto" w:before="7"/>
        <w:rPr>
          <w:rFonts w:ascii="宋体" w:hAnsi="宋体" w:cs="宋体" w:eastAsia="宋体" w:hint="default"/>
          <w:sz w:val="16"/>
          <w:szCs w:val="16"/>
        </w:rPr>
      </w:pPr>
    </w:p>
    <w:p>
      <w:pPr>
        <w:pStyle w:val="BodyText"/>
        <w:spacing w:line="312" w:lineRule="exact"/>
        <w:ind w:right="1139"/>
        <w:jc w:val="both"/>
      </w:pPr>
      <w:r>
        <w:rPr/>
        <w:t>于资产负债表日判断资产是否存在可能发生减值的迹象，存在减值迹象的，本集团将估计其 可收回金额，进行减值测试。对因企业合并所形成的商誉、使用寿命不确定的无形资产和尚 未达到可使用状态的无形资产无论是否存在减值迹象，每年都进行减值测试。</w:t>
      </w:r>
    </w:p>
    <w:p>
      <w:pPr>
        <w:pStyle w:val="BodyText"/>
        <w:spacing w:line="312" w:lineRule="exact" w:before="216"/>
        <w:ind w:right="1129"/>
        <w:jc w:val="both"/>
      </w:pPr>
      <w:r>
        <w:rPr/>
        <w:t>可收回金额根据资产的公允价值减去处置费用后的净额与资产预计未来现金流量的现值两者 之间较高者确定。本集团以单项资产为基础估计其可收回金额；难以对单项资产的可收回金 额进行估计的，以该资产所属的资产组为基础确定资产组的可收回金额。资产组的认定，以</w:t>
      </w:r>
      <w:r>
        <w:rPr>
          <w:spacing w:val="-110"/>
        </w:rPr>
        <w:t> </w:t>
      </w:r>
      <w:r>
        <w:rPr>
          <w:spacing w:val="-110"/>
        </w:rPr>
      </w:r>
      <w:r>
        <w:rPr/>
        <w:t>资产组产生的主要现金流入是否独立于其他资产或者资产组的现金流入为依据。</w:t>
      </w:r>
    </w:p>
    <w:p>
      <w:pPr>
        <w:pStyle w:val="BodyText"/>
        <w:spacing w:line="312" w:lineRule="exact" w:before="216"/>
        <w:ind w:right="1139"/>
        <w:jc w:val="both"/>
      </w:pPr>
      <w:r>
        <w:rPr/>
        <w:t>当资产或资产组的可收回金额低于其账面价值时，本集团将其账面价值减记至可收回金额， 减记的金额计入当期损益，同时计提相应的资产减值准备。</w:t>
      </w:r>
    </w:p>
    <w:p>
      <w:pPr>
        <w:spacing w:line="240" w:lineRule="auto" w:before="7"/>
        <w:rPr>
          <w:rFonts w:ascii="宋体" w:hAnsi="宋体" w:cs="宋体" w:eastAsia="宋体" w:hint="default"/>
          <w:sz w:val="16"/>
          <w:szCs w:val="16"/>
        </w:rPr>
      </w:pPr>
    </w:p>
    <w:p>
      <w:pPr>
        <w:pStyle w:val="BodyText"/>
        <w:spacing w:line="312" w:lineRule="exact"/>
        <w:ind w:right="1135"/>
        <w:jc w:val="both"/>
      </w:pPr>
      <w:r>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不大于本集团确定的报告分部。</w:t>
      </w:r>
    </w:p>
    <w:p>
      <w:pPr>
        <w:pStyle w:val="BodyText"/>
        <w:spacing w:line="312" w:lineRule="exact" w:before="216"/>
        <w:ind w:right="1135"/>
        <w:jc w:val="both"/>
      </w:pPr>
      <w:r>
        <w:rPr/>
        <w:t>减值测试时，如与商誉相关的资产组或者资产组组合存在减值迹象的，首先对不包含商誉的</w:t>
      </w:r>
      <w:r>
        <w:rPr>
          <w:spacing w:val="-116"/>
        </w:rPr>
        <w:t> </w:t>
      </w:r>
      <w:r>
        <w:rPr>
          <w:spacing w:val="-116"/>
        </w:rPr>
      </w:r>
      <w:r>
        <w:rPr/>
        <w:t>资产组或者资产组组合进行减值测试，计算可收回金额，确认相应的减值损失。然后对包含 商誉的资产组或者资产组组合进行减值测试，比较其账面价值与可收回金额，如可收回金额 低于账面价值的，确认商誉的减值损失。</w:t>
      </w:r>
    </w:p>
    <w:p>
      <w:pPr>
        <w:pStyle w:val="BodyText"/>
        <w:spacing w:line="240" w:lineRule="auto" w:before="185"/>
        <w:ind w:right="0"/>
        <w:jc w:val="both"/>
      </w:pPr>
      <w:r>
        <w:rPr/>
        <w:t>资产减值损失一经确认，在以后会计期间不再转回。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1、 商誉" w:id="201"/>
      <w:bookmarkEnd w:id="201"/>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商誉为非同一控制下企业合并成本超过应享有的被投资单位或被购买方可辨认净资产于取得 日或购买日的公允价值份额的差额。</w:t>
      </w:r>
    </w:p>
    <w:p>
      <w:pPr>
        <w:spacing w:line="240" w:lineRule="auto" w:before="7"/>
        <w:rPr>
          <w:rFonts w:ascii="宋体" w:hAnsi="宋体" w:cs="宋体" w:eastAsia="宋体" w:hint="default"/>
          <w:sz w:val="16"/>
          <w:szCs w:val="16"/>
        </w:rPr>
      </w:pPr>
    </w:p>
    <w:p>
      <w:pPr>
        <w:pStyle w:val="BodyText"/>
        <w:spacing w:line="312" w:lineRule="exact"/>
        <w:ind w:right="1139"/>
        <w:jc w:val="both"/>
      </w:pPr>
      <w:r>
        <w:rPr/>
        <w:t>与子公司有关的商誉在合并财务报表上单独列示，与联营企业和合营企业有关的商誉，包含 在长期股权投资的账面价值中。本公司的商誉系与子公司有关的商誉。</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在财务报表中单独列示的商誉至少在每年年终进行减值测试。减值测试时，商誉的账面价值 依据相关的资产组或者资产组组合能够从企业合并的协同效应中受益的情况分摊至受益的资</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产组或资产组组合。</w:t>
      </w:r>
    </w:p>
    <w:p>
      <w:pPr>
        <w:spacing w:line="240" w:lineRule="auto" w:before="9"/>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2、长期待摊费用" w:id="202"/>
      <w:bookmarkEnd w:id="202"/>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本集团发生的长期待摊费用按实际成本计价，并按预计受益期限平均摊销。对不能使以后会 计期间受益的长期待摊费用项目，其摊余价值全部计入当期损益。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3、职工薪酬" w:id="203"/>
      <w:bookmarkEnd w:id="203"/>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短期薪酬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4"/>
        <w:jc w:val="left"/>
      </w:pPr>
      <w:r>
        <w:rPr/>
        <w:t>本集团在职工提供服务的会计期间，将实际发生的职工工资、奖金、按规定的基准和比例为</w:t>
      </w:r>
      <w:r>
        <w:rPr>
          <w:spacing w:val="-109"/>
        </w:rPr>
        <w:t> </w:t>
      </w:r>
      <w:r>
        <w:rPr>
          <w:spacing w:val="-109"/>
        </w:rPr>
      </w:r>
      <w:r>
        <w:rPr>
          <w:spacing w:val="-2"/>
        </w:rPr>
        <w:t>职工缴纳的医疗保险费、工伤保险费和生育保险费等社会保险费和住房公积金，确认为负债，</w:t>
      </w:r>
      <w:r>
        <w:rPr/>
        <w:t> 并计入当期损益或相关资产成本。如果该负债预期在职工提供相关服务的年度报告期结束后 十二个月内不能完全支付，且财务影响重大的，则该负债将以折现后的金额计量。</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离职后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w:t>
      </w:r>
    </w:p>
    <w:p>
      <w:pPr>
        <w:pStyle w:val="BodyText"/>
        <w:spacing w:line="403" w:lineRule="auto" w:before="185"/>
        <w:ind w:right="5712"/>
        <w:jc w:val="left"/>
      </w:pPr>
      <w:r>
        <w:rPr/>
        <w:t>设定提存计划 设定提存计划包括基本养老保险、失业保险等。</w:t>
      </w:r>
    </w:p>
    <w:p>
      <w:pPr>
        <w:pStyle w:val="BodyText"/>
        <w:spacing w:line="312" w:lineRule="exact" w:before="81"/>
        <w:ind w:right="1139"/>
        <w:jc w:val="both"/>
      </w:pPr>
      <w:r>
        <w:rPr/>
        <w:t>在职工提供服务的会计期间，根据设定提存计划计算的应缴存金额确认为负债，并计入当期 损益或相关资产成本。</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3）辞退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本集团向职工提供辞退福利的，在下列两者孰早日确认辞退福利产生的职工薪酬负债，并计 入当期损益：本集团不能单方面撤回因解除劳动关系计划或裁减建议所提供的辞退福利时； 本集团确认与涉及支付辞退福利的重组相关的成本或费用时。</w:t>
      </w:r>
    </w:p>
    <w:p>
      <w:pPr>
        <w:pStyle w:val="BodyText"/>
        <w:spacing w:line="312" w:lineRule="exact" w:before="216"/>
        <w:ind w:right="1132"/>
        <w:jc w:val="both"/>
      </w:pPr>
      <w:r>
        <w:rPr/>
        <w:t>实行职工内部退休计划的，在正式退休日之前的经济补偿，属于辞退福利，自职工停止提供 服务日至正常退休日期间，拟支付的内退职工工资和缴纳的社会保险费等一次性计入当期损</w:t>
      </w:r>
      <w:r>
        <w:rPr>
          <w:spacing w:val="-112"/>
        </w:rPr>
        <w:t> </w:t>
      </w:r>
      <w:r>
        <w:rPr>
          <w:spacing w:val="-112"/>
        </w:rPr>
      </w:r>
      <w:r>
        <w:rPr/>
        <w:t>益。正式退休日期之后的经济补偿（如正常养老退休金），按照离职后福利处理。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4）其他长期职工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jc w:val="both"/>
      </w:pPr>
      <w:r>
        <w:rPr/>
        <w:t>本集团向职工提供的其他长期职工福利，符合设定提存计划条件的，按照上述关于设定提存 计划的有关规定进行处理。符合设定受益计划的，按照上述关于设定受益计划的有关规定进 行处理，但相关职工薪酬成本中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 计入当期损益或相关资产成本。</w:t>
      </w:r>
    </w:p>
    <w:p>
      <w:pPr>
        <w:spacing w:after="0" w:line="312"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24、预计负债" w:id="208"/>
      <w:bookmarkEnd w:id="208"/>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如果与或有事项相关的义务同时符合以下条件，本集团将其确认为预计负债：</w:t>
      </w:r>
    </w:p>
    <w:p>
      <w:pPr>
        <w:pStyle w:val="BodyText"/>
        <w:spacing w:line="240" w:lineRule="auto" w:before="214"/>
        <w:ind w:right="0"/>
        <w:jc w:val="both"/>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195"/>
        <w:ind w:right="0"/>
        <w:jc w:val="both"/>
      </w:pPr>
      <w:r>
        <w:rPr/>
        <w:t>（</w:t>
      </w:r>
      <w:r>
        <w:rPr>
          <w:rFonts w:ascii="Times New Roman" w:hAnsi="Times New Roman" w:cs="Times New Roman" w:eastAsia="Times New Roman" w:hint="default"/>
        </w:rPr>
        <w:t>2</w:t>
      </w:r>
      <w:r>
        <w:rPr/>
        <w:t>）该义务的履行很可能导致经济利益流出本集团；</w:t>
      </w:r>
    </w:p>
    <w:p>
      <w:pPr>
        <w:pStyle w:val="BodyText"/>
        <w:spacing w:line="240" w:lineRule="auto" w:before="195"/>
        <w:ind w:right="0"/>
        <w:jc w:val="both"/>
      </w:pPr>
      <w:r>
        <w:rPr/>
        <w:t>（</w:t>
      </w:r>
      <w:r>
        <w:rPr>
          <w:rFonts w:ascii="Times New Roman" w:hAnsi="Times New Roman" w:cs="Times New Roman" w:eastAsia="Times New Roman" w:hint="default"/>
        </w:rPr>
        <w:t>3</w:t>
      </w:r>
      <w:r>
        <w:rPr/>
        <w:t>）该义务的金额能够可靠地计量。</w:t>
      </w:r>
    </w:p>
    <w:p>
      <w:pPr>
        <w:spacing w:line="240" w:lineRule="auto" w:before="4"/>
        <w:rPr>
          <w:rFonts w:ascii="宋体" w:hAnsi="宋体" w:cs="宋体" w:eastAsia="宋体" w:hint="default"/>
          <w:sz w:val="17"/>
          <w:szCs w:val="17"/>
        </w:rPr>
      </w:pPr>
    </w:p>
    <w:p>
      <w:pPr>
        <w:pStyle w:val="BodyText"/>
        <w:spacing w:line="312" w:lineRule="exact"/>
        <w:ind w:right="1139"/>
        <w:jc w:val="both"/>
      </w:pPr>
      <w:r>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来现金流出进行折现后确定最佳估计数。本集团于资产负债表日对预计负债的账面价值进行 复核，并对账面价值进行调整以反映当前最佳估计数。</w:t>
      </w:r>
    </w:p>
    <w:p>
      <w:pPr>
        <w:spacing w:line="240" w:lineRule="auto" w:before="7"/>
        <w:rPr>
          <w:rFonts w:ascii="宋体" w:hAnsi="宋体" w:cs="宋体" w:eastAsia="宋体" w:hint="default"/>
          <w:sz w:val="16"/>
          <w:szCs w:val="16"/>
        </w:rPr>
      </w:pPr>
    </w:p>
    <w:p>
      <w:pPr>
        <w:pStyle w:val="BodyText"/>
        <w:spacing w:line="312" w:lineRule="exact"/>
        <w:ind w:right="817"/>
        <w:jc w:val="left"/>
      </w:pPr>
      <w:r>
        <w:rPr/>
        <w:t>如果清偿已确认预计负债所需支出全部或部分预期由第三方或其他方补偿，则补偿金额只能 在基本确定能收到时，作为资产单独确认。确认的补偿金额不超过所确认负债的账面价值。</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5、股份支付" w:id="209"/>
      <w:bookmarkEnd w:id="209"/>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81" w:lineRule="auto"/>
        <w:ind w:right="3312"/>
        <w:jc w:val="left"/>
      </w:pPr>
      <w:r>
        <w:rPr>
          <w:rFonts w:ascii="Times New Roman" w:hAnsi="Times New Roman" w:cs="Times New Roman" w:eastAsia="Times New Roman" w:hint="default"/>
        </w:rPr>
        <w:t>1</w:t>
      </w:r>
      <w:r>
        <w:rPr/>
        <w:t>）股份支付的种类 本集团股份支付分为以权益结算的股份支付和以现金结算的股份支付。</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）权益工具公允价值的确定方法</w:t>
      </w:r>
    </w:p>
    <w:p>
      <w:pPr>
        <w:spacing w:line="240" w:lineRule="auto" w:before="4"/>
        <w:rPr>
          <w:rFonts w:ascii="宋体" w:hAnsi="宋体" w:cs="宋体" w:eastAsia="宋体" w:hint="default"/>
          <w:sz w:val="17"/>
          <w:szCs w:val="17"/>
        </w:rPr>
      </w:pPr>
    </w:p>
    <w:p>
      <w:pPr>
        <w:pStyle w:val="BodyText"/>
        <w:spacing w:line="312" w:lineRule="exact"/>
        <w:ind w:right="994"/>
        <w:jc w:val="left"/>
      </w:pPr>
      <w:r>
        <w:rPr>
          <w:spacing w:val="-2"/>
        </w:rPr>
        <w:t>本集团对于授予的存在活跃市场的期权等权益工具，按照活跃市场中的报价确定其公允价值。</w:t>
      </w:r>
      <w:r>
        <w:rPr/>
        <w:t> 对于授予的不存在活跃市场的期权等权益工具，采用期权定价模型等确定其公允价值。选用 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w:t>
      </w:r>
      <w:r>
        <w:rPr>
          <w:spacing w:val="-117"/>
        </w:rPr>
        <w:t> </w:t>
      </w:r>
      <w:r>
        <w:rPr/>
        <w:t>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240" w:lineRule="auto" w:before="185"/>
        <w:ind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4"/>
        <w:rPr>
          <w:rFonts w:ascii="宋体" w:hAnsi="宋体" w:cs="宋体" w:eastAsia="宋体" w:hint="default"/>
          <w:sz w:val="17"/>
          <w:szCs w:val="17"/>
        </w:rPr>
      </w:pPr>
    </w:p>
    <w:p>
      <w:pPr>
        <w:pStyle w:val="BodyText"/>
        <w:spacing w:line="312" w:lineRule="exact"/>
        <w:ind w:right="1139"/>
        <w:jc w:val="both"/>
      </w:pPr>
      <w:r>
        <w:rPr/>
        <w:t>等待期内每个资产负债表日，本集团根据最新取得的可行权职工人数变动等后续信息作出最 佳估计，修正预计可行权的权益工具数量。在可行权日，最终预计可行权权益工具的数量应 当与实际可行权数量一致。</w:t>
      </w:r>
    </w:p>
    <w:p>
      <w:pPr>
        <w:pStyle w:val="BodyText"/>
        <w:spacing w:line="240" w:lineRule="auto" w:before="185"/>
        <w:ind w:right="0"/>
        <w:jc w:val="both"/>
      </w:pPr>
      <w:r>
        <w:rPr/>
        <w:t>（</w:t>
      </w:r>
      <w:r>
        <w:rPr>
          <w:rFonts w:ascii="Times New Roman" w:hAnsi="Times New Roman" w:cs="Times New Roman" w:eastAsia="Times New Roman" w:hint="default"/>
        </w:rPr>
        <w:t>4</w:t>
      </w:r>
      <w:r>
        <w:rPr/>
        <w:t>）实施、修改、终止股份支付计划的相关会计处理</w:t>
      </w:r>
    </w:p>
    <w:p>
      <w:pPr>
        <w:pStyle w:val="BodyText"/>
        <w:spacing w:line="237" w:lineRule="auto" w:before="198"/>
        <w:ind w:right="1138"/>
        <w:jc w:val="both"/>
      </w:pPr>
      <w:r>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w:t>
      </w:r>
      <w:r>
        <w:rPr>
          <w:spacing w:val="-117"/>
        </w:rPr>
        <w:t> </w:t>
      </w:r>
      <w:r>
        <w:rPr>
          <w:spacing w:val="-117"/>
        </w:rPr>
      </w:r>
      <w:r>
        <w:rPr/>
        <w:t>本或费用和资本公积。在可行权日之后不再对已确认的相关成本或费用和所有者权益总额进 行调整。</w:t>
      </w:r>
    </w:p>
    <w:p>
      <w:pPr>
        <w:spacing w:after="0" w:line="237"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7" w:lineRule="auto" w:before="28"/>
        <w:ind w:right="1136"/>
        <w:jc w:val="both"/>
      </w:pPr>
      <w:r>
        <w:rPr/>
        <w:t>本集团对股份支付计划进行修改时，若修改增加了所授予权益工具的公允价值，按照权益工 具公允价值的增加相应地确认取得服务的增加；若修改增加了所授予权益工具的数量，则将 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w:t>
      </w:r>
      <w:r>
        <w:rPr>
          <w:spacing w:val="-116"/>
        </w:rPr>
        <w:t> </w:t>
      </w:r>
      <w:r>
        <w:rPr>
          <w:spacing w:val="-116"/>
        </w:rPr>
      </w:r>
      <w:r>
        <w:rPr/>
        <w:t>会计处理，视同该变更从未发生，除非本集团取消了部分或全部已授予的权益工具。</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在等待期内，如果取消了授予的权益工具（因未满足可行权条件的非市场条件而被取消的除 外），本集团对取消所授予的权益性工具作为加速行权处理，将剩余等待期内应确认的金额 立即计入当期损益，同时确认资本公积。职工或其他方能够选择满足非可行权条件但在等待 期内未满足的，本集团将其作为授予权益工具的取消处理。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6、收入" w:id="210"/>
      <w:bookmarkEnd w:id="210"/>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0" w:lineRule="exact"/>
        <w:ind w:right="0"/>
        <w:jc w:val="both"/>
      </w:pPr>
      <w:r>
        <w:rPr/>
        <w:t>（</w:t>
      </w:r>
      <w:r>
        <w:rPr>
          <w:rFonts w:ascii="Times New Roman" w:hAnsi="Times New Roman" w:cs="Times New Roman" w:eastAsia="Times New Roman" w:hint="default"/>
        </w:rPr>
        <w:t>1</w:t>
      </w:r>
      <w:r>
        <w:rPr/>
        <w:t>）一般原则</w:t>
      </w:r>
    </w:p>
    <w:p>
      <w:pPr>
        <w:pStyle w:val="BodyText"/>
        <w:spacing w:line="240" w:lineRule="auto" w:before="195"/>
        <w:ind w:right="0"/>
        <w:jc w:val="both"/>
      </w:pPr>
      <w:r>
        <w:rPr/>
        <w:t>①销售商品</w:t>
      </w:r>
    </w:p>
    <w:p>
      <w:pPr>
        <w:spacing w:line="240" w:lineRule="auto" w:before="7"/>
        <w:rPr>
          <w:rFonts w:ascii="宋体" w:hAnsi="宋体" w:cs="宋体" w:eastAsia="宋体" w:hint="default"/>
          <w:sz w:val="16"/>
          <w:szCs w:val="16"/>
        </w:rPr>
      </w:pPr>
    </w:p>
    <w:p>
      <w:pPr>
        <w:pStyle w:val="BodyText"/>
        <w:spacing w:line="237" w:lineRule="auto"/>
        <w:ind w:right="1138"/>
        <w:jc w:val="both"/>
      </w:pPr>
      <w:r>
        <w:rPr/>
        <w:t>在已将商品所有权上的主要风险和报酬转移给购货方，既没有保留通常与所有权相联系的继</w:t>
      </w:r>
      <w:r>
        <w:rPr>
          <w:spacing w:val="-116"/>
        </w:rPr>
        <w:t> </w:t>
      </w:r>
      <w:r>
        <w:rPr>
          <w:spacing w:val="-116"/>
        </w:rPr>
      </w:r>
      <w:r>
        <w:rPr/>
        <w:t>续管理权，也没有对已售商品实施有效控制，收入的金额能够可靠地计量，相关的经济利益 很可能流入企业，相关的已发生或将发生的成本能够可靠地计量时，确认商品销售收入的实 现。</w:t>
      </w:r>
    </w:p>
    <w:p>
      <w:pPr>
        <w:pStyle w:val="BodyText"/>
        <w:spacing w:line="240" w:lineRule="auto" w:before="214"/>
        <w:ind w:right="0"/>
        <w:jc w:val="both"/>
      </w:pPr>
      <w:r>
        <w:rPr/>
        <w:t>②提供劳务</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对在提供劳务交易的结果能够可靠估计的情况下，本集团于资产负债表日按完工百分比法确 认收入。</w:t>
      </w:r>
    </w:p>
    <w:p>
      <w:pPr>
        <w:pStyle w:val="BodyText"/>
        <w:spacing w:line="240" w:lineRule="auto" w:before="185"/>
        <w:ind w:right="0"/>
        <w:jc w:val="both"/>
      </w:pPr>
      <w:r>
        <w:rPr/>
        <w:t>劳务交易的完工进度按已经发生的劳务成本占估计总成本的比例确定。</w:t>
      </w:r>
    </w:p>
    <w:p>
      <w:pPr>
        <w:spacing w:line="240" w:lineRule="auto" w:before="9"/>
        <w:rPr>
          <w:rFonts w:ascii="宋体" w:hAnsi="宋体" w:cs="宋体" w:eastAsia="宋体" w:hint="default"/>
          <w:sz w:val="18"/>
          <w:szCs w:val="18"/>
        </w:rPr>
      </w:pPr>
    </w:p>
    <w:p>
      <w:pPr>
        <w:pStyle w:val="BodyText"/>
        <w:spacing w:line="312" w:lineRule="exact"/>
        <w:ind w:right="1132"/>
        <w:jc w:val="both"/>
      </w:pPr>
      <w:r>
        <w:rPr>
          <w:spacing w:val="-2"/>
        </w:rPr>
        <w:t>提供劳务交易的结果能够可靠估计是指同时满足：</w:t>
      </w:r>
      <w:r>
        <w:rPr>
          <w:rFonts w:ascii="Times New Roman" w:hAnsi="Times New Roman" w:cs="Times New Roman" w:eastAsia="Times New Roman" w:hint="default"/>
          <w:spacing w:val="-2"/>
        </w:rPr>
        <w:t>A</w:t>
      </w:r>
      <w:r>
        <w:rPr>
          <w:spacing w:val="-2"/>
        </w:rPr>
        <w:t>、收入的金额能够可靠地计量；</w:t>
      </w:r>
      <w:r>
        <w:rPr>
          <w:rFonts w:ascii="Times New Roman" w:hAnsi="Times New Roman" w:cs="Times New Roman" w:eastAsia="Times New Roman" w:hint="default"/>
          <w:spacing w:val="-2"/>
        </w:rPr>
        <w:t>B</w:t>
      </w:r>
      <w:r>
        <w:rPr>
          <w:spacing w:val="-2"/>
        </w:rPr>
        <w:t>、相关</w:t>
      </w:r>
      <w:r>
        <w:rPr>
          <w:spacing w:val="-98"/>
        </w:rPr>
        <w:t> </w:t>
      </w:r>
      <w:r>
        <w:rPr>
          <w:spacing w:val="-98"/>
        </w:rPr>
      </w:r>
      <w:r>
        <w:rPr>
          <w:spacing w:val="-2"/>
        </w:rPr>
        <w:t>的经济利益很可能流入企业；</w:t>
      </w:r>
      <w:r>
        <w:rPr>
          <w:rFonts w:ascii="Times New Roman" w:hAnsi="Times New Roman" w:cs="Times New Roman" w:eastAsia="Times New Roman" w:hint="default"/>
          <w:spacing w:val="-2"/>
        </w:rPr>
        <w:t>C</w:t>
      </w:r>
      <w:r>
        <w:rPr>
          <w:spacing w:val="-2"/>
        </w:rPr>
        <w:t>、交易的完工程度能够可靠地确定；</w:t>
      </w:r>
      <w:r>
        <w:rPr>
          <w:rFonts w:ascii="Times New Roman" w:hAnsi="Times New Roman" w:cs="Times New Roman" w:eastAsia="Times New Roman" w:hint="default"/>
          <w:spacing w:val="-2"/>
        </w:rPr>
        <w:t>D</w:t>
      </w:r>
      <w:r>
        <w:rPr>
          <w:spacing w:val="-2"/>
        </w:rPr>
        <w:t>、交易中已发生和将发</w:t>
      </w:r>
      <w:r>
        <w:rPr>
          <w:spacing w:val="-97"/>
        </w:rPr>
        <w:t> </w:t>
      </w:r>
      <w:r>
        <w:rPr>
          <w:spacing w:val="-97"/>
        </w:rPr>
      </w:r>
      <w:r>
        <w:rPr/>
        <w:t>生的成本能够可靠地计量。</w:t>
      </w:r>
    </w:p>
    <w:p>
      <w:pPr>
        <w:pStyle w:val="BodyText"/>
        <w:spacing w:line="312" w:lineRule="exact" w:before="216"/>
        <w:ind w:right="1139"/>
        <w:jc w:val="both"/>
      </w:pPr>
      <w:r>
        <w:rPr/>
        <w:t>如果提供劳务交易的结果不能够可靠估计，则按已经发生并预计能够得到补偿的劳务成本金 额确认提供的劳务收入，并将已发生的劳务成本作为当期费用。已经发生的劳务成本如预计 不能得到补偿的，则不确认收入。</w:t>
      </w:r>
    </w:p>
    <w:p>
      <w:pPr>
        <w:pStyle w:val="BodyText"/>
        <w:spacing w:line="240" w:lineRule="auto" w:before="185"/>
        <w:ind w:right="0"/>
        <w:jc w:val="both"/>
      </w:pPr>
      <w:r>
        <w:rPr/>
        <w:t>③让渡资产使用权</w:t>
      </w:r>
    </w:p>
    <w:p>
      <w:pPr>
        <w:spacing w:line="240" w:lineRule="auto" w:before="10"/>
        <w:rPr>
          <w:rFonts w:ascii="宋体" w:hAnsi="宋体" w:cs="宋体" w:eastAsia="宋体" w:hint="default"/>
          <w:sz w:val="18"/>
          <w:szCs w:val="18"/>
        </w:rPr>
      </w:pPr>
    </w:p>
    <w:p>
      <w:pPr>
        <w:pStyle w:val="BodyText"/>
        <w:spacing w:line="312" w:lineRule="exact"/>
        <w:ind w:right="1139"/>
        <w:jc w:val="both"/>
      </w:pPr>
      <w:r>
        <w:rPr/>
        <w:t>与资产使用权让渡相关的经济利益能够流入及收入的金额能够可靠地计量时，本集团确认收 入。</w:t>
      </w:r>
    </w:p>
    <w:p>
      <w:pPr>
        <w:pStyle w:val="BodyText"/>
        <w:spacing w:line="240" w:lineRule="auto" w:before="185"/>
        <w:ind w:right="0"/>
        <w:jc w:val="both"/>
      </w:pPr>
      <w:r>
        <w:rPr/>
        <w:t>（</w:t>
      </w:r>
      <w:r>
        <w:rPr>
          <w:rFonts w:ascii="Times New Roman" w:hAnsi="Times New Roman" w:cs="Times New Roman" w:eastAsia="Times New Roman" w:hint="default"/>
        </w:rPr>
        <w:t>2</w:t>
      </w:r>
      <w:r>
        <w:rPr/>
        <w:t>）收入确认的具体方法</w:t>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403" w:lineRule="auto" w:before="26"/>
        <w:ind w:right="7152"/>
        <w:jc w:val="left"/>
        <w:rPr>
          <w:rFonts w:ascii="宋体" w:hAnsi="宋体" w:cs="宋体" w:eastAsia="宋体" w:hint="default"/>
        </w:rPr>
      </w:pPr>
      <w:r>
        <w:rPr/>
        <w:t>本集团收入确认的具体方法如下： </w:t>
      </w:r>
      <w:r>
        <w:rPr>
          <w:rFonts w:ascii="宋体" w:hAnsi="宋体" w:cs="宋体" w:eastAsia="宋体" w:hint="default"/>
          <w:b/>
          <w:bCs/>
        </w:rPr>
        <w:t>电力板块</w:t>
      </w:r>
      <w:r>
        <w:rPr>
          <w:rFonts w:ascii="宋体" w:hAnsi="宋体" w:cs="宋体" w:eastAsia="宋体" w:hint="default"/>
        </w:rPr>
      </w:r>
    </w:p>
    <w:p>
      <w:pPr>
        <w:pStyle w:val="BodyText"/>
        <w:spacing w:line="240" w:lineRule="auto" w:before="50"/>
        <w:ind w:right="817"/>
        <w:jc w:val="left"/>
      </w:pPr>
      <w:r>
        <w:rPr/>
        <w:t>本集团销售模式包括直销和经销，直销和经销模式下收入确认的情况如下</w:t>
      </w:r>
    </w:p>
    <w:p>
      <w:pPr>
        <w:pStyle w:val="BodyText"/>
        <w:spacing w:line="240" w:lineRule="auto" w:before="214"/>
        <w:ind w:right="817"/>
        <w:jc w:val="left"/>
      </w:pPr>
      <w:r>
        <w:rPr/>
        <w:t>①本集团直销模式下收入的确认政策</w:t>
      </w:r>
    </w:p>
    <w:p>
      <w:pPr>
        <w:pStyle w:val="BodyText"/>
        <w:spacing w:line="240" w:lineRule="auto" w:before="214"/>
        <w:ind w:right="81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t>销售商品收入确认的具体原则</w:t>
      </w:r>
    </w:p>
    <w:p>
      <w:pPr>
        <w:spacing w:line="240" w:lineRule="auto" w:before="4"/>
        <w:rPr>
          <w:rFonts w:ascii="宋体" w:hAnsi="宋体" w:cs="宋体" w:eastAsia="宋体" w:hint="default"/>
          <w:sz w:val="17"/>
          <w:szCs w:val="17"/>
        </w:rPr>
      </w:pPr>
    </w:p>
    <w:p>
      <w:pPr>
        <w:pStyle w:val="BodyText"/>
        <w:spacing w:line="312" w:lineRule="exact"/>
        <w:ind w:right="817"/>
        <w:jc w:val="left"/>
      </w:pPr>
      <w:r>
        <w:rPr/>
        <w:t>对于需要承担安装调试义务的产品，本集团通过第三方物流公司将产品发出后，于产品安装 调试完毕，经客户验收后确认营业收入。</w:t>
      </w:r>
    </w:p>
    <w:p>
      <w:pPr>
        <w:spacing w:line="240" w:lineRule="auto" w:before="0"/>
        <w:rPr>
          <w:rFonts w:ascii="宋体" w:hAnsi="宋体" w:cs="宋体" w:eastAsia="宋体" w:hint="default"/>
          <w:sz w:val="24"/>
          <w:szCs w:val="24"/>
        </w:rPr>
      </w:pPr>
    </w:p>
    <w:p>
      <w:pPr>
        <w:pStyle w:val="BodyText"/>
        <w:spacing w:line="312" w:lineRule="exact" w:before="166"/>
        <w:ind w:right="994"/>
        <w:jc w:val="left"/>
      </w:pPr>
      <w:r>
        <w:rPr>
          <w:spacing w:val="-2"/>
        </w:rPr>
        <w:t>对于不需要承担安装调试义务的产品，本集团的合同义务仅限于向客户提供符合要求的产品。</w:t>
      </w:r>
      <w:r>
        <w:rPr/>
        <w:t> 本集团通过第三方物流公司将产品交付客户后，与产品所有权相关的主要风险和报酬也同时 转移。对此类产品的销售，本集团于产品交付并取得客户签收确认后确认营业收入。</w:t>
      </w:r>
    </w:p>
    <w:p>
      <w:pPr>
        <w:pStyle w:val="BodyText"/>
        <w:spacing w:line="240" w:lineRule="auto" w:before="185"/>
        <w:ind w:right="81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5"/>
        </w:rPr>
        <w:t> </w:t>
      </w:r>
      <w:r>
        <w:rPr/>
        <w:t>提供劳务收入确认具体原则</w:t>
      </w:r>
    </w:p>
    <w:p>
      <w:pPr>
        <w:spacing w:line="240" w:lineRule="auto" w:before="4"/>
        <w:rPr>
          <w:rFonts w:ascii="宋体" w:hAnsi="宋体" w:cs="宋体" w:eastAsia="宋体" w:hint="default"/>
          <w:sz w:val="17"/>
          <w:szCs w:val="17"/>
        </w:rPr>
      </w:pPr>
    </w:p>
    <w:p>
      <w:pPr>
        <w:pStyle w:val="BodyText"/>
        <w:spacing w:line="312" w:lineRule="exact"/>
        <w:ind w:right="817"/>
        <w:jc w:val="left"/>
      </w:pPr>
      <w:r>
        <w:rPr/>
        <w:t>提供劳务收入包括向客户提供的技术开发、产品维护、委托测试服务以及技术培训服务收入</w:t>
      </w:r>
      <w:r>
        <w:rPr>
          <w:spacing w:val="-113"/>
        </w:rPr>
        <w:t> </w:t>
      </w:r>
      <w:r>
        <w:rPr>
          <w:spacing w:val="-113"/>
        </w:rPr>
      </w:r>
      <w:r>
        <w:rPr/>
        <w:t>等。</w:t>
      </w:r>
    </w:p>
    <w:p>
      <w:pPr>
        <w:pStyle w:val="BodyText"/>
        <w:spacing w:line="312" w:lineRule="exact" w:before="216"/>
        <w:ind w:right="817"/>
        <w:jc w:val="left"/>
      </w:pPr>
      <w:r>
        <w:rPr/>
        <w:t>对于技术开发和委托测试服务，在本集团提交相应服务成果，通过客户验收并取得客户盖章 确认的《验收单》后确认收入。</w:t>
      </w:r>
    </w:p>
    <w:p>
      <w:pPr>
        <w:spacing w:line="240" w:lineRule="auto" w:before="7"/>
        <w:rPr>
          <w:rFonts w:ascii="宋体" w:hAnsi="宋体" w:cs="宋体" w:eastAsia="宋体" w:hint="default"/>
          <w:sz w:val="16"/>
          <w:szCs w:val="16"/>
        </w:rPr>
      </w:pPr>
    </w:p>
    <w:p>
      <w:pPr>
        <w:pStyle w:val="BodyText"/>
        <w:spacing w:line="312" w:lineRule="exact"/>
        <w:ind w:right="817"/>
        <w:jc w:val="left"/>
      </w:pPr>
      <w:r>
        <w:rPr/>
        <w:t>对于产品维护及技术培训服务，对在提供劳务交易的结果能够可靠估计的情况下，本集团于 资产负债表日按完工百分比法确认收入。</w:t>
      </w:r>
    </w:p>
    <w:p>
      <w:pPr>
        <w:pStyle w:val="BodyText"/>
        <w:spacing w:line="240" w:lineRule="auto" w:before="185"/>
        <w:ind w:right="817"/>
        <w:jc w:val="left"/>
      </w:pPr>
      <w:r>
        <w:rPr/>
        <w:t>②经销模式收入确认政策</w:t>
      </w:r>
    </w:p>
    <w:p>
      <w:pPr>
        <w:spacing w:line="240" w:lineRule="auto" w:before="0"/>
        <w:rPr>
          <w:rFonts w:ascii="宋体" w:hAnsi="宋体" w:cs="宋体" w:eastAsia="宋体" w:hint="default"/>
          <w:sz w:val="24"/>
          <w:szCs w:val="24"/>
        </w:rPr>
      </w:pPr>
    </w:p>
    <w:p>
      <w:pPr>
        <w:pStyle w:val="BodyText"/>
        <w:spacing w:line="312" w:lineRule="exact" w:before="194"/>
        <w:ind w:right="817"/>
        <w:jc w:val="left"/>
      </w:pPr>
      <w:r>
        <w:rPr/>
        <w:t>经销模式下，本集团产品在交付经销商或经其验收合格后，产品的所有权相关的风险和报酬 已经转移时确认收入。</w:t>
      </w:r>
    </w:p>
    <w:p>
      <w:pPr>
        <w:spacing w:line="403" w:lineRule="auto" w:before="185"/>
        <w:ind w:left="154" w:right="817" w:firstLine="0"/>
        <w:jc w:val="left"/>
        <w:rPr>
          <w:rFonts w:ascii="宋体" w:hAnsi="宋体" w:cs="宋体" w:eastAsia="宋体" w:hint="default"/>
          <w:sz w:val="24"/>
          <w:szCs w:val="24"/>
        </w:rPr>
      </w:pPr>
      <w:r>
        <w:rPr>
          <w:rFonts w:ascii="宋体" w:hAnsi="宋体" w:cs="宋体" w:eastAsia="宋体" w:hint="default"/>
          <w:b/>
          <w:bCs/>
          <w:sz w:val="24"/>
          <w:szCs w:val="24"/>
        </w:rPr>
        <w:t>铁路与轨道交通板块</w:t>
      </w:r>
      <w:r>
        <w:rPr>
          <w:rFonts w:ascii="宋体" w:hAnsi="宋体" w:cs="宋体" w:eastAsia="宋体" w:hint="default"/>
          <w:b/>
          <w:bCs/>
          <w:w w:val="99"/>
          <w:sz w:val="24"/>
          <w:szCs w:val="24"/>
        </w:rPr>
        <w:t> </w:t>
      </w:r>
      <w:r>
        <w:rPr>
          <w:rFonts w:ascii="宋体" w:hAnsi="宋体" w:cs="宋体" w:eastAsia="宋体" w:hint="default"/>
          <w:sz w:val="24"/>
          <w:szCs w:val="24"/>
        </w:rPr>
        <w:t>对于牵引供电装备产品销售业务，在交付产品并取得客户签收回执时确认。</w:t>
      </w:r>
    </w:p>
    <w:p>
      <w:pPr>
        <w:pStyle w:val="BodyText"/>
        <w:spacing w:line="312" w:lineRule="exact" w:before="81"/>
        <w:ind w:right="1134"/>
        <w:jc w:val="both"/>
      </w:pPr>
      <w:r>
        <w:rPr/>
        <w:t>对于新能源业务和其他劳务服务业务，在提供劳务的结果能够可靠估计的情况下，于资产负</w:t>
      </w:r>
      <w:r>
        <w:rPr>
          <w:spacing w:val="-115"/>
        </w:rPr>
        <w:t> </w:t>
      </w:r>
      <w:r>
        <w:rPr>
          <w:spacing w:val="-115"/>
        </w:rPr>
      </w:r>
      <w:r>
        <w:rPr/>
        <w:t>债表日按完工百分比法确认相关的劳务收入，完工百分比按照已经提供的劳务占应提供的劳 务总量的比例或已经发生的成本占估计总成本的比例确认。</w:t>
      </w:r>
    </w:p>
    <w:p>
      <w:pPr>
        <w:pStyle w:val="BodyText"/>
        <w:spacing w:line="403" w:lineRule="auto" w:before="185"/>
        <w:ind w:right="4032"/>
        <w:jc w:val="left"/>
      </w:pPr>
      <w:r>
        <w:rPr>
          <w:rFonts w:ascii="宋体" w:hAnsi="宋体" w:cs="宋体" w:eastAsia="宋体" w:hint="default"/>
          <w:b/>
          <w:bCs/>
        </w:rPr>
        <w:t>军工板块</w:t>
      </w:r>
      <w:r>
        <w:rPr>
          <w:rFonts w:ascii="宋体" w:hAnsi="宋体" w:cs="宋体" w:eastAsia="宋体" w:hint="default"/>
          <w:b/>
          <w:bCs/>
          <w:spacing w:val="1"/>
          <w:w w:val="99"/>
        </w:rPr>
        <w:t> </w:t>
      </w:r>
      <w:r>
        <w:rPr/>
        <w:t>向客户发货或提交相应服务成果，并取得客户确认后确认收入。</w:t>
      </w:r>
    </w:p>
    <w:p>
      <w:pPr>
        <w:spacing w:before="160"/>
        <w:ind w:left="154" w:right="817" w:firstLine="0"/>
        <w:jc w:val="left"/>
        <w:rPr>
          <w:rFonts w:ascii="宋体" w:hAnsi="宋体" w:cs="宋体" w:eastAsia="宋体" w:hint="default"/>
          <w:sz w:val="21"/>
          <w:szCs w:val="21"/>
        </w:rPr>
      </w:pPr>
      <w:bookmarkStart w:name="27、政府补助" w:id="211"/>
      <w:bookmarkEnd w:id="211"/>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817"/>
        <w:jc w:val="left"/>
      </w:pPr>
      <w:r>
        <w:rPr/>
        <w:t>政府补助在满足政府补助所附条件并能够收到时确认。</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2"/>
        <w:jc w:val="both"/>
      </w:pPr>
      <w:r>
        <w:rPr/>
        <w:t>对于货币性资产的政府补助，按照收到或应收的金额计量。对于非货币性资产的政府补助， 按照公允价值计量；公允价值不能够可靠取得的，按照名义金额</w:t>
      </w:r>
      <w:r>
        <w:rPr>
          <w:rFonts w:ascii="Times New Roman" w:hAnsi="Times New Roman" w:cs="Times New Roman" w:eastAsia="Times New Roman" w:hint="default"/>
        </w:rPr>
        <w:t>1</w:t>
      </w:r>
      <w:r>
        <w:rPr/>
        <w:t>元计量。</w:t>
      </w:r>
    </w:p>
    <w:p>
      <w:pPr>
        <w:pStyle w:val="BodyText"/>
        <w:spacing w:line="240" w:lineRule="auto" w:before="185"/>
        <w:ind w:right="1132"/>
        <w:jc w:val="both"/>
      </w:pPr>
      <w:r>
        <w:rPr/>
        <w:t>与资产相关的政府补助，是指本集团取得的、用于购建或以其他方式形成长期资产的政府补</w:t>
      </w:r>
      <w:r>
        <w:rPr>
          <w:spacing w:val="-113"/>
        </w:rPr>
        <w:t> </w:t>
      </w:r>
      <w:r>
        <w:rPr>
          <w:spacing w:val="-113"/>
        </w:rPr>
      </w:r>
      <w:r>
        <w:rPr/>
        <w:t>助；除此之外，作为与收益相关的政府补助。</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spacing w:line="240" w:lineRule="auto" w:before="7"/>
        <w:rPr>
          <w:rFonts w:ascii="宋体" w:hAnsi="宋体" w:cs="宋体" w:eastAsia="宋体" w:hint="default"/>
          <w:sz w:val="16"/>
          <w:szCs w:val="16"/>
        </w:rPr>
      </w:pPr>
    </w:p>
    <w:p>
      <w:pPr>
        <w:pStyle w:val="BodyText"/>
        <w:spacing w:line="312" w:lineRule="exact"/>
        <w:ind w:right="1138"/>
        <w:jc w:val="both"/>
      </w:pPr>
      <w:r>
        <w:rPr/>
        <w:t>与资产相关的政府补助确认为递延收益在相关资产使用期限内按照合理、系统的方法分期计 入损益。与收益相关的政府补助，用于补偿已发生的相关成本费用或损失的，计入当期损益 或冲减相关成本；用于补偿以后期间的相关成本费用或损失的，则计入递延收益，于相关成 本费用或损失确认期间计入当期损益或冲减相关成本。按照名义金额计量的政府补助，直接</w:t>
      </w:r>
      <w:r>
        <w:rPr>
          <w:spacing w:val="-116"/>
        </w:rPr>
        <w:t> </w:t>
      </w:r>
      <w:r>
        <w:rPr>
          <w:spacing w:val="-116"/>
        </w:rPr>
      </w:r>
      <w:r>
        <w:rPr/>
        <w:t>计入当期损益。本集团对相同或类似的政府补助业务，采用一致的方法处理。</w:t>
      </w:r>
    </w:p>
    <w:p>
      <w:pPr>
        <w:spacing w:line="240" w:lineRule="auto" w:before="7"/>
        <w:rPr>
          <w:rFonts w:ascii="宋体" w:hAnsi="宋体" w:cs="宋体" w:eastAsia="宋体" w:hint="default"/>
          <w:sz w:val="16"/>
          <w:szCs w:val="16"/>
        </w:rPr>
      </w:pPr>
    </w:p>
    <w:p>
      <w:pPr>
        <w:pStyle w:val="BodyText"/>
        <w:spacing w:line="312" w:lineRule="exact"/>
        <w:ind w:right="1139"/>
        <w:jc w:val="both"/>
      </w:pPr>
      <w:r>
        <w:rPr/>
        <w:t>与日常活动相关的政府补助，按照经济业务实质，计入其他收益或冲减相关成本费用。与日 常活动无关的政府补助，计入营业外收支。</w:t>
      </w:r>
    </w:p>
    <w:p>
      <w:pPr>
        <w:spacing w:line="240" w:lineRule="auto" w:before="0"/>
        <w:rPr>
          <w:rFonts w:ascii="宋体" w:hAnsi="宋体" w:cs="宋体" w:eastAsia="宋体" w:hint="default"/>
          <w:sz w:val="24"/>
          <w:szCs w:val="24"/>
        </w:rPr>
      </w:pPr>
    </w:p>
    <w:p>
      <w:pPr>
        <w:pStyle w:val="BodyText"/>
        <w:spacing w:line="312" w:lineRule="exact" w:before="166"/>
        <w:ind w:right="1139"/>
        <w:jc w:val="both"/>
      </w:pPr>
      <w:r>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8、递延所得税资产/递延所得税负债" w:id="212"/>
      <w:bookmarkEnd w:id="212"/>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6"/>
        <w:jc w:val="both"/>
      </w:pPr>
      <w:r>
        <w:rPr/>
        <w:t>所得税包括当期所得税和递延所得税。除由于企业合并产生的调整商誉，或与直接计入所有</w:t>
      </w:r>
      <w:r>
        <w:rPr>
          <w:spacing w:val="-117"/>
        </w:rPr>
        <w:t> </w:t>
      </w:r>
      <w:r>
        <w:rPr>
          <w:spacing w:val="-117"/>
        </w:rPr>
      </w:r>
      <w:r>
        <w:rPr/>
        <w:t>者权益的交易或者事项相关的递延所得税计入所有者权益外，均作为所得税费用计入当期损 益。</w:t>
      </w:r>
    </w:p>
    <w:p>
      <w:pPr>
        <w:pStyle w:val="BodyText"/>
        <w:spacing w:line="312" w:lineRule="exact" w:before="216"/>
        <w:ind w:right="1139"/>
        <w:jc w:val="both"/>
      </w:pPr>
      <w:r>
        <w:rPr/>
        <w:t>本集团根据资产、负债于资产负债表日的账面价值与计税基础之间的暂时性差异，采用资产 负债表债务法确认递延所得税。</w:t>
      </w:r>
    </w:p>
    <w:p>
      <w:pPr>
        <w:pStyle w:val="BodyText"/>
        <w:spacing w:line="312" w:lineRule="exact" w:before="216"/>
        <w:ind w:right="1139"/>
        <w:jc w:val="both"/>
      </w:pPr>
      <w:r>
        <w:rPr/>
        <w:t>各项应纳税暂时性差异均确认相关的递延所得税负债，除非该应纳税暂时性差异是在以下交 易中产生的：</w:t>
      </w:r>
    </w:p>
    <w:p>
      <w:pPr>
        <w:spacing w:line="240" w:lineRule="auto" w:before="7"/>
        <w:rPr>
          <w:rFonts w:ascii="宋体" w:hAnsi="宋体" w:cs="宋体" w:eastAsia="宋体" w:hint="default"/>
          <w:sz w:val="16"/>
          <w:szCs w:val="16"/>
        </w:rPr>
      </w:pPr>
    </w:p>
    <w:p>
      <w:pPr>
        <w:pStyle w:val="BodyText"/>
        <w:spacing w:line="312" w:lineRule="exact"/>
        <w:ind w:right="1133"/>
        <w:jc w:val="both"/>
      </w:pPr>
      <w:r>
        <w:rPr>
          <w:spacing w:val="-3"/>
        </w:rPr>
        <w:t>（</w:t>
      </w:r>
      <w:r>
        <w:rPr>
          <w:rFonts w:ascii="Times New Roman" w:hAnsi="Times New Roman" w:cs="Times New Roman" w:eastAsia="Times New Roman" w:hint="default"/>
          <w:spacing w:val="-3"/>
        </w:rPr>
        <w:t>1</w:t>
      </w:r>
      <w:r>
        <w:rPr>
          <w:spacing w:val="-3"/>
        </w:rPr>
        <w:t>）商誉的初始确认，或者具有以下特征的交易中产生的资产或负债的初始确认：该交易不</w:t>
      </w:r>
      <w:r>
        <w:rPr>
          <w:spacing w:val="-81"/>
        </w:rPr>
        <w:t> </w:t>
      </w:r>
      <w:r>
        <w:rPr>
          <w:spacing w:val="-81"/>
        </w:rPr>
      </w:r>
      <w:r>
        <w:rPr/>
        <w:t>是企业合并，并且交易发生时既不影响会计利润也不影响应纳税所得额；</w:t>
      </w:r>
    </w:p>
    <w:p>
      <w:pPr>
        <w:spacing w:line="240" w:lineRule="auto" w:before="7"/>
        <w:rPr>
          <w:rFonts w:ascii="宋体" w:hAnsi="宋体" w:cs="宋体" w:eastAsia="宋体" w:hint="default"/>
          <w:sz w:val="16"/>
          <w:szCs w:val="16"/>
        </w:rPr>
      </w:pPr>
    </w:p>
    <w:p>
      <w:pPr>
        <w:pStyle w:val="BodyText"/>
        <w:spacing w:line="312" w:lineRule="exact"/>
        <w:ind w:right="1132"/>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）对于与子公司、合营企业及联营企业投资相关的应纳税暂时性差异，该暂时性差异转回</w:t>
      </w:r>
      <w:r>
        <w:rPr>
          <w:spacing w:val="-81"/>
        </w:rPr>
        <w:t> </w:t>
      </w:r>
      <w:r>
        <w:rPr>
          <w:spacing w:val="-81"/>
        </w:rPr>
      </w:r>
      <w:r>
        <w:rPr/>
        <w:t>的时间能够控制并且该暂时性差异在可预见的未来很可能不会转回。</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对于可抵扣暂时性差异、能够结转以后年度的可抵扣亏损和税款抵减，本集团以很可能取得 用来抵扣可抵扣暂时性差异、可抵扣亏损和税款抵减的未来应纳税所得额为限，确认由此产 生的递延所得税资产，除非该可抵扣暂时性差异是在以下交易中产生的：</w:t>
      </w:r>
    </w:p>
    <w:p>
      <w:pPr>
        <w:pStyle w:val="BodyText"/>
        <w:spacing w:line="240" w:lineRule="auto" w:before="185"/>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after="0" w:line="240"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2"/>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）对于与子公司、合营企业及联营企业投资相关的可抵扣暂时性差异，同时满足下列条件</w:t>
      </w:r>
      <w:r>
        <w:rPr>
          <w:spacing w:val="-80"/>
        </w:rPr>
        <w:t> </w:t>
      </w:r>
      <w:r>
        <w:rPr>
          <w:spacing w:val="-80"/>
        </w:rPr>
      </w:r>
      <w:r>
        <w:rPr/>
        <w:t>的，确认相应的递延所得税资产：暂时性差异在可预见的未来很可能转回，且未来很可能获 得用来抵扣可抵扣暂时性差异的应纳税所得额。</w:t>
      </w:r>
    </w:p>
    <w:p>
      <w:pPr>
        <w:spacing w:line="240" w:lineRule="auto" w:before="7"/>
        <w:rPr>
          <w:rFonts w:ascii="宋体" w:hAnsi="宋体" w:cs="宋体" w:eastAsia="宋体" w:hint="default"/>
          <w:sz w:val="16"/>
          <w:szCs w:val="16"/>
        </w:rPr>
      </w:pPr>
    </w:p>
    <w:p>
      <w:pPr>
        <w:pStyle w:val="BodyText"/>
        <w:spacing w:line="312" w:lineRule="exact"/>
        <w:ind w:right="1139"/>
        <w:jc w:val="both"/>
      </w:pPr>
      <w:r>
        <w:rPr/>
        <w:t>于资产负债表日，本集团对递延所得税资产和递延所得税负债，按照预期收回该资产或清偿 该负债期间的适用税率计量，并反映资产负债表日预期收回资产或清偿负债方式的所得税影 响。</w:t>
      </w:r>
    </w:p>
    <w:p>
      <w:pPr>
        <w:pStyle w:val="BodyText"/>
        <w:spacing w:line="312" w:lineRule="exact" w:before="216"/>
        <w:ind w:right="994"/>
        <w:jc w:val="left"/>
      </w:pPr>
      <w:r>
        <w:rPr/>
        <w:t>于资产负债表日，本集团对递延所得税资产的账面价值进行复核。如果未来期间很可能无法 </w:t>
      </w:r>
      <w:r>
        <w:rPr>
          <w:spacing w:val="-2"/>
        </w:rPr>
        <w:t>获得足够的应纳税所得额用以抵扣递延所得税资产的利益，减记递延所得税资产的账面价值。</w:t>
      </w:r>
      <w:r>
        <w:rPr/>
        <w:t> 在很可能获得足够的应纳税所得额时，减记的金额予以转回。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9、租赁" w:id="213"/>
      <w:bookmarkEnd w:id="213"/>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经营租赁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本集团将实质上转移了与资产所有权有关的全部风险和报酬的租赁确认为融资租赁，除融资 租赁之外的其他租赁确认为经营租赁。</w:t>
      </w:r>
    </w:p>
    <w:p>
      <w:pPr>
        <w:pStyle w:val="BodyText"/>
        <w:spacing w:line="240" w:lineRule="auto" w:before="185"/>
        <w:ind w:right="0"/>
        <w:jc w:val="both"/>
      </w:pPr>
      <w:r>
        <w:rPr/>
        <w:t>（</w:t>
      </w:r>
      <w:r>
        <w:rPr>
          <w:rFonts w:ascii="Times New Roman" w:hAnsi="Times New Roman" w:cs="Times New Roman" w:eastAsia="Times New Roman" w:hint="default"/>
        </w:rPr>
        <w:t>1</w:t>
      </w:r>
      <w:r>
        <w:rPr/>
        <w:t>）本集团作为出租人</w:t>
      </w:r>
    </w:p>
    <w:p>
      <w:pPr>
        <w:pStyle w:val="BodyText"/>
        <w:spacing w:line="240" w:lineRule="auto" w:before="195"/>
        <w:ind w:right="1139"/>
        <w:jc w:val="both"/>
      </w:pPr>
      <w:r>
        <w:rPr/>
        <w:t>经营租赁中的租金，本集团在租赁期内各个期间按照直线法或其他更为系统合理的方法确认 当期损益。发生的初始直接费用，计入当期损益。</w:t>
      </w:r>
    </w:p>
    <w:p>
      <w:pPr>
        <w:pStyle w:val="BodyText"/>
        <w:spacing w:line="240" w:lineRule="auto" w:before="214"/>
        <w:ind w:right="0"/>
        <w:jc w:val="both"/>
      </w:pPr>
      <w:r>
        <w:rPr/>
        <w:t>（</w:t>
      </w:r>
      <w:r>
        <w:rPr>
          <w:rFonts w:ascii="Times New Roman" w:hAnsi="Times New Roman" w:cs="Times New Roman" w:eastAsia="Times New Roman" w:hint="default"/>
        </w:rPr>
        <w:t>2</w:t>
      </w:r>
      <w:r>
        <w:rPr/>
        <w:t>）本集团作为承租人</w:t>
      </w:r>
    </w:p>
    <w:p>
      <w:pPr>
        <w:spacing w:line="240" w:lineRule="auto" w:before="4"/>
        <w:rPr>
          <w:rFonts w:ascii="宋体" w:hAnsi="宋体" w:cs="宋体" w:eastAsia="宋体" w:hint="default"/>
          <w:sz w:val="17"/>
          <w:szCs w:val="17"/>
        </w:rPr>
      </w:pPr>
    </w:p>
    <w:p>
      <w:pPr>
        <w:pStyle w:val="BodyText"/>
        <w:spacing w:line="312" w:lineRule="exact"/>
        <w:ind w:right="1139"/>
        <w:jc w:val="both"/>
      </w:pPr>
      <w:r>
        <w:rPr/>
        <w:t>经营租赁中的租金，本集团在租赁期内各个期间按照直线法或其他更为系统合理的方法计入 相关资产成本或当期损益；发生的初始直接费用，计入当期损益。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融资租赁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）本集团作为出租人</w:t>
      </w:r>
    </w:p>
    <w:p>
      <w:pPr>
        <w:pStyle w:val="BodyText"/>
        <w:spacing w:line="312" w:lineRule="exact" w:before="130"/>
        <w:ind w:right="1139"/>
        <w:jc w:val="both"/>
      </w:pPr>
      <w:r>
        <w:rPr/>
        <w:t>融资租赁中，在租赁期开始日本集团按最低租赁收款额与初始直接费用之和作为应收融资租 赁款的入账价值，同时记录未担保余值；将最低租赁收款额、初始直接费用及未担保余值之 和与其现值之和的差额确认为未实现融资收益。未实现融资收益在租赁期内各个期间采用实 际利率法计算确认当期的融资收入。</w:t>
      </w:r>
    </w:p>
    <w:p>
      <w:pPr>
        <w:pStyle w:val="BodyText"/>
        <w:spacing w:line="235" w:lineRule="auto" w:before="191"/>
        <w:ind w:right="1152"/>
        <w:jc w:val="left"/>
      </w:pPr>
      <w:r>
        <w:rPr/>
        <w:t>（</w:t>
      </w:r>
      <w:r>
        <w:rPr>
          <w:rFonts w:ascii="Times New Roman" w:hAnsi="Times New Roman" w:cs="Times New Roman" w:eastAsia="Times New Roman" w:hint="default"/>
        </w:rPr>
        <w:t>2</w:t>
      </w:r>
      <w:r>
        <w:rPr/>
        <w:t>）本集团作为承租人 融资租赁中，在租赁期开始日本集团将租赁资产公允价值与最低租赁付款额现值两者中较低 者作为租入资产的入账价值，将最低租赁付款额作为长期应付款的入账价值，其差额作为未 确认融资费用。初始直接费用计入租入资产价值。未确认融资费用在租赁期内各个期间采用 实际利率法计算确认当期的融资费用。本集团采用与自有固定资产相一致的折旧政策计提租 赁资产折旧。</w:t>
      </w:r>
    </w:p>
    <w:p>
      <w:pPr>
        <w:spacing w:after="0" w:line="23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30、其他重要的会计政策和会计估计" w:id="216"/>
      <w:bookmarkEnd w:id="21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817"/>
        <w:jc w:val="left"/>
      </w:pPr>
      <w:r>
        <w:rPr/>
        <w:t>本集团根据历史经验和其它因素，包括对未来事项的合理预期，对所采用的重要会计估计和 关键假设进行持续的评价。</w:t>
      </w:r>
    </w:p>
    <w:p>
      <w:pPr>
        <w:spacing w:line="240" w:lineRule="auto" w:before="7"/>
        <w:rPr>
          <w:rFonts w:ascii="宋体" w:hAnsi="宋体" w:cs="宋体" w:eastAsia="宋体" w:hint="default"/>
          <w:sz w:val="16"/>
          <w:szCs w:val="16"/>
        </w:rPr>
      </w:pPr>
    </w:p>
    <w:p>
      <w:pPr>
        <w:pStyle w:val="BodyText"/>
        <w:spacing w:line="312" w:lineRule="exact"/>
        <w:ind w:right="817"/>
        <w:jc w:val="left"/>
      </w:pPr>
      <w:r>
        <w:rPr/>
        <w:t>很可能导致下一会计年度资产和负债的账面价值出现重大调整风险的重要会计估计和关键假 设列示如下：</w:t>
      </w:r>
    </w:p>
    <w:p>
      <w:pPr>
        <w:pStyle w:val="BodyText"/>
        <w:spacing w:line="240" w:lineRule="auto" w:before="185"/>
        <w:ind w:right="817"/>
        <w:jc w:val="left"/>
      </w:pPr>
      <w:r>
        <w:rPr/>
        <w:t>商誉减值</w:t>
      </w:r>
    </w:p>
    <w:p>
      <w:pPr>
        <w:spacing w:line="240" w:lineRule="auto" w:before="9"/>
        <w:rPr>
          <w:rFonts w:ascii="宋体" w:hAnsi="宋体" w:cs="宋体" w:eastAsia="宋体" w:hint="default"/>
          <w:sz w:val="18"/>
          <w:szCs w:val="18"/>
        </w:rPr>
      </w:pPr>
    </w:p>
    <w:p>
      <w:pPr>
        <w:pStyle w:val="BodyText"/>
        <w:spacing w:line="312" w:lineRule="exact"/>
        <w:ind w:right="994"/>
        <w:jc w:val="left"/>
      </w:pPr>
      <w:r>
        <w:rPr>
          <w:spacing w:val="-2"/>
        </w:rPr>
        <w:t>本集团至少每年评估商誉是否发生减值。这要求对分配了商誉的资产组的使用价值进行估计。</w:t>
      </w:r>
      <w:r>
        <w:rPr/>
        <w:t> 估计使用价值时，本集团需要估计未来来自资产组的现金流量，同时选择恰当的折现率计算</w:t>
      </w:r>
      <w:r>
        <w:rPr>
          <w:spacing w:val="-115"/>
        </w:rPr>
        <w:t> </w:t>
      </w:r>
      <w:r>
        <w:rPr>
          <w:spacing w:val="-115"/>
        </w:rPr>
      </w:r>
      <w:r>
        <w:rPr/>
        <w:t>未来现金流量的现值。</w:t>
      </w:r>
    </w:p>
    <w:p>
      <w:pPr>
        <w:spacing w:line="240" w:lineRule="auto" w:before="7"/>
        <w:rPr>
          <w:rFonts w:ascii="宋体" w:hAnsi="宋体" w:cs="宋体" w:eastAsia="宋体" w:hint="default"/>
          <w:sz w:val="22"/>
          <w:szCs w:val="22"/>
        </w:rPr>
      </w:pPr>
    </w:p>
    <w:p>
      <w:pPr>
        <w:spacing w:before="0"/>
        <w:ind w:left="154" w:right="817" w:firstLine="0"/>
        <w:jc w:val="left"/>
        <w:rPr>
          <w:rFonts w:ascii="宋体" w:hAnsi="宋体" w:cs="宋体" w:eastAsia="宋体" w:hint="default"/>
          <w:sz w:val="21"/>
          <w:szCs w:val="21"/>
        </w:rPr>
      </w:pPr>
      <w:bookmarkStart w:name="31、重要会计政策和会计估计变更" w:id="217"/>
      <w:bookmarkEnd w:id="217"/>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重要会计政策变更"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84" w:lineRule="exact"/>
        <w:ind w:right="817"/>
        <w:jc w:val="left"/>
      </w:pPr>
      <w:r>
        <w:rPr/>
        <w:t>①根据财政部《关于修订印发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w:t>
      </w:r>
    </w:p>
    <w:p>
      <w:pPr>
        <w:pStyle w:val="BodyText"/>
        <w:spacing w:line="432" w:lineRule="auto"/>
        <w:ind w:right="2592"/>
        <w:jc w:val="left"/>
      </w:pPr>
      <w:r>
        <w:rPr/>
        <w:t>经第四届董事会第十二次会议通过，本公司对财务报表格式进行了以下修订： </w:t>
      </w:r>
      <w:r>
        <w:rPr>
          <w:rFonts w:ascii="Times New Roman" w:hAnsi="Times New Roman" w:cs="Times New Roman" w:eastAsia="Times New Roman" w:hint="default"/>
        </w:rPr>
        <w:t>A</w:t>
      </w:r>
      <w:r>
        <w:rPr/>
        <w:t>、资产负债表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427" w:lineRule="auto" w:before="46"/>
        <w:ind w:right="6726"/>
        <w:jc w:val="left"/>
      </w:pPr>
      <w:r>
        <w:rPr>
          <w:rFonts w:ascii="Times New Roman" w:hAnsi="Times New Roman" w:cs="Times New Roman" w:eastAsia="Times New Roman" w:hint="default"/>
        </w:rPr>
        <w:t>B</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53"/>
        <w:ind w:right="817"/>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spacing w:line="240" w:lineRule="auto" w:before="11"/>
        <w:rPr>
          <w:rFonts w:ascii="宋体" w:hAnsi="宋体" w:cs="宋体" w:eastAsia="宋体" w:hint="default"/>
          <w:sz w:val="19"/>
          <w:szCs w:val="19"/>
        </w:rPr>
      </w:pPr>
    </w:p>
    <w:p>
      <w:pPr>
        <w:pStyle w:val="BodyText"/>
        <w:spacing w:line="240" w:lineRule="auto"/>
        <w:ind w:right="817"/>
        <w:jc w:val="left"/>
      </w:pPr>
      <w:r>
        <w:rPr>
          <w:rFonts w:ascii="Times New Roman" w:hAnsi="Times New Roman" w:cs="Times New Roman" w:eastAsia="Times New Roman" w:hint="default"/>
        </w:rPr>
        <w:t>C</w:t>
      </w:r>
      <w:r>
        <w:rPr/>
        <w:t>、股东权益变动表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4" w:lineRule="exact" w:before="55"/>
        <w:ind w:right="1114"/>
        <w:jc w:val="left"/>
      </w:pPr>
      <w:r>
        <w:rPr>
          <w:spacing w:val="-1"/>
        </w:rPr>
        <w:t>在</w:t>
      </w:r>
      <w:r>
        <w:rPr>
          <w:rFonts w:ascii="Times New Roman" w:hAnsi="Times New Roman" w:cs="Times New Roman" w:eastAsia="Times New Roman" w:hint="default"/>
          <w:spacing w:val="-1"/>
        </w:rPr>
        <w:t>“</w:t>
      </w:r>
      <w:r>
        <w:rPr>
          <w:spacing w:val="-1"/>
        </w:rPr>
        <w:t>股东权益内部结转</w:t>
      </w:r>
      <w:r>
        <w:rPr>
          <w:rFonts w:ascii="Times New Roman" w:hAnsi="Times New Roman" w:cs="Times New Roman" w:eastAsia="Times New Roman" w:hint="default"/>
          <w:spacing w:val="-1"/>
        </w:rPr>
        <w:t>”</w:t>
      </w:r>
      <w:r>
        <w:rPr>
          <w:spacing w:val="-1"/>
        </w:rPr>
        <w:t>行项目下，将原</w:t>
      </w:r>
      <w:r>
        <w:rPr>
          <w:rFonts w:ascii="Times New Roman" w:hAnsi="Times New Roman" w:cs="Times New Roman" w:eastAsia="Times New Roman" w:hint="default"/>
          <w:spacing w:val="-1"/>
        </w:rPr>
        <w:t>“</w:t>
      </w:r>
      <w:r>
        <w:rPr>
          <w:spacing w:val="-1"/>
        </w:rPr>
        <w:t>结转重新计量设定受益计划净负债或净资产所产生的</w:t>
      </w:r>
      <w:r>
        <w:rPr/>
        <w:t> 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8"/>
          <w:szCs w:val="18"/>
        </w:rPr>
      </w:pPr>
    </w:p>
    <w:p>
      <w:pPr>
        <w:pStyle w:val="BodyText"/>
        <w:spacing w:line="429" w:lineRule="auto"/>
        <w:ind w:right="1392"/>
        <w:jc w:val="left"/>
      </w:pPr>
      <w:r>
        <w:rPr/>
        <w:t>本公司对可比期间的比较数据按照财会</w:t>
      </w:r>
      <w:r>
        <w:rPr>
          <w:rFonts w:ascii="Times New Roman" w:hAnsi="Times New Roman" w:cs="Times New Roman" w:eastAsia="Times New Roman" w:hint="default"/>
        </w:rPr>
        <w:t>[2018]15</w:t>
      </w:r>
      <w:r>
        <w:rPr/>
        <w:t>号文进行调整。 财务报表格式的修订对本公司的资产总额、负债总额、净利润、其他综合收益等无影响。</w:t>
      </w:r>
    </w:p>
    <w:p>
      <w:pPr>
        <w:pStyle w:val="BodyText"/>
        <w:spacing w:line="312" w:lineRule="exact" w:before="117"/>
        <w:ind w:right="1131"/>
        <w:jc w:val="both"/>
      </w:pPr>
      <w:r>
        <w:rPr/>
        <w:t>②本集团实际收到的政府补助，无论是与资产相关还是与收益相关，在编制现金流量表时均 </w:t>
      </w:r>
      <w:r>
        <w:rPr>
          <w:spacing w:val="-2"/>
        </w:rPr>
        <w:t>作为经营活动产生的现金流量列报，对可比期间的比较数据进行调整，调增</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w:t>
      </w:r>
      <w:r>
        <w:rPr>
          <w:spacing w:val="-2"/>
        </w:rPr>
        <w:t>收到其</w:t>
      </w:r>
      <w:r>
        <w:rPr>
          <w:spacing w:val="-103"/>
        </w:rPr>
        <w:t> </w:t>
      </w:r>
      <w:r>
        <w:rPr>
          <w:spacing w:val="-3"/>
          <w:w w:val="100"/>
        </w:rPr>
        <w:t>他与经营活动有关的现金</w:t>
      </w:r>
      <w:r>
        <w:rPr>
          <w:rFonts w:ascii="Times New Roman" w:hAnsi="Times New Roman" w:cs="Times New Roman" w:eastAsia="Times New Roman" w:hint="default"/>
          <w:spacing w:val="-3"/>
          <w:w w:val="100"/>
        </w:rPr>
        <w:t>”</w:t>
      </w:r>
      <w:r>
        <w:rPr>
          <w:spacing w:val="-3"/>
          <w:w w:val="100"/>
        </w:rPr>
        <w:t>现金流量</w:t>
      </w:r>
      <w:r>
        <w:rPr>
          <w:rFonts w:ascii="Times New Roman" w:hAnsi="Times New Roman" w:cs="Times New Roman" w:eastAsia="Times New Roman" w:hint="default"/>
          <w:spacing w:val="-3"/>
          <w:w w:val="100"/>
        </w:rPr>
        <w:t>370.70</w:t>
      </w:r>
      <w:r>
        <w:rPr>
          <w:spacing w:val="-3"/>
          <w:w w:val="100"/>
        </w:rPr>
        <w:t>万元，调减</w:t>
      </w:r>
      <w:r>
        <w:rPr>
          <w:rFonts w:ascii="Times New Roman" w:hAnsi="Times New Roman" w:cs="Times New Roman" w:eastAsia="Times New Roman" w:hint="default"/>
          <w:spacing w:val="-3"/>
          <w:w w:val="100"/>
        </w:rPr>
        <w:t>2017</w:t>
      </w:r>
      <w:r>
        <w:rPr>
          <w:spacing w:val="-3"/>
          <w:w w:val="100"/>
        </w:rPr>
        <w:t>年度</w:t>
      </w:r>
      <w:r>
        <w:rPr>
          <w:rFonts w:ascii="Times New Roman" w:hAnsi="Times New Roman" w:cs="Times New Roman" w:eastAsia="Times New Roman" w:hint="default"/>
          <w:spacing w:val="-3"/>
          <w:w w:val="100"/>
        </w:rPr>
        <w:t>“</w:t>
      </w:r>
      <w:r>
        <w:rPr>
          <w:spacing w:val="-3"/>
          <w:w w:val="100"/>
        </w:rPr>
        <w:t>收到其他与投资活动有关的现</w:t>
      </w:r>
      <w:r>
        <w:rPr>
          <w:spacing w:val="-96"/>
          <w:w w:val="100"/>
        </w:rPr>
        <w:t> </w:t>
      </w:r>
      <w:r>
        <w:rPr/>
        <w:t>金</w:t>
      </w:r>
      <w:r>
        <w:rPr>
          <w:rFonts w:ascii="Times New Roman" w:hAnsi="Times New Roman" w:cs="Times New Roman" w:eastAsia="Times New Roman" w:hint="default"/>
        </w:rPr>
        <w:t>”</w:t>
      </w:r>
      <w:r>
        <w:rPr/>
        <w:t>现金流量</w:t>
      </w:r>
      <w:r>
        <w:rPr>
          <w:rFonts w:ascii="Times New Roman" w:hAnsi="Times New Roman" w:cs="Times New Roman" w:eastAsia="Times New Roman" w:hint="default"/>
        </w:rPr>
        <w:t>370.70</w:t>
      </w:r>
      <w:r>
        <w:rPr/>
        <w:t>万元。</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重要会计估计变更"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both"/>
        <w:rPr>
          <w:rFonts w:ascii="宋体" w:hAnsi="宋体" w:cs="宋体" w:eastAsia="宋体" w:hint="default"/>
          <w:sz w:val="21"/>
          <w:szCs w:val="21"/>
        </w:rPr>
      </w:pPr>
      <w:bookmarkStart w:name="32、其他" w:id="220"/>
      <w:bookmarkEnd w:id="220"/>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六、税项" w:id="221"/>
      <w:bookmarkEnd w:id="22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主要税种及税率" w:id="222"/>
      <w:bookmarkEnd w:id="2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商品与服务税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销售商品或提供服务额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房屋的计税余值或租金收入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实际占用的土地面积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本公司、涵普电力、星波通信、银川卧龙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上海红相、红相软件、星波电子、红相信息、中宁新能源、 宁夏银相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涵普三维、涵普新能源、宁夏新能源、红寺堡新能源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税收优惠" w:id="223"/>
      <w:bookmarkEnd w:id="2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817"/>
        <w:jc w:val="left"/>
      </w:pPr>
      <w:r>
        <w:rPr>
          <w:rFonts w:ascii="Times New Roman" w:hAnsi="Times New Roman" w:cs="Times New Roman" w:eastAsia="Times New Roman" w:hint="default"/>
        </w:rPr>
        <w:t>1</w:t>
      </w:r>
      <w:r>
        <w:rPr/>
        <w:t>）企业所得税优惠</w:t>
      </w:r>
    </w:p>
    <w:p>
      <w:pPr>
        <w:pStyle w:val="BodyText"/>
        <w:spacing w:line="240" w:lineRule="auto" w:before="99"/>
        <w:ind w:right="817"/>
        <w:jc w:val="left"/>
      </w:pPr>
      <w:r>
        <w:rPr/>
        <w:t>①高新技术企业所得税优惠</w:t>
      </w:r>
    </w:p>
    <w:p>
      <w:pPr>
        <w:pStyle w:val="BodyText"/>
        <w:spacing w:line="312" w:lineRule="exact" w:before="149"/>
        <w:ind w:right="817"/>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月取得新的高新技术企业证书，证书编号：</w:t>
      </w:r>
      <w:r>
        <w:rPr>
          <w:rFonts w:ascii="Times New Roman" w:hAnsi="Times New Roman" w:cs="Times New Roman" w:eastAsia="Times New Roman" w:hint="default"/>
          <w:spacing w:val="-2"/>
        </w:rPr>
        <w:t>GR201834100046</w:t>
      </w:r>
      <w:r>
        <w:rPr>
          <w:spacing w:val="-2"/>
        </w:rPr>
        <w:t>，在有效认定</w:t>
      </w:r>
      <w:r>
        <w:rPr>
          <w:spacing w:val="-75"/>
        </w:rPr>
        <w:t> </w:t>
      </w:r>
      <w:r>
        <w:rPr>
          <w:spacing w:val="-75"/>
        </w:rPr>
      </w:r>
      <w:r>
        <w:rPr/>
        <w:t>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年）内按</w:t>
      </w:r>
      <w:r>
        <w:rPr>
          <w:rFonts w:ascii="Times New Roman" w:hAnsi="Times New Roman" w:cs="Times New Roman" w:eastAsia="Times New Roman" w:hint="default"/>
        </w:rPr>
        <w:t>15%</w:t>
      </w:r>
      <w:r>
        <w:rPr/>
        <w:t>的税率征收企业所得税。</w:t>
      </w:r>
    </w:p>
    <w:p>
      <w:pPr>
        <w:spacing w:line="240" w:lineRule="auto" w:before="7"/>
        <w:rPr>
          <w:rFonts w:ascii="宋体" w:hAnsi="宋体" w:cs="宋体" w:eastAsia="宋体" w:hint="default"/>
          <w:sz w:val="16"/>
          <w:szCs w:val="16"/>
        </w:rPr>
      </w:pPr>
    </w:p>
    <w:p>
      <w:pPr>
        <w:pStyle w:val="BodyText"/>
        <w:spacing w:line="312" w:lineRule="exact"/>
        <w:ind w:right="817"/>
        <w:jc w:val="left"/>
      </w:pPr>
      <w:r>
        <w:rPr/>
        <w:t>子公司浙江涵普于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月份通过公示（关于公示浙江省</w:t>
      </w:r>
      <w:r>
        <w:rPr>
          <w:rFonts w:ascii="Times New Roman" w:hAnsi="Times New Roman" w:cs="Times New Roman" w:eastAsia="Times New Roman" w:hint="default"/>
        </w:rPr>
        <w:t>2018</w:t>
      </w:r>
      <w:r>
        <w:rPr/>
        <w:t>年拟认定高新技术企业名单</w:t>
      </w:r>
      <w:r>
        <w:rPr>
          <w:spacing w:val="-103"/>
        </w:rPr>
        <w:t> </w:t>
      </w:r>
      <w:r>
        <w:rPr>
          <w:spacing w:val="-103"/>
        </w:rPr>
      </w:r>
      <w:r>
        <w:rPr/>
        <w:t>的通知），在有效认定期（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年）内按</w:t>
      </w:r>
      <w:r>
        <w:rPr>
          <w:rFonts w:ascii="Times New Roman" w:hAnsi="Times New Roman" w:cs="Times New Roman" w:eastAsia="Times New Roman" w:hint="default"/>
        </w:rPr>
        <w:t>15%</w:t>
      </w:r>
      <w:r>
        <w:rPr/>
        <w:t>的税率缴纳企业所得税。</w:t>
      </w:r>
    </w:p>
    <w:p>
      <w:pPr>
        <w:spacing w:line="240" w:lineRule="auto" w:before="7"/>
        <w:rPr>
          <w:rFonts w:ascii="宋体" w:hAnsi="宋体" w:cs="宋体" w:eastAsia="宋体" w:hint="default"/>
          <w:sz w:val="16"/>
          <w:szCs w:val="16"/>
        </w:rPr>
      </w:pPr>
    </w:p>
    <w:p>
      <w:pPr>
        <w:pStyle w:val="BodyText"/>
        <w:spacing w:line="312" w:lineRule="exact"/>
        <w:ind w:right="1075"/>
        <w:jc w:val="both"/>
      </w:pPr>
      <w:r>
        <w:rPr/>
        <w:t>子公司星波通信于</w:t>
      </w:r>
      <w:r>
        <w:rPr>
          <w:rFonts w:ascii="Times New Roman" w:hAnsi="Times New Roman" w:cs="Times New Roman" w:eastAsia="Times New Roman" w:hint="default"/>
        </w:rPr>
        <w:t>2017</w:t>
      </w:r>
      <w:r>
        <w:rPr/>
        <w:t>年度取得了安徽省科学技术厅、安徽省财政厅、安徽省国家税务局、</w:t>
      </w:r>
      <w:r>
        <w:rPr>
          <w:spacing w:val="-115"/>
        </w:rPr>
        <w:t> </w:t>
      </w:r>
      <w:r>
        <w:rPr>
          <w:spacing w:val="-115"/>
        </w:rPr>
      </w:r>
      <w:r>
        <w:rPr/>
        <w:t>安徽省地方税务局联合颁发的《高新技术企业证书》（证书编号为：</w:t>
      </w:r>
      <w:r>
        <w:rPr>
          <w:rFonts w:ascii="Times New Roman" w:hAnsi="Times New Roman" w:cs="Times New Roman" w:eastAsia="Times New Roman" w:hint="default"/>
        </w:rPr>
        <w:t>GR201734000294</w:t>
      </w:r>
      <w:r>
        <w:rPr/>
        <w:t>号）， 在有效认定期（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spacing w:line="240" w:lineRule="auto" w:before="7"/>
        <w:rPr>
          <w:rFonts w:ascii="宋体" w:hAnsi="宋体" w:cs="宋体" w:eastAsia="宋体" w:hint="default"/>
          <w:sz w:val="16"/>
          <w:szCs w:val="16"/>
        </w:rPr>
      </w:pPr>
    </w:p>
    <w:p>
      <w:pPr>
        <w:pStyle w:val="BodyText"/>
        <w:spacing w:line="312" w:lineRule="exact"/>
        <w:ind w:right="817"/>
        <w:jc w:val="left"/>
        <w:rPr>
          <w:rFonts w:ascii="Times New Roman" w:hAnsi="Times New Roman" w:cs="Times New Roman" w:eastAsia="Times New Roman" w:hint="default"/>
        </w:rPr>
      </w:pPr>
      <w:r>
        <w:rPr/>
        <w:t>子公司银川卧龙于</w:t>
      </w:r>
      <w:r>
        <w:rPr>
          <w:rFonts w:ascii="Times New Roman" w:hAnsi="Times New Roman" w:cs="Times New Roman" w:eastAsia="Times New Roman" w:hint="default"/>
        </w:rPr>
        <w:t>2017</w:t>
      </w:r>
      <w:r>
        <w:rPr/>
        <w:t>年度取得宁夏回族自治区科学技术厅、宁夏回族自治区财政厅、宁夏</w:t>
      </w:r>
      <w:r>
        <w:rPr>
          <w:spacing w:val="-115"/>
        </w:rPr>
        <w:t> </w:t>
      </w:r>
      <w:r>
        <w:rPr>
          <w:spacing w:val="-115"/>
        </w:rPr>
      </w:r>
      <w:r>
        <w:rPr>
          <w:spacing w:val="3"/>
        </w:rPr>
        <w:t>回族自治区国家税务局、宁夏回族自治区地方税务局联合颁发编号为</w:t>
      </w:r>
      <w:r>
        <w:rPr>
          <w:rFonts w:ascii="Times New Roman" w:hAnsi="Times New Roman" w:cs="Times New Roman" w:eastAsia="Times New Roman" w:hint="default"/>
          <w:spacing w:val="3"/>
        </w:rPr>
        <w:t>“GR201764000018</w:t>
      </w:r>
      <w:r>
        <w:rPr>
          <w:spacing w:val="3"/>
        </w:rPr>
        <w:t>号</w:t>
      </w:r>
      <w:r>
        <w:rPr>
          <w:rFonts w:ascii="Times New Roman" w:hAnsi="Times New Roman" w:cs="Times New Roman" w:eastAsia="Times New Roman" w:hint="default"/>
          <w:spacing w:val="3"/>
        </w:rPr>
        <w:t>”</w:t>
      </w:r>
    </w:p>
    <w:p>
      <w:pPr>
        <w:pStyle w:val="BodyText"/>
        <w:spacing w:line="302" w:lineRule="exact"/>
        <w:ind w:right="817"/>
        <w:jc w:val="left"/>
      </w:pPr>
      <w:r>
        <w:rPr/>
        <w:t>《高新技术企业证书》，在有效认定期（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pStyle w:val="BodyText"/>
        <w:spacing w:line="240" w:lineRule="auto" w:before="195"/>
        <w:ind w:right="817"/>
        <w:jc w:val="left"/>
      </w:pPr>
      <w:r>
        <w:rPr/>
        <w:t>②软件企业所得税优惠</w:t>
      </w:r>
    </w:p>
    <w:p>
      <w:pPr>
        <w:spacing w:line="240" w:lineRule="auto" w:before="9"/>
        <w:rPr>
          <w:rFonts w:ascii="宋体" w:hAnsi="宋体" w:cs="宋体" w:eastAsia="宋体" w:hint="default"/>
          <w:sz w:val="18"/>
          <w:szCs w:val="18"/>
        </w:rPr>
      </w:pPr>
    </w:p>
    <w:p>
      <w:pPr>
        <w:pStyle w:val="BodyText"/>
        <w:spacing w:line="312" w:lineRule="exact"/>
        <w:ind w:right="1112"/>
        <w:jc w:val="left"/>
      </w:pPr>
      <w:r>
        <w:rPr/>
        <w:t>根据国发</w:t>
      </w:r>
      <w:r>
        <w:rPr>
          <w:rFonts w:ascii="Times New Roman" w:hAnsi="Times New Roman" w:cs="Times New Roman" w:eastAsia="Times New Roman" w:hint="default"/>
        </w:rPr>
        <w:t>[2011]4</w:t>
      </w:r>
      <w:r>
        <w:rPr/>
        <w:t>号《国务院关于印发进一步鼓励软件产业和集成电路产业发展若干政策的通 知》（国发</w:t>
      </w:r>
      <w:r>
        <w:rPr>
          <w:rFonts w:ascii="Times New Roman" w:hAnsi="Times New Roman" w:cs="Times New Roman" w:eastAsia="Times New Roman" w:hint="default"/>
        </w:rPr>
        <w:t>[2011]4</w:t>
      </w:r>
      <w:r>
        <w:rPr/>
        <w:t>号）和《关于软件和集成电路产业企业所得税优惠政策有关问题的通知》</w:t>
      </w:r>
    </w:p>
    <w:p>
      <w:pPr>
        <w:pStyle w:val="BodyText"/>
        <w:spacing w:line="312" w:lineRule="exact"/>
        <w:ind w:right="1129"/>
        <w:jc w:val="both"/>
      </w:pPr>
      <w:r>
        <w:rPr>
          <w:spacing w:val="2"/>
        </w:rPr>
        <w:t>（财税</w:t>
      </w:r>
      <w:r>
        <w:rPr>
          <w:rFonts w:ascii="Times New Roman" w:hAnsi="Times New Roman" w:cs="Times New Roman" w:eastAsia="Times New Roman" w:hint="default"/>
          <w:spacing w:val="2"/>
        </w:rPr>
        <w:t>[2016]49</w:t>
      </w:r>
      <w:r>
        <w:rPr>
          <w:spacing w:val="2"/>
        </w:rPr>
        <w:t>号）的规定，对新办的符合条件的软件企业，经备案后，自获利年度起，享</w:t>
      </w:r>
      <w:r>
        <w:rPr>
          <w:spacing w:val="-108"/>
        </w:rPr>
        <w:t> </w:t>
      </w:r>
      <w:r>
        <w:rPr>
          <w:spacing w:val="-108"/>
        </w:rPr>
      </w:r>
      <w:r>
        <w:rPr>
          <w:spacing w:val="-2"/>
        </w:rPr>
        <w:t>受企业所得税</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优惠政策。子公司红相信息</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日获得厦门市软件行业协</w:t>
      </w:r>
      <w:r>
        <w:rPr>
          <w:spacing w:val="-86"/>
        </w:rPr>
        <w:t> </w:t>
      </w:r>
      <w:r>
        <w:rPr/>
        <w:t>会颁发的《软件企业证书》，</w:t>
      </w:r>
      <w:r>
        <w:rPr>
          <w:rFonts w:ascii="Times New Roman" w:hAnsi="Times New Roman" w:cs="Times New Roman" w:eastAsia="Times New Roman" w:hint="default"/>
        </w:rPr>
        <w:t>2018</w:t>
      </w:r>
      <w:r>
        <w:rPr/>
        <w:t>年度红相信息按企业所得税</w:t>
      </w:r>
      <w:r>
        <w:rPr>
          <w:rFonts w:ascii="Times New Roman" w:hAnsi="Times New Roman" w:cs="Times New Roman" w:eastAsia="Times New Roman" w:hint="default"/>
        </w:rPr>
        <w:t>25%</w:t>
      </w:r>
      <w:r>
        <w:rPr/>
        <w:t>减半征收。</w:t>
      </w:r>
    </w:p>
    <w:p>
      <w:pPr>
        <w:pStyle w:val="BodyText"/>
        <w:spacing w:line="240" w:lineRule="auto" w:before="185"/>
        <w:ind w:right="817"/>
        <w:jc w:val="left"/>
      </w:pPr>
      <w:r>
        <w:rPr/>
        <w:t>③小微企业企业所得税优惠</w:t>
      </w:r>
    </w:p>
    <w:p>
      <w:pPr>
        <w:spacing w:line="240" w:lineRule="auto" w:before="9"/>
        <w:rPr>
          <w:rFonts w:ascii="宋体" w:hAnsi="宋体" w:cs="宋体" w:eastAsia="宋体" w:hint="default"/>
          <w:sz w:val="18"/>
          <w:szCs w:val="18"/>
        </w:rPr>
      </w:pPr>
    </w:p>
    <w:p>
      <w:pPr>
        <w:pStyle w:val="BodyText"/>
        <w:spacing w:line="312" w:lineRule="exact"/>
        <w:ind w:right="1004"/>
        <w:jc w:val="left"/>
      </w:pPr>
      <w:r>
        <w:rPr>
          <w:spacing w:val="-6"/>
        </w:rPr>
        <w:t>根据财税〔</w:t>
      </w:r>
      <w:r>
        <w:rPr>
          <w:rFonts w:ascii="Times New Roman" w:hAnsi="Times New Roman" w:cs="Times New Roman" w:eastAsia="Times New Roman" w:hint="default"/>
          <w:spacing w:val="-6"/>
        </w:rPr>
        <w:t>2018</w:t>
      </w:r>
      <w:r>
        <w:rPr>
          <w:spacing w:val="-6"/>
        </w:rPr>
        <w:t>〕</w:t>
      </w:r>
      <w:r>
        <w:rPr>
          <w:rFonts w:ascii="Times New Roman" w:hAnsi="Times New Roman" w:cs="Times New Roman" w:eastAsia="Times New Roman" w:hint="default"/>
          <w:spacing w:val="-6"/>
        </w:rPr>
        <w:t>77</w:t>
      </w:r>
      <w:r>
        <w:rPr>
          <w:spacing w:val="-6"/>
        </w:rPr>
        <w:t>号</w:t>
      </w:r>
      <w:r>
        <w:rPr>
          <w:spacing w:val="-72"/>
        </w:rPr>
        <w:t> </w:t>
      </w:r>
      <w:r>
        <w:rPr>
          <w:spacing w:val="-2"/>
        </w:rPr>
        <w:t>《关于进一步扩大小型微利企业所得税优惠政策范围的通知》的规定，</w:t>
      </w:r>
      <w:r>
        <w:rPr>
          <w:spacing w:val="-113"/>
        </w:rPr>
        <w:t> </w:t>
      </w:r>
      <w:r>
        <w:rPr>
          <w:spacing w:val="-113"/>
        </w:rPr>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日，将小型微利企业的年应纳税所得额上限由</w:t>
      </w:r>
      <w:r>
        <w:rPr>
          <w:rFonts w:ascii="Times New Roman" w:hAnsi="Times New Roman" w:cs="Times New Roman" w:eastAsia="Times New Roman" w:hint="default"/>
        </w:rPr>
        <w:t>50</w:t>
      </w:r>
      <w:r>
        <w:rPr/>
        <w:t>万元提高至</w:t>
      </w:r>
      <w:r>
        <w:rPr>
          <w:spacing w:val="-102"/>
        </w:rPr>
        <w:t> </w:t>
      </w:r>
      <w:r>
        <w:rPr>
          <w:rFonts w:ascii="Times New Roman" w:hAnsi="Times New Roman" w:cs="Times New Roman" w:eastAsia="Times New Roman" w:hint="default"/>
        </w:rPr>
        <w:t>100</w:t>
      </w:r>
      <w:r>
        <w:rPr/>
        <w:t>万元，对年应纳税所得额低于</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万元）的小型微利企业，其所得减按</w:t>
      </w:r>
      <w:r>
        <w:rPr>
          <w:rFonts w:ascii="Times New Roman" w:hAnsi="Times New Roman" w:cs="Times New Roman" w:eastAsia="Times New Roman" w:hint="default"/>
        </w:rPr>
        <w:t>50%</w:t>
      </w:r>
      <w:r>
        <w:rPr/>
        <w:t>计 入应纳税所得额，按</w:t>
      </w:r>
      <w:r>
        <w:rPr>
          <w:rFonts w:ascii="Times New Roman" w:hAnsi="Times New Roman" w:cs="Times New Roman" w:eastAsia="Times New Roman" w:hint="default"/>
        </w:rPr>
        <w:t>20%</w:t>
      </w:r>
      <w:r>
        <w:rPr/>
        <w:t>的税率缴纳企业所得税。孙公司涵普三维、涵普新能源、宁夏新能</w:t>
      </w:r>
      <w:r>
        <w:rPr>
          <w:spacing w:val="-61"/>
        </w:rPr>
        <w:t> </w:t>
      </w:r>
      <w:r>
        <w:rPr>
          <w:spacing w:val="-61"/>
        </w:rPr>
      </w:r>
      <w:r>
        <w:rPr/>
        <w:t>源实际执行的企业所得税税率为</w:t>
      </w:r>
      <w:r>
        <w:rPr>
          <w:rFonts w:ascii="Times New Roman" w:hAnsi="Times New Roman" w:cs="Times New Roman" w:eastAsia="Times New Roman" w:hint="default"/>
        </w:rPr>
        <w:t>10%</w:t>
      </w:r>
      <w:r>
        <w:rPr/>
        <w:t>。</w:t>
      </w:r>
    </w:p>
    <w:p>
      <w:pPr>
        <w:pStyle w:val="BodyText"/>
        <w:spacing w:line="240" w:lineRule="auto" w:before="185"/>
        <w:ind w:right="817"/>
        <w:jc w:val="left"/>
      </w:pPr>
      <w:r>
        <w:rPr/>
        <w:t>（</w:t>
      </w:r>
      <w:r>
        <w:rPr>
          <w:rFonts w:ascii="Times New Roman" w:hAnsi="Times New Roman" w:cs="Times New Roman" w:eastAsia="Times New Roman" w:hint="default"/>
        </w:rPr>
        <w:t>2</w:t>
      </w:r>
      <w:r>
        <w:rPr/>
        <w:t>）增值税优惠</w:t>
      </w:r>
    </w:p>
    <w:p>
      <w:pPr>
        <w:pStyle w:val="BodyText"/>
        <w:spacing w:line="230" w:lineRule="auto" w:before="207"/>
        <w:ind w:right="817"/>
        <w:jc w:val="left"/>
      </w:pPr>
      <w:r>
        <w:rPr/>
        <w:t>根据财政部、国家税务总局、海关总署联合下发的《关于鼓励软件产业和集成电路产业发展</w:t>
      </w:r>
      <w:r>
        <w:rPr>
          <w:spacing w:val="-115"/>
        </w:rPr>
        <w:t> </w:t>
      </w:r>
      <w:r>
        <w:rPr>
          <w:spacing w:val="-115"/>
        </w:rPr>
      </w:r>
      <w:r>
        <w:rPr>
          <w:spacing w:val="-3"/>
        </w:rPr>
        <w:t>有关税收政策问题的通知》（财税</w:t>
      </w:r>
      <w:r>
        <w:rPr>
          <w:rFonts w:ascii="Times New Roman" w:hAnsi="Times New Roman" w:cs="Times New Roman" w:eastAsia="Times New Roman" w:hint="default"/>
          <w:spacing w:val="-3"/>
        </w:rPr>
        <w:t>[2000]25</w:t>
      </w:r>
      <w:r>
        <w:rPr>
          <w:spacing w:val="-3"/>
        </w:rPr>
        <w:t>号）的规定，自</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日起至</w:t>
      </w:r>
      <w:r>
        <w:rPr>
          <w:rFonts w:ascii="Times New Roman" w:hAnsi="Times New Roman" w:cs="Times New Roman" w:eastAsia="Times New Roman" w:hint="default"/>
          <w:spacing w:val="-3"/>
        </w:rPr>
        <w:t>2010</w:t>
      </w:r>
      <w:r>
        <w:rPr>
          <w:spacing w:val="-3"/>
        </w:rPr>
        <w:t>年底以前，</w:t>
      </w:r>
      <w:r>
        <w:rPr>
          <w:spacing w:val="-91"/>
        </w:rPr>
        <w:t> </w:t>
      </w:r>
      <w:r>
        <w:rPr/>
        <w:t>对增值税一般纳税人销售其自行开发生产的软件产品，按</w:t>
      </w:r>
      <w:r>
        <w:rPr>
          <w:rFonts w:ascii="Times New Roman" w:hAnsi="Times New Roman" w:cs="Times New Roman" w:eastAsia="Times New Roman" w:hint="default"/>
        </w:rPr>
        <w:t>17%</w:t>
      </w:r>
      <w:r>
        <w:rPr/>
        <w:t>的法定税率征收增值税后，对</w:t>
      </w:r>
      <w:r>
        <w:rPr>
          <w:spacing w:val="-56"/>
        </w:rPr>
        <w:t> </w:t>
      </w:r>
      <w:r>
        <w:rPr>
          <w:spacing w:val="-56"/>
        </w:rPr>
      </w:r>
      <w:r>
        <w:rPr/>
        <w:t>其增值税实际税负超过</w:t>
      </w:r>
      <w:r>
        <w:rPr>
          <w:rFonts w:ascii="Times New Roman" w:hAnsi="Times New Roman" w:cs="Times New Roman" w:eastAsia="Times New Roman" w:hint="default"/>
        </w:rPr>
        <w:t>3%</w:t>
      </w:r>
      <w:r>
        <w:rPr/>
        <w:t>的部分实行即征即退政策。根据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日国务院发布的《国</w:t>
      </w:r>
      <w:r>
        <w:rPr>
          <w:spacing w:val="-58"/>
        </w:rPr>
        <w:t> </w:t>
      </w:r>
      <w:r>
        <w:rPr>
          <w:spacing w:val="-58"/>
        </w:rPr>
      </w:r>
      <w:r>
        <w:rPr>
          <w:spacing w:val="4"/>
        </w:rPr>
        <w:t>务院关于印发进一步鼓励软件产业和集成电路产业发展若干政策的通知》（国发</w:t>
      </w:r>
      <w:r>
        <w:rPr>
          <w:rFonts w:ascii="Times New Roman" w:hAnsi="Times New Roman" w:cs="Times New Roman" w:eastAsia="Times New Roman" w:hint="default"/>
          <w:spacing w:val="4"/>
        </w:rPr>
        <w:t>[2011]4</w:t>
      </w:r>
      <w:r>
        <w:rPr>
          <w:spacing w:val="4"/>
        </w:rPr>
        <w:t>号</w:t>
      </w:r>
      <w:r>
        <w:rPr>
          <w:spacing w:val="-85"/>
        </w:rPr>
        <w:t> </w:t>
      </w:r>
      <w:r>
        <w:rPr/>
        <w:t>文），子公司浙江涵普、红相信息和红相软件自行开发销售的软件产品继续享受上述增值税 优惠政策。</w:t>
      </w:r>
    </w:p>
    <w:p>
      <w:pPr>
        <w:spacing w:line="240" w:lineRule="auto" w:before="0"/>
        <w:rPr>
          <w:rFonts w:ascii="宋体" w:hAnsi="宋体" w:cs="宋体" w:eastAsia="宋体" w:hint="default"/>
          <w:sz w:val="24"/>
          <w:szCs w:val="24"/>
        </w:rPr>
      </w:pPr>
    </w:p>
    <w:p>
      <w:pPr>
        <w:pStyle w:val="BodyText"/>
        <w:spacing w:line="322" w:lineRule="exact" w:before="165"/>
        <w:ind w:right="817"/>
        <w:jc w:val="left"/>
      </w:pPr>
      <w:r>
        <w:rPr/>
        <w:t>根据《财政部、国家税务总局关于全面推开营业税改征增值税试点的通知》（财税〔</w:t>
      </w:r>
      <w:r>
        <w:rPr>
          <w:rFonts w:ascii="Times New Roman" w:hAnsi="Times New Roman" w:cs="Times New Roman" w:eastAsia="Times New Roman" w:hint="default"/>
        </w:rPr>
        <w:t>2016</w:t>
      </w:r>
      <w:r>
        <w:rPr/>
        <w:t>〕</w:t>
      </w:r>
    </w:p>
    <w:p>
      <w:pPr>
        <w:pStyle w:val="BodyText"/>
        <w:spacing w:line="322" w:lineRule="exact"/>
        <w:ind w:right="817"/>
        <w:jc w:val="left"/>
      </w:pPr>
      <w:r>
        <w:rPr>
          <w:rFonts w:ascii="Times New Roman" w:hAnsi="Times New Roman" w:cs="Times New Roman" w:eastAsia="Times New Roman" w:hint="default"/>
        </w:rPr>
        <w:t>36</w:t>
      </w:r>
      <w:r>
        <w:rPr/>
        <w:t>号），子公司星波通信技术开发和技术转让所得免征增值税。根据财政部、国家税务总局</w:t>
      </w:r>
    </w:p>
    <w:p>
      <w:pPr>
        <w:spacing w:after="0" w:line="32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817"/>
        <w:jc w:val="left"/>
      </w:pPr>
      <w:r>
        <w:rPr/>
        <w:t>以及国防科工局相关文件规定，经国防科技工业局等主管单位登记备案的军品销售及研发合 同，子公司星波通信取得的军品业务收入免征增值税。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line="487" w:lineRule="auto" w:before="0"/>
        <w:ind w:left="154" w:right="7692" w:firstLine="0"/>
        <w:jc w:val="left"/>
        <w:rPr>
          <w:rFonts w:ascii="宋体" w:hAnsi="宋体" w:cs="宋体" w:eastAsia="宋体" w:hint="default"/>
          <w:sz w:val="21"/>
          <w:szCs w:val="21"/>
        </w:rPr>
      </w:pPr>
      <w:bookmarkStart w:name="3、其他" w:id="224"/>
      <w:bookmarkEnd w:id="2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5"/>
      <w:bookmarkEnd w:id="225"/>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6"/>
      <w:bookmarkEnd w:id="22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178,413.66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232,543.06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237,560,796.84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521,085,723.64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73,379,036.61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18,225,717.37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311,118,247.11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539,543,984.07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1,258,227.80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1,219,714.35</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1</w:t>
      </w:r>
      <w:r>
        <w:rPr/>
        <w:t>）</w:t>
      </w:r>
      <w:r>
        <w:rPr>
          <w:spacing w:val="-24"/>
        </w:rPr>
        <w:t> </w:t>
      </w:r>
      <w:r>
        <w:rPr/>
        <w:t>存放在境外的款项系本集团境外子公司澳洲红相存放于澳大利亚的现金及银行存款。</w:t>
      </w:r>
    </w:p>
    <w:p>
      <w:pPr>
        <w:spacing w:line="240" w:lineRule="auto" w:before="3"/>
        <w:rPr>
          <w:rFonts w:ascii="宋体" w:hAnsi="宋体" w:cs="宋体" w:eastAsia="宋体" w:hint="default"/>
          <w:sz w:val="17"/>
          <w:szCs w:val="17"/>
        </w:rPr>
      </w:pPr>
    </w:p>
    <w:p>
      <w:pPr>
        <w:pStyle w:val="BodyText"/>
        <w:spacing w:line="312" w:lineRule="exact"/>
        <w:ind w:right="1132"/>
        <w:jc w:val="both"/>
      </w:pPr>
      <w:r>
        <w:rPr/>
        <w:t>（</w:t>
      </w:r>
      <w:r>
        <w:rPr>
          <w:rFonts w:ascii="Times New Roman" w:hAnsi="Times New Roman" w:cs="Times New Roman" w:eastAsia="Times New Roman" w:hint="default"/>
        </w:rPr>
        <w:t>2</w:t>
      </w:r>
      <w:r>
        <w:rPr/>
        <w:t>）期末，其他货币资金余额系三个月内到期的结构性存款</w:t>
      </w:r>
      <w:r>
        <w:rPr>
          <w:rFonts w:ascii="Times New Roman" w:hAnsi="Times New Roman" w:cs="Times New Roman" w:eastAsia="Times New Roman" w:hint="default"/>
        </w:rPr>
        <w:t>3,200.00</w:t>
      </w:r>
      <w:r>
        <w:rPr/>
        <w:t>万元及使用受限的银行</w:t>
      </w:r>
      <w:r>
        <w:rPr>
          <w:spacing w:val="-111"/>
        </w:rPr>
        <w:t> </w:t>
      </w:r>
      <w:r>
        <w:rPr>
          <w:spacing w:val="-2"/>
        </w:rPr>
        <w:t>保函及银行承兑汇票保证金</w:t>
      </w:r>
      <w:r>
        <w:rPr>
          <w:rFonts w:ascii="Times New Roman" w:hAnsi="Times New Roman" w:cs="Times New Roman" w:eastAsia="Times New Roman" w:hint="default"/>
          <w:spacing w:val="-2"/>
        </w:rPr>
        <w:t>4,137.90</w:t>
      </w:r>
      <w:r>
        <w:rPr>
          <w:spacing w:val="-2"/>
        </w:rPr>
        <w:t>万元。其中，银行保函及银行承兑汇票保证金，在编制现</w:t>
      </w:r>
      <w:r>
        <w:rPr>
          <w:spacing w:val="-114"/>
        </w:rPr>
        <w:t> </w:t>
      </w:r>
      <w:r>
        <w:rPr>
          <w:spacing w:val="-114"/>
        </w:rPr>
      </w:r>
      <w:r>
        <w:rPr/>
        <w:t>金流量表时不计入</w:t>
      </w:r>
      <w:r>
        <w:rPr>
          <w:rFonts w:ascii="Times New Roman" w:hAnsi="Times New Roman" w:cs="Times New Roman" w:eastAsia="Times New Roman" w:hint="default"/>
        </w:rPr>
        <w:t>“</w:t>
      </w:r>
      <w:r>
        <w:rPr/>
        <w:t>现金及现金等价物</w:t>
      </w:r>
      <w:r>
        <w:rPr>
          <w:rFonts w:ascii="Times New Roman" w:hAnsi="Times New Roman" w:cs="Times New Roman" w:eastAsia="Times New Roman" w:hint="default"/>
        </w:rPr>
        <w:t>”</w:t>
      </w:r>
      <w:r>
        <w:rPr/>
        <w:t>。</w:t>
      </w:r>
    </w:p>
    <w:p>
      <w:pPr>
        <w:pStyle w:val="BodyText"/>
        <w:spacing w:line="240" w:lineRule="auto" w:before="185"/>
        <w:ind w:right="0"/>
        <w:jc w:val="both"/>
      </w:pPr>
      <w:r>
        <w:rPr/>
        <w:t>（</w:t>
      </w:r>
      <w:r>
        <w:rPr>
          <w:rFonts w:ascii="Times New Roman" w:hAnsi="Times New Roman" w:cs="Times New Roman" w:eastAsia="Times New Roman" w:hint="default"/>
        </w:rPr>
        <w:t>3</w:t>
      </w:r>
      <w:r>
        <w:rPr/>
        <w:t>）</w:t>
      </w:r>
      <w:r>
        <w:rPr>
          <w:spacing w:val="-24"/>
        </w:rPr>
        <w:t> </w:t>
      </w:r>
      <w:r>
        <w:rPr/>
        <w:t>除此之外，本集团期末不存在质押、冻结，或有潜在收回风险的款项。</w:t>
      </w:r>
    </w:p>
    <w:p>
      <w:pPr>
        <w:spacing w:line="240" w:lineRule="auto" w:before="4"/>
        <w:rPr>
          <w:rFonts w:ascii="宋体" w:hAnsi="宋体" w:cs="宋体" w:eastAsia="宋体" w:hint="default"/>
          <w:sz w:val="23"/>
          <w:szCs w:val="23"/>
        </w:rPr>
      </w:pPr>
    </w:p>
    <w:p>
      <w:pPr>
        <w:spacing w:before="0"/>
        <w:ind w:left="154" w:right="0" w:firstLine="0"/>
        <w:jc w:val="both"/>
        <w:rPr>
          <w:rFonts w:ascii="宋体" w:hAnsi="宋体" w:cs="宋体" w:eastAsia="宋体" w:hint="default"/>
          <w:sz w:val="21"/>
          <w:szCs w:val="21"/>
        </w:rPr>
      </w:pPr>
      <w:bookmarkStart w:name="2、应收票据及应收账款" w:id="227"/>
      <w:bookmarkEnd w:id="2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62,247,203.20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264,300,699.00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1,098,024,109.76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665,695,754.28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1,160,271,312.96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929,996,453.28</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应收票据"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21,496,543.22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24,864,622.00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45,161,270.82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242,896,147.92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商业承兑汇票坏账准备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-4,410,610.84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-3,460,070.92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62,247,203.20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264,300,699.00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2,695,600.00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2,695,600.00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49,796,639.00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9,755,496.45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59,552,135.45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130,097,116.00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130,097,116.00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应收账款"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1,224,72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2,236.54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126,698,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126.78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1,098,024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,109.76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750,425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,878.87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84,730,12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665,695,75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4,904,81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4,904,81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4,481,0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4,481,011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1,229,62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7,048.29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131,602,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938.53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1,098,024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,109.76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754,906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,890.62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89,211,13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11.81%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665,695,75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4.28</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815,955,595.11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40,799,223.10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280,751,459.43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31,170,381.95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62,871,910.60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18,012,916.12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41,314,284.25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17,374,678.02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11,607,534.55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7,119,474.99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12,221,452.60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12,221,452.60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1,224,722,236.54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126,698,126.78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right="817"/>
        <w:jc w:val="left"/>
      </w:pPr>
      <w:r>
        <w:rPr/>
        <w:t>确定该等应收账款组合的依据是各个明细项目的账龄。</w:t>
      </w:r>
    </w:p>
    <w:p>
      <w:pPr>
        <w:spacing w:line="240" w:lineRule="auto" w:before="13"/>
        <w:rPr>
          <w:rFonts w:ascii="宋体" w:hAnsi="宋体" w:cs="宋体" w:eastAsia="宋体" w:hint="default"/>
          <w:sz w:val="16"/>
          <w:szCs w:val="16"/>
        </w:rPr>
      </w:pPr>
    </w:p>
    <w:p>
      <w:pPr>
        <w:pStyle w:val="BodyText"/>
        <w:spacing w:line="232" w:lineRule="auto"/>
        <w:ind w:right="1132"/>
        <w:jc w:val="both"/>
      </w:pPr>
      <w:r>
        <w:rPr/>
        <w:t>公司按照所归属经营管理分部类型（电力板块、铁路与轨道交通板块、军工板块）不同适用 </w:t>
      </w:r>
      <w:r>
        <w:rPr>
          <w:spacing w:val="-2"/>
        </w:rPr>
        <w:t>不同的政策和估计，详细见本节之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“11</w:t>
      </w:r>
      <w:r>
        <w:rPr>
          <w:spacing w:val="-2"/>
        </w:rPr>
        <w:t>、应收票据及应收账</w:t>
      </w:r>
      <w:r>
        <w:rPr>
          <w:spacing w:val="-79"/>
        </w:rPr>
        <w:t> </w:t>
      </w:r>
      <w:r>
        <w:rPr>
          <w:spacing w:val="-79"/>
        </w:rPr>
      </w:r>
      <w:r>
        <w:rPr/>
        <w:t>款</w:t>
      </w:r>
      <w:r>
        <w:rPr>
          <w:rFonts w:ascii="Times New Roman" w:hAnsi="Times New Roman" w:cs="Times New Roman" w:eastAsia="Times New Roman" w:hint="default"/>
        </w:rPr>
        <w:t>”</w:t>
      </w:r>
      <w:r>
        <w:rPr/>
        <w:t>。</w:t>
      </w:r>
    </w:p>
    <w:p>
      <w:pPr>
        <w:spacing w:before="70"/>
        <w:ind w:left="154" w:right="8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2"/>
        <w:ind w:left="154" w:right="477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42,406,184.19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before="4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14,382.00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r>
        <w:rPr>
          <w:rFonts w:ascii="宋体" w:hAnsi="宋体" w:cs="宋体" w:eastAsia="宋体" w:hint="default"/>
          <w:w w:val="99"/>
          <w:sz w:val="18"/>
          <w:szCs w:val="18"/>
        </w:rPr>
        <w:t> </w:t>
      </w:r>
      <w:r>
        <w:rPr>
          <w:rFonts w:ascii="宋体" w:hAnsi="宋体" w:cs="宋体" w:eastAsia="宋体" w:hint="default"/>
          <w:sz w:val="18"/>
          <w:szCs w:val="18"/>
        </w:rPr>
        <w:t>公司是否需要遵守特殊行业的披露要求</w:t>
      </w:r>
    </w:p>
    <w:p>
      <w:pPr>
        <w:spacing w:before="43"/>
        <w:ind w:left="154" w:right="817" w:firstLine="0"/>
        <w:jc w:val="left"/>
        <w:rPr>
          <w:rFonts w:ascii="宋体" w:hAnsi="宋体" w:cs="宋体" w:eastAsia="宋体" w:hint="default"/>
          <w:sz w:val="18"/>
          <w:szCs w:val="18"/>
        </w:rPr>
      </w:pPr>
      <w:r>
        <w:rPr>
          <w:rFonts w:ascii="宋体" w:hAnsi="宋体" w:cs="宋体" w:eastAsia="宋体" w:hint="default"/>
          <w:sz w:val="18"/>
          <w:szCs w:val="18"/>
        </w:rPr>
        <w:t>否</w:t>
      </w:r>
    </w:p>
    <w:p>
      <w:pPr>
        <w:pStyle w:val="BodyText"/>
        <w:spacing w:line="312" w:lineRule="exact" w:before="96"/>
        <w:ind w:right="1116"/>
        <w:jc w:val="left"/>
      </w:pPr>
      <w:r>
        <w:rPr/>
        <w:t>本期按欠款方归集的期末余额前五名应收账款汇总金额</w:t>
      </w:r>
      <w:r>
        <w:rPr>
          <w:rFonts w:ascii="Times New Roman" w:hAnsi="Times New Roman" w:cs="Times New Roman" w:eastAsia="Times New Roman" w:hint="default"/>
        </w:rPr>
        <w:t>337,658,424.47</w:t>
      </w:r>
      <w:r>
        <w:rPr>
          <w:rFonts w:ascii="Times New Roman" w:hAnsi="Times New Roman" w:cs="Times New Roman" w:eastAsia="Times New Roman" w:hint="default"/>
          <w:spacing w:val="36"/>
        </w:rPr>
        <w:t> </w:t>
      </w:r>
      <w:r>
        <w:rPr>
          <w:spacing w:val="-12"/>
        </w:rPr>
        <w:t>元，占应收账款期末余</w:t>
      </w:r>
      <w:r>
        <w:rPr/>
        <w:t> 额合计数的比例</w:t>
      </w:r>
      <w:r>
        <w:rPr>
          <w:rFonts w:ascii="Times New Roman" w:hAnsi="Times New Roman" w:cs="Times New Roman" w:eastAsia="Times New Roman" w:hint="default"/>
        </w:rPr>
        <w:t>27.46%</w:t>
      </w:r>
      <w:r>
        <w:rPr/>
        <w:t>，相应计提的坏账准备期末余额汇总金额</w:t>
      </w:r>
      <w:r>
        <w:rPr>
          <w:rFonts w:ascii="Times New Roman" w:hAnsi="Times New Roman" w:cs="Times New Roman" w:eastAsia="Times New Roman" w:hint="default"/>
        </w:rPr>
        <w:t>25,824,265.63</w:t>
      </w:r>
      <w:r>
        <w:rPr>
          <w:rFonts w:ascii="Times New Roman" w:hAnsi="Times New Roman" w:cs="Times New Roman" w:eastAsia="Times New Roman" w:hint="default"/>
          <w:spacing w:val="36"/>
        </w:rPr>
        <w:t> </w:t>
      </w:r>
      <w:r>
        <w:rPr/>
        <w:t>元。</w:t>
      </w:r>
    </w:p>
    <w:p>
      <w:pPr>
        <w:spacing w:before="59"/>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3、预付款项" w:id="230"/>
      <w:bookmarkEnd w:id="2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预付款项按账龄列示"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57,917,363.91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12,459,060.39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1,294,332.92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1,683,983.71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1,015,543.72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381,149.65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572,527.07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460,808.24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60,799,767.62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14,985,001.99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4722"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截至报告期末，预付款项期末余额中无账龄超过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年的金额重大的预付账款。</w:t>
      </w:r>
    </w:p>
    <w:p>
      <w:pPr>
        <w:spacing w:line="240" w:lineRule="auto" w:before="8"/>
        <w:rPr>
          <w:rFonts w:ascii="宋体" w:hAnsi="宋体" w:cs="宋体" w:eastAsia="宋体" w:hint="default"/>
          <w:sz w:val="19"/>
          <w:szCs w:val="19"/>
        </w:rPr>
      </w:pPr>
    </w:p>
    <w:p>
      <w:pPr>
        <w:spacing w:before="0"/>
        <w:ind w:left="154" w:right="817" w:firstLine="0"/>
        <w:jc w:val="left"/>
        <w:rPr>
          <w:rFonts w:ascii="宋体" w:hAnsi="宋体" w:cs="宋体" w:eastAsia="宋体" w:hint="default"/>
          <w:sz w:val="21"/>
          <w:szCs w:val="21"/>
        </w:rPr>
      </w:pPr>
      <w:bookmarkStart w:name="（2）按预付对象归集的期末余额前五名的预付款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16"/>
        <w:jc w:val="left"/>
      </w:pPr>
      <w:r>
        <w:rPr/>
        <w:t>本期按预付对象归集的期末余额前五名预付款项汇总金额</w:t>
      </w:r>
      <w:r>
        <w:rPr>
          <w:rFonts w:ascii="Times New Roman" w:hAnsi="Times New Roman" w:cs="Times New Roman" w:eastAsia="Times New Roman" w:hint="default"/>
        </w:rPr>
        <w:t>38,968,324.18</w:t>
      </w:r>
      <w:r>
        <w:rPr>
          <w:rFonts w:ascii="Times New Roman" w:hAnsi="Times New Roman" w:cs="Times New Roman" w:eastAsia="Times New Roman" w:hint="default"/>
          <w:spacing w:val="36"/>
        </w:rPr>
        <w:t> </w:t>
      </w:r>
      <w:r>
        <w:rPr/>
        <w:t>元，占预付款项期末 余额合计数的比例</w:t>
      </w:r>
      <w:r>
        <w:rPr>
          <w:rFonts w:ascii="Times New Roman" w:hAnsi="Times New Roman" w:cs="Times New Roman" w:eastAsia="Times New Roman" w:hint="default"/>
        </w:rPr>
        <w:t>64.09%</w:t>
      </w:r>
      <w:r>
        <w:rPr/>
        <w:t>。</w:t>
      </w:r>
    </w:p>
    <w:p>
      <w:pPr>
        <w:spacing w:before="59"/>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其他应收款" w:id="233"/>
      <w:bookmarkEnd w:id="2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668,002.90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36,740,659.71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19,936,229.67</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36,740,659.71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20,604,232.57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1）应收利息"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应收股利"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其他应收款"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41,902,6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71.45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5,162,01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12.32%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36,740,65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24,472,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794.59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4,536,564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19,936,229.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159,252.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160,298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160,298.4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42,061,9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5,321,26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center"/>
              <w:rPr>
                <w:rFonts w:ascii="Times New Roman" w:hAnsi="Times New Roman" w:cs="Times New Roman" w:eastAsia="Times New Roman" w:hint="default"/>
                <w:sz w:val="18"/>
                <w:szCs w:val="18"/>
              </w:rPr>
            </w:pPr>
            <w:r>
              <w:rPr>
                <w:rFonts w:ascii="Times New Roman"/>
                <w:sz w:val="18"/>
              </w:rPr>
              <w:t>12.65%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36,740,65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24,633,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4,696,863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19,936,229.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24.29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4.58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9.71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093.04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32,374,770.67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1,618,738.54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809,474.71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84,970.45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1,114,897.53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334,509.26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281,414.80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139,480.00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145,464.16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2,867,942.16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2,867,942.16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37,593,964.03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5,162,011.74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32" w:lineRule="auto" w:before="74"/>
        <w:ind w:right="1132"/>
        <w:jc w:val="both"/>
      </w:pPr>
      <w:r>
        <w:rPr/>
        <w:t>其他应收款项按照所归属经营管理分部类型（电力板块、铁路与轨道交通板块、军工板块） </w:t>
      </w:r>
      <w:r>
        <w:rPr>
          <w:spacing w:val="-2"/>
        </w:rPr>
        <w:t>不同适用不同的政策和估计，详细见本节之</w:t>
      </w:r>
      <w:r>
        <w:rPr>
          <w:rFonts w:ascii="Times New Roman" w:hAnsi="Times New Roman" w:cs="Times New Roman" w:eastAsia="Times New Roman" w:hint="default"/>
          <w:spacing w:val="-2"/>
        </w:rPr>
        <w:t>“</w:t>
      </w:r>
      <w:r>
        <w:rPr>
          <w:spacing w:val="-2"/>
        </w:rPr>
        <w:t>五、重要会计政策及会计估计</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“11</w:t>
      </w:r>
      <w:r>
        <w:rPr>
          <w:spacing w:val="-2"/>
        </w:rPr>
        <w:t>、应收票据</w:t>
      </w:r>
      <w:r>
        <w:rPr>
          <w:spacing w:val="-79"/>
        </w:rPr>
        <w:t> </w:t>
      </w:r>
      <w:r>
        <w:rPr>
          <w:spacing w:val="-79"/>
        </w:rPr>
      </w:r>
      <w:r>
        <w:rPr/>
        <w:t>及应收账款</w:t>
      </w:r>
      <w:r>
        <w:rPr>
          <w:rFonts w:ascii="Times New Roman" w:hAnsi="Times New Roman" w:cs="Times New Roman" w:eastAsia="Times New Roman" w:hint="default"/>
        </w:rPr>
        <w:t>”</w:t>
      </w:r>
      <w:r>
        <w:rPr/>
        <w:t>。</w:t>
      </w:r>
    </w:p>
    <w:p>
      <w:pPr>
        <w:spacing w:before="72"/>
        <w:ind w:left="154"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971"/>
        <w:gridCol w:w="2108"/>
        <w:gridCol w:w="1417"/>
        <w:gridCol w:w="1417"/>
        <w:gridCol w:w="2268"/>
      </w:tblGrid>
      <w:tr>
        <w:trPr>
          <w:trHeight w:val="426" w:hRule="exact"/>
        </w:trPr>
        <w:tc>
          <w:tcPr>
            <w:tcW w:w="1971" w:type="dxa"/>
            <w:vMerge w:val="restart"/>
            <w:tcBorders>
              <w:top w:val="single" w:sz="6" w:space="0" w:color="000000"/>
              <w:left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721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427" w:hRule="exact"/>
        </w:trPr>
        <w:tc>
          <w:tcPr>
            <w:tcW w:w="1971" w:type="dxa"/>
            <w:vMerge/>
            <w:tcBorders>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19" w:right="0"/>
              <w:jc w:val="left"/>
              <w:rPr>
                <w:rFonts w:ascii="宋体" w:hAnsi="宋体" w:cs="宋体" w:eastAsia="宋体" w:hint="default"/>
                <w:sz w:val="24"/>
                <w:szCs w:val="24"/>
              </w:rPr>
            </w:pPr>
            <w:r>
              <w:rPr>
                <w:rFonts w:ascii="宋体" w:hAnsi="宋体" w:cs="宋体" w:eastAsia="宋体" w:hint="default"/>
                <w:b/>
                <w:bCs/>
                <w:sz w:val="24"/>
                <w:szCs w:val="24"/>
              </w:rPr>
              <w:t>坏账准备</w:t>
            </w:r>
            <w:r>
              <w:rPr>
                <w:rFonts w:ascii="宋体" w:hAnsi="宋体" w:cs="宋体" w:eastAsia="宋体" w:hint="default"/>
                <w:sz w:val="24"/>
                <w:szCs w:val="24"/>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8"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计提比例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r>
      <w:tr>
        <w:trPr>
          <w:trHeight w:val="427" w:hRule="exact"/>
        </w:trPr>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24"/>
                <w:szCs w:val="24"/>
              </w:rPr>
            </w:pPr>
            <w:r>
              <w:rPr>
                <w:rFonts w:ascii="宋体" w:hAnsi="宋体" w:cs="宋体" w:eastAsia="宋体" w:hint="default"/>
                <w:spacing w:val="-10"/>
                <w:sz w:val="24"/>
                <w:szCs w:val="24"/>
              </w:rPr>
              <w:t>组合</w:t>
            </w:r>
            <w:r>
              <w:rPr>
                <w:rFonts w:ascii="Times New Roman" w:hAnsi="Times New Roman" w:cs="Times New Roman" w:eastAsia="Times New Roman" w:hint="default"/>
                <w:spacing w:val="-10"/>
                <w:sz w:val="24"/>
                <w:szCs w:val="24"/>
              </w:rPr>
              <w:t>3</w:t>
            </w:r>
            <w:r>
              <w:rPr>
                <w:rFonts w:ascii="宋体" w:hAnsi="宋体" w:cs="宋体" w:eastAsia="宋体" w:hint="default"/>
                <w:spacing w:val="-10"/>
                <w:sz w:val="24"/>
                <w:szCs w:val="24"/>
              </w:rPr>
              <w:t>：应收备用金</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
              <w:jc w:val="right"/>
              <w:rPr>
                <w:rFonts w:ascii="Times New Roman" w:hAnsi="Times New Roman" w:cs="Times New Roman" w:eastAsia="Times New Roman" w:hint="default"/>
                <w:sz w:val="24"/>
                <w:szCs w:val="24"/>
              </w:rPr>
            </w:pPr>
            <w:r>
              <w:rPr>
                <w:rFonts w:ascii="Times New Roman"/>
                <w:sz w:val="24"/>
              </w:rPr>
              <w:t>427,621.82</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427,621.82</w:t>
            </w:r>
          </w:p>
        </w:tc>
      </w:tr>
      <w:tr>
        <w:trPr>
          <w:trHeight w:val="427" w:hRule="exact"/>
        </w:trPr>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24"/>
                <w:szCs w:val="24"/>
              </w:rPr>
            </w:pPr>
            <w:r>
              <w:rPr>
                <w:rFonts w:ascii="宋体" w:hAnsi="宋体" w:cs="宋体" w:eastAsia="宋体" w:hint="default"/>
                <w:spacing w:val="-10"/>
                <w:sz w:val="24"/>
                <w:szCs w:val="24"/>
              </w:rPr>
              <w:t>组合</w:t>
            </w:r>
            <w:r>
              <w:rPr>
                <w:rFonts w:ascii="Times New Roman" w:hAnsi="Times New Roman" w:cs="Times New Roman" w:eastAsia="Times New Roman" w:hint="default"/>
                <w:spacing w:val="-10"/>
                <w:sz w:val="24"/>
                <w:szCs w:val="24"/>
              </w:rPr>
              <w:t>4</w:t>
            </w:r>
            <w:r>
              <w:rPr>
                <w:rFonts w:ascii="宋体" w:hAnsi="宋体" w:cs="宋体" w:eastAsia="宋体" w:hint="default"/>
                <w:spacing w:val="-10"/>
                <w:sz w:val="24"/>
                <w:szCs w:val="24"/>
              </w:rPr>
              <w:t>：应收保证金</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
              <w:jc w:val="right"/>
              <w:rPr>
                <w:rFonts w:ascii="Times New Roman" w:hAnsi="Times New Roman" w:cs="Times New Roman" w:eastAsia="Times New Roman" w:hint="default"/>
                <w:sz w:val="24"/>
                <w:szCs w:val="24"/>
              </w:rPr>
            </w:pPr>
            <w:r>
              <w:rPr>
                <w:rFonts w:ascii="Times New Roman"/>
                <w:sz w:val="24"/>
              </w:rPr>
              <w:t>3,881,085.60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3,881,085.60</w:t>
            </w:r>
          </w:p>
        </w:tc>
      </w:tr>
      <w:tr>
        <w:trPr>
          <w:trHeight w:val="427" w:hRule="exact"/>
        </w:trPr>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right"/>
              <w:rPr>
                <w:rFonts w:ascii="Times New Roman" w:hAnsi="Times New Roman" w:cs="Times New Roman" w:eastAsia="Times New Roman" w:hint="default"/>
                <w:sz w:val="24"/>
                <w:szCs w:val="24"/>
              </w:rPr>
            </w:pPr>
            <w:r>
              <w:rPr>
                <w:rFonts w:ascii="Times New Roman"/>
                <w:b/>
                <w:sz w:val="24"/>
              </w:rPr>
              <w:t>4,308,707.42</w:t>
            </w:r>
            <w:r>
              <w:rPr>
                <w:rFonts w:ascii="Times New Roman"/>
                <w:sz w:val="24"/>
              </w:rPr>
            </w: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24"/>
                <w:szCs w:val="24"/>
              </w:rPr>
            </w:pPr>
            <w:r>
              <w:rPr>
                <w:rFonts w:ascii="Times New Roman"/>
                <w:b/>
                <w:sz w:val="24"/>
              </w:rPr>
              <w:t>4,308,707.42</w:t>
            </w:r>
            <w:r>
              <w:rPr>
                <w:rFonts w:ascii="Times New Roman"/>
                <w:sz w:val="24"/>
              </w:rPr>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060" w:bottom="1160" w:left="980" w:right="0"/>
        </w:sectPr>
      </w:pPr>
    </w:p>
    <w:p>
      <w:pPr>
        <w:spacing w:before="44"/>
        <w:ind w:left="154"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1,456,657.01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532,606.79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950" w:space="188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299,649.01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footerReference w:type="default" r:id="rId16"/>
          <w:pgSz w:w="11910" w:h="16840"/>
          <w:pgMar w:footer="979" w:header="747" w:top="1060" w:bottom="1160" w:left="980" w:right="0"/>
          <w:pgNumType w:start="164"/>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8,930,112.65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3,659,256.49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20,190,077.41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16,366,646.34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12,941,734.23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4,607,190.21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42,061,924.29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24,633,093.04</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甘肃中天电力工程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156,885.00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南京华瓯电子科技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合肥新意达电子有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1,446,174.00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1,446,174.00</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中铁三局集团电务 工程有限公司银西 铁路甘宁段</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ZHSD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项目经理部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16,063,874.00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2,177,059.00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before="103"/>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5、存货" w:id="237"/>
      <w:bookmarkEnd w:id="23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1）存货分类"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42,589,058.28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3,797,577.93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38,791,480.35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35,139,617.72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2,833,299.80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32,145,253.47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40,272,227.07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210,914.77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40,061,312.30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37,375,223.08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37,375,223.08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43,772,781.83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2,089,246.07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41,683,535.76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46,947,001.94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45,790,476.16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2,612,324.36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293,155.76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2,319,168.60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687,890.48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161,064.45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687,890.48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112,008,368.12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990,331.63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111,018,036.49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54,821,641.68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1,462,517.34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53,359,124.34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67,279.90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67,279.90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332,072.97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332,072.97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92,021.03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92,021.03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423,896.56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423,896.56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241,414,060.59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7,381,226.16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234,032,834.43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175,727,344.43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5,613,407.37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170,113,937.06</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15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175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2"/>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2）存货跌价准备"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2,833,299.80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1,904,527.28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940,249.15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3,797,577.93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210,914.77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210,914.77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1,156,525.78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1,510,062.66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577,342.37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2,089,246.07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161,064.45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150,992.10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18,900.79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293,155.76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1,462,517.34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328,939.35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801,125.06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990,331.63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5,613,407.37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4,105,436.16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2,337,617.37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7,381,226.16</w:t>
            </w:r>
          </w:p>
        </w:tc>
      </w:tr>
    </w:tbl>
    <w:p>
      <w:pPr>
        <w:tabs>
          <w:tab w:pos="2153" w:val="left" w:leader="none"/>
          <w:tab w:pos="6547" w:val="left" w:leader="none"/>
        </w:tabs>
        <w:spacing w:line="260" w:lineRule="exact" w:before="0"/>
        <w:ind w:left="163" w:right="817" w:firstLine="0"/>
        <w:jc w:val="left"/>
        <w:rPr>
          <w:rFonts w:ascii="宋体" w:hAnsi="宋体" w:cs="宋体" w:eastAsia="宋体" w:hint="default"/>
          <w:sz w:val="21"/>
          <w:szCs w:val="21"/>
        </w:rPr>
      </w:pPr>
      <w:r>
        <w:rPr>
          <w:rFonts w:ascii="宋体" w:hAnsi="宋体" w:cs="宋体" w:eastAsia="宋体" w:hint="default"/>
          <w:b/>
          <w:bCs/>
          <w:w w:val="95"/>
          <w:sz w:val="21"/>
          <w:szCs w:val="21"/>
        </w:rPr>
        <w:t>存货种类</w:t>
        <w:tab/>
        <w:t>确定可变现净值的具体依据</w:t>
        <w:tab/>
      </w:r>
      <w:r>
        <w:rPr>
          <w:rFonts w:ascii="宋体" w:hAnsi="宋体" w:cs="宋体" w:eastAsia="宋体" w:hint="default"/>
          <w:b/>
          <w:bCs/>
          <w:sz w:val="21"/>
          <w:szCs w:val="21"/>
        </w:rPr>
        <w:t>本期转回或转销存货跌价准</w:t>
      </w:r>
      <w:r>
        <w:rPr>
          <w:rFonts w:ascii="宋体" w:hAnsi="宋体" w:cs="宋体" w:eastAsia="宋体" w:hint="default"/>
          <w:sz w:val="21"/>
          <w:szCs w:val="21"/>
        </w:rPr>
      </w:r>
    </w:p>
    <w:p>
      <w:pPr>
        <w:spacing w:before="37"/>
        <w:ind w:left="6547" w:right="817" w:firstLine="0"/>
        <w:jc w:val="left"/>
        <w:rPr>
          <w:rFonts w:ascii="宋体" w:hAnsi="宋体" w:cs="宋体" w:eastAsia="宋体" w:hint="default"/>
          <w:sz w:val="21"/>
          <w:szCs w:val="21"/>
        </w:rPr>
      </w:pPr>
      <w:r>
        <w:rPr/>
        <w:pict>
          <v:group style="position:absolute;margin-left:56.220005pt;margin-top:18.753677pt;width:454.65pt;height:1pt;mso-position-horizontal-relative:page;mso-position-vertical-relative:paragraph;z-index:-1264840" coordorigin="1124,375" coordsize="9093,20">
            <v:group style="position:absolute;left:1134;top:385;width:1990;height:2" coordorigin="1134,385" coordsize="1990,2">
              <v:shape style="position:absolute;left:1134;top:385;width:1990;height:2" coordorigin="1134,385" coordsize="1990,0" path="m1134,385l3124,385e" filled="false" stroked="true" strokeweight=".95999pt" strokecolor="#000000">
                <v:path arrowok="t"/>
              </v:shape>
            </v:group>
            <v:group style="position:absolute;left:3124;top:385;width:20;height:2" coordorigin="3124,385" coordsize="20,2">
              <v:shape style="position:absolute;left:3124;top:385;width:20;height:2" coordorigin="3124,385" coordsize="20,0" path="m3124,385l3143,385e" filled="false" stroked="true" strokeweight=".95999pt" strokecolor="#000000">
                <v:path arrowok="t"/>
              </v:shape>
            </v:group>
            <v:group style="position:absolute;left:3143;top:385;width:4375;height:2" coordorigin="3143,385" coordsize="4375,2">
              <v:shape style="position:absolute;left:3143;top:385;width:4375;height:2" coordorigin="3143,385" coordsize="4375,0" path="m3143,385l7518,385e" filled="false" stroked="true" strokeweight=".95999pt" strokecolor="#000000">
                <v:path arrowok="t"/>
              </v:shape>
            </v:group>
            <v:group style="position:absolute;left:7518;top:385;width:20;height:2" coordorigin="7518,385" coordsize="20,2">
              <v:shape style="position:absolute;left:7518;top:385;width:20;height:2" coordorigin="7518,385" coordsize="20,0" path="m7518,385l7537,385e" filled="false" stroked="true" strokeweight=".95999pt" strokecolor="#000000">
                <v:path arrowok="t"/>
              </v:shape>
            </v:group>
            <v:group style="position:absolute;left:7537;top:385;width:2671;height:2" coordorigin="7537,385" coordsize="2671,2">
              <v:shape style="position:absolute;left:7537;top:385;width:2671;height:2" coordorigin="7537,385" coordsize="2671,0" path="m7537,385l10207,385e" filled="false" stroked="true" strokeweight=".95999pt" strokecolor="#000000">
                <v:path arrowok="t"/>
              </v:shape>
            </v:group>
            <w10:wrap type="none"/>
          </v:group>
        </w:pict>
      </w:r>
      <w:r>
        <w:rPr>
          <w:rFonts w:ascii="宋体" w:hAnsi="宋体" w:cs="宋体" w:eastAsia="宋体" w:hint="default"/>
          <w:b/>
          <w:bCs/>
          <w:sz w:val="21"/>
          <w:szCs w:val="21"/>
        </w:rPr>
        <w:t>备的原因</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980" w:right="0"/>
        </w:sectPr>
      </w:pPr>
    </w:p>
    <w:p>
      <w:pPr>
        <w:tabs>
          <w:tab w:pos="2153" w:val="left" w:leader="none"/>
        </w:tabs>
        <w:spacing w:before="67"/>
        <w:ind w:left="165" w:right="-20" w:firstLine="0"/>
        <w:jc w:val="left"/>
        <w:rPr>
          <w:rFonts w:ascii="宋体" w:hAnsi="宋体" w:cs="宋体" w:eastAsia="宋体" w:hint="default"/>
          <w:sz w:val="21"/>
          <w:szCs w:val="21"/>
        </w:rPr>
      </w:pPr>
      <w:r>
        <w:rPr>
          <w:rFonts w:ascii="宋体" w:hAnsi="宋体" w:cs="宋体" w:eastAsia="宋体" w:hint="default"/>
          <w:sz w:val="21"/>
          <w:szCs w:val="21"/>
        </w:rPr>
        <w:t>原材料、半成品</w:t>
        <w:tab/>
        <w:t>估计的售价减去至完工时估计将要发生的成</w:t>
      </w:r>
    </w:p>
    <w:p>
      <w:pPr>
        <w:spacing w:before="37"/>
        <w:ind w:left="2153" w:right="-20" w:firstLine="0"/>
        <w:jc w:val="left"/>
        <w:rPr>
          <w:rFonts w:ascii="宋体" w:hAnsi="宋体" w:cs="宋体" w:eastAsia="宋体" w:hint="default"/>
          <w:sz w:val="21"/>
          <w:szCs w:val="21"/>
        </w:rPr>
      </w:pPr>
      <w:r>
        <w:rPr>
          <w:rFonts w:ascii="宋体" w:hAnsi="宋体" w:cs="宋体" w:eastAsia="宋体" w:hint="default"/>
          <w:sz w:val="21"/>
          <w:szCs w:val="21"/>
        </w:rPr>
        <w:t>本、估计的销售费用以及相关税费</w:t>
      </w:r>
    </w:p>
    <w:p>
      <w:pPr>
        <w:tabs>
          <w:tab w:pos="2153" w:val="left" w:leader="none"/>
        </w:tabs>
        <w:spacing w:before="67"/>
        <w:ind w:left="165" w:right="-20" w:firstLine="0"/>
        <w:jc w:val="left"/>
        <w:rPr>
          <w:rFonts w:ascii="宋体" w:hAnsi="宋体" w:cs="宋体" w:eastAsia="宋体" w:hint="default"/>
          <w:sz w:val="21"/>
          <w:szCs w:val="21"/>
        </w:rPr>
      </w:pPr>
      <w:r>
        <w:rPr/>
        <w:pict>
          <v:group style="position:absolute;margin-left:56.220005pt;margin-top:3.13367pt;width:454.65pt;height:1pt;mso-position-horizontal-relative:page;mso-position-vertical-relative:paragraph;z-index:-1264816" coordorigin="1124,63" coordsize="9093,20">
            <v:group style="position:absolute;left:1134;top:72;width:1990;height:2" coordorigin="1134,72" coordsize="1990,2">
              <v:shape style="position:absolute;left:1134;top:72;width:1990;height:2" coordorigin="1134,72" coordsize="1990,0" path="m1134,72l3124,72e" filled="false" stroked="true" strokeweight=".95999pt" strokecolor="#000000">
                <v:path arrowok="t"/>
              </v:shape>
            </v:group>
            <v:group style="position:absolute;left:3124;top:72;width:20;height:2" coordorigin="3124,72" coordsize="20,2">
              <v:shape style="position:absolute;left:3124;top:72;width:20;height:2" coordorigin="3124,72" coordsize="20,0" path="m3124,72l3143,72e" filled="false" stroked="true" strokeweight=".95999pt" strokecolor="#000000">
                <v:path arrowok="t"/>
              </v:shape>
            </v:group>
            <v:group style="position:absolute;left:3143;top:72;width:4375;height:2" coordorigin="3143,72" coordsize="4375,2">
              <v:shape style="position:absolute;left:3143;top:72;width:4375;height:2" coordorigin="3143,72" coordsize="4375,0" path="m3143,72l7518,72e" filled="false" stroked="true" strokeweight=".95999pt" strokecolor="#000000">
                <v:path arrowok="t"/>
              </v:shape>
            </v:group>
            <v:group style="position:absolute;left:7518;top:72;width:20;height:2" coordorigin="7518,72" coordsize="20,2">
              <v:shape style="position:absolute;left:7518;top:72;width:20;height:2" coordorigin="7518,72" coordsize="20,0" path="m7518,72l7537,72e" filled="false" stroked="true" strokeweight=".95999pt" strokecolor="#000000">
                <v:path arrowok="t"/>
              </v:shape>
            </v:group>
            <v:group style="position:absolute;left:7537;top:72;width:2671;height:2" coordorigin="7537,72" coordsize="2671,2">
              <v:shape style="position:absolute;left:7537;top:72;width:2671;height:2" coordorigin="7537,72" coordsize="2671,0" path="m7537,72l10207,72e" filled="false" stroked="true" strokeweight=".95999pt" strokecolor="#000000">
                <v:path arrowok="t"/>
              </v:shape>
            </v:group>
            <w10:wrap type="none"/>
          </v:group>
        </w:pict>
      </w:r>
      <w:r>
        <w:rPr>
          <w:rFonts w:ascii="宋体" w:hAnsi="宋体" w:cs="宋体" w:eastAsia="宋体" w:hint="default"/>
          <w:sz w:val="21"/>
          <w:szCs w:val="21"/>
        </w:rPr>
        <w:t>在产品</w:t>
        <w:tab/>
        <w:t>预计投入至完工后的成本与预计售价</w:t>
      </w:r>
    </w:p>
    <w:p>
      <w:pPr>
        <w:spacing w:before="67"/>
        <w:ind w:left="166"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生产销售</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144" w:space="237"/>
            <w:col w:w="4549"/>
          </w:cols>
        </w:sectPr>
      </w:pPr>
    </w:p>
    <w:p>
      <w:pPr>
        <w:spacing w:line="240" w:lineRule="auto" w:before="11"/>
        <w:rPr>
          <w:rFonts w:ascii="宋体" w:hAnsi="宋体" w:cs="宋体" w:eastAsia="宋体" w:hint="default"/>
          <w:sz w:val="4"/>
          <w:szCs w:val="4"/>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54.65pt;height:1pt;mso-position-horizontal-relative:char;mso-position-vertical-relative:line" coordorigin="0,0" coordsize="9093,20">
            <v:group style="position:absolute;left:10;top:10;width:1990;height:2" coordorigin="10,10" coordsize="1990,2">
              <v:shape style="position:absolute;left:10;top:10;width:1990;height:2" coordorigin="10,10" coordsize="1990,0" path="m10,10l2000,10e" filled="false" stroked="true" strokeweight=".96001pt" strokecolor="#000000">
                <v:path arrowok="t"/>
              </v:shape>
            </v:group>
            <v:group style="position:absolute;left:2000;top:10;width:20;height:2" coordorigin="2000,10" coordsize="20,2">
              <v:shape style="position:absolute;left:2000;top:10;width:20;height:2" coordorigin="2000,10" coordsize="20,0" path="m2000,10l2019,10e" filled="false" stroked="true" strokeweight=".96001pt" strokecolor="#000000">
                <v:path arrowok="t"/>
              </v:shape>
            </v:group>
            <v:group style="position:absolute;left:2019;top:10;width:4375;height:2" coordorigin="2019,10" coordsize="4375,2">
              <v:shape style="position:absolute;left:2019;top:10;width:4375;height:2" coordorigin="2019,10" coordsize="4375,0" path="m2019,10l6393,10e" filled="false" stroked="true" strokeweight=".96001pt" strokecolor="#000000">
                <v:path arrowok="t"/>
              </v:shape>
            </v:group>
            <v:group style="position:absolute;left:6393;top:10;width:20;height:2" coordorigin="6393,10" coordsize="20,2">
              <v:shape style="position:absolute;left:6393;top:10;width:20;height:2" coordorigin="6393,10" coordsize="20,0" path="m6393,10l6412,10e" filled="false" stroked="true" strokeweight=".96001pt" strokecolor="#000000">
                <v:path arrowok="t"/>
              </v:shape>
            </v:group>
            <v:group style="position:absolute;left:6412;top:10;width:2671;height:2" coordorigin="6412,10" coordsize="2671,2">
              <v:shape style="position:absolute;left:6412;top:10;width:2671;height:2" coordorigin="6412,10" coordsize="2671,0" path="m6412,10l9083,10e" filled="false" stroked="true" strokeweight=".96001pt" strokecolor="#000000">
                <v:path arrowok="t"/>
              </v:shape>
            </v:group>
          </v:group>
        </w:pict>
      </w:r>
      <w:r>
        <w:rPr>
          <w:rFonts w:ascii="宋体" w:hAnsi="宋体" w:cs="宋体" w:eastAsia="宋体" w:hint="default"/>
          <w:sz w:val="2"/>
          <w:szCs w:val="2"/>
        </w:rPr>
      </w:r>
    </w:p>
    <w:p>
      <w:pPr>
        <w:tabs>
          <w:tab w:pos="2153" w:val="left" w:leader="none"/>
          <w:tab w:pos="6547" w:val="left" w:leader="none"/>
        </w:tabs>
        <w:spacing w:line="297" w:lineRule="auto" w:before="0"/>
        <w:ind w:left="163" w:right="3537" w:firstLine="0"/>
        <w:jc w:val="left"/>
        <w:rPr>
          <w:rFonts w:ascii="宋体" w:hAnsi="宋体" w:cs="宋体" w:eastAsia="宋体" w:hint="default"/>
          <w:sz w:val="21"/>
          <w:szCs w:val="21"/>
        </w:rPr>
      </w:pPr>
      <w:r>
        <w:rPr/>
        <w:pict>
          <v:group style="position:absolute;margin-left:56.220005pt;margin-top:16.883694pt;width:454.65pt;height:1pt;mso-position-horizontal-relative:page;mso-position-vertical-relative:paragraph;z-index:-1264792" coordorigin="1124,338" coordsize="9093,20">
            <v:group style="position:absolute;left:1134;top:347;width:1990;height:2" coordorigin="1134,347" coordsize="1990,2">
              <v:shape style="position:absolute;left:1134;top:347;width:1990;height:2" coordorigin="1134,347" coordsize="1990,0" path="m1134,347l3124,347e" filled="false" stroked="true" strokeweight=".95999pt" strokecolor="#000000">
                <v:path arrowok="t"/>
              </v:shape>
            </v:group>
            <v:group style="position:absolute;left:3124;top:347;width:20;height:2" coordorigin="3124,347" coordsize="20,2">
              <v:shape style="position:absolute;left:3124;top:347;width:20;height:2" coordorigin="3124,347" coordsize="20,0" path="m3124,347l3143,347e" filled="false" stroked="true" strokeweight=".95999pt" strokecolor="#000000">
                <v:path arrowok="t"/>
              </v:shape>
            </v:group>
            <v:group style="position:absolute;left:3143;top:347;width:4375;height:2" coordorigin="3143,347" coordsize="4375,2">
              <v:shape style="position:absolute;left:3143;top:347;width:4375;height:2" coordorigin="3143,347" coordsize="4375,0" path="m3143,347l7518,347e" filled="false" stroked="true" strokeweight=".95999pt" strokecolor="#000000">
                <v:path arrowok="t"/>
              </v:shape>
            </v:group>
            <v:group style="position:absolute;left:7518;top:347;width:20;height:2" coordorigin="7518,347" coordsize="20,2">
              <v:shape style="position:absolute;left:7518;top:347;width:20;height:2" coordorigin="7518,347" coordsize="20,0" path="m7518,347l7537,347e" filled="false" stroked="true" strokeweight=".95999pt" strokecolor="#000000">
                <v:path arrowok="t"/>
              </v:shape>
            </v:group>
            <v:group style="position:absolute;left:7537;top:347;width:2671;height:2" coordorigin="7537,347" coordsize="2671,2">
              <v:shape style="position:absolute;left:7537;top:347;width:2671;height:2" coordorigin="7537,347" coordsize="2671,0" path="m7537,347l10207,347e" filled="false" stroked="true" strokeweight=".95999pt" strokecolor="#000000">
                <v:path arrowok="t"/>
              </v:shape>
            </v:group>
            <w10:wrap type="none"/>
          </v:group>
        </w:pict>
      </w:r>
      <w:r>
        <w:rPr>
          <w:rFonts w:ascii="宋体" w:hAnsi="宋体" w:cs="宋体" w:eastAsia="宋体" w:hint="default"/>
          <w:sz w:val="21"/>
          <w:szCs w:val="21"/>
        </w:rPr>
        <w:t>库存商品</w:t>
        <w:tab/>
        <w:t>估计的售价减去估计的销售费用及相关税费</w:t>
        <w:tab/>
        <w:t>对外销售 发出商品</w:t>
        <w:tab/>
        <w:t>估计的售价减去估计的销售费用及相关税费</w:t>
        <w:tab/>
        <w:t>对外销售</w:t>
      </w: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55.35pt;height:1pt;mso-position-horizontal-relative:char;mso-position-vertical-relative:line" coordorigin="0,0" coordsize="9107,20">
            <v:group style="position:absolute;left:10;top:10;width:2005;height:2" coordorigin="10,10" coordsize="2005,2">
              <v:shape style="position:absolute;left:10;top:10;width:2005;height:2" coordorigin="10,10" coordsize="2005,0" path="m10,10l2014,10e" filled="false" stroked="true" strokeweight=".95999pt" strokecolor="#000000">
                <v:path arrowok="t"/>
              </v:shape>
            </v:group>
            <v:group style="position:absolute;left:2000;top:10;width:20;height:2" coordorigin="2000,10" coordsize="20,2">
              <v:shape style="position:absolute;left:2000;top:10;width:20;height:2" coordorigin="2000,10" coordsize="20,0" path="m2000,10l2019,10e" filled="false" stroked="true" strokeweight=".95999pt" strokecolor="#000000">
                <v:path arrowok="t"/>
              </v:shape>
            </v:group>
            <v:group style="position:absolute;left:2019;top:10;width:4389;height:2" coordorigin="2019,10" coordsize="4389,2">
              <v:shape style="position:absolute;left:2019;top:10;width:4389;height:2" coordorigin="2019,10" coordsize="4389,0" path="m2019,10l6408,10e" filled="false" stroked="true" strokeweight=".95999pt" strokecolor="#000000">
                <v:path arrowok="t"/>
              </v:shape>
            </v:group>
            <v:group style="position:absolute;left:6393;top:10;width:20;height:2" coordorigin="6393,10" coordsize="20,2">
              <v:shape style="position:absolute;left:6393;top:10;width:20;height:2" coordorigin="6393,10" coordsize="20,0" path="m6393,10l6412,10e" filled="false" stroked="true" strokeweight=".95999pt" strokecolor="#000000">
                <v:path arrowok="t"/>
              </v:shape>
            </v:group>
            <v:group style="position:absolute;left:6412;top:10;width:2685;height:2" coordorigin="6412,10" coordsize="2685,2">
              <v:shape style="position:absolute;left:6412;top:10;width:2685;height:2" coordorigin="6412,10" coordsize="2685,0" path="m6412,10l9097,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5"/>
        <w:ind w:left="154" w:right="817" w:firstLine="0"/>
        <w:jc w:val="left"/>
        <w:rPr>
          <w:rFonts w:ascii="宋体" w:hAnsi="宋体" w:cs="宋体" w:eastAsia="宋体" w:hint="default"/>
          <w:sz w:val="21"/>
          <w:szCs w:val="21"/>
        </w:rPr>
      </w:pPr>
      <w:bookmarkStart w:name="（3）存货期末余额含有借款费用资本化金额的说明"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4）期末建造合同形成的已完工未结算资产情况"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6、其他流动资产" w:id="242"/>
      <w:bookmarkEnd w:id="24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515,459.14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13,164,189.65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1,058,788.93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14,738,437.72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57,592.80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7、可供出售金融资产" w:id="243"/>
      <w:bookmarkEnd w:id="24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可供出售金融资产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104,969,524.26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104,969,524.26</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104,969,524.26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104,969,524.26</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104,969,524.26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104,969,524.26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期末按公允价值计量的可供出售金融资产"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期末按成本计量的可供出售金融资产"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浙江厚达 智能科技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4.88%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中铁建金 融租赁有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2.94%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104,969,52</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4.26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104,969,52</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4.26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报告期内可供出售金融资产减值的变动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5）可供出售权益工具期末公允价值严重下跌或非暂时性下跌但未计提减值准备的相关说"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6"/>
        <w:ind w:left="156" w:right="817"/>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日，可供出售金融资产不存在减值情形。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4"/>
        <w:ind w:left="154" w:right="817" w:firstLine="0"/>
        <w:jc w:val="left"/>
        <w:rPr>
          <w:rFonts w:ascii="宋体" w:hAnsi="宋体" w:cs="宋体" w:eastAsia="宋体" w:hint="default"/>
          <w:sz w:val="21"/>
          <w:szCs w:val="21"/>
        </w:rPr>
      </w:pPr>
      <w:bookmarkStart w:name="8、投资性房地产" w:id="249"/>
      <w:bookmarkEnd w:id="24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采用成本计量模式的投资性房地产"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21,967,653.05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21,967,653.05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17,311,765.35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17,311,765.35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17,311,765.35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17,311,765.35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39,279,418.40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39,279,418.40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7,982,567.94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7,982,567.94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2,283,783.13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2,283,783.13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1,286,631.23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1,286,631.23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997,151.90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997,151.90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10,266,351.07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10,266,351.07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29,013,067.33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29,013,067.33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13,985,085.11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13,985,085.11</w:t>
            </w:r>
          </w:p>
        </w:tc>
      </w:tr>
    </w:tbl>
    <w:p>
      <w:pPr>
        <w:spacing w:line="240" w:lineRule="auto" w:before="10"/>
        <w:rPr>
          <w:rFonts w:ascii="Times New Roman" w:hAnsi="Times New Roman" w:cs="Times New Roman" w:eastAsia="Times New Roman" w:hint="default"/>
          <w:sz w:val="21"/>
          <w:szCs w:val="21"/>
        </w:rPr>
      </w:pPr>
    </w:p>
    <w:p>
      <w:pPr>
        <w:spacing w:before="35"/>
        <w:ind w:left="154" w:right="817" w:firstLine="0"/>
        <w:jc w:val="left"/>
        <w:rPr>
          <w:rFonts w:ascii="宋体" w:hAnsi="宋体" w:cs="宋体" w:eastAsia="宋体" w:hint="default"/>
          <w:sz w:val="21"/>
          <w:szCs w:val="21"/>
        </w:rPr>
      </w:pPr>
      <w:bookmarkStart w:name="（2）采用公允价值计量模式的投资性房地产"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未办妥产权证书的投资性房地产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子公司银川卧龙在城区凤凰北街北安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号营业房</w:t>
            </w:r>
            <w:r>
              <w:rPr>
                <w:rFonts w:ascii="Times New Roman" w:hAnsi="Times New Roman" w:cs="Times New Roman" w:eastAsia="Times New Roman" w:hint="default"/>
                <w:sz w:val="18"/>
                <w:szCs w:val="18"/>
              </w:rPr>
              <w:t>(</w:t>
            </w:r>
            <w:r>
              <w:rPr>
                <w:rFonts w:ascii="宋体" w:hAnsi="宋体" w:cs="宋体" w:eastAsia="宋体" w:hint="default"/>
                <w:sz w:val="18"/>
                <w:szCs w:val="18"/>
              </w:rPr>
              <w:t>北安小区分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370,648.84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历史原因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6"/>
        <w:ind w:right="817"/>
        <w:jc w:val="left"/>
      </w:pPr>
      <w:r>
        <w:rPr/>
        <w:t>①截至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日，未发现需要对上述投资性房地产计提减值准备的情况。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4"/>
        <w:ind w:left="154" w:right="817" w:firstLine="0"/>
        <w:jc w:val="left"/>
        <w:rPr>
          <w:rFonts w:ascii="宋体" w:hAnsi="宋体" w:cs="宋体" w:eastAsia="宋体" w:hint="default"/>
          <w:sz w:val="21"/>
          <w:szCs w:val="21"/>
        </w:rPr>
      </w:pPr>
      <w:bookmarkStart w:name="9、固定资产" w:id="253"/>
      <w:bookmarkEnd w:id="25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210,073,309.26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226,807,394.29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210,073,309.26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226,807,394.29</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固定资产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170,717,064.78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70,101,275.83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12,028,839.26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7,367,073.30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260,214,253.17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23,740,127.14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592,767.94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25,455,577.15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23,740,127.14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592,767.94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25,455,577.15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15,370,892.00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597,271.98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109,522.00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16,334,339.89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581,418.57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109,522.00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232,723.09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923,663.66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15,370,892.00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15,853.41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15,410,676.23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155,346,172.78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93,244,130.99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12,512,085.20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8,233,101.46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269,335,490.43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12,576,014.34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11,799,558.67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5,816,866.96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3,207,195.35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33,399,635.32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8,601,864.33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15,324,150.80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2,303,681.47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27,562,568.30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8,601,864.33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15,324,150.80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2,303,681.47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1,332,871.70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27,562,568.30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916,103.48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481,568.74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66,326.27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236,677.01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1,700,675.50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54,032.28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481,568.74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66,326.27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215,177.15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817,104.44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862,071.20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21,499.86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883,571.06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20,261,775.19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26,642,140.73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8,054,222.16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4,303,390.04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59,261,528.12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6,570.51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6,570.51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135,084,397.59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66,601,865.21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4,457,335.04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3,929,711.42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210,073,309.26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158,141,050.44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58,295,021.60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6,211,444.30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4,159,877.95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226,807,394.29</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暂时闲置的固定资产情况"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通过融资租赁租入的固定资产情况"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通过经营租赁租出的固定资产"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5）未办妥产权证书的固定资产情况"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银川卧龙厂区中的食堂、门房、锅炉房 等</w:t>
            </w:r>
            <w:r>
              <w:rPr>
                <w:rFonts w:ascii="Times New Roman" w:hAnsi="Times New Roman" w:cs="Times New Roman" w:eastAsia="Times New Roman" w:hint="default"/>
                <w:sz w:val="18"/>
                <w:szCs w:val="18"/>
              </w:rPr>
              <w:t>(</w:t>
            </w:r>
            <w:r>
              <w:rPr>
                <w:rFonts w:ascii="宋体" w:hAnsi="宋体" w:cs="宋体" w:eastAsia="宋体" w:hint="default"/>
                <w:sz w:val="18"/>
                <w:szCs w:val="18"/>
              </w:rPr>
              <w:t>兴庆区兴源路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1,706,940.73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厂区内功能性附属建筑</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5"/>
        <w:ind w:right="817"/>
        <w:jc w:val="left"/>
      </w:pPr>
      <w:r>
        <w:rPr/>
        <w:t>所有权或使有权受限的固定资产</w:t>
      </w:r>
    </w:p>
    <w:p>
      <w:pPr>
        <w:spacing w:line="240" w:lineRule="auto" w:before="9"/>
        <w:rPr>
          <w:rFonts w:ascii="宋体" w:hAnsi="宋体" w:cs="宋体" w:eastAsia="宋体" w:hint="default"/>
          <w:sz w:val="18"/>
          <w:szCs w:val="18"/>
        </w:rPr>
      </w:pPr>
    </w:p>
    <w:p>
      <w:pPr>
        <w:pStyle w:val="BodyText"/>
        <w:spacing w:line="312" w:lineRule="exact"/>
        <w:ind w:right="1129"/>
        <w:jc w:val="left"/>
      </w:pPr>
      <w:r>
        <w:rPr>
          <w:spacing w:val="-2"/>
        </w:rPr>
        <w:t>本集团所有权受限的固定资产系用于抵押担保的固定资产，详见本节之</w:t>
      </w:r>
      <w:r>
        <w:rPr>
          <w:rFonts w:ascii="Times New Roman" w:hAnsi="Times New Roman" w:cs="Times New Roman" w:eastAsia="Times New Roman" w:hint="default"/>
          <w:spacing w:val="-2"/>
        </w:rPr>
        <w:t>“48</w:t>
      </w:r>
      <w:r>
        <w:rPr>
          <w:spacing w:val="-2"/>
        </w:rPr>
        <w:t>、所有权或使用权</w:t>
      </w:r>
      <w:r>
        <w:rPr>
          <w:spacing w:val="-106"/>
        </w:rPr>
        <w:t> </w:t>
      </w:r>
      <w:r>
        <w:rPr>
          <w:spacing w:val="-106"/>
        </w:rPr>
      </w:r>
      <w:r>
        <w:rPr/>
        <w:t>受到限制的资产</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817" w:firstLine="0"/>
        <w:jc w:val="left"/>
        <w:rPr>
          <w:rFonts w:ascii="宋体" w:hAnsi="宋体" w:cs="宋体" w:eastAsia="宋体" w:hint="default"/>
          <w:sz w:val="21"/>
          <w:szCs w:val="21"/>
        </w:rPr>
      </w:pPr>
      <w:bookmarkStart w:name="（6）固定资产清理"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0、在建工程" w:id="260"/>
      <w:bookmarkEnd w:id="260"/>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240,225,721.53</w:t>
            </w:r>
          </w:p>
        </w:tc>
        <w:tc>
          <w:tcPr>
            <w:tcW w:w="38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240,225,721.53</w:t>
            </w:r>
          </w:p>
        </w:tc>
        <w:tc>
          <w:tcPr>
            <w:tcW w:w="3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在建工程情况"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星波通信综合实 验楼及研发产房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695,894.10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695,894.10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装修工程项目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涵普新厂房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5,758,748.78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5,758,748.78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中宁新堡风电场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233,771,078.65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233,771,078.65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240,225,721.53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240,225,721.53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重要在建工程项目本期变动情况"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中宁新 能源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784,625,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042.66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078.65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233,771,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078.65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29.79%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30.00%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4,541,88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4,541,88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浙江涵 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38,580,0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5,758,74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5,758,74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14.93%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15.00%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星波通 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18,430,0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2,636,76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1,940,87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14.31%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14.31%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841,635,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042.66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242,166,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594.88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1,940,87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240,225,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721.53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4,541,88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4,541,88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本期计提在建工程减值准备情况"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工程物资"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1、无形资产" w:id="265"/>
      <w:bookmarkEnd w:id="265"/>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无形资产情况"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161"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323" w:right="96" w:hanging="136"/>
              <w:jc w:val="left"/>
              <w:rPr>
                <w:rFonts w:ascii="宋体" w:hAnsi="宋体" w:cs="宋体" w:eastAsia="宋体" w:hint="default"/>
                <w:sz w:val="18"/>
                <w:szCs w:val="18"/>
              </w:rPr>
            </w:pPr>
            <w:r>
              <w:rPr>
                <w:rFonts w:ascii="宋体" w:hAnsi="宋体" w:cs="宋体" w:eastAsia="宋体" w:hint="default"/>
                <w:sz w:val="18"/>
                <w:szCs w:val="18"/>
              </w:rPr>
              <w:t>计算机软件 著作权</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40,571,688.00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6,823,422.22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19,058,967.00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82,355.34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2,704,499.49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69,290,932.05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8,120,340.00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1,206,722.85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9,327,062.85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8,120,340.00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1,206,722.85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9,327,062.85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48,692,028.00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6,823,422.22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19,058,967.00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82,355.34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3,911,222.34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78,617,994.90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871,515.96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227,447.40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940,317.20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47,083.64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68,230.72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1,179,462.50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3,334,057.42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2,103,960.66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682,342.20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2,820,951.60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5,671.20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494,192.10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6,110,034.12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2,103,960.66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682,342.20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2,820,951.60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5,671.20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494,192.10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6,110,034.12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2,975,476.62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909,789.60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3,761,268.80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73,901.92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1,673,654.60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9,444,091.54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45,716,551.38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5,913,632.62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15,297,698.20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2,237,567.74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69,173,903.36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39,700,172.04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6,595,974.82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18,118,649.80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2,916.36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14,124.62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1,525,036.99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65,956,874.63</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22.13%</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未办妥产权证书的土地使用权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6"/>
        <w:ind w:right="817"/>
        <w:jc w:val="left"/>
      </w:pPr>
      <w:r>
        <w:rPr/>
        <w:t>本集团所有权受限的无形资产情况详见本节之</w:t>
      </w:r>
      <w:r>
        <w:rPr>
          <w:rFonts w:ascii="Times New Roman" w:hAnsi="Times New Roman" w:cs="Times New Roman" w:eastAsia="Times New Roman" w:hint="default"/>
        </w:rPr>
        <w:t>“48</w:t>
      </w:r>
      <w:r>
        <w:rPr/>
        <w:t>、所有权或使用权受到限制的资产</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3"/>
          <w:szCs w:val="23"/>
        </w:rPr>
      </w:pPr>
    </w:p>
    <w:p>
      <w:pPr>
        <w:spacing w:before="0"/>
        <w:ind w:left="154" w:right="817" w:firstLine="0"/>
        <w:jc w:val="left"/>
        <w:rPr>
          <w:rFonts w:ascii="宋体" w:hAnsi="宋体" w:cs="宋体" w:eastAsia="宋体" w:hint="default"/>
          <w:sz w:val="21"/>
          <w:szCs w:val="21"/>
        </w:rPr>
      </w:pPr>
      <w:bookmarkStart w:name="12、开发支出" w:id="268"/>
      <w:bookmarkEnd w:id="26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CRH380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车组用牵引 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5,855,667.57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4,099,498.48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9,955,166.05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817"/>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日，未发现需要对上述开发支出计提减值准备的情况。</w:t>
      </w:r>
    </w:p>
    <w:p>
      <w:pPr>
        <w:spacing w:before="29"/>
        <w:ind w:left="154" w:right="817" w:firstLine="0"/>
        <w:jc w:val="left"/>
        <w:rPr>
          <w:rFonts w:ascii="宋体" w:hAnsi="宋体" w:cs="宋体" w:eastAsia="宋体" w:hint="default"/>
          <w:sz w:val="18"/>
          <w:szCs w:val="18"/>
        </w:rPr>
      </w:pPr>
      <w:r>
        <w:rPr>
          <w:rFonts w:ascii="宋体" w:hAnsi="宋体" w:cs="宋体" w:eastAsia="宋体" w:hint="default"/>
          <w:sz w:val="18"/>
          <w:szCs w:val="18"/>
        </w:rPr>
        <w:t>具体项目情况如下：</w:t>
      </w:r>
    </w:p>
    <w:p>
      <w:pPr>
        <w:spacing w:line="240" w:lineRule="auto" w:before="0"/>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1767"/>
        <w:gridCol w:w="2877"/>
        <w:gridCol w:w="2203"/>
        <w:gridCol w:w="2223"/>
      </w:tblGrid>
      <w:tr>
        <w:trPr>
          <w:trHeight w:val="350" w:hRule="exact"/>
        </w:trPr>
        <w:tc>
          <w:tcPr>
            <w:tcW w:w="1767" w:type="dxa"/>
            <w:tcBorders>
              <w:top w:val="single" w:sz="6" w:space="0" w:color="000000"/>
              <w:left w:val="nil" w:sz="6" w:space="0" w:color="auto"/>
              <w:bottom w:val="single" w:sz="8" w:space="0" w:color="000000"/>
              <w:right w:val="nil" w:sz="6" w:space="0" w:color="auto"/>
            </w:tcBorders>
          </w:tcPr>
          <w:p>
            <w:pPr>
              <w:pStyle w:val="TableParagraph"/>
              <w:tabs>
                <w:tab w:pos="454" w:val="left" w:leader="none"/>
              </w:tabs>
              <w:spacing w:line="286" w:lineRule="exact"/>
              <w:ind w:left="9"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877"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072" w:right="0"/>
              <w:jc w:val="left"/>
              <w:rPr>
                <w:rFonts w:ascii="宋体" w:hAnsi="宋体" w:cs="宋体" w:eastAsia="宋体" w:hint="default"/>
                <w:sz w:val="24"/>
                <w:szCs w:val="24"/>
              </w:rPr>
            </w:pPr>
            <w:r>
              <w:rPr>
                <w:rFonts w:ascii="宋体" w:hAnsi="宋体" w:cs="宋体" w:eastAsia="宋体" w:hint="default"/>
                <w:b/>
                <w:bCs/>
                <w:sz w:val="24"/>
                <w:szCs w:val="24"/>
              </w:rPr>
              <w:t>资本化开始时点</w:t>
            </w:r>
            <w:r>
              <w:rPr>
                <w:rFonts w:ascii="宋体" w:hAnsi="宋体" w:cs="宋体" w:eastAsia="宋体" w:hint="default"/>
                <w:sz w:val="24"/>
                <w:szCs w:val="24"/>
              </w:rPr>
            </w:r>
          </w:p>
        </w:tc>
        <w:tc>
          <w:tcPr>
            <w:tcW w:w="2203"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19" w:right="0"/>
              <w:jc w:val="left"/>
              <w:rPr>
                <w:rFonts w:ascii="宋体" w:hAnsi="宋体" w:cs="宋体" w:eastAsia="宋体" w:hint="default"/>
                <w:sz w:val="24"/>
                <w:szCs w:val="24"/>
              </w:rPr>
            </w:pPr>
            <w:r>
              <w:rPr>
                <w:rFonts w:ascii="宋体" w:hAnsi="宋体" w:cs="宋体" w:eastAsia="宋体" w:hint="default"/>
                <w:b/>
                <w:bCs/>
                <w:sz w:val="24"/>
                <w:szCs w:val="24"/>
              </w:rPr>
              <w:t>资本化的具体依据</w:t>
            </w:r>
            <w:r>
              <w:rPr>
                <w:rFonts w:ascii="宋体" w:hAnsi="宋体" w:cs="宋体" w:eastAsia="宋体" w:hint="default"/>
                <w:sz w:val="24"/>
                <w:szCs w:val="24"/>
              </w:rPr>
            </w:r>
          </w:p>
        </w:tc>
        <w:tc>
          <w:tcPr>
            <w:tcW w:w="2223"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58" w:right="0"/>
              <w:jc w:val="left"/>
              <w:rPr>
                <w:rFonts w:ascii="宋体" w:hAnsi="宋体" w:cs="宋体" w:eastAsia="宋体" w:hint="default"/>
                <w:sz w:val="24"/>
                <w:szCs w:val="24"/>
              </w:rPr>
            </w:pPr>
            <w:r>
              <w:rPr>
                <w:rFonts w:ascii="宋体" w:hAnsi="宋体" w:cs="宋体" w:eastAsia="宋体" w:hint="default"/>
                <w:b/>
                <w:bCs/>
                <w:sz w:val="24"/>
                <w:szCs w:val="24"/>
              </w:rPr>
              <w:t>截至期末的研发</w:t>
            </w:r>
            <w:r>
              <w:rPr>
                <w:rFonts w:ascii="宋体" w:hAnsi="宋体" w:cs="宋体" w:eastAsia="宋体" w:hint="default"/>
                <w:sz w:val="24"/>
                <w:szCs w:val="24"/>
              </w:rPr>
            </w:r>
          </w:p>
        </w:tc>
      </w:tr>
    </w:tbl>
    <w:p>
      <w:pPr>
        <w:spacing w:after="0" w:line="286" w:lineRule="exact"/>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944"/>
        <w:gridCol w:w="1651"/>
        <w:gridCol w:w="2400"/>
        <w:gridCol w:w="2106"/>
      </w:tblGrid>
      <w:tr>
        <w:trPr>
          <w:trHeight w:val="335" w:hRule="exact"/>
        </w:trPr>
        <w:tc>
          <w:tcPr>
            <w:tcW w:w="2944" w:type="dxa"/>
            <w:tcBorders>
              <w:top w:val="nil" w:sz="6" w:space="0" w:color="auto"/>
              <w:left w:val="nil" w:sz="6" w:space="0" w:color="auto"/>
              <w:bottom w:val="single" w:sz="6" w:space="0" w:color="000000"/>
              <w:right w:val="nil" w:sz="6" w:space="0" w:color="auto"/>
            </w:tcBorders>
          </w:tcPr>
          <w:p>
            <w:pPr/>
          </w:p>
        </w:tc>
        <w:tc>
          <w:tcPr>
            <w:tcW w:w="1651" w:type="dxa"/>
            <w:tcBorders>
              <w:top w:val="nil" w:sz="6" w:space="0" w:color="auto"/>
              <w:left w:val="nil" w:sz="6" w:space="0" w:color="auto"/>
              <w:bottom w:val="single" w:sz="6" w:space="0" w:color="000000"/>
              <w:right w:val="nil" w:sz="6" w:space="0" w:color="auto"/>
            </w:tcBorders>
          </w:tcPr>
          <w:p>
            <w:pPr/>
          </w:p>
        </w:tc>
        <w:tc>
          <w:tcPr>
            <w:tcW w:w="2400" w:type="dxa"/>
            <w:tcBorders>
              <w:top w:val="nil" w:sz="6" w:space="0" w:color="auto"/>
              <w:left w:val="nil" w:sz="6" w:space="0" w:color="auto"/>
              <w:bottom w:val="single" w:sz="6" w:space="0" w:color="000000"/>
              <w:right w:val="nil" w:sz="6" w:space="0" w:color="auto"/>
            </w:tcBorders>
          </w:tcPr>
          <w:p>
            <w:pPr/>
          </w:p>
        </w:tc>
        <w:tc>
          <w:tcPr>
            <w:tcW w:w="2106" w:type="dxa"/>
            <w:tcBorders>
              <w:top w:val="nil" w:sz="6" w:space="0" w:color="auto"/>
              <w:left w:val="nil" w:sz="6" w:space="0" w:color="auto"/>
              <w:bottom w:val="single" w:sz="6" w:space="0" w:color="000000"/>
              <w:right w:val="nil" w:sz="6" w:space="0" w:color="auto"/>
            </w:tcBorders>
          </w:tcPr>
          <w:p>
            <w:pPr/>
          </w:p>
        </w:tc>
      </w:tr>
      <w:tr>
        <w:trPr>
          <w:trHeight w:val="349" w:hRule="exact"/>
        </w:trPr>
        <w:tc>
          <w:tcPr>
            <w:tcW w:w="2944" w:type="dxa"/>
            <w:tcBorders>
              <w:top w:val="single" w:sz="6" w:space="0" w:color="000000"/>
              <w:left w:val="nil" w:sz="6" w:space="0" w:color="auto"/>
              <w:bottom w:val="single" w:sz="8" w:space="0" w:color="000000"/>
              <w:right w:val="nil" w:sz="6" w:space="0" w:color="auto"/>
            </w:tcBorders>
          </w:tcPr>
          <w:p>
            <w:pPr/>
          </w:p>
        </w:tc>
        <w:tc>
          <w:tcPr>
            <w:tcW w:w="1651" w:type="dxa"/>
            <w:tcBorders>
              <w:top w:val="single" w:sz="6" w:space="0" w:color="000000"/>
              <w:left w:val="nil" w:sz="6" w:space="0" w:color="auto"/>
              <w:bottom w:val="single" w:sz="8" w:space="0" w:color="000000"/>
              <w:right w:val="nil" w:sz="6" w:space="0" w:color="auto"/>
            </w:tcBorders>
          </w:tcPr>
          <w:p>
            <w:pPr/>
          </w:p>
        </w:tc>
        <w:tc>
          <w:tcPr>
            <w:tcW w:w="2400" w:type="dxa"/>
            <w:tcBorders>
              <w:top w:val="single" w:sz="6" w:space="0" w:color="000000"/>
              <w:left w:val="nil" w:sz="6" w:space="0" w:color="auto"/>
              <w:bottom w:val="single" w:sz="8" w:space="0" w:color="000000"/>
              <w:right w:val="nil" w:sz="6" w:space="0" w:color="auto"/>
            </w:tcBorders>
          </w:tcPr>
          <w:p>
            <w:pPr/>
          </w:p>
        </w:tc>
        <w:tc>
          <w:tcPr>
            <w:tcW w:w="2106"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进度</w:t>
            </w:r>
            <w:r>
              <w:rPr>
                <w:rFonts w:ascii="宋体" w:hAnsi="宋体" w:cs="宋体" w:eastAsia="宋体" w:hint="default"/>
                <w:sz w:val="24"/>
                <w:szCs w:val="24"/>
              </w:rPr>
            </w:r>
          </w:p>
        </w:tc>
      </w:tr>
      <w:tr>
        <w:trPr>
          <w:trHeight w:val="660" w:hRule="exact"/>
        </w:trPr>
        <w:tc>
          <w:tcPr>
            <w:tcW w:w="2944"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3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CRH380</w:t>
            </w:r>
            <w:r>
              <w:rPr>
                <w:rFonts w:ascii="宋体" w:hAnsi="宋体" w:cs="宋体" w:eastAsia="宋体" w:hint="default"/>
                <w:sz w:val="24"/>
                <w:szCs w:val="24"/>
              </w:rPr>
              <w:t>动车组用牵引变</w:t>
            </w:r>
          </w:p>
        </w:tc>
        <w:tc>
          <w:tcPr>
            <w:tcW w:w="1651"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37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p>
        </w:tc>
        <w:tc>
          <w:tcPr>
            <w:tcW w:w="2400"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199" w:right="0"/>
              <w:jc w:val="left"/>
              <w:rPr>
                <w:rFonts w:ascii="宋体" w:hAnsi="宋体" w:cs="宋体" w:eastAsia="宋体" w:hint="default"/>
                <w:sz w:val="24"/>
                <w:szCs w:val="24"/>
              </w:rPr>
            </w:pPr>
            <w:r>
              <w:rPr>
                <w:rFonts w:ascii="宋体" w:hAnsi="宋体" w:cs="宋体" w:eastAsia="宋体" w:hint="default"/>
                <w:sz w:val="24"/>
                <w:szCs w:val="24"/>
              </w:rPr>
              <w:t>通过技术可行性及经</w:t>
            </w:r>
          </w:p>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济可行性研究</w:t>
            </w:r>
          </w:p>
        </w:tc>
        <w:tc>
          <w:tcPr>
            <w:tcW w:w="2106"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40" w:right="0"/>
              <w:jc w:val="left"/>
              <w:rPr>
                <w:rFonts w:ascii="宋体" w:hAnsi="宋体" w:cs="宋体" w:eastAsia="宋体" w:hint="default"/>
                <w:sz w:val="24"/>
                <w:szCs w:val="24"/>
              </w:rPr>
            </w:pPr>
            <w:r>
              <w:rPr>
                <w:rFonts w:ascii="宋体" w:hAnsi="宋体" w:cs="宋体" w:eastAsia="宋体" w:hint="default"/>
                <w:sz w:val="24"/>
                <w:szCs w:val="24"/>
              </w:rPr>
              <w:t>样机试制阶段</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5"/>
        <w:ind w:left="154" w:right="817" w:firstLine="0"/>
        <w:jc w:val="left"/>
        <w:rPr>
          <w:rFonts w:ascii="宋体" w:hAnsi="宋体" w:cs="宋体" w:eastAsia="宋体" w:hint="default"/>
          <w:sz w:val="21"/>
          <w:szCs w:val="21"/>
        </w:rPr>
      </w:pPr>
      <w:r>
        <w:rPr/>
        <w:pict>
          <v:group style="position:absolute;margin-left:55.200001pt;margin-top:-95.866348pt;width:485pt;height:.1pt;mso-position-horizontal-relative:page;mso-position-vertical-relative:paragraph;z-index:-1264768" coordorigin="1104,-1917" coordsize="9700,2">
            <v:shape style="position:absolute;left:1104;top:-1917;width:9700;height:2" coordorigin="1104,-1917" coordsize="9700,0" path="m1104,-1917l10804,-1917e" filled="false" stroked="true" strokeweight=".72pt" strokecolor="#000000">
              <v:path arrowok="t"/>
            </v:shape>
            <w10:wrap type="none"/>
          </v:group>
        </w:pict>
      </w:r>
      <w:bookmarkStart w:name="13、商誉" w:id="269"/>
      <w:bookmarkEnd w:id="26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商誉账面原值"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4,099,176.90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4,099,176.90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670,994,526.54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670,994,526.54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394,587,113.03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394,587,113.03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1,069,680,816.47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1,069,680,816.47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商誉减值准备"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1"/>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1172"/>
        <w:gridCol w:w="1244"/>
        <w:gridCol w:w="1559"/>
        <w:gridCol w:w="1832"/>
        <w:gridCol w:w="2137"/>
        <w:gridCol w:w="994"/>
      </w:tblGrid>
      <w:tr>
        <w:trPr>
          <w:trHeight w:val="263" w:hRule="exact"/>
        </w:trPr>
        <w:tc>
          <w:tcPr>
            <w:tcW w:w="1172" w:type="dxa"/>
            <w:vMerge w:val="restart"/>
            <w:tcBorders>
              <w:top w:val="nil" w:sz="6" w:space="0" w:color="auto"/>
              <w:left w:val="nil" w:sz="6" w:space="0" w:color="auto"/>
              <w:right w:val="nil" w:sz="6" w:space="0" w:color="auto"/>
            </w:tcBorders>
          </w:tcPr>
          <w:p>
            <w:pPr>
              <w:pStyle w:val="TableParagraph"/>
              <w:spacing w:line="180"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被投资单位名</w:t>
            </w:r>
            <w:r>
              <w:rPr>
                <w:rFonts w:ascii="宋体" w:hAnsi="宋体" w:cs="宋体" w:eastAsia="宋体" w:hint="default"/>
                <w:sz w:val="18"/>
                <w:szCs w:val="18"/>
              </w:rPr>
            </w:r>
          </w:p>
          <w:p>
            <w:pPr>
              <w:pStyle w:val="TableParagraph"/>
              <w:spacing w:line="316" w:lineRule="auto" w:before="76"/>
              <w:ind w:left="297" w:right="60" w:hanging="272"/>
              <w:jc w:val="left"/>
              <w:rPr>
                <w:rFonts w:ascii="宋体" w:hAnsi="宋体" w:cs="宋体" w:eastAsia="宋体" w:hint="default"/>
                <w:sz w:val="18"/>
                <w:szCs w:val="18"/>
              </w:rPr>
            </w:pPr>
            <w:r>
              <w:rPr>
                <w:rFonts w:ascii="宋体" w:hAnsi="宋体" w:cs="宋体" w:eastAsia="宋体" w:hint="default"/>
                <w:b/>
                <w:bCs/>
                <w:sz w:val="18"/>
                <w:szCs w:val="18"/>
              </w:rPr>
              <w:t>称或形成商誉</w:t>
            </w:r>
            <w:r>
              <w:rPr>
                <w:rFonts w:ascii="宋体" w:hAnsi="宋体" w:cs="宋体" w:eastAsia="宋体" w:hint="default"/>
                <w:b/>
                <w:bCs/>
                <w:w w:val="99"/>
                <w:sz w:val="18"/>
                <w:szCs w:val="18"/>
              </w:rPr>
              <w:t> </w:t>
            </w:r>
            <w:r>
              <w:rPr>
                <w:rFonts w:ascii="宋体" w:hAnsi="宋体" w:cs="宋体" w:eastAsia="宋体" w:hint="default"/>
                <w:b/>
                <w:bCs/>
                <w:sz w:val="18"/>
                <w:szCs w:val="18"/>
              </w:rPr>
              <w:t>的事项</w:t>
            </w:r>
            <w:r>
              <w:rPr>
                <w:rFonts w:ascii="宋体" w:hAnsi="宋体" w:cs="宋体" w:eastAsia="宋体" w:hint="default"/>
                <w:sz w:val="18"/>
                <w:szCs w:val="18"/>
              </w:rPr>
            </w:r>
          </w:p>
        </w:tc>
        <w:tc>
          <w:tcPr>
            <w:tcW w:w="1244" w:type="dxa"/>
            <w:vMerge w:val="restart"/>
            <w:tcBorders>
              <w:top w:val="nil" w:sz="6" w:space="0" w:color="auto"/>
              <w:left w:val="nil" w:sz="6" w:space="0" w:color="auto"/>
              <w:right w:val="nil" w:sz="6" w:space="0" w:color="auto"/>
            </w:tcBorders>
          </w:tcPr>
          <w:p>
            <w:pPr>
              <w:pStyle w:val="TableParagraph"/>
              <w:spacing w:line="180" w:lineRule="exact"/>
              <w:ind w:right="32"/>
              <w:jc w:val="center"/>
              <w:rPr>
                <w:rFonts w:ascii="宋体" w:hAnsi="宋体" w:cs="宋体" w:eastAsia="宋体" w:hint="default"/>
                <w:sz w:val="18"/>
                <w:szCs w:val="18"/>
              </w:rPr>
            </w:pPr>
            <w:r>
              <w:rPr>
                <w:rFonts w:ascii="宋体" w:hAnsi="宋体" w:cs="宋体" w:eastAsia="宋体" w:hint="default"/>
                <w:b/>
                <w:bCs/>
                <w:sz w:val="18"/>
                <w:szCs w:val="18"/>
              </w:rPr>
              <w:t>商誉账面价值</w:t>
            </w:r>
            <w:r>
              <w:rPr>
                <w:rFonts w:ascii="宋体" w:hAnsi="宋体" w:cs="宋体" w:eastAsia="宋体" w:hint="default"/>
                <w:sz w:val="18"/>
                <w:szCs w:val="18"/>
              </w:rPr>
            </w:r>
          </w:p>
          <w:p>
            <w:pPr>
              <w:pStyle w:val="TableParagraph"/>
              <w:spacing w:line="240" w:lineRule="auto" w:before="76"/>
              <w:ind w:right="33"/>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559" w:type="dxa"/>
            <w:tcBorders>
              <w:top w:val="nil" w:sz="6" w:space="0" w:color="auto"/>
              <w:left w:val="nil" w:sz="6" w:space="0" w:color="auto"/>
              <w:bottom w:val="single" w:sz="6" w:space="0" w:color="000000"/>
              <w:right w:val="nil" w:sz="6" w:space="0" w:color="auto"/>
            </w:tcBorders>
          </w:tcPr>
          <w:p>
            <w:pPr/>
          </w:p>
        </w:tc>
        <w:tc>
          <w:tcPr>
            <w:tcW w:w="3969" w:type="dxa"/>
            <w:gridSpan w:val="2"/>
            <w:tcBorders>
              <w:top w:val="nil" w:sz="6" w:space="0" w:color="auto"/>
              <w:left w:val="nil" w:sz="6" w:space="0" w:color="auto"/>
              <w:bottom w:val="single" w:sz="6" w:space="0" w:color="000000"/>
              <w:right w:val="nil" w:sz="6" w:space="0" w:color="auto"/>
            </w:tcBorders>
          </w:tcPr>
          <w:p>
            <w:pPr>
              <w:pStyle w:val="TableParagraph"/>
              <w:spacing w:line="180" w:lineRule="exact"/>
              <w:ind w:left="888" w:right="0"/>
              <w:jc w:val="left"/>
              <w:rPr>
                <w:rFonts w:ascii="宋体" w:hAnsi="宋体" w:cs="宋体" w:eastAsia="宋体" w:hint="default"/>
                <w:sz w:val="18"/>
                <w:szCs w:val="18"/>
              </w:rPr>
            </w:pPr>
            <w:r>
              <w:rPr>
                <w:rFonts w:ascii="宋体" w:hAnsi="宋体" w:cs="宋体" w:eastAsia="宋体" w:hint="default"/>
                <w:b/>
                <w:bCs/>
                <w:sz w:val="18"/>
                <w:szCs w:val="18"/>
              </w:rPr>
              <w:t>资产组或资产组组合</w:t>
            </w:r>
            <w:r>
              <w:rPr>
                <w:rFonts w:ascii="宋体" w:hAnsi="宋体" w:cs="宋体" w:eastAsia="宋体" w:hint="default"/>
                <w:sz w:val="18"/>
                <w:szCs w:val="18"/>
              </w:rPr>
            </w:r>
          </w:p>
        </w:tc>
        <w:tc>
          <w:tcPr>
            <w:tcW w:w="994" w:type="dxa"/>
            <w:tcBorders>
              <w:top w:val="nil" w:sz="6" w:space="0" w:color="auto"/>
              <w:left w:val="nil" w:sz="6" w:space="0" w:color="auto"/>
              <w:bottom w:val="single" w:sz="6" w:space="0" w:color="000000"/>
              <w:right w:val="nil" w:sz="6" w:space="0" w:color="auto"/>
            </w:tcBorders>
          </w:tcPr>
          <w:p>
            <w:pPr/>
          </w:p>
        </w:tc>
      </w:tr>
      <w:tr>
        <w:trPr>
          <w:trHeight w:val="649" w:hRule="exact"/>
        </w:trPr>
        <w:tc>
          <w:tcPr>
            <w:tcW w:w="1172" w:type="dxa"/>
            <w:vMerge/>
            <w:tcBorders>
              <w:left w:val="nil" w:sz="6" w:space="0" w:color="auto"/>
              <w:bottom w:val="single" w:sz="6" w:space="0" w:color="000000"/>
              <w:right w:val="nil" w:sz="6" w:space="0" w:color="auto"/>
            </w:tcBorders>
          </w:tcPr>
          <w:p>
            <w:pPr/>
          </w:p>
        </w:tc>
        <w:tc>
          <w:tcPr>
            <w:tcW w:w="1244" w:type="dxa"/>
            <w:vMerge/>
            <w:tcBorders>
              <w:left w:val="nil" w:sz="6" w:space="0" w:color="auto"/>
              <w:bottom w:val="single" w:sz="6" w:space="0" w:color="000000"/>
              <w:right w:val="nil" w:sz="6" w:space="0" w:color="auto"/>
            </w:tcBorders>
          </w:tcPr>
          <w:p>
            <w:pPr/>
          </w:p>
        </w:tc>
        <w:tc>
          <w:tcPr>
            <w:tcW w:w="155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b/>
                <w:bCs/>
                <w:w w:val="95"/>
                <w:sz w:val="18"/>
                <w:szCs w:val="18"/>
              </w:rPr>
              <w:t>账面价值（万元）</w:t>
            </w:r>
            <w:r>
              <w:rPr>
                <w:rFonts w:ascii="宋体" w:hAnsi="宋体" w:cs="宋体" w:eastAsia="宋体" w:hint="default"/>
                <w:sz w:val="18"/>
                <w:szCs w:val="18"/>
              </w:rPr>
            </w:r>
          </w:p>
        </w:tc>
        <w:tc>
          <w:tcPr>
            <w:tcW w:w="183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b/>
                <w:bCs/>
                <w:sz w:val="18"/>
                <w:szCs w:val="18"/>
              </w:rPr>
              <w:t>主要构成</w:t>
            </w:r>
            <w:r>
              <w:rPr>
                <w:rFonts w:ascii="宋体" w:hAnsi="宋体" w:cs="宋体" w:eastAsia="宋体" w:hint="default"/>
                <w:sz w:val="18"/>
                <w:szCs w:val="18"/>
              </w:rPr>
            </w:r>
          </w:p>
        </w:tc>
        <w:tc>
          <w:tcPr>
            <w:tcW w:w="213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12" w:right="0"/>
              <w:jc w:val="left"/>
              <w:rPr>
                <w:rFonts w:ascii="宋体" w:hAnsi="宋体" w:cs="宋体" w:eastAsia="宋体" w:hint="default"/>
                <w:sz w:val="18"/>
                <w:szCs w:val="18"/>
              </w:rPr>
            </w:pPr>
            <w:r>
              <w:rPr>
                <w:rFonts w:ascii="宋体" w:hAnsi="宋体" w:cs="宋体" w:eastAsia="宋体" w:hint="default"/>
                <w:b/>
                <w:bCs/>
                <w:sz w:val="18"/>
                <w:szCs w:val="18"/>
              </w:rPr>
              <w:t>确定方法</w:t>
            </w:r>
            <w:r>
              <w:rPr>
                <w:rFonts w:ascii="宋体" w:hAnsi="宋体" w:cs="宋体" w:eastAsia="宋体" w:hint="default"/>
                <w:sz w:val="18"/>
                <w:szCs w:val="18"/>
              </w:rPr>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224" w:right="43" w:hanging="180"/>
              <w:jc w:val="left"/>
              <w:rPr>
                <w:rFonts w:ascii="宋体" w:hAnsi="宋体" w:cs="宋体" w:eastAsia="宋体" w:hint="default"/>
                <w:sz w:val="18"/>
                <w:szCs w:val="18"/>
              </w:rPr>
            </w:pPr>
            <w:r>
              <w:rPr>
                <w:rFonts w:ascii="宋体" w:hAnsi="宋体" w:cs="宋体" w:eastAsia="宋体" w:hint="default"/>
                <w:b/>
                <w:bCs/>
                <w:sz w:val="18"/>
                <w:szCs w:val="18"/>
              </w:rPr>
              <w:t>本期是否发</w:t>
            </w:r>
            <w:r>
              <w:rPr>
                <w:rFonts w:ascii="宋体" w:hAnsi="宋体" w:cs="宋体" w:eastAsia="宋体" w:hint="default"/>
                <w:b/>
                <w:bCs/>
                <w:w w:val="99"/>
                <w:sz w:val="18"/>
                <w:szCs w:val="18"/>
              </w:rPr>
              <w:t> </w:t>
            </w:r>
            <w:r>
              <w:rPr>
                <w:rFonts w:ascii="宋体" w:hAnsi="宋体" w:cs="宋体" w:eastAsia="宋体" w:hint="default"/>
                <w:b/>
                <w:bCs/>
                <w:sz w:val="18"/>
                <w:szCs w:val="18"/>
              </w:rPr>
              <w:t>生变动</w:t>
            </w:r>
            <w:r>
              <w:rPr>
                <w:rFonts w:ascii="宋体" w:hAnsi="宋体" w:cs="宋体" w:eastAsia="宋体" w:hint="default"/>
                <w:sz w:val="18"/>
                <w:szCs w:val="18"/>
              </w:rPr>
            </w:r>
          </w:p>
        </w:tc>
      </w:tr>
      <w:tr>
        <w:trPr>
          <w:trHeight w:val="1273" w:hRule="exact"/>
        </w:trPr>
        <w:tc>
          <w:tcPr>
            <w:tcW w:w="11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409.92</w:t>
            </w:r>
          </w:p>
        </w:tc>
        <w:tc>
          <w:tcPr>
            <w:tcW w:w="155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133.26</w:t>
            </w:r>
          </w:p>
        </w:tc>
        <w:tc>
          <w:tcPr>
            <w:tcW w:w="1832"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9" w:right="19"/>
              <w:jc w:val="both"/>
              <w:rPr>
                <w:rFonts w:ascii="宋体" w:hAnsi="宋体" w:cs="宋体" w:eastAsia="宋体" w:hint="default"/>
                <w:sz w:val="18"/>
                <w:szCs w:val="18"/>
              </w:rPr>
            </w:pPr>
            <w:r>
              <w:rPr>
                <w:rFonts w:ascii="宋体" w:hAnsi="宋体" w:cs="宋体" w:eastAsia="宋体" w:hint="default"/>
                <w:sz w:val="18"/>
                <w:szCs w:val="18"/>
              </w:rPr>
              <w:t>资产组所涉及的流动资 产、固定资产、流动负 债等</w:t>
            </w:r>
          </w:p>
        </w:tc>
        <w:tc>
          <w:tcPr>
            <w:tcW w:w="2137"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21" w:right="7" w:firstLine="73"/>
              <w:jc w:val="both"/>
              <w:rPr>
                <w:rFonts w:ascii="宋体" w:hAnsi="宋体" w:cs="宋体" w:eastAsia="宋体" w:hint="default"/>
                <w:sz w:val="18"/>
                <w:szCs w:val="18"/>
              </w:rPr>
            </w:pPr>
            <w:r>
              <w:rPr>
                <w:rFonts w:ascii="宋体" w:hAnsi="宋体" w:cs="宋体" w:eastAsia="宋体" w:hint="default"/>
                <w:sz w:val="18"/>
                <w:szCs w:val="18"/>
              </w:rPr>
              <w:t>商誉所在的资产组生产的 </w:t>
            </w:r>
            <w:r>
              <w:rPr>
                <w:rFonts w:ascii="宋体" w:hAnsi="宋体" w:cs="宋体" w:eastAsia="宋体" w:hint="default"/>
                <w:spacing w:val="-5"/>
                <w:sz w:val="18"/>
                <w:szCs w:val="18"/>
              </w:rPr>
              <w:t>产品存在活跃市场，可以带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来独立的现金流，可将其认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定为一个单独的资产组。</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72" w:hRule="exact"/>
        </w:trPr>
        <w:tc>
          <w:tcPr>
            <w:tcW w:w="117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67,099.45</w:t>
            </w:r>
          </w:p>
        </w:tc>
        <w:tc>
          <w:tcPr>
            <w:tcW w:w="155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62,509.61</w:t>
            </w:r>
          </w:p>
        </w:tc>
        <w:tc>
          <w:tcPr>
            <w:tcW w:w="1832"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9" w:right="19"/>
              <w:jc w:val="both"/>
              <w:rPr>
                <w:rFonts w:ascii="宋体" w:hAnsi="宋体" w:cs="宋体" w:eastAsia="宋体" w:hint="default"/>
                <w:sz w:val="18"/>
                <w:szCs w:val="18"/>
              </w:rPr>
            </w:pPr>
            <w:r>
              <w:rPr>
                <w:rFonts w:ascii="宋体" w:hAnsi="宋体" w:cs="宋体" w:eastAsia="宋体" w:hint="default"/>
                <w:sz w:val="18"/>
                <w:szCs w:val="18"/>
              </w:rPr>
              <w:t>资产组所涉及的流动资 产、固定资产、无形资 产、开发支出、流动负 债等</w:t>
            </w:r>
          </w:p>
        </w:tc>
        <w:tc>
          <w:tcPr>
            <w:tcW w:w="2137" w:type="dxa"/>
            <w:tcBorders>
              <w:top w:val="single" w:sz="6" w:space="0" w:color="000000"/>
              <w:left w:val="nil" w:sz="6" w:space="0" w:color="auto"/>
              <w:bottom w:val="single" w:sz="6" w:space="0" w:color="000000"/>
              <w:right w:val="nil" w:sz="6" w:space="0" w:color="auto"/>
            </w:tcBorders>
          </w:tcPr>
          <w:p>
            <w:pPr>
              <w:pStyle w:val="TableParagraph"/>
              <w:spacing w:line="316" w:lineRule="auto" w:before="10"/>
              <w:ind w:left="21" w:right="7" w:firstLine="73"/>
              <w:jc w:val="both"/>
              <w:rPr>
                <w:rFonts w:ascii="宋体" w:hAnsi="宋体" w:cs="宋体" w:eastAsia="宋体" w:hint="default"/>
                <w:sz w:val="18"/>
                <w:szCs w:val="18"/>
              </w:rPr>
            </w:pPr>
            <w:r>
              <w:rPr>
                <w:rFonts w:ascii="宋体" w:hAnsi="宋体" w:cs="宋体" w:eastAsia="宋体" w:hint="default"/>
                <w:sz w:val="18"/>
                <w:szCs w:val="18"/>
              </w:rPr>
              <w:t>商誉所在的资产组生产的 </w:t>
            </w:r>
            <w:r>
              <w:rPr>
                <w:rFonts w:ascii="宋体" w:hAnsi="宋体" w:cs="宋体" w:eastAsia="宋体" w:hint="default"/>
                <w:spacing w:val="-5"/>
                <w:sz w:val="18"/>
                <w:szCs w:val="18"/>
              </w:rPr>
              <w:t>产品存在活跃市场，可以带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来独立的现金流，可将其认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定为一个单独的资产组。</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75" w:hRule="exact"/>
        </w:trPr>
        <w:tc>
          <w:tcPr>
            <w:tcW w:w="1172" w:type="dxa"/>
            <w:tcBorders>
              <w:top w:val="single" w:sz="6" w:space="0" w:color="000000"/>
              <w:left w:val="nil" w:sz="6" w:space="0" w:color="auto"/>
              <w:bottom w:val="single" w:sz="6" w:space="0" w:color="000000"/>
              <w:right w:val="nil" w:sz="6" w:space="0" w:color="auto"/>
            </w:tcBorders>
          </w:tcPr>
          <w:p>
            <w:pPr>
              <w:pStyle w:val="TableParagraph"/>
              <w:spacing w:line="319" w:lineRule="auto" w:before="11"/>
              <w:ind w:left="9" w:right="80"/>
              <w:jc w:val="left"/>
              <w:rPr>
                <w:rFonts w:ascii="宋体" w:hAnsi="宋体" w:cs="宋体" w:eastAsia="宋体" w:hint="default"/>
                <w:sz w:val="18"/>
                <w:szCs w:val="18"/>
              </w:rPr>
            </w:pPr>
            <w:r>
              <w:rPr>
                <w:rFonts w:ascii="宋体" w:hAnsi="宋体" w:cs="宋体" w:eastAsia="宋体" w:hint="default"/>
                <w:sz w:val="18"/>
                <w:szCs w:val="18"/>
              </w:rPr>
              <w:t>星波通信（备 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44"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z w:val="18"/>
              </w:rPr>
              <w:t>39,458.71</w:t>
            </w:r>
          </w:p>
        </w:tc>
        <w:tc>
          <w:tcPr>
            <w:tcW w:w="1559"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right="8"/>
              <w:jc w:val="right"/>
              <w:rPr>
                <w:rFonts w:ascii="Times New Roman" w:hAnsi="Times New Roman" w:cs="Times New Roman" w:eastAsia="Times New Roman" w:hint="default"/>
                <w:sz w:val="18"/>
                <w:szCs w:val="18"/>
              </w:rPr>
            </w:pPr>
            <w:r>
              <w:rPr>
                <w:rFonts w:ascii="Times New Roman"/>
                <w:spacing w:val="-1"/>
                <w:sz w:val="18"/>
              </w:rPr>
              <w:t>24,765.98</w:t>
            </w:r>
          </w:p>
        </w:tc>
        <w:tc>
          <w:tcPr>
            <w:tcW w:w="1832" w:type="dxa"/>
            <w:tcBorders>
              <w:top w:val="single" w:sz="6" w:space="0" w:color="000000"/>
              <w:left w:val="nil" w:sz="6" w:space="0" w:color="auto"/>
              <w:bottom w:val="single" w:sz="6" w:space="0" w:color="000000"/>
              <w:right w:val="nil" w:sz="6" w:space="0" w:color="auto"/>
            </w:tcBorders>
          </w:tcPr>
          <w:p>
            <w:pPr>
              <w:pStyle w:val="TableParagraph"/>
              <w:spacing w:line="319" w:lineRule="auto" w:before="11"/>
              <w:ind w:left="9" w:right="19"/>
              <w:jc w:val="both"/>
              <w:rPr>
                <w:rFonts w:ascii="宋体" w:hAnsi="宋体" w:cs="宋体" w:eastAsia="宋体" w:hint="default"/>
                <w:sz w:val="18"/>
                <w:szCs w:val="18"/>
              </w:rPr>
            </w:pPr>
            <w:r>
              <w:rPr>
                <w:rFonts w:ascii="宋体" w:hAnsi="宋体" w:cs="宋体" w:eastAsia="宋体" w:hint="default"/>
                <w:sz w:val="18"/>
                <w:szCs w:val="18"/>
              </w:rPr>
              <w:t>资产组所涉及的流动资 产、固定资产、在建工 程、无形资产、其他非 流动资产、流动负债等</w:t>
            </w:r>
          </w:p>
        </w:tc>
        <w:tc>
          <w:tcPr>
            <w:tcW w:w="2137" w:type="dxa"/>
            <w:tcBorders>
              <w:top w:val="single" w:sz="6" w:space="0" w:color="000000"/>
              <w:left w:val="nil" w:sz="6" w:space="0" w:color="auto"/>
              <w:bottom w:val="single" w:sz="6" w:space="0" w:color="000000"/>
              <w:right w:val="nil" w:sz="6" w:space="0" w:color="auto"/>
            </w:tcBorders>
          </w:tcPr>
          <w:p>
            <w:pPr>
              <w:pStyle w:val="TableParagraph"/>
              <w:spacing w:line="319" w:lineRule="auto" w:before="11"/>
              <w:ind w:left="21" w:right="7" w:firstLine="73"/>
              <w:jc w:val="both"/>
              <w:rPr>
                <w:rFonts w:ascii="宋体" w:hAnsi="宋体" w:cs="宋体" w:eastAsia="宋体" w:hint="default"/>
                <w:sz w:val="18"/>
                <w:szCs w:val="18"/>
              </w:rPr>
            </w:pPr>
            <w:r>
              <w:rPr>
                <w:rFonts w:ascii="宋体" w:hAnsi="宋体" w:cs="宋体" w:eastAsia="宋体" w:hint="default"/>
                <w:sz w:val="18"/>
                <w:szCs w:val="18"/>
              </w:rPr>
              <w:t>商誉所在的资产组生产的 </w:t>
            </w:r>
            <w:r>
              <w:rPr>
                <w:rFonts w:ascii="宋体" w:hAnsi="宋体" w:cs="宋体" w:eastAsia="宋体" w:hint="default"/>
                <w:spacing w:val="-5"/>
                <w:sz w:val="18"/>
                <w:szCs w:val="18"/>
              </w:rPr>
              <w:t>产品存在活跃市场，可以带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来独立的现金流，可将其认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定为一个单独的资产组。</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10"/>
        <w:ind w:left="154" w:right="817" w:firstLine="0"/>
        <w:jc w:val="left"/>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1</w:t>
      </w:r>
      <w:r>
        <w:rPr>
          <w:rFonts w:ascii="宋体" w:hAnsi="宋体" w:cs="宋体" w:eastAsia="宋体" w:hint="default"/>
          <w:sz w:val="18"/>
          <w:szCs w:val="18"/>
        </w:rPr>
        <w:t>：星波通信的数据未包括未确认归属少数股东的商誉价值，金额为</w:t>
      </w:r>
      <w:r>
        <w:rPr>
          <w:rFonts w:ascii="Times New Roman" w:hAnsi="Times New Roman" w:cs="Times New Roman" w:eastAsia="Times New Roman" w:hint="default"/>
          <w:sz w:val="18"/>
          <w:szCs w:val="18"/>
        </w:rPr>
        <w:t>18,963.07</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line="316" w:lineRule="auto" w:before="44"/>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30" w:lineRule="auto" w:before="18"/>
        <w:ind w:right="817"/>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日，未发现需要对商誉计提减值准备的情况。 本集团采用预计未来现金流现值的方法计算资产组的可收回金额。本集团根据管理层批准的 财务预算预计未来</w:t>
      </w:r>
      <w:r>
        <w:rPr>
          <w:rFonts w:ascii="Times New Roman" w:hAnsi="Times New Roman" w:cs="Times New Roman" w:eastAsia="Times New Roman" w:hint="default"/>
        </w:rPr>
        <w:t>5</w:t>
      </w:r>
      <w:r>
        <w:rPr/>
        <w:t>年内现金流量，其中： </w:t>
      </w:r>
      <w:r>
        <w:rPr>
          <w:spacing w:val="-2"/>
        </w:rPr>
        <w:t>澳洲红相：其以后年度采用的现金流量增长率预计为</w:t>
      </w:r>
      <w:r>
        <w:rPr>
          <w:rFonts w:ascii="Times New Roman" w:hAnsi="Times New Roman" w:cs="Times New Roman" w:eastAsia="Times New Roman" w:hint="default"/>
          <w:spacing w:val="-2"/>
        </w:rPr>
        <w:t>0%</w:t>
      </w:r>
      <w:r>
        <w:rPr>
          <w:spacing w:val="-2"/>
        </w:rPr>
        <w:t>，不超过资产组经营业务的长期平均</w:t>
      </w:r>
      <w:r>
        <w:rPr>
          <w:spacing w:val="-83"/>
        </w:rPr>
        <w:t> </w:t>
      </w:r>
      <w:r>
        <w:rPr>
          <w:spacing w:val="-83"/>
        </w:rPr>
      </w:r>
      <w:r>
        <w:rPr/>
        <w:t>增长率，预测使用折现率为</w:t>
      </w:r>
      <w:r>
        <w:rPr>
          <w:rFonts w:ascii="Times New Roman" w:hAnsi="Times New Roman" w:cs="Times New Roman" w:eastAsia="Times New Roman" w:hint="default"/>
        </w:rPr>
        <w:t>13.97%</w:t>
      </w:r>
      <w:r>
        <w:rPr/>
        <w:t>。计算未来现金流现值所采用的折现率时考虑了通货膨胀 率、无风险资本成本率、风险溢价等因素。上述对可收回金额的预计表明商誉并未出现减值</w:t>
      </w:r>
      <w:r>
        <w:rPr>
          <w:spacing w:val="-113"/>
        </w:rPr>
        <w:t> </w:t>
      </w:r>
      <w:r>
        <w:rPr>
          <w:spacing w:val="-113"/>
        </w:rPr>
      </w:r>
      <w:r>
        <w:rPr/>
        <w:t>损失。</w:t>
      </w:r>
    </w:p>
    <w:p>
      <w:pPr>
        <w:spacing w:line="240" w:lineRule="auto" w:before="2"/>
        <w:rPr>
          <w:rFonts w:ascii="宋体" w:hAnsi="宋体" w:cs="宋体" w:eastAsia="宋体" w:hint="default"/>
          <w:sz w:val="26"/>
          <w:szCs w:val="26"/>
        </w:rPr>
      </w:pPr>
    </w:p>
    <w:p>
      <w:pPr>
        <w:pStyle w:val="BodyText"/>
        <w:spacing w:line="312" w:lineRule="exact"/>
        <w:ind w:right="1132"/>
        <w:jc w:val="both"/>
      </w:pPr>
      <w:r>
        <w:rPr/>
        <w:t>银川卧龙：永续期按照</w:t>
      </w:r>
      <w:r>
        <w:rPr>
          <w:rFonts w:ascii="Times New Roman" w:hAnsi="Times New Roman" w:cs="Times New Roman" w:eastAsia="Times New Roman" w:hint="default"/>
        </w:rPr>
        <w:t>2023</w:t>
      </w:r>
      <w:r>
        <w:rPr/>
        <w:t>年的水平持续，预测使用折现率为</w:t>
      </w:r>
      <w:r>
        <w:rPr>
          <w:rFonts w:ascii="Times New Roman" w:hAnsi="Times New Roman" w:cs="Times New Roman" w:eastAsia="Times New Roman" w:hint="default"/>
        </w:rPr>
        <w:t>13.25%</w:t>
      </w:r>
      <w:r>
        <w:rPr/>
        <w:t>。减值测试中采用的其</w:t>
      </w:r>
      <w:r>
        <w:rPr>
          <w:spacing w:val="-115"/>
        </w:rPr>
        <w:t> </w:t>
      </w:r>
      <w:r>
        <w:rPr/>
        <w:t>他关键数据包括：产品预计售价、销量、生产成本及其他相关费用，公司根据历史经验及对 市场发展的预测确定上述关键数据。公司采用的折现率是反映当前市场货币时间价值和相关 资产组特定风险的税前利率。上述对可收回金额的预计表明商誉并未出现减值损失。</w:t>
      </w:r>
    </w:p>
    <w:p>
      <w:pPr>
        <w:spacing w:line="240" w:lineRule="auto" w:before="11"/>
        <w:rPr>
          <w:rFonts w:ascii="宋体" w:hAnsi="宋体" w:cs="宋体" w:eastAsia="宋体" w:hint="default"/>
          <w:sz w:val="23"/>
          <w:szCs w:val="23"/>
        </w:rPr>
      </w:pPr>
    </w:p>
    <w:p>
      <w:pPr>
        <w:pStyle w:val="BodyText"/>
        <w:spacing w:line="312" w:lineRule="exact"/>
        <w:ind w:right="1132"/>
        <w:jc w:val="both"/>
      </w:pPr>
      <w:r>
        <w:rPr/>
        <w:t>星波通信：永续期按照</w:t>
      </w:r>
      <w:r>
        <w:rPr>
          <w:rFonts w:ascii="Times New Roman" w:hAnsi="Times New Roman" w:cs="Times New Roman" w:eastAsia="Times New Roman" w:hint="default"/>
        </w:rPr>
        <w:t>2023</w:t>
      </w:r>
      <w:r>
        <w:rPr/>
        <w:t>年的水平持续，预测使用的折现率为</w:t>
      </w:r>
      <w:r>
        <w:rPr>
          <w:rFonts w:ascii="Times New Roman" w:hAnsi="Times New Roman" w:cs="Times New Roman" w:eastAsia="Times New Roman" w:hint="default"/>
        </w:rPr>
        <w:t>11.02%</w:t>
      </w:r>
      <w:r>
        <w:rPr/>
        <w:t>。减值测试中采用的</w:t>
      </w:r>
      <w:r>
        <w:rPr>
          <w:spacing w:val="-116"/>
        </w:rPr>
        <w:t> </w:t>
      </w:r>
      <w:r>
        <w:rPr/>
        <w:t>其他关键数据包括：产品预计售价、销量、生产成本及其他相关费用，公司根据历史经验及</w:t>
      </w:r>
      <w:r>
        <w:rPr>
          <w:spacing w:val="-114"/>
        </w:rPr>
        <w:t> </w:t>
      </w:r>
      <w:r>
        <w:rPr>
          <w:spacing w:val="-114"/>
        </w:rPr>
      </w:r>
      <w:r>
        <w:rPr/>
        <w:t>对市场发展的预测确定上述关键数据。公司采用的折现率是反映当前市场货币时间价值和相 关资产组特定风险的税前利率。上述对可收回金额的预计表明商誉并未出现减值损失。</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1"/>
        <w:rPr>
          <w:rFonts w:ascii="宋体" w:hAnsi="宋体" w:cs="宋体" w:eastAsia="宋体" w:hint="default"/>
          <w:sz w:val="13"/>
          <w:szCs w:val="13"/>
        </w:rPr>
      </w:pPr>
    </w:p>
    <w:p>
      <w:pPr>
        <w:spacing w:before="0"/>
        <w:ind w:left="574" w:right="8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、银川卧龙</w:t>
      </w:r>
    </w:p>
    <w:p>
      <w:pPr>
        <w:pStyle w:val="BodyText"/>
        <w:spacing w:line="312" w:lineRule="exact" w:before="147"/>
        <w:ind w:right="817" w:firstLine="576"/>
        <w:jc w:val="left"/>
      </w:pPr>
      <w:r>
        <w:rPr>
          <w:spacing w:val="-2"/>
        </w:rPr>
        <w:t>经审计的银川卧龙</w:t>
      </w:r>
      <w:r>
        <w:rPr>
          <w:rFonts w:ascii="Times New Roman" w:hAnsi="Times New Roman" w:cs="Times New Roman" w:eastAsia="Times New Roman" w:hint="default"/>
          <w:spacing w:val="-2"/>
        </w:rPr>
        <w:t>2018</w:t>
      </w:r>
      <w:r>
        <w:rPr>
          <w:spacing w:val="-2"/>
        </w:rPr>
        <w:t>年度归属母公司的净利润为</w:t>
      </w:r>
      <w:r>
        <w:rPr>
          <w:rFonts w:ascii="Times New Roman" w:hAnsi="Times New Roman" w:cs="Times New Roman" w:eastAsia="Times New Roman" w:hint="default"/>
          <w:spacing w:val="-2"/>
        </w:rPr>
        <w:t>10,643.27</w:t>
      </w:r>
      <w:r>
        <w:rPr>
          <w:spacing w:val="-2"/>
        </w:rPr>
        <w:t>万元，占</w:t>
      </w:r>
      <w:r>
        <w:rPr>
          <w:rFonts w:ascii="Times New Roman" w:hAnsi="Times New Roman" w:cs="Times New Roman" w:eastAsia="Times New Roman" w:hint="default"/>
          <w:spacing w:val="-2"/>
        </w:rPr>
        <w:t>2018</w:t>
      </w:r>
      <w:r>
        <w:rPr>
          <w:spacing w:val="-2"/>
        </w:rPr>
        <w:t>年度业绩承诺</w:t>
      </w:r>
      <w:r>
        <w:rPr/>
        <w:t> 数</w:t>
      </w:r>
      <w:r>
        <w:rPr>
          <w:rFonts w:ascii="Times New Roman" w:hAnsi="Times New Roman" w:cs="Times New Roman" w:eastAsia="Times New Roman" w:hint="default"/>
        </w:rPr>
        <w:t>10,600.00</w:t>
      </w:r>
      <w:r>
        <w:rPr/>
        <w:t>万元的</w:t>
      </w:r>
      <w:r>
        <w:rPr>
          <w:rFonts w:ascii="Times New Roman" w:hAnsi="Times New Roman" w:cs="Times New Roman" w:eastAsia="Times New Roman" w:hint="default"/>
        </w:rPr>
        <w:t>100.40%</w:t>
      </w:r>
      <w:r>
        <w:rPr/>
        <w:t>，完成当年业绩承诺。</w:t>
      </w:r>
    </w:p>
    <w:p>
      <w:pPr>
        <w:pStyle w:val="BodyText"/>
        <w:spacing w:line="291" w:lineRule="exact"/>
        <w:ind w:left="423" w:right="9143"/>
        <w:jc w:val="center"/>
      </w:pPr>
      <w:r>
        <w:rPr>
          <w:rFonts w:ascii="Times New Roman" w:hAnsi="Times New Roman" w:cs="Times New Roman" w:eastAsia="Times New Roman" w:hint="default"/>
        </w:rPr>
        <w:t>2</w:t>
      </w:r>
      <w:r>
        <w:rPr/>
        <w:t>、星波通信</w:t>
      </w:r>
    </w:p>
    <w:p>
      <w:pPr>
        <w:pStyle w:val="BodyText"/>
        <w:spacing w:line="312" w:lineRule="exact" w:before="20"/>
        <w:ind w:right="817" w:firstLine="480"/>
        <w:jc w:val="left"/>
      </w:pPr>
      <w:r>
        <w:rPr>
          <w:spacing w:val="19"/>
        </w:rPr>
        <w:t>经审计的星波通信</w:t>
      </w:r>
      <w:r>
        <w:rPr>
          <w:spacing w:val="-9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4"/>
        </w:rPr>
        <w:t> </w:t>
      </w:r>
      <w:r>
        <w:rPr>
          <w:spacing w:val="21"/>
        </w:rPr>
        <w:t>年度扣除非经常性损益后归属于母公司所有者的净利润为</w:t>
      </w:r>
      <w:r>
        <w:rPr/>
        <w:t> </w:t>
      </w:r>
      <w:r>
        <w:rPr>
          <w:rFonts w:ascii="Times New Roman" w:hAnsi="Times New Roman" w:cs="Times New Roman" w:eastAsia="Times New Roman" w:hint="default"/>
        </w:rPr>
        <w:t>5170.56</w:t>
      </w:r>
      <w:r>
        <w:rPr/>
        <w:t>万元，占</w:t>
      </w:r>
      <w:r>
        <w:rPr>
          <w:rFonts w:ascii="Times New Roman" w:hAnsi="Times New Roman" w:cs="Times New Roman" w:eastAsia="Times New Roman" w:hint="default"/>
        </w:rPr>
        <w:t>2018</w:t>
      </w:r>
      <w:r>
        <w:rPr/>
        <w:t>年度业绩承诺数</w:t>
      </w:r>
      <w:r>
        <w:rPr>
          <w:rFonts w:ascii="Times New Roman" w:hAnsi="Times New Roman" w:cs="Times New Roman" w:eastAsia="Times New Roman" w:hint="default"/>
        </w:rPr>
        <w:t>5160</w:t>
      </w:r>
      <w:r>
        <w:rPr/>
        <w:t>万元的</w:t>
      </w:r>
      <w:r>
        <w:rPr>
          <w:rFonts w:ascii="Times New Roman" w:hAnsi="Times New Roman" w:cs="Times New Roman" w:eastAsia="Times New Roman" w:hint="default"/>
        </w:rPr>
        <w:t>100.20%</w:t>
      </w:r>
      <w:r>
        <w:rPr/>
        <w:t>，完成当年业绩承诺。</w:t>
      </w:r>
    </w:p>
    <w:p>
      <w:pPr>
        <w:pStyle w:val="BodyText"/>
        <w:spacing w:line="240" w:lineRule="auto" w:before="185"/>
        <w:ind w:left="634" w:right="817"/>
        <w:jc w:val="left"/>
      </w:pPr>
      <w:r>
        <w:rPr/>
        <w:t>截至报告日，不存在需要计提资产减值准备的商誉。</w:t>
      </w:r>
    </w:p>
    <w:p>
      <w:pPr>
        <w:spacing w:line="240" w:lineRule="auto" w:before="3"/>
        <w:rPr>
          <w:rFonts w:ascii="宋体" w:hAnsi="宋体" w:cs="宋体" w:eastAsia="宋体" w:hint="default"/>
          <w:sz w:val="20"/>
          <w:szCs w:val="20"/>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14、长期待摊费用" w:id="272"/>
      <w:bookmarkEnd w:id="272"/>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1,034,768.49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69,902.91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338,771.85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765,899.55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17,333.44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17,333.44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1,052,101.93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69,902.91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356,105.29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765,899.55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15、递延所得税资产/递延所得税负债" w:id="273"/>
      <w:bookmarkEnd w:id="273"/>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未经抵销的递延所得税资产"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148,671,686.05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22,447,777.56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102,988,701.56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15,505,136.60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3,786,423.00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580,511.87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2,380,784.43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369,297.91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2,581,399.32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645,349.83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2,115,481.38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528,870.35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39,115.26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40,812.12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12,243.64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96,741.15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29,022.35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102,110.54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30,633.16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已开票未确认收入暂时 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25,887,284.32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3,883,092.65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10,292,765.17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1,543,914.78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14,578,585.94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2,193,172.95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11,640,603.85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1,753,476.01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3,602,559.27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540,383.89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540,383.89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199,243,794.31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30,331,045.68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133,163,818.32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20,283,956.34</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未经抵销的递延所得税负债"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106,721,302.94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16,295,799.06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120,281,935.66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18,406,253.18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确认免租期租赁收入暂 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40,684.72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226,547.10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33,982.07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106,761,987.66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16,301,901.77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120,508,482.76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18,440,235.25</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以抵销后净额列示的递延所得税资产或负债"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30,331,045.68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20,283,956.34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16,301,901.77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18,440,235.25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4）未确认递延所得税资产明细"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6,719,068.62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8,361,897.03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45,007.17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6,764,075.79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8,361,897.03</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5）未确认递延所得税资产的可抵扣亏损将于以下年度到期"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1,106,612.69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2,592,598.50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3,486,041.07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1,977,777.44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1,977,777.44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1,791,465.83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1,791,465.83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357,226.85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6,719,068.62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8,361,897.03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6、其他非流动资产" w:id="279"/>
      <w:bookmarkEnd w:id="27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73,124,782.98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9,182,440.00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73,124,782.98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9,182,440.00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7、短期借款" w:id="280"/>
      <w:bookmarkEnd w:id="280"/>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短期借款分类"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232,445,795.70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435,445,795.70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200,000,000.00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已逾期未偿还的短期借款情况"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8、应付票据及应付账款" w:id="283"/>
      <w:bookmarkEnd w:id="283"/>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16,920,716.56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46,887,021.79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387,015,837.14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274,775,492.32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403,936,553.70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321,662,514.11</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应付票据分类列示"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5,964,600.00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32,719,515.00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10,956,116.56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14,167,506.79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16,920,716.56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46,887,021.79</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应付账款列示"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货款及劳务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380,112,149.22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269,932,509.51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6,903,687.92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4,842,982.81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387,015,837.14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274,775,492.32</w:t>
            </w:r>
          </w:p>
        </w:tc>
      </w:tr>
    </w:tbl>
    <w:p>
      <w:pPr>
        <w:spacing w:line="240" w:lineRule="auto" w:before="3"/>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账龄超过1年的重要应付账款"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宁夏回族自治区电力设计院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江苏华辰变压器股份有限公司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1,021,252.20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北京惠尔中天电气有限公司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1,016,948.72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3,963,200.92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19、预收款项" w:id="287"/>
      <w:bookmarkEnd w:id="287"/>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预收款项列示"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68,065,372.47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44,084,868.00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75,065,372.47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44,084,868.00</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账龄超过1年的重要预收款项"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期末建造合同形成的已结算未完工项目情况"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0、应付职工薪酬" w:id="291"/>
      <w:bookmarkEnd w:id="291"/>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应付职工薪酬列示"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25,112,762.92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129,636,020.25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127,161,089.50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27,587,693.67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428,272.97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10,353,271.85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10,380,239.45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401,305.37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25,541,035.89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140,159,292.10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137,711,328.95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27,988,999.04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短期薪酬列示"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23,302,470.61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114,811,675.02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111,314,119.43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26,800,026.20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4,001,803.54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4,001,803.54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179,849.20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5,316,717.62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5,324,437.75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172,129.07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148,943.33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4,500,654.37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4,512,835.25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136,762.45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421,921.04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421,326.04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20,418.06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394,142.21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390,276.46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14,948.56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4,324,413.22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4,312,643.56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93,105.06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27,710.12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1,172,274.71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1,174,989.60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24,995.23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职工奖励及福利基金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1,521,397.59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1,023,959.48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497,438.11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9,136.14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9,136.14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25,112,762.92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129,636,020.25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127,161,089.50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27,587,693.67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设定提存计划列示"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415,897.38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10,032,159.98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10,057,405.76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390,651.60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321,111.87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322,833.69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10,653.77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428,272.97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10,353,271.85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10,380,239.45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401,305.37</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1、应交税费" w:id="295"/>
      <w:bookmarkEnd w:id="295"/>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23,991,598.25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25,993,855.11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24,762,665.05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27,710,766.22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327,557.31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317,485.80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1,551,907.52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1,090,223.90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688,546.17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487,424.20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459,030.78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324,916.13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454,989.75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1,066,776.11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52,236,294.83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56,991,447.47</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817"/>
        <w:jc w:val="left"/>
      </w:pPr>
      <w:r>
        <w:rPr/>
        <w:t>其他税种主要是房产税、土地使用税、印花税等。</w:t>
      </w:r>
    </w:p>
    <w:p>
      <w:pPr>
        <w:spacing w:line="240" w:lineRule="auto" w:before="9"/>
        <w:rPr>
          <w:rFonts w:ascii="宋体" w:hAnsi="宋体" w:cs="宋体" w:eastAsia="宋体" w:hint="default"/>
          <w:sz w:val="24"/>
          <w:szCs w:val="24"/>
        </w:rPr>
      </w:pPr>
    </w:p>
    <w:p>
      <w:pPr>
        <w:spacing w:before="0"/>
        <w:ind w:left="154" w:right="817" w:firstLine="0"/>
        <w:jc w:val="left"/>
        <w:rPr>
          <w:rFonts w:ascii="宋体" w:hAnsi="宋体" w:cs="宋体" w:eastAsia="宋体" w:hint="default"/>
          <w:sz w:val="21"/>
          <w:szCs w:val="21"/>
        </w:rPr>
      </w:pPr>
      <w:bookmarkStart w:name="22、其他应付款" w:id="296"/>
      <w:bookmarkEnd w:id="296"/>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906,975.57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936,376.14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17,994,554.51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15,358,853.37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17,785,223.79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473,918,554.73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36,686,753.87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490,213,784.24</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应付利息"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321,221.44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585,754.13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935,779.69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906,975.57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936,376.14</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应付股利"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应付子公司少数股东股利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17,994,554.51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15,358,853.37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17,994,554.51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15,358,853.37</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710"/>
        <w:gridCol w:w="2555"/>
        <w:gridCol w:w="2820"/>
      </w:tblGrid>
      <w:tr>
        <w:trPr>
          <w:trHeight w:val="349" w:hRule="exact"/>
        </w:trPr>
        <w:tc>
          <w:tcPr>
            <w:tcW w:w="3710" w:type="dxa"/>
            <w:tcBorders>
              <w:top w:val="single" w:sz="6" w:space="0" w:color="000000"/>
              <w:left w:val="nil" w:sz="6" w:space="0" w:color="auto"/>
              <w:bottom w:val="single" w:sz="8" w:space="0" w:color="000000"/>
              <w:right w:val="nil" w:sz="6" w:space="0" w:color="auto"/>
            </w:tcBorders>
          </w:tcPr>
          <w:p>
            <w:pPr>
              <w:pStyle w:val="TableParagraph"/>
              <w:spacing w:line="285"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股东名称</w:t>
            </w:r>
            <w:r>
              <w:rPr>
                <w:rFonts w:ascii="宋体" w:hAnsi="宋体" w:cs="宋体" w:eastAsia="宋体" w:hint="default"/>
                <w:sz w:val="24"/>
                <w:szCs w:val="24"/>
              </w:rPr>
            </w:r>
          </w:p>
        </w:tc>
        <w:tc>
          <w:tcPr>
            <w:tcW w:w="2555" w:type="dxa"/>
            <w:tcBorders>
              <w:top w:val="single" w:sz="6" w:space="0" w:color="000000"/>
              <w:left w:val="nil" w:sz="6" w:space="0" w:color="auto"/>
              <w:bottom w:val="single" w:sz="8" w:space="0" w:color="000000"/>
              <w:right w:val="nil" w:sz="6" w:space="0" w:color="auto"/>
            </w:tcBorders>
          </w:tcPr>
          <w:p>
            <w:pPr>
              <w:pStyle w:val="TableParagraph"/>
              <w:spacing w:line="285" w:lineRule="exact"/>
              <w:ind w:right="303"/>
              <w:jc w:val="right"/>
              <w:rPr>
                <w:rFonts w:ascii="宋体" w:hAnsi="宋体" w:cs="宋体" w:eastAsia="宋体" w:hint="default"/>
                <w:sz w:val="24"/>
                <w:szCs w:val="24"/>
              </w:rPr>
            </w:pPr>
            <w:r>
              <w:rPr>
                <w:rFonts w:ascii="宋体" w:hAnsi="宋体" w:cs="宋体" w:eastAsia="宋体" w:hint="default"/>
                <w:b/>
                <w:bCs/>
                <w:w w:val="95"/>
                <w:sz w:val="24"/>
                <w:szCs w:val="24"/>
              </w:rPr>
              <w:t>应付股利金额</w:t>
            </w:r>
            <w:r>
              <w:rPr>
                <w:rFonts w:ascii="宋体" w:hAnsi="宋体" w:cs="宋体" w:eastAsia="宋体" w:hint="default"/>
                <w:sz w:val="24"/>
                <w:szCs w:val="24"/>
              </w:rPr>
            </w:r>
          </w:p>
        </w:tc>
        <w:tc>
          <w:tcPr>
            <w:tcW w:w="2820" w:type="dxa"/>
            <w:tcBorders>
              <w:top w:val="single" w:sz="6" w:space="0" w:color="000000"/>
              <w:left w:val="nil" w:sz="6" w:space="0" w:color="auto"/>
              <w:bottom w:val="single" w:sz="8" w:space="0" w:color="000000"/>
              <w:right w:val="nil" w:sz="6" w:space="0" w:color="auto"/>
            </w:tcBorders>
          </w:tcPr>
          <w:p>
            <w:pPr>
              <w:pStyle w:val="TableParagraph"/>
              <w:spacing w:line="285" w:lineRule="exact"/>
              <w:ind w:right="291"/>
              <w:jc w:val="center"/>
              <w:rPr>
                <w:rFonts w:ascii="宋体" w:hAnsi="宋体" w:cs="宋体" w:eastAsia="宋体" w:hint="default"/>
                <w:sz w:val="24"/>
                <w:szCs w:val="24"/>
              </w:rPr>
            </w:pPr>
            <w:r>
              <w:rPr>
                <w:rFonts w:ascii="宋体" w:hAnsi="宋体" w:cs="宋体" w:eastAsia="宋体" w:hint="default"/>
                <w:b/>
                <w:bCs/>
                <w:sz w:val="24"/>
                <w:szCs w:val="24"/>
              </w:rPr>
              <w:t>未支付原因</w:t>
            </w:r>
            <w:r>
              <w:rPr>
                <w:rFonts w:ascii="宋体" w:hAnsi="宋体" w:cs="宋体" w:eastAsia="宋体" w:hint="default"/>
                <w:sz w:val="24"/>
                <w:szCs w:val="24"/>
              </w:rPr>
            </w:r>
          </w:p>
        </w:tc>
      </w:tr>
      <w:tr>
        <w:trPr>
          <w:trHeight w:val="347" w:hRule="exact"/>
        </w:trPr>
        <w:tc>
          <w:tcPr>
            <w:tcW w:w="3710"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特盟国际经贸有限公司</w:t>
            </w:r>
          </w:p>
        </w:tc>
        <w:tc>
          <w:tcPr>
            <w:tcW w:w="255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01"/>
              <w:jc w:val="right"/>
              <w:rPr>
                <w:rFonts w:ascii="Times New Roman" w:hAnsi="Times New Roman" w:cs="Times New Roman" w:eastAsia="Times New Roman" w:hint="default"/>
                <w:sz w:val="24"/>
                <w:szCs w:val="24"/>
              </w:rPr>
            </w:pPr>
            <w:r>
              <w:rPr>
                <w:rFonts w:ascii="Times New Roman"/>
                <w:sz w:val="24"/>
              </w:rPr>
              <w:t>5,807,213.62</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91"/>
              <w:jc w:val="center"/>
              <w:rPr>
                <w:rFonts w:ascii="宋体" w:hAnsi="宋体" w:cs="宋体" w:eastAsia="宋体" w:hint="default"/>
                <w:sz w:val="24"/>
                <w:szCs w:val="24"/>
              </w:rPr>
            </w:pPr>
            <w:r>
              <w:rPr>
                <w:rFonts w:ascii="宋体" w:hAnsi="宋体" w:cs="宋体" w:eastAsia="宋体" w:hint="default"/>
                <w:sz w:val="24"/>
                <w:szCs w:val="24"/>
              </w:rPr>
              <w:t>协商确认暂缓支付</w:t>
            </w:r>
          </w:p>
        </w:tc>
      </w:tr>
      <w:tr>
        <w:trPr>
          <w:trHeight w:val="347" w:hRule="exact"/>
        </w:trPr>
        <w:tc>
          <w:tcPr>
            <w:tcW w:w="3710"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海盐众普电力科技有限公司</w:t>
            </w:r>
          </w:p>
        </w:tc>
        <w:tc>
          <w:tcPr>
            <w:tcW w:w="255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01"/>
              <w:jc w:val="right"/>
              <w:rPr>
                <w:rFonts w:ascii="Times New Roman" w:hAnsi="Times New Roman" w:cs="Times New Roman" w:eastAsia="Times New Roman" w:hint="default"/>
                <w:sz w:val="24"/>
                <w:szCs w:val="24"/>
              </w:rPr>
            </w:pPr>
            <w:r>
              <w:rPr>
                <w:rFonts w:ascii="Times New Roman"/>
                <w:sz w:val="24"/>
              </w:rPr>
              <w:t>3,226,229.81</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91"/>
              <w:jc w:val="center"/>
              <w:rPr>
                <w:rFonts w:ascii="宋体" w:hAnsi="宋体" w:cs="宋体" w:eastAsia="宋体" w:hint="default"/>
                <w:sz w:val="24"/>
                <w:szCs w:val="24"/>
              </w:rPr>
            </w:pPr>
            <w:r>
              <w:rPr>
                <w:rFonts w:ascii="宋体" w:hAnsi="宋体" w:cs="宋体" w:eastAsia="宋体" w:hint="default"/>
                <w:sz w:val="24"/>
                <w:szCs w:val="24"/>
              </w:rPr>
              <w:t>协商确认暂缓支付</w:t>
            </w:r>
          </w:p>
        </w:tc>
      </w:tr>
      <w:tr>
        <w:trPr>
          <w:trHeight w:val="347" w:hRule="exact"/>
        </w:trPr>
        <w:tc>
          <w:tcPr>
            <w:tcW w:w="3710"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海盐城普电子科技有限公司</w:t>
            </w:r>
          </w:p>
        </w:tc>
        <w:tc>
          <w:tcPr>
            <w:tcW w:w="255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01"/>
              <w:jc w:val="right"/>
              <w:rPr>
                <w:rFonts w:ascii="Times New Roman" w:hAnsi="Times New Roman" w:cs="Times New Roman" w:eastAsia="Times New Roman" w:hint="default"/>
                <w:sz w:val="24"/>
                <w:szCs w:val="24"/>
              </w:rPr>
            </w:pPr>
            <w:r>
              <w:rPr>
                <w:rFonts w:ascii="Times New Roman"/>
                <w:sz w:val="24"/>
              </w:rPr>
              <w:t>1,075,409.94</w:t>
            </w:r>
          </w:p>
        </w:tc>
        <w:tc>
          <w:tcPr>
            <w:tcW w:w="2820"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91"/>
              <w:jc w:val="center"/>
              <w:rPr>
                <w:rFonts w:ascii="宋体" w:hAnsi="宋体" w:cs="宋体" w:eastAsia="宋体" w:hint="default"/>
                <w:sz w:val="24"/>
                <w:szCs w:val="24"/>
              </w:rPr>
            </w:pPr>
            <w:r>
              <w:rPr>
                <w:rFonts w:ascii="宋体" w:hAnsi="宋体" w:cs="宋体" w:eastAsia="宋体" w:hint="default"/>
                <w:sz w:val="24"/>
                <w:szCs w:val="24"/>
              </w:rPr>
              <w:t>协商确认暂缓支付</w:t>
            </w:r>
          </w:p>
        </w:tc>
      </w:tr>
      <w:tr>
        <w:trPr>
          <w:trHeight w:val="348" w:hRule="exact"/>
        </w:trPr>
        <w:tc>
          <w:tcPr>
            <w:tcW w:w="3710" w:type="dxa"/>
            <w:tcBorders>
              <w:top w:val="single" w:sz="8" w:space="0" w:color="000000"/>
              <w:left w:val="nil" w:sz="6" w:space="0" w:color="auto"/>
              <w:bottom w:val="single" w:sz="8" w:space="0" w:color="000000"/>
              <w:right w:val="nil" w:sz="6" w:space="0" w:color="auto"/>
            </w:tcBorders>
          </w:tcPr>
          <w:p>
            <w:pPr>
              <w:pStyle w:val="TableParagraph"/>
              <w:tabs>
                <w:tab w:pos="445" w:val="left" w:leader="none"/>
              </w:tabs>
              <w:spacing w:line="281" w:lineRule="exact"/>
              <w:ind w:left="-1" w:right="261"/>
              <w:jc w:val="center"/>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555"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301"/>
              <w:jc w:val="right"/>
              <w:rPr>
                <w:rFonts w:ascii="Times New Roman" w:hAnsi="Times New Roman" w:cs="Times New Roman" w:eastAsia="Times New Roman" w:hint="default"/>
                <w:sz w:val="24"/>
                <w:szCs w:val="24"/>
              </w:rPr>
            </w:pPr>
            <w:r>
              <w:rPr>
                <w:rFonts w:ascii="Times New Roman"/>
                <w:b/>
                <w:sz w:val="24"/>
              </w:rPr>
              <w:t>10,108,853.37</w:t>
            </w:r>
            <w:r>
              <w:rPr>
                <w:rFonts w:ascii="Times New Roman"/>
                <w:sz w:val="24"/>
              </w:rPr>
            </w:r>
          </w:p>
        </w:tc>
        <w:tc>
          <w:tcPr>
            <w:tcW w:w="2820" w:type="dxa"/>
            <w:tcBorders>
              <w:top w:val="single" w:sz="8" w:space="0" w:color="000000"/>
              <w:left w:val="nil" w:sz="6" w:space="0" w:color="auto"/>
              <w:bottom w:val="single" w:sz="8"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154" w:right="817" w:firstLine="0"/>
        <w:jc w:val="left"/>
        <w:rPr>
          <w:rFonts w:ascii="宋体" w:hAnsi="宋体" w:cs="宋体" w:eastAsia="宋体" w:hint="default"/>
          <w:sz w:val="21"/>
          <w:szCs w:val="21"/>
        </w:rPr>
      </w:pPr>
      <w:bookmarkStart w:name="（3）其他应付款"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158,123.71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150,351.61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7,121,953.45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1,674,783.95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8,269,206.76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7,178,765.02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2,235,939.87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2,310,424.31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重大资产重组现金对价应付款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462,604,229.84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17,785,223.79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473,918,554.73</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3、一年内到期的非流动负债" w:id="300"/>
      <w:bookmarkEnd w:id="30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122,932,746.91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479,166.62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291,666.67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122,932,746.91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770,833.29</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4、长期借款" w:id="301"/>
      <w:bookmarkEnd w:id="301"/>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长期借款分类"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479,166.62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80,151,442.44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-122,932,746.91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-479,166.62</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227,218,695.53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25" w:lineRule="auto" w:before="82"/>
        <w:ind w:right="1118"/>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月与招商银行股份有限公司厦门分行签订《并购贷款合同》及《最高额质押</w:t>
      </w:r>
      <w:r>
        <w:rPr>
          <w:spacing w:val="-118"/>
        </w:rPr>
        <w:t> </w:t>
      </w:r>
      <w:r>
        <w:rPr>
          <w:spacing w:val="-118"/>
        </w:rPr>
      </w:r>
      <w:r>
        <w:rPr/>
        <w:t>合同》，以本公司持有的合肥星波通信技术有限公司</w:t>
      </w:r>
      <w:r>
        <w:rPr>
          <w:rFonts w:ascii="Times New Roman" w:hAnsi="Times New Roman" w:cs="Times New Roman" w:eastAsia="Times New Roman" w:hint="default"/>
        </w:rPr>
        <w:t>67.54%</w:t>
      </w:r>
      <w:r>
        <w:rPr/>
        <w:t>股权（</w:t>
      </w:r>
      <w:r>
        <w:rPr>
          <w:rFonts w:ascii="Times New Roman" w:hAnsi="Times New Roman" w:cs="Times New Roman" w:eastAsia="Times New Roman" w:hint="default"/>
        </w:rPr>
        <w:t>2,566.561</w:t>
      </w:r>
      <w:r>
        <w:rPr/>
        <w:t>万股）和卧龙电 气银川变压器有限公司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10,000</w:t>
      </w:r>
      <w:r>
        <w:rPr/>
        <w:t>万股）为质押，向招商银行股份有限公司厦门分行 借款人民币</w:t>
      </w:r>
      <w:r>
        <w:rPr>
          <w:rFonts w:ascii="Times New Roman" w:hAnsi="Times New Roman" w:cs="Times New Roman" w:eastAsia="Times New Roman" w:hint="default"/>
        </w:rPr>
        <w:t>300,000,000.00</w:t>
      </w:r>
      <w:r>
        <w:rPr/>
        <w:t>元，借款期限为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日，上述银行借款本金余额</w:t>
      </w:r>
      <w:r>
        <w:rPr>
          <w:rFonts w:ascii="Times New Roman" w:hAnsi="Times New Roman" w:cs="Times New Roman" w:eastAsia="Times New Roman" w:hint="default"/>
        </w:rPr>
        <w:t>270,000,000.00</w:t>
      </w:r>
      <w:r>
        <w:rPr/>
        <w:t>元，一年内到期金额为</w:t>
      </w:r>
      <w:r>
        <w:rPr>
          <w:rFonts w:ascii="Times New Roman" w:hAnsi="Times New Roman" w:cs="Times New Roman" w:eastAsia="Times New Roman" w:hint="default"/>
        </w:rPr>
        <w:t>90,000,000.00</w:t>
      </w:r>
      <w:r>
        <w:rPr/>
        <w:t>元。</w:t>
      </w:r>
    </w:p>
    <w:p>
      <w:pPr>
        <w:spacing w:before="73"/>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5、长期应付职工薪酬" w:id="303"/>
      <w:bookmarkEnd w:id="303"/>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长期应付职工薪酬表"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合肥星波业绩补偿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设定受益计划变动情况"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131"/>
        <w:jc w:val="both"/>
      </w:pPr>
      <w:r>
        <w:rPr/>
        <w:t>根据本公司与子公司星波通信签订的协议约定，按照各期期末实现的归属于母公司股东的扣 非经营性损益净利润超过当期业绩承诺金额的差额的</w:t>
      </w:r>
      <w:r>
        <w:rPr>
          <w:rFonts w:ascii="Times New Roman" w:hAnsi="Times New Roman" w:cs="Times New Roman" w:eastAsia="Times New Roman" w:hint="default"/>
        </w:rPr>
        <w:t>50%</w:t>
      </w:r>
      <w:r>
        <w:rPr/>
        <w:t>按照持股比例计提超额奖励。截至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日，计提超额奖励</w:t>
      </w:r>
      <w:r>
        <w:rPr>
          <w:rFonts w:ascii="Times New Roman" w:hAnsi="Times New Roman" w:cs="Times New Roman" w:eastAsia="Times New Roman" w:hint="default"/>
          <w:spacing w:val="-1"/>
        </w:rPr>
        <w:t>3,602,559.27</w:t>
      </w:r>
      <w:r>
        <w:rPr>
          <w:spacing w:val="-1"/>
        </w:rPr>
        <w:t>元，计入长期应付职工薪酬，并确认相应的可抵</w:t>
      </w:r>
      <w:r>
        <w:rPr>
          <w:spacing w:val="-93"/>
        </w:rPr>
        <w:t> </w:t>
      </w:r>
      <w:r>
        <w:rPr>
          <w:spacing w:val="-93"/>
        </w:rPr>
      </w:r>
      <w:r>
        <w:rPr/>
        <w:t>扣暂时性差异。</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6、递延收益" w:id="306"/>
      <w:bookmarkEnd w:id="306"/>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11,348,937.18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347,350.24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14,578,586.94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11,348,937.18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347,350.24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14,578,586.94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轨道交通供 电设备国家 地方联合工 程实验室创 新能力建设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166,666.56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1,083,333.50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年增产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万千伏安节 能型高速铁 路牵引变压 器扩产项目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638,888.67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513,888.51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 区重点研发 计划重大科 技项目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自治区发改 委轨道交通 设备国家地 方联合工程 实验室创新 能力建设项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安徽省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企业发展专 </w:t>
            </w:r>
            <w:r>
              <w:rPr>
                <w:rFonts w:ascii="宋体" w:hAnsi="宋体" w:cs="宋体" w:eastAsia="宋体" w:hint="default"/>
                <w:spacing w:val="-13"/>
                <w:sz w:val="18"/>
                <w:szCs w:val="18"/>
              </w:rPr>
              <w:t>项补贴（微波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射频子系统 生产项目）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118,010.72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381,989.28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安徽省军民 结合高技术 产业发展专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204,162.51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15,988.83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188,173.68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 </w:t>
            </w:r>
            <w:r>
              <w:rPr>
                <w:rFonts w:ascii="宋体" w:hAnsi="宋体" w:cs="宋体" w:eastAsia="宋体" w:hint="default"/>
                <w:sz w:val="18"/>
                <w:szCs w:val="18"/>
              </w:rPr>
              <w:t>政策</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仪器仪表设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266,698.24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74,476.32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192,221.92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科技局仪器 补贴款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150,854.37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37,784.99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190,069.38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厦门市经济 和信息化局 产业转型升 级厦门市企 业技术中心 扶持资金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高新财政国 库支付中心 国防建设资 </w:t>
            </w:r>
            <w:r>
              <w:rPr>
                <w:rFonts w:ascii="宋体" w:hAnsi="宋体" w:cs="宋体" w:eastAsia="宋体" w:hint="default"/>
                <w:spacing w:val="-13"/>
                <w:sz w:val="18"/>
                <w:szCs w:val="18"/>
              </w:rPr>
              <w:t>金（高频微波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44,287.34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1,955,712.66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年度军 民融合引导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56,801.99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443,198.01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11,640,603.8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639,016.91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7、股本" w:id="307"/>
      <w:bookmarkEnd w:id="307"/>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352,586,786.00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352,586,786.00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8、资本公积" w:id="308"/>
      <w:bookmarkEnd w:id="308"/>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1,077,883,895.33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1,077,883,895.33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4,234,061.74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4,234,061.74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1,082,117,957.07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1,082,117,957.07</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9、其他综合收益" w:id="309"/>
      <w:bookmarkEnd w:id="309"/>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-792,633.91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44,301.74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44,301.74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-748,332.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-792,633.91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44,301.74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44,301.74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-748,332.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-792,633.91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44,301.74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44,301.74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-748,332.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0、盈余公积" w:id="310"/>
      <w:bookmarkEnd w:id="31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40,186,038.54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9,651,635.07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49,837,673.61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40,186,038.54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9,651,635.07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49,837,673.61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1、未分配利润" w:id="311"/>
      <w:bookmarkEnd w:id="311"/>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398,551,154.43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296,665,870.36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398,551,154.43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296,665,870.36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229,398,154.36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117,949,954.85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9,651,635.07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3,296,190.78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25,738,256.19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12,768,480.00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592,559,417.53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398,551,154.43</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32、营业收入和营业成本" w:id="312"/>
      <w:bookmarkEnd w:id="31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1,287,307,101.24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721,636,520.01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728,988,154.15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420,316,717.32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24,186,431.28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5,669,225.71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14,873,313.12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2,335,600.31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1,311,493,532.52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727,305,745.72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743,861,467.27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422,652,317.63</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3、税金及附加" w:id="313"/>
      <w:bookmarkEnd w:id="313"/>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4,913,545.51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2,612,165.64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2,194,628.12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1,237,795.54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1,490,254.57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811,549.15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287,275.22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157,184.00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1,462,384.45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825,197.07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751,767.84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1,701,292.35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11,099,855.71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7,345,183.75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4、销售费用" w:id="314"/>
      <w:bookmarkEnd w:id="31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30,843,450.02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21,504,217.94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运输、检验及维修费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21,703,858.59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9,398,514.17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市场调研及市场推广费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19,671,699.87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7,960,937.99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14,400,154.31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9,759,117.73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10,731,711.63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8,777,844.58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10,285,477.39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6,928,818.07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2,847,494.48</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110,381,751.81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67,176,944.96</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35、管理费用" w:id="315"/>
      <w:bookmarkEnd w:id="315"/>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30,193,067.95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17,940,557.37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12,122,100.69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5,887,386.80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10,047,587.86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7,179,328.49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5,211,020.46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9,600,253.06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3,474,049.29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2,824,908.87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3,688,112.17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1,808,181.23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48,725.70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6,268,969.12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超额奖励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3,602,559.27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64,784,664.12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55,112,144.21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6、研发费用" w:id="316"/>
      <w:bookmarkEnd w:id="316"/>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28,471,605.96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22,366,184.52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11,686,701.75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9,033,820.28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6,792,601.00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4,416,176.59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5,251,020.37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2,356,155.28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3,750,821.32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2,444,722.64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设备技术款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3,453,246.91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444,296.90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677,631.36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488,900.45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试验检验费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461,578.96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1,017,586.35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440,227.78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468,614.59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308,898.99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175,431.98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538,327.57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736,095.35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61,832,661.97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43,947,984.93</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7、财务费用" w:id="317"/>
      <w:bookmarkEnd w:id="317"/>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27,426,202.53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4,335,686.90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4,541,884.30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22,884,318.23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4,335,686.90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2,779,362.84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5,788,965.03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-1,110,910.39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-60,595.42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606,163.61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564,337.01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19,600,208.61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-949,536.54</w:t>
            </w:r>
            <w:r>
              <w:rPr>
                <w:rFonts w:ascii="Times New Roman"/>
                <w:sz w:val="18"/>
              </w:rPr>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3" w:lineRule="exact" w:before="66"/>
        <w:ind w:right="817"/>
        <w:jc w:val="left"/>
      </w:pPr>
      <w:r>
        <w:rPr/>
        <w:t>利息资本化金额已计入在建工程。本期用于计算确定借款费用资本化金额的资本化率为</w:t>
      </w:r>
    </w:p>
    <w:p>
      <w:pPr>
        <w:pStyle w:val="BodyText"/>
        <w:spacing w:line="331" w:lineRule="exact"/>
        <w:ind w:right="817"/>
        <w:jc w:val="left"/>
      </w:pPr>
      <w:r>
        <w:rPr>
          <w:rFonts w:ascii="Times New Roman" w:hAnsi="Times New Roman" w:cs="Times New Roman" w:eastAsia="Times New Roman" w:hint="default"/>
        </w:rPr>
        <w:t>5.4252%</w:t>
      </w:r>
      <w:r>
        <w:rPr/>
        <w:t>。</w:t>
      </w:r>
    </w:p>
    <w:p>
      <w:pPr>
        <w:spacing w:line="240" w:lineRule="auto" w:before="4"/>
        <w:rPr>
          <w:rFonts w:ascii="宋体" w:hAnsi="宋体" w:cs="宋体" w:eastAsia="宋体" w:hint="default"/>
          <w:sz w:val="23"/>
          <w:szCs w:val="23"/>
        </w:rPr>
      </w:pPr>
    </w:p>
    <w:p>
      <w:pPr>
        <w:spacing w:before="0"/>
        <w:ind w:left="154" w:right="817" w:firstLine="0"/>
        <w:jc w:val="left"/>
        <w:rPr>
          <w:rFonts w:ascii="宋体" w:hAnsi="宋体" w:cs="宋体" w:eastAsia="宋体" w:hint="default"/>
          <w:sz w:val="21"/>
          <w:szCs w:val="21"/>
        </w:rPr>
      </w:pPr>
      <w:bookmarkStart w:name="38、资产减值损失" w:id="318"/>
      <w:bookmarkEnd w:id="318"/>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44,280,774.33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4,658,293.42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3,504,124.91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1,597,161.63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47,784,899.24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6,255,455.05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9、其他收益" w:id="319"/>
      <w:bookmarkEnd w:id="319"/>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32,147,740.19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15,042,386.52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639,016.91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161,729.08</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0、资产处置收益" w:id="320"/>
      <w:bookmarkEnd w:id="320"/>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-19,514.66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9,601.22</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1、营业外收入" w:id="321"/>
      <w:bookmarkEnd w:id="321"/>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15,679.95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190,734.29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90,771.42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1,190,771.42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206,414.24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1,190,771.42</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厦门市经济 和信息化局 企业兼并奖 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厦门市经济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事处办公楼 临时过渡租 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464,309.00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厦门市科学 技术局企业 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厦门市科学 技术局研发 补助金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231,700.00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厦门市知识 产权局示范 企业金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厦门市经济 和信息化局 产业转型两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厦门市经济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化融合管理 体系升级奖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个人所得税 手续费返还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140,606.97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12,768.35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厦门市知识 产权局企业 知识产权贯 标认证补贴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质量技术奖 质量奖励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2" w:right="81"/>
              <w:jc w:val="both"/>
              <w:rPr>
                <w:rFonts w:ascii="宋体" w:hAnsi="宋体" w:cs="宋体" w:eastAsia="宋体" w:hint="default"/>
                <w:sz w:val="18"/>
                <w:szCs w:val="18"/>
              </w:rPr>
            </w:pPr>
            <w:r>
              <w:rPr>
                <w:rFonts w:ascii="宋体" w:hAnsi="宋体" w:cs="宋体" w:eastAsia="宋体" w:hint="default"/>
                <w:sz w:val="18"/>
                <w:szCs w:val="18"/>
              </w:rPr>
              <w:t>企业招收本 市农村劳动 力社保补差</w:t>
            </w:r>
            <w:r>
              <w:rPr>
                <w:rFonts w:ascii="Times New Roman" w:hAnsi="Times New Roman" w:cs="Times New Roman" w:eastAsia="Times New Roman" w:hint="default"/>
                <w:sz w:val="18"/>
                <w:szCs w:val="18"/>
              </w:rPr>
              <w:t>\ </w:t>
            </w:r>
            <w:r>
              <w:rPr>
                <w:rFonts w:ascii="宋体" w:hAnsi="宋体" w:cs="宋体" w:eastAsia="宋体" w:hint="default"/>
                <w:sz w:val="18"/>
                <w:szCs w:val="18"/>
              </w:rPr>
              <w:t>劳务协作奖 励</w:t>
            </w:r>
            <w:r>
              <w:rPr>
                <w:rFonts w:ascii="Times New Roman" w:hAnsi="Times New Roman" w:cs="Times New Roman" w:eastAsia="Times New Roman" w:hint="default"/>
                <w:sz w:val="18"/>
                <w:szCs w:val="18"/>
              </w:rPr>
              <w:t>\</w:t>
            </w: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就业管理中 心</w:t>
            </w:r>
            <w:r>
              <w:rPr>
                <w:rFonts w:ascii="Times New Roman" w:hAnsi="Times New Roman" w:cs="Times New Roman" w:eastAsia="Times New Roman" w:hint="default"/>
                <w:sz w:val="18"/>
                <w:szCs w:val="18"/>
              </w:rPr>
              <w:t>\</w:t>
            </w:r>
            <w:r>
              <w:rPr>
                <w:rFonts w:ascii="宋体" w:hAnsi="宋体" w:cs="宋体" w:eastAsia="宋体" w:hint="default"/>
                <w:sz w:val="18"/>
                <w:szCs w:val="18"/>
              </w:rPr>
              <w:t>社会保险 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就 业促进中心</w:t>
            </w:r>
            <w:r>
              <w:rPr>
                <w:rFonts w:ascii="Times New Roman" w:hAnsi="Times New Roman" w:cs="Times New Roman" w:eastAsia="Times New Roman" w:hint="default"/>
                <w:sz w:val="18"/>
                <w:szCs w:val="18"/>
              </w:rPr>
              <w:t>\ </w:t>
            </w:r>
            <w:r>
              <w:rPr>
                <w:rFonts w:ascii="宋体" w:hAnsi="宋体" w:cs="宋体" w:eastAsia="宋体" w:hint="default"/>
                <w:sz w:val="18"/>
                <w:szCs w:val="18"/>
              </w:rPr>
              <w:t>财政国库支 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就业 与创业服务 局</w:t>
            </w:r>
            <w:r>
              <w:rPr>
                <w:rFonts w:ascii="Times New Roman" w:hAnsi="Times New Roman" w:cs="Times New Roman" w:eastAsia="Times New Roman" w:hint="default"/>
                <w:sz w:val="18"/>
                <w:szCs w:val="18"/>
              </w:rPr>
              <w:t>\</w:t>
            </w: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283,450.36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192,606.83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厦门市同安 区经济和信 息化局企业 发展扶持资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厦门市同安 区经济和信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工业增产增 效奖励金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35,435.00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年度厦 门市专利奖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小微企业实 用新型奖励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年产业 转型升级专 </w:t>
            </w:r>
            <w:r>
              <w:rPr>
                <w:rFonts w:ascii="宋体" w:hAnsi="宋体" w:cs="宋体" w:eastAsia="宋体" w:hint="default"/>
                <w:spacing w:val="-12"/>
                <w:sz w:val="18"/>
                <w:szCs w:val="18"/>
              </w:rPr>
              <w:t>项（产学研合</w:t>
            </w:r>
            <w:r>
              <w:rPr>
                <w:rFonts w:ascii="宋体" w:hAnsi="宋体" w:cs="宋体" w:eastAsia="宋体" w:hint="default"/>
                <w:sz w:val="18"/>
                <w:szCs w:val="18"/>
              </w:rPr>
              <w:t> </w:t>
            </w:r>
            <w:r>
              <w:rPr>
                <w:rFonts w:ascii="宋体" w:hAnsi="宋体" w:cs="宋体" w:eastAsia="宋体" w:hint="default"/>
                <w:spacing w:val="-12"/>
                <w:sz w:val="18"/>
                <w:szCs w:val="18"/>
              </w:rPr>
              <w:t>作项目）专项</w:t>
            </w:r>
            <w:r>
              <w:rPr>
                <w:rFonts w:ascii="宋体" w:hAnsi="宋体" w:cs="宋体" w:eastAsia="宋体" w:hint="default"/>
                <w:sz w:val="18"/>
                <w:szCs w:val="18"/>
              </w:rPr>
              <w:t> 支持资金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年度规 上工业企业 研发费用补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779,200.00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国内发明专 利授权奖励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24,167.00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市级企业技 术中心奖励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事处人才扶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36,113.00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6"/>
              <w:jc w:val="left"/>
              <w:rPr>
                <w:rFonts w:ascii="宋体" w:hAnsi="宋体" w:cs="宋体" w:eastAsia="宋体" w:hint="default"/>
                <w:sz w:val="18"/>
                <w:szCs w:val="18"/>
              </w:rPr>
            </w:pPr>
            <w:r>
              <w:rPr>
                <w:rFonts w:ascii="宋体" w:hAnsi="宋体" w:cs="宋体" w:eastAsia="宋体" w:hint="default"/>
                <w:sz w:val="18"/>
                <w:szCs w:val="18"/>
              </w:rPr>
              <w:t>对实际税负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 的增值税返 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77"/>
              <w:jc w:val="both"/>
              <w:rPr>
                <w:rFonts w:ascii="宋体" w:hAnsi="宋体" w:cs="宋体" w:eastAsia="宋体" w:hint="default"/>
                <w:sz w:val="18"/>
                <w:szCs w:val="18"/>
              </w:rPr>
            </w:pPr>
            <w:r>
              <w:rPr>
                <w:rFonts w:ascii="宋体" w:hAnsi="宋体" w:cs="宋体" w:eastAsia="宋体" w:hint="default"/>
                <w:sz w:val="18"/>
                <w:szCs w:val="18"/>
              </w:rPr>
              <w:t>厦门市国家 税务局</w:t>
            </w:r>
            <w:r>
              <w:rPr>
                <w:rFonts w:ascii="Times New Roman" w:hAnsi="Times New Roman" w:cs="Times New Roman" w:eastAsia="Times New Roman" w:hint="default"/>
                <w:sz w:val="18"/>
                <w:szCs w:val="18"/>
              </w:rPr>
              <w:t>\</w:t>
            </w:r>
            <w:r>
              <w:rPr>
                <w:rFonts w:ascii="宋体" w:hAnsi="宋体" w:cs="宋体" w:eastAsia="宋体" w:hint="default"/>
                <w:sz w:val="18"/>
                <w:szCs w:val="18"/>
              </w:rPr>
              <w:t>海盐 县国家税务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6,510,636.42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7,917,313.34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个税手续费 返回以及免 征教育费附 加和地方教 育附加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4,352.04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新创办小微 企业扶持补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中华街道办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377,728.00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239,962.00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科创红包补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6"/>
              <w:jc w:val="both"/>
              <w:rPr>
                <w:rFonts w:ascii="宋体" w:hAnsi="宋体" w:cs="宋体" w:eastAsia="宋体" w:hint="default"/>
                <w:sz w:val="18"/>
                <w:szCs w:val="18"/>
              </w:rPr>
            </w:pPr>
            <w:r>
              <w:rPr>
                <w:rFonts w:ascii="宋体" w:hAnsi="宋体" w:cs="宋体" w:eastAsia="宋体" w:hint="default"/>
                <w:sz w:val="18"/>
                <w:szCs w:val="18"/>
              </w:rPr>
              <w:t>华漕镇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年第二批扶 持金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上海市闵行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军品免税收 入减免增值 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区国税局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10,688,057.3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1,703,462.87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收入首次过 亿奖励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技术合同补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专精特新中 小企业补助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left"/>
              <w:rPr>
                <w:rFonts w:ascii="宋体" w:hAnsi="宋体" w:cs="宋体" w:eastAsia="宋体" w:hint="default"/>
                <w:sz w:val="18"/>
                <w:szCs w:val="18"/>
              </w:rPr>
            </w:pPr>
            <w:r>
              <w:rPr>
                <w:rFonts w:ascii="宋体" w:hAnsi="宋体" w:cs="宋体" w:eastAsia="宋体" w:hint="default"/>
                <w:sz w:val="18"/>
                <w:szCs w:val="18"/>
              </w:rPr>
              <w:t>高新企业奖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数字化车间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合创券支付 </w:t>
            </w:r>
            <w:r>
              <w:rPr>
                <w:rFonts w:ascii="宋体" w:hAnsi="宋体" w:cs="宋体" w:eastAsia="宋体" w:hint="default"/>
                <w:spacing w:val="-12"/>
                <w:sz w:val="18"/>
                <w:szCs w:val="18"/>
              </w:rPr>
              <w:t>检测费、计量</w:t>
            </w:r>
            <w:r>
              <w:rPr>
                <w:rFonts w:ascii="宋体" w:hAnsi="宋体" w:cs="宋体" w:eastAsia="宋体" w:hint="default"/>
                <w:sz w:val="18"/>
                <w:szCs w:val="18"/>
              </w:rPr>
              <w:t>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48,759.41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产值上亿奖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其他零星补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17,678.24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职工技能培 训补贴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安徽省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企业发展专 </w:t>
            </w:r>
            <w:r>
              <w:rPr>
                <w:rFonts w:ascii="宋体" w:hAnsi="宋体" w:cs="宋体" w:eastAsia="宋体" w:hint="default"/>
                <w:spacing w:val="-12"/>
                <w:sz w:val="18"/>
                <w:szCs w:val="18"/>
              </w:rPr>
              <w:t>项补贴（微波</w:t>
            </w:r>
            <w:r>
              <w:rPr>
                <w:rFonts w:ascii="宋体" w:hAnsi="宋体" w:cs="宋体" w:eastAsia="宋体" w:hint="default"/>
                <w:sz w:val="18"/>
                <w:szCs w:val="18"/>
              </w:rPr>
              <w:t> 射频子系统 生产项目）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118,010.72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安徽省军民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合肥市财政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56"/>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15,988.83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20,915.64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结合高技术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 </w:t>
            </w:r>
            <w:r>
              <w:rPr>
                <w:rFonts w:ascii="宋体" w:hAnsi="宋体" w:cs="宋体" w:eastAsia="宋体" w:hint="default"/>
                <w:sz w:val="18"/>
                <w:szCs w:val="18"/>
              </w:rPr>
              <w:t>政策</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仪器仪表设 备补助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合肥市财政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74,476.32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24,825.44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科技局仪器 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7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r>
              <w:rPr>
                <w:rFonts w:ascii="Times New Roman" w:hAnsi="Times New Roman" w:cs="Times New Roman" w:eastAsia="Times New Roman" w:hint="default"/>
                <w:sz w:val="18"/>
                <w:szCs w:val="18"/>
              </w:rPr>
              <w:t>/</w:t>
            </w:r>
            <w:r>
              <w:rPr>
                <w:rFonts w:ascii="宋体" w:hAnsi="宋体" w:cs="宋体" w:eastAsia="宋体" w:hint="default"/>
                <w:sz w:val="18"/>
                <w:szCs w:val="18"/>
              </w:rPr>
              <w:t>合肥市财 政国库支付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37,784.99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2"/>
              <w:jc w:val="left"/>
              <w:rPr>
                <w:rFonts w:ascii="宋体" w:hAnsi="宋体" w:cs="宋体" w:eastAsia="宋体" w:hint="default"/>
                <w:sz w:val="18"/>
                <w:szCs w:val="18"/>
              </w:rPr>
            </w:pPr>
            <w:r>
              <w:rPr>
                <w:rFonts w:ascii="宋体" w:hAnsi="宋体" w:cs="宋体" w:eastAsia="宋体" w:hint="default"/>
                <w:sz w:val="18"/>
                <w:szCs w:val="18"/>
              </w:rPr>
              <w:t>高新财政国 库支付中心 国防建设资 </w:t>
            </w:r>
            <w:r>
              <w:rPr>
                <w:rFonts w:ascii="宋体" w:hAnsi="宋体" w:cs="宋体" w:eastAsia="宋体" w:hint="default"/>
                <w:spacing w:val="-12"/>
                <w:sz w:val="18"/>
                <w:szCs w:val="18"/>
              </w:rPr>
              <w:t>金（高频微波</w:t>
            </w:r>
            <w:r>
              <w:rPr>
                <w:rFonts w:ascii="宋体" w:hAnsi="宋体" w:cs="宋体" w:eastAsia="宋体" w:hint="default"/>
                <w:sz w:val="18"/>
                <w:szCs w:val="18"/>
              </w:rPr>
              <w:t> 项目补贴）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高新区财政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44,287.34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年度军 民融合引导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56,801.99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科技金融贷 款风险补偿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区财务管理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科技局政策 配套项目专 项补贴款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18,765.76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 区制造业领 先示范企业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both"/>
              <w:rPr>
                <w:rFonts w:ascii="宋体" w:hAnsi="宋体" w:cs="宋体" w:eastAsia="宋体" w:hint="default"/>
                <w:sz w:val="18"/>
                <w:szCs w:val="18"/>
              </w:rPr>
            </w:pPr>
            <w:r>
              <w:rPr>
                <w:rFonts w:ascii="宋体" w:hAnsi="宋体" w:cs="宋体" w:eastAsia="宋体" w:hint="default"/>
                <w:sz w:val="18"/>
                <w:szCs w:val="18"/>
              </w:rPr>
              <w:t>宁夏经济信 息技术改革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 区新型工业 化发展资金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7"/>
              <w:jc w:val="left"/>
              <w:rPr>
                <w:rFonts w:ascii="宋体" w:hAnsi="宋体" w:cs="宋体" w:eastAsia="宋体" w:hint="default"/>
                <w:sz w:val="18"/>
                <w:szCs w:val="18"/>
              </w:rPr>
            </w:pPr>
            <w:r>
              <w:rPr>
                <w:rFonts w:ascii="宋体" w:hAnsi="宋体" w:cs="宋体" w:eastAsia="宋体" w:hint="default"/>
                <w:sz w:val="18"/>
                <w:szCs w:val="18"/>
              </w:rPr>
              <w:t>自治区财政 厅 自治区经 济和信息化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银川市工业 和信息化局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基础建设专 项补助资金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银川市工业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轨道交通供 电设备国家 地方联合工 程实验室创 新能力建设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宁夏经济信 息技术改革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年增产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万千伏安节 能型高速铁 路牵引变压 器扩产项目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宁夏发展改 革高新技术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166,666.68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银川市就业 与创业服务 局岗位技能 </w:t>
            </w:r>
            <w:r>
              <w:rPr>
                <w:rFonts w:ascii="宋体" w:hAnsi="宋体" w:cs="宋体" w:eastAsia="宋体" w:hint="default"/>
                <w:spacing w:val="-12"/>
                <w:sz w:val="18"/>
                <w:szCs w:val="18"/>
              </w:rPr>
              <w:t>提升培训、技</w:t>
            </w:r>
            <w:r>
              <w:rPr>
                <w:rFonts w:ascii="宋体" w:hAnsi="宋体" w:cs="宋体" w:eastAsia="宋体" w:hint="default"/>
                <w:sz w:val="18"/>
                <w:szCs w:val="18"/>
              </w:rPr>
              <w:t> 师培训财政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银川市就业 与创业服务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银川市兴庆 区科技企业 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中共银川市 委银川市人 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宁夏机械工 程学会技能 鉴定补贴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宁夏机械工 程学会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系根据宁经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银川市财政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56"/>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55,555.56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239998pt;margin-top:105.719986pt;width:52.65pt;height:374.95pt;mso-position-horizontal-relative:page;mso-position-vertical-relative:page;z-index:-1264264" coordorigin="2205,2114" coordsize="1053,7499">
            <v:group style="position:absolute;left:2205;top:2114;width:1053;height:4993" coordorigin="2205,2114" coordsize="1053,4993">
              <v:shape style="position:absolute;left:2205;top:2114;width:1053;height:4993" coordorigin="2205,2114" coordsize="1053,4993" path="m2205,7107l3257,7107,3257,2114,2205,2114,2205,7107xe" filled="true" fillcolor="#ffffff" stroked="false">
                <v:path arrowok="t"/>
                <v:fill type="solid"/>
              </v:shape>
            </v:group>
            <v:group style="position:absolute;left:2205;top:7116;width:1053;height:2497" coordorigin="2205,7116" coordsize="1053,2497">
              <v:shape style="position:absolute;left:2205;top:7116;width:1053;height:2497" coordorigin="2205,7116" coordsize="1053,2497" path="m2205,9613l3257,9613,3257,7116,2205,7116,2205,961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66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信技改发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431</w:t>
            </w:r>
          </w:p>
          <w:p>
            <w:pPr>
              <w:pStyle w:val="TableParagraph"/>
              <w:spacing w:line="316" w:lineRule="auto" w:before="63"/>
              <w:ind w:left="22" w:right="-47"/>
              <w:jc w:val="left"/>
              <w:rPr>
                <w:rFonts w:ascii="宋体" w:hAnsi="宋体" w:cs="宋体" w:eastAsia="宋体" w:hint="default"/>
                <w:sz w:val="18"/>
                <w:szCs w:val="18"/>
              </w:rPr>
            </w:pPr>
            <w:r>
              <w:rPr>
                <w:rFonts w:ascii="宋体" w:hAnsi="宋体" w:cs="宋体" w:eastAsia="宋体" w:hint="default"/>
                <w:sz w:val="18"/>
                <w:szCs w:val="18"/>
              </w:rPr>
              <w:t>号文件精神， 对年增产</w:t>
            </w:r>
          </w:p>
          <w:p>
            <w:pPr>
              <w:pStyle w:val="TableParagraph"/>
              <w:spacing w:line="312" w:lineRule="auto" w:before="1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万千伏 安节能型高 速铁路牵引 变压器扩产 项目的建设 进行补助，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 收到相关补 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摊销期自</w:t>
            </w:r>
          </w:p>
          <w:p>
            <w:pPr>
              <w:pStyle w:val="TableParagraph"/>
              <w:spacing w:line="300" w:lineRule="auto" w:before="22"/>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2012.7.31 </w:t>
            </w:r>
            <w:r>
              <w:rPr>
                <w:rFonts w:ascii="宋体" w:hAnsi="宋体" w:cs="宋体" w:eastAsia="宋体" w:hint="default"/>
                <w:sz w:val="18"/>
                <w:szCs w:val="18"/>
              </w:rPr>
              <w:t>至 </w:t>
            </w:r>
            <w:r>
              <w:rPr>
                <w:rFonts w:ascii="Times New Roman" w:hAnsi="Times New Roman" w:cs="Times New Roman" w:eastAsia="Times New Roman" w:hint="default"/>
                <w:spacing w:val="-13"/>
                <w:sz w:val="18"/>
                <w:szCs w:val="18"/>
              </w:rPr>
              <w:t>2024.7.30</w:t>
            </w:r>
            <w:r>
              <w:rPr>
                <w:rFonts w:ascii="宋体" w:hAnsi="宋体" w:cs="宋体" w:eastAsia="宋体" w:hint="default"/>
                <w:spacing w:val="-13"/>
                <w:sz w:val="18"/>
                <w:szCs w:val="18"/>
              </w:rPr>
              <w:t>，每</w:t>
            </w:r>
            <w:r>
              <w:rPr>
                <w:rFonts w:ascii="宋体" w:hAnsi="宋体" w:cs="宋体" w:eastAsia="宋体" w:hint="default"/>
                <w:spacing w:val="-71"/>
                <w:sz w:val="18"/>
                <w:szCs w:val="18"/>
              </w:rPr>
              <w:t> </w:t>
            </w:r>
            <w:r>
              <w:rPr>
                <w:rFonts w:ascii="宋体" w:hAnsi="宋体" w:cs="宋体" w:eastAsia="宋体" w:hint="default"/>
                <w:sz w:val="18"/>
                <w:szCs w:val="18"/>
              </w:rPr>
              <w:t>月摊销</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13888.89 </w:t>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国库支付中 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系根据宁发 改高技</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670</w:t>
            </w:r>
          </w:p>
          <w:p>
            <w:pPr>
              <w:pStyle w:val="TableParagraph"/>
              <w:spacing w:line="314" w:lineRule="auto" w:before="63"/>
              <w:ind w:left="22" w:right="-47"/>
              <w:jc w:val="left"/>
              <w:rPr>
                <w:rFonts w:ascii="宋体" w:hAnsi="宋体" w:cs="宋体" w:eastAsia="宋体" w:hint="default"/>
                <w:sz w:val="18"/>
                <w:szCs w:val="18"/>
              </w:rPr>
            </w:pPr>
            <w:r>
              <w:rPr>
                <w:rFonts w:ascii="宋体" w:hAnsi="宋体" w:cs="宋体" w:eastAsia="宋体" w:hint="default"/>
                <w:sz w:val="18"/>
                <w:szCs w:val="18"/>
              </w:rPr>
              <w:t>号文件精神， 对轨道交通 设备国家地 方联合工程 实验室创新 能力项目的 建设进行补 助，</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公司收到相 关补助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pacing w:val="-12"/>
                <w:sz w:val="18"/>
                <w:szCs w:val="18"/>
              </w:rPr>
              <w:t>万元。摊销期</w:t>
            </w:r>
            <w:r>
              <w:rPr>
                <w:rFonts w:ascii="宋体" w:hAnsi="宋体" w:cs="宋体" w:eastAsia="宋体" w:hint="default"/>
                <w:sz w:val="18"/>
                <w:szCs w:val="18"/>
              </w:rPr>
              <w:t> 限自</w:t>
            </w:r>
          </w:p>
          <w:p>
            <w:pPr>
              <w:pStyle w:val="TableParagraph"/>
              <w:spacing w:line="300" w:lineRule="auto" w:before="20"/>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2012.4.27 </w:t>
            </w:r>
            <w:r>
              <w:rPr>
                <w:rFonts w:ascii="宋体" w:hAnsi="宋体" w:cs="宋体" w:eastAsia="宋体" w:hint="default"/>
                <w:sz w:val="18"/>
                <w:szCs w:val="18"/>
              </w:rPr>
              <w:t>至 </w:t>
            </w:r>
            <w:r>
              <w:rPr>
                <w:rFonts w:ascii="Times New Roman" w:hAnsi="Times New Roman" w:cs="Times New Roman" w:eastAsia="Times New Roman" w:hint="default"/>
                <w:spacing w:val="-13"/>
                <w:sz w:val="18"/>
                <w:szCs w:val="18"/>
              </w:rPr>
              <w:t>2024.4.26</w:t>
            </w:r>
            <w:r>
              <w:rPr>
                <w:rFonts w:ascii="宋体" w:hAnsi="宋体" w:cs="宋体" w:eastAsia="宋体" w:hint="default"/>
                <w:spacing w:val="-13"/>
                <w:sz w:val="18"/>
                <w:szCs w:val="18"/>
              </w:rPr>
              <w:t>，每</w:t>
            </w:r>
            <w:r>
              <w:rPr>
                <w:rFonts w:ascii="宋体" w:hAnsi="宋体" w:cs="宋体" w:eastAsia="宋体" w:hint="default"/>
                <w:spacing w:val="-71"/>
                <w:sz w:val="18"/>
                <w:szCs w:val="18"/>
              </w:rPr>
              <w:t> </w:t>
            </w:r>
            <w:r>
              <w:rPr>
                <w:rFonts w:ascii="宋体" w:hAnsi="宋体" w:cs="宋体" w:eastAsia="宋体" w:hint="default"/>
                <w:sz w:val="18"/>
                <w:szCs w:val="18"/>
              </w:rPr>
              <w:t>月摊销</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10416.67 </w:t>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52.7pt;height:140.450pt;mso-position-horizontal-relative:char;mso-position-vertical-relative:line" coordorigin="0,0" coordsize="1054,2809">
                  <v:group style="position:absolute;left:0;top:0;width:1054;height:2809" coordorigin="0,0" coordsize="1054,2809">
                    <v:shape style="position:absolute;left:0;top:0;width:1054;height:2809" coordorigin="0,0" coordsize="1054,2809" path="m0,2808l1054,2808,1054,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41,666.68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系根据宁财</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（企）指标</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423</w:t>
            </w:r>
          </w:p>
          <w:p>
            <w:pPr>
              <w:pStyle w:val="TableParagraph"/>
              <w:spacing w:line="312" w:lineRule="auto" w:before="63"/>
              <w:ind w:left="22" w:right="22"/>
              <w:jc w:val="left"/>
              <w:rPr>
                <w:rFonts w:ascii="宋体" w:hAnsi="宋体" w:cs="宋体" w:eastAsia="宋体" w:hint="default"/>
                <w:sz w:val="18"/>
                <w:szCs w:val="18"/>
              </w:rPr>
            </w:pPr>
            <w:r>
              <w:rPr>
                <w:rFonts w:ascii="宋体" w:hAnsi="宋体" w:cs="宋体" w:eastAsia="宋体" w:hint="default"/>
                <w:spacing w:val="-12"/>
                <w:sz w:val="18"/>
                <w:szCs w:val="18"/>
              </w:rPr>
              <w:t>号，关于预拨</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基础条件建 </w:t>
            </w:r>
            <w:r>
              <w:rPr>
                <w:rFonts w:ascii="宋体" w:hAnsi="宋体" w:cs="宋体" w:eastAsia="宋体" w:hint="default"/>
                <w:spacing w:val="-12"/>
                <w:sz w:val="18"/>
                <w:szCs w:val="18"/>
              </w:rPr>
              <w:t>设计划（企业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1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group style="width:52.7pt;height:45.8pt;mso-position-horizontal-relative:char;mso-position-vertical-relative:line" coordorigin="0,0" coordsize="1054,916">
                  <v:group style="position:absolute;left:0;top:0;width:1054;height:916" coordorigin="0,0" coordsize="1054,916">
                    <v:shape style="position:absolute;left:0;top:0;width:1054;height:916" coordorigin="0,0" coordsize="1054,916" path="m0,916l1054,916,1054,0,0,0,0,916xe" filled="true" fillcolor="#ffffff" stroked="false">
                      <v:path arrowok="t"/>
                      <v:fill type="solid"/>
                    </v:shape>
                  </v:group>
                </v:group>
              </w:pict>
            </w:r>
            <w:r>
              <w:rPr>
                <w:rFonts w:ascii="Times New Roman" w:hAnsi="Times New Roman" w:cs="Times New Roman" w:eastAsia="Times New Roman" w:hint="default"/>
                <w:position w:val="-17"/>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2"/>
                <w:sz w:val="18"/>
                <w:szCs w:val="18"/>
              </w:rPr>
              <w:t>技术中心）专</w:t>
            </w:r>
            <w:r>
              <w:rPr>
                <w:rFonts w:ascii="宋体" w:hAnsi="宋体" w:cs="宋体" w:eastAsia="宋体" w:hint="default"/>
                <w:sz w:val="18"/>
                <w:szCs w:val="18"/>
              </w:rPr>
              <w:t>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自治区新型 工业化第二 批专项补助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收软件业务 收入达标奖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 盐县重点企 业技术创新 团队财政补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收海盐县科 学技术协会 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扣缴税款手 续费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17,736.84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4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 申请和授权 财政补助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项目财政奖 补资金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收盐科</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48</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号科技补助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left"/>
              <w:rPr>
                <w:rFonts w:ascii="宋体" w:hAnsi="宋体" w:cs="宋体" w:eastAsia="宋体" w:hint="default"/>
                <w:sz w:val="18"/>
                <w:szCs w:val="18"/>
              </w:rPr>
            </w:pPr>
            <w:r>
              <w:rPr>
                <w:rFonts w:ascii="宋体" w:hAnsi="宋体" w:cs="宋体" w:eastAsia="宋体" w:hint="default"/>
                <w:sz w:val="18"/>
                <w:szCs w:val="18"/>
              </w:rPr>
              <w:t>赴外引才补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4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促进经济转 型升级奖励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工业与信息 发展财政专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美丽厂区奖 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中国共产党 海盐县城镇 企业工作委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阵地建设示 范点奖励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中国共产党 海盐县城镇 企业工作委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收盐科</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号科技资助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 盐县核电关 联企业财政 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收盐科</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专利资助经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就业补助</w:t>
            </w:r>
          </w:p>
          <w:p>
            <w:pPr>
              <w:pStyle w:val="TableParagraph"/>
              <w:spacing w:line="312" w:lineRule="auto" w:before="75"/>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年江北 区稳增促调 专项资金补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宁波市财政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32,786,757.1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15,204,115.6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4832" w:firstLine="0"/>
        <w:jc w:val="left"/>
        <w:rPr>
          <w:rFonts w:ascii="宋体" w:hAnsi="宋体" w:cs="宋体" w:eastAsia="宋体" w:hint="default"/>
          <w:sz w:val="18"/>
          <w:szCs w:val="18"/>
        </w:rPr>
      </w:pPr>
      <w:r>
        <w:rPr>
          <w:rFonts w:ascii="宋体" w:hAnsi="宋体" w:cs="宋体" w:eastAsia="宋体" w:hint="default"/>
          <w:sz w:val="18"/>
          <w:szCs w:val="18"/>
        </w:rPr>
        <w:t>其他说明： 上述的政府补助与公司日常经营相关，根据准则要求，在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p>
      <w:pPr>
        <w:spacing w:line="240" w:lineRule="auto" w:before="6"/>
        <w:rPr>
          <w:rFonts w:ascii="宋体" w:hAnsi="宋体" w:cs="宋体" w:eastAsia="宋体" w:hint="default"/>
          <w:sz w:val="18"/>
          <w:szCs w:val="18"/>
        </w:rPr>
      </w:pPr>
    </w:p>
    <w:p>
      <w:pPr>
        <w:spacing w:before="0"/>
        <w:ind w:left="154" w:right="817" w:firstLine="0"/>
        <w:jc w:val="left"/>
        <w:rPr>
          <w:rFonts w:ascii="宋体" w:hAnsi="宋体" w:cs="宋体" w:eastAsia="宋体" w:hint="default"/>
          <w:sz w:val="21"/>
          <w:szCs w:val="21"/>
        </w:rPr>
      </w:pPr>
      <w:bookmarkStart w:name="42、营业外支出" w:id="322"/>
      <w:bookmarkEnd w:id="322"/>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612,100.76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112,951.90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97,440.25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76,291.06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97,440.25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420,392.15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688,391.82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420,392.15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3、所得税费用" w:id="323"/>
      <w:bookmarkEnd w:id="323"/>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所得税费用表"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54,275,046.06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24,608,331.23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-12,185,422.82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-5,369,416.15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42,089,623.24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19,238,915.08</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会计利润与所得税费用调整过程"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302,241,367.05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45,336,205.06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-655,835.64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1,198,198.12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-30,449.94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1,515,684.43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-76,152.87</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-410,668.55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-5,953,138.18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1,165,780.81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42,089,623.24</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5212" w:firstLine="0"/>
        <w:jc w:val="left"/>
        <w:rPr>
          <w:rFonts w:ascii="宋体" w:hAnsi="宋体" w:cs="宋体" w:eastAsia="宋体" w:hint="default"/>
          <w:sz w:val="21"/>
          <w:szCs w:val="21"/>
        </w:rPr>
      </w:pPr>
      <w:bookmarkStart w:name="44、其他综合收益" w:id="326"/>
      <w:bookmarkEnd w:id="326"/>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七、财务合并报表项目注释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“29</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45、现金流量表项目" w:id="327"/>
      <w:bookmarkEnd w:id="327"/>
      <w:r>
        <w:rPr>
          <w:rFonts w:ascii="宋体" w:hAnsi="宋体" w:cs="宋体" w:eastAsia="宋体" w:hint="default"/>
          <w:sz w:val="18"/>
          <w:szCs w:val="18"/>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5"/>
        <w:ind w:left="154" w:right="817" w:firstLine="0"/>
        <w:jc w:val="left"/>
        <w:rPr>
          <w:rFonts w:ascii="宋体" w:hAnsi="宋体" w:cs="宋体" w:eastAsia="宋体" w:hint="default"/>
          <w:sz w:val="21"/>
          <w:szCs w:val="21"/>
        </w:rPr>
      </w:pPr>
      <w:bookmarkStart w:name="（1）收到的其他与经营活动有关的现金"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收到的保证金、备用金款项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37,836,540.42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33,787,259.10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18,382,027.63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9,128,610.31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2,957,864.90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5,120,962.13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8,017,697.28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14,604,536.94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67,194,130.23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62,641,368.48</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支付的其他与经营活动有关的现金"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支付各项付现费用等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127,239,915.68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85,222,880.95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支付的保证金、备用金款项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59,676,653.32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23,263,447.00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17,512,935.14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4,809,846.97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204,429,504.14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113,296,174.92</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收到的其他与投资活动有关的现金"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4）支付的其他与投资活动有关的现金"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5）收到的其他与筹资活动有关的现金"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收到募资计划保证金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30,141,708.00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收到权益分派保证金及利息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1,000,552.01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收到投资者存款利息收入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1,173,018.18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32,315,278.19</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6）支付的其他与筹资活动有关的现金"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支付与发行股份相关的中介机构服务费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17,328,163.54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支付募资计划保证金退回投资方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96,146,795.48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支付权益分派保证金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支付金融机构借款保证金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支付筹资活动的金融机构手续费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114,490,055.08</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6、现金流量表补充资料" w:id="334"/>
      <w:bookmarkEnd w:id="334"/>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现金流量表补充资料"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260,151,743.81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137,813,797.44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47,784,899.24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6,255,455.05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63.929993pt;width:151.25pt;height:40.9pt;mso-position-horizontal-relative:page;mso-position-vertical-relative:page;z-index:-1264120" coordorigin="4467,5279" coordsize="3025,818">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28,849,199.53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15,337,492.42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6,110,034.12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2,322,114.49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356,105.29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381,587.37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19,514.66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-9,601.22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112,951.90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596,420.81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21,773,407.84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4,414,742.87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-10,047,089.34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-13,563,254.78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-2,138,333.48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15,915,584.82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-65,686,716.16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8,233,078.82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-356,810,574.56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80,832,978.19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106,782,307.25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38,498,420.41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37,257,450.10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297,028,816.69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269,739,210.50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521,318,266.70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521,318,266.70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438,224,045.13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-251,579,056.20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83,094,221.57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本期支付的取得子公司的现金净额"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本期收到的处置子公司的现金净额"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现金和现金等价物的构成"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269,739,210.50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521,318,266.70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178,413.66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232,543.06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237,560,796.84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521,085,723.64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269,739,210.50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521,318,266.70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7、所有者权益变动表项目注释" w:id="339"/>
      <w:bookmarkEnd w:id="339"/>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537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无</w:t>
      </w:r>
    </w:p>
    <w:p>
      <w:pPr>
        <w:spacing w:line="240" w:lineRule="auto" w:before="4"/>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48、所有权或使用权受到限制的资产" w:id="340"/>
      <w:bookmarkEnd w:id="340"/>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41,379,036.61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w:t>
            </w:r>
            <w:r>
              <w:rPr>
                <w:rFonts w:ascii="Times New Roman" w:hAnsi="Times New Roman" w:cs="Times New Roman" w:eastAsia="Times New Roman" w:hint="default"/>
                <w:sz w:val="18"/>
                <w:szCs w:val="18"/>
              </w:rPr>
              <w:t>\</w:t>
            </w:r>
            <w:r>
              <w:rPr>
                <w:rFonts w:ascii="宋体" w:hAnsi="宋体" w:cs="宋体" w:eastAsia="宋体" w:hint="default"/>
                <w:sz w:val="18"/>
                <w:szCs w:val="18"/>
              </w:rPr>
              <w:t>票据保证</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2,695,600.00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票据质押开具银行承兑汇票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106,336,675.73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46,891,915.76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197,303,228.10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9、外币货币性项目" w:id="341"/>
      <w:bookmarkEnd w:id="341"/>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外币货币性项目"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257,942.16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1,770,308.63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260,795.40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1,258,337.81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1,438,910.54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9,875,530.82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106,778.44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515,205.97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67,058.67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61,880.09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55,911.17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91,372.96</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259" w:lineRule="auto" w:before="0"/>
        <w:ind w:left="154" w:right="817" w:firstLine="0"/>
        <w:jc w:val="left"/>
        <w:rPr>
          <w:rFonts w:ascii="宋体" w:hAnsi="宋体" w:cs="宋体" w:eastAsia="宋体" w:hint="default"/>
          <w:sz w:val="21"/>
          <w:szCs w:val="21"/>
        </w:rPr>
      </w:pPr>
      <w:bookmarkStart w:name="（2）境外经营实体说明，包括对于重要的境外经营实体，应披露其境外主要经营地、记账"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2"/>
        <w:ind w:right="1152"/>
        <w:jc w:val="left"/>
      </w:pPr>
      <w:r>
        <w:rPr/>
        <w:t>子公司澳洲红相系注册于澳大利亚的有限公司，其主要经营地在澳大利亚，主要结算货币为 澳元，以澳元作为其记账本位币。</w:t>
      </w:r>
    </w:p>
    <w:p>
      <w:pPr>
        <w:spacing w:line="240" w:lineRule="auto" w:before="7"/>
        <w:rPr>
          <w:rFonts w:ascii="宋体" w:hAnsi="宋体" w:cs="宋体" w:eastAsia="宋体" w:hint="default"/>
          <w:sz w:val="22"/>
          <w:szCs w:val="22"/>
        </w:rPr>
      </w:pPr>
    </w:p>
    <w:p>
      <w:pPr>
        <w:spacing w:before="0"/>
        <w:ind w:left="154" w:right="817" w:firstLine="0"/>
        <w:jc w:val="left"/>
        <w:rPr>
          <w:rFonts w:ascii="宋体" w:hAnsi="宋体" w:cs="宋体" w:eastAsia="宋体" w:hint="default"/>
          <w:sz w:val="21"/>
          <w:szCs w:val="21"/>
        </w:rPr>
      </w:pPr>
      <w:bookmarkStart w:name="50、政府补助" w:id="344"/>
      <w:bookmarkEnd w:id="344"/>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政府补助基本情况"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政府补助（与资产相关）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14,578,586.94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639,016.91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政府补助（与收益相关）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32,147,740.19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32,147,740.19</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政府补助退回情况"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92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before="39"/>
        <w:ind w:left="154" w:right="817" w:firstLine="0"/>
        <w:jc w:val="left"/>
        <w:rPr>
          <w:rFonts w:ascii="宋体" w:hAnsi="宋体" w:cs="宋体" w:eastAsia="宋体" w:hint="default"/>
          <w:sz w:val="18"/>
          <w:szCs w:val="18"/>
        </w:rPr>
      </w:pPr>
      <w:r>
        <w:rPr>
          <w:rFonts w:ascii="宋体" w:hAnsi="宋体" w:cs="宋体" w:eastAsia="宋体" w:hint="default"/>
          <w:sz w:val="18"/>
          <w:szCs w:val="18"/>
        </w:rPr>
        <w:t>政府补助项目情况见本节之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七、合并财务报表项目注释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”26</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”41</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51、其他" w:id="347"/>
      <w:bookmarkEnd w:id="347"/>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817"/>
        <w:jc w:val="left"/>
        <w:rPr>
          <w:b w:val="0"/>
          <w:bCs w:val="0"/>
        </w:rPr>
      </w:pPr>
      <w:bookmarkStart w:name="八、合并范围的变更" w:id="348"/>
      <w:bookmarkEnd w:id="348"/>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其他原因的合并范围变动" w:id="349"/>
      <w:bookmarkEnd w:id="34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66"/>
        <w:ind w:right="817"/>
        <w:jc w:val="left"/>
      </w:pPr>
      <w:r>
        <w:rPr/>
        <w:t>新设子（孙）公司</w:t>
      </w:r>
    </w:p>
    <w:p>
      <w:pPr>
        <w:spacing w:line="240" w:lineRule="auto" w:before="9"/>
        <w:rPr>
          <w:rFonts w:ascii="宋体" w:hAnsi="宋体" w:cs="宋体" w:eastAsia="宋体" w:hint="default"/>
          <w:sz w:val="18"/>
          <w:szCs w:val="18"/>
        </w:rPr>
      </w:pPr>
    </w:p>
    <w:p>
      <w:pPr>
        <w:pStyle w:val="BodyText"/>
        <w:spacing w:line="312" w:lineRule="exact"/>
        <w:ind w:right="817"/>
        <w:jc w:val="left"/>
      </w:pPr>
      <w:r>
        <w:rPr/>
        <w:t>（</w:t>
      </w:r>
      <w:r>
        <w:rPr>
          <w:rFonts w:ascii="Times New Roman" w:hAnsi="Times New Roman" w:cs="Times New Roman" w:eastAsia="Times New Roman" w:hint="default"/>
        </w:rPr>
        <w:t>1</w:t>
      </w:r>
      <w:r>
        <w:rPr/>
        <w:t>）子公司涵普电力公司于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月份成立全资子公司涵普新能源公司，纳入本年度合并</w:t>
      </w:r>
      <w:r>
        <w:rPr>
          <w:spacing w:val="-114"/>
        </w:rPr>
        <w:t> </w:t>
      </w:r>
      <w:r>
        <w:rPr/>
        <w:t>范围。</w:t>
      </w:r>
    </w:p>
    <w:p>
      <w:pPr>
        <w:spacing w:line="240" w:lineRule="auto" w:before="7"/>
        <w:rPr>
          <w:rFonts w:ascii="宋体" w:hAnsi="宋体" w:cs="宋体" w:eastAsia="宋体" w:hint="default"/>
          <w:sz w:val="16"/>
          <w:szCs w:val="16"/>
        </w:rPr>
      </w:pPr>
    </w:p>
    <w:p>
      <w:pPr>
        <w:pStyle w:val="BodyText"/>
        <w:spacing w:line="312" w:lineRule="exact"/>
        <w:ind w:right="817"/>
        <w:jc w:val="left"/>
      </w:pPr>
      <w:r>
        <w:rPr>
          <w:spacing w:val="-5"/>
        </w:rPr>
        <w:t>（</w:t>
      </w:r>
      <w:r>
        <w:rPr>
          <w:rFonts w:ascii="Times New Roman" w:hAnsi="Times New Roman" w:cs="Times New Roman" w:eastAsia="Times New Roman" w:hint="default"/>
          <w:spacing w:val="-5"/>
        </w:rPr>
        <w:t>2</w:t>
      </w:r>
      <w:r>
        <w:rPr>
          <w:spacing w:val="-5"/>
        </w:rPr>
        <w:t>）子公司银川卧龙公司于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月份、</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3</w:t>
      </w:r>
      <w:r>
        <w:rPr>
          <w:spacing w:val="-5"/>
        </w:rPr>
        <w:t>月份分别设立全资子公司宁夏新能源公司、</w:t>
      </w:r>
      <w:r>
        <w:rPr>
          <w:spacing w:val="-87"/>
        </w:rPr>
        <w:t> </w:t>
      </w:r>
      <w:r>
        <w:rPr/>
        <w:t>宁夏银相公司，纳入本年度合并范围。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87" w:lineRule="auto" w:before="194"/>
        <w:ind w:left="154" w:right="7692" w:firstLine="0"/>
        <w:jc w:val="left"/>
        <w:rPr>
          <w:rFonts w:ascii="宋体" w:hAnsi="宋体" w:cs="宋体" w:eastAsia="宋体" w:hint="default"/>
          <w:sz w:val="21"/>
          <w:szCs w:val="21"/>
        </w:rPr>
      </w:pPr>
      <w:bookmarkStart w:name="2、其他" w:id="350"/>
      <w:bookmarkEnd w:id="3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51"/>
      <w:bookmarkEnd w:id="35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52"/>
      <w:bookmarkEnd w:id="35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3"/>
        <w:ind w:left="154" w:right="817" w:firstLine="0"/>
        <w:jc w:val="left"/>
        <w:rPr>
          <w:rFonts w:ascii="宋体" w:hAnsi="宋体" w:cs="宋体" w:eastAsia="宋体" w:hint="default"/>
          <w:sz w:val="21"/>
          <w:szCs w:val="21"/>
        </w:rPr>
      </w:pPr>
      <w:bookmarkStart w:name="（1）企业集团的构成"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澳大利亚墨尔本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澳大利亚墨尔本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计算机软件开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发、销售及技术 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软件开发；信息 系统集成服务； 数据处理和存储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涵普新能源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光伏发电设备安 装与销售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变压器生产及销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中宁新能源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宁夏中宁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宁夏中卫市中宁 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新能源开发、建 设、管理咨询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宁夏银相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电力工程总承包 及电力设施维修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本期新设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新能源开发、建 设、管理咨询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微波通信产品生 产及销售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微波通信产品生 产及销售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红寺堡新能源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宁夏吴忠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宁夏吴忠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风力、光伏发电 及新能源项目开 发、建设及管理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本期新设</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40" w:lineRule="auto" w:before="66"/>
        <w:ind w:right="817"/>
        <w:jc w:val="left"/>
      </w:pPr>
      <w:r>
        <w:rPr/>
        <w:t>红寺堡新能源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日设立，截至审计报告出具日尚未出资，也未实际开展经营活动。</w:t>
      </w:r>
    </w:p>
    <w:p>
      <w:pPr>
        <w:spacing w:line="240" w:lineRule="auto" w:before="3"/>
        <w:rPr>
          <w:rFonts w:ascii="宋体" w:hAnsi="宋体" w:cs="宋体" w:eastAsia="宋体" w:hint="default"/>
          <w:sz w:val="29"/>
          <w:szCs w:val="29"/>
        </w:rPr>
      </w:pPr>
    </w:p>
    <w:p>
      <w:pPr>
        <w:spacing w:line="357" w:lineRule="auto" w:before="0"/>
        <w:ind w:left="154" w:right="2832"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0"/>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2）重要的非全资子公司"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01"/>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14,921,730.38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13,142,835.24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75,702,354.77</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15,831,859.07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2,713,565.80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86,964,379.18</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54" w:right="817" w:firstLine="0"/>
        <w:jc w:val="left"/>
        <w:rPr>
          <w:rFonts w:ascii="宋体" w:hAnsi="宋体" w:cs="宋体" w:eastAsia="宋体" w:hint="default"/>
          <w:sz w:val="21"/>
          <w:szCs w:val="21"/>
        </w:rPr>
      </w:pPr>
      <w:bookmarkStart w:name="（3）重要非全资子公司的主要财务信息"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浙江涵 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180,191,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658.52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65,314,0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245,505,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726.85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90,737,2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63.06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2,221,23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92,958,5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183,573,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757.87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29,096,9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212,670,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727.84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62,259,0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2,365,65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64,624,7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41.54</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星波通 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233,496,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417.67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68,440,5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301,936,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917.76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36,114,7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89.54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6,550,08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42,664,8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209,258,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004.08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54,918,4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264,176,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40,575,7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5,094,37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45,670,1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67.71</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150,537,563.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15,079,104.8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15,079,104.8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20,415,562.8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144,098,115.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14,835,597.2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14,835,597.2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27,442,830.6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120,152,809.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33,293,851.7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33,293,851.7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2,590,435.66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73,125,221.0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8,642,788.18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8,642,788.18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14,494,669.1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5"/>
        <w:ind w:right="817"/>
        <w:jc w:val="left"/>
      </w:pPr>
      <w:r>
        <w:rPr/>
        <w:t>该项中净利润与综合收益总额填写金额为归属于母公司的净利润与综合收益总额。</w:t>
      </w:r>
    </w:p>
    <w:p>
      <w:pPr>
        <w:spacing w:line="240" w:lineRule="auto" w:before="9"/>
        <w:rPr>
          <w:rFonts w:ascii="宋体" w:hAnsi="宋体" w:cs="宋体" w:eastAsia="宋体" w:hint="default"/>
          <w:sz w:val="24"/>
          <w:szCs w:val="24"/>
        </w:rPr>
      </w:pPr>
    </w:p>
    <w:p>
      <w:pPr>
        <w:spacing w:before="0"/>
        <w:ind w:left="154" w:right="817" w:firstLine="0"/>
        <w:jc w:val="left"/>
        <w:rPr>
          <w:rFonts w:ascii="宋体" w:hAnsi="宋体" w:cs="宋体" w:eastAsia="宋体" w:hint="default"/>
          <w:sz w:val="21"/>
          <w:szCs w:val="21"/>
        </w:rPr>
      </w:pPr>
      <w:bookmarkStart w:name="（4）使用企业集团资产和清偿企业集团债务的重大限制"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5）向纳入合并财务报表范围的结构化主体提供的财务支持或其他支持"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在子公司的所有者权益份额发生变化且仍控制子公司的交易" w:id="358"/>
      <w:bookmarkEnd w:id="3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在子公司所有者权益份额发生变化的情况说明"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2）交易对于少数股东权益及归属于母公司所有者权益的影响"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3、在未纳入合并财务报表范围的结构化主体中的权益" w:id="361"/>
      <w:bookmarkEnd w:id="36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 无</w:t>
      </w:r>
    </w:p>
    <w:p>
      <w:pPr>
        <w:spacing w:line="240" w:lineRule="auto" w:before="2"/>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bookmarkStart w:name="4、其他" w:id="362"/>
      <w:bookmarkEnd w:id="3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363"/>
      <w:bookmarkEnd w:id="363"/>
      <w:r>
        <w:rPr>
          <w:b w:val="0"/>
          <w:bCs w:val="0"/>
        </w:rPr>
      </w:r>
      <w:r>
        <w:rPr/>
        <w:t>十、与金融工具相关的风险</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right="1129"/>
        <w:jc w:val="both"/>
      </w:pPr>
      <w:r>
        <w:rPr/>
        <w:t>本集团的主要金融工具包括货币资金、应收账款、应收票据、应收利息、应收股利、其他应 收款、其他流动资产、可供出售金融资产、应付账款、应付利息、应付票据、应付股利、其 他应付款、短期借款、一年内到期的非流动负债、长期借款。各项金融工具的详细情况已于 相关附注内披露。与这些金融工具有关的风险，以及本集团为降低这些风险所采取的风险管</w:t>
      </w:r>
      <w:r>
        <w:rPr>
          <w:spacing w:val="-109"/>
        </w:rPr>
        <w:t> </w:t>
      </w:r>
      <w:r>
        <w:rPr>
          <w:spacing w:val="-109"/>
        </w:rPr>
      </w:r>
      <w:r>
        <w:rPr/>
        <w:t>理政策如下所述。本集团管理层对这些风险敞口进行管理和监控以确保将上述风险控制在限</w:t>
      </w:r>
      <w:r>
        <w:rPr/>
        <w:t> 定的范围之内。</w:t>
      </w:r>
    </w:p>
    <w:p>
      <w:pPr>
        <w:pStyle w:val="BodyText"/>
        <w:spacing w:line="240" w:lineRule="auto" w:before="185"/>
        <w:ind w:right="0"/>
        <w:jc w:val="both"/>
      </w:pPr>
      <w:r>
        <w:rPr>
          <w:rFonts w:ascii="Times New Roman" w:hAnsi="Times New Roman" w:cs="Times New Roman" w:eastAsia="Times New Roman" w:hint="default"/>
        </w:rPr>
        <w:t>1</w:t>
      </w:r>
      <w:r>
        <w:rPr/>
        <w:t>、风险管理目标和政策</w:t>
      </w:r>
    </w:p>
    <w:p>
      <w:pPr>
        <w:pStyle w:val="BodyText"/>
        <w:spacing w:line="237" w:lineRule="auto" w:before="198"/>
        <w:ind w:right="1132"/>
        <w:jc w:val="both"/>
      </w:pPr>
      <w:r>
        <w:rPr/>
        <w:t>本集团从事风险管理的目标是在风险和收益之间取得适当的平衡，力求降低金融风险对本集 团财务业绩的不利影响。基于该风险管理目标，本集团已制定风险管理政策以辨别和分析本 集团所面临的风险，设定适当的风险可接受水平并设计相应的内部控制程序，以监控本集团 的风险水平。本集团会定期审阅这些风险管理政策及有关内部控制系统，以适应市场情况或 本集团经营活动的改变。本集团的内部审计部门也定期或随机检查内部控制系统的执行是否</w:t>
      </w:r>
      <w:r>
        <w:rPr>
          <w:spacing w:val="-112"/>
        </w:rPr>
        <w:t> </w:t>
      </w:r>
      <w:r>
        <w:rPr>
          <w:spacing w:val="-112"/>
        </w:rPr>
      </w:r>
      <w:r>
        <w:rPr/>
        <w:t>符合风险管理政策。</w:t>
      </w:r>
    </w:p>
    <w:p>
      <w:pPr>
        <w:spacing w:line="240" w:lineRule="auto" w:before="9"/>
        <w:rPr>
          <w:rFonts w:ascii="宋体" w:hAnsi="宋体" w:cs="宋体" w:eastAsia="宋体" w:hint="default"/>
          <w:sz w:val="18"/>
          <w:szCs w:val="18"/>
        </w:rPr>
      </w:pPr>
    </w:p>
    <w:p>
      <w:pPr>
        <w:pStyle w:val="BodyText"/>
        <w:spacing w:line="312" w:lineRule="exact"/>
        <w:ind w:right="817"/>
        <w:jc w:val="left"/>
      </w:pPr>
      <w:r>
        <w:rPr/>
        <w:t>本集团的金融工具导致的主要风险是信用风险、流动性风险、市场风险（包括利率风险、汇 率风险和商品价格风险）。</w:t>
      </w:r>
    </w:p>
    <w:p>
      <w:pPr>
        <w:spacing w:line="240" w:lineRule="auto" w:before="7"/>
        <w:rPr>
          <w:rFonts w:ascii="宋体" w:hAnsi="宋体" w:cs="宋体" w:eastAsia="宋体" w:hint="default"/>
          <w:sz w:val="16"/>
          <w:szCs w:val="16"/>
        </w:rPr>
      </w:pPr>
    </w:p>
    <w:p>
      <w:pPr>
        <w:pStyle w:val="BodyText"/>
        <w:spacing w:line="312" w:lineRule="exact"/>
        <w:ind w:right="994"/>
        <w:jc w:val="left"/>
      </w:pPr>
      <w:r>
        <w:rPr/>
        <w:t>董事会负责规划并建立本集团的风险管理架构，指定本集团的风险管理政策和相关指引并监 </w:t>
      </w:r>
      <w:r>
        <w:rPr>
          <w:spacing w:val="-2"/>
        </w:rPr>
        <w:t>督风险管理措施的执行情况。本集团已制定风险管理政策以识别和分析本集团所面临的风险，</w:t>
      </w:r>
      <w:r>
        <w:rPr/>
        <w:t> 这些风险管理政策对特定风险进行了明确规定，涵盖了信用风险、流动性风险和市场风险管 理等诸多方面。本集团定期评估市场环境及本集团经营活动的变化以决定是否对风险管理政 策及系统进行更新。本集团的风险管理由风险管理委员会按照董事会批准的政策开展。风险</w:t>
      </w:r>
      <w:r>
        <w:rPr>
          <w:spacing w:val="-115"/>
        </w:rPr>
        <w:t> </w:t>
      </w:r>
      <w:r>
        <w:rPr>
          <w:spacing w:val="-115"/>
        </w:rPr>
      </w:r>
      <w:r>
        <w:rPr/>
        <w:t>管理委员会通过与本集团其他业务部门的紧密合作来识别、评价和规避相关风险。本集团内 </w:t>
      </w:r>
      <w:r>
        <w:rPr>
          <w:spacing w:val="-2"/>
        </w:rPr>
        <w:t>部审计部门就风险管理控制及程序进行定期的审核，并将审核结果上报本集团的审计委员会。</w:t>
      </w:r>
    </w:p>
    <w:p>
      <w:pPr>
        <w:pStyle w:val="BodyText"/>
        <w:spacing w:line="312" w:lineRule="exact" w:before="216"/>
        <w:ind w:right="817"/>
        <w:jc w:val="left"/>
      </w:pPr>
      <w:r>
        <w:rPr/>
        <w:t>本集团通过适当的多样化投资及业务组合来分散金融工具风险，并通过制定相应的风险管理 政策减少集中于任何单一行业、特定地区或特定交易对手方的风险。</w:t>
      </w:r>
    </w:p>
    <w:p>
      <w:pPr>
        <w:pStyle w:val="BodyText"/>
        <w:spacing w:line="381" w:lineRule="auto" w:before="185"/>
        <w:ind w:right="2112"/>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w:t>
      </w:r>
    </w:p>
    <w:p>
      <w:pPr>
        <w:spacing w:after="0" w:line="381"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本集团对信用风险按组合分类进行管理。信用风险主要产生于银行存款和应收款项等。</w:t>
      </w:r>
    </w:p>
    <w:p>
      <w:pPr>
        <w:spacing w:line="240" w:lineRule="auto" w:before="9"/>
        <w:rPr>
          <w:rFonts w:ascii="宋体" w:hAnsi="宋体" w:cs="宋体" w:eastAsia="宋体" w:hint="default"/>
          <w:sz w:val="18"/>
          <w:szCs w:val="18"/>
        </w:rPr>
      </w:pPr>
    </w:p>
    <w:p>
      <w:pPr>
        <w:pStyle w:val="BodyText"/>
        <w:spacing w:line="312" w:lineRule="exact"/>
        <w:ind w:right="817"/>
        <w:jc w:val="left"/>
      </w:pPr>
      <w:r>
        <w:rPr/>
        <w:t>本集团银行存款主要存放于国有银行和其它大中型上市银行，本集团预期银行存款不存在重</w:t>
      </w:r>
      <w:r>
        <w:rPr>
          <w:spacing w:val="-116"/>
        </w:rPr>
        <w:t> </w:t>
      </w:r>
      <w:r>
        <w:rPr>
          <w:spacing w:val="-116"/>
        </w:rPr>
      </w:r>
      <w:r>
        <w:rPr/>
        <w:t>大的信用风险。</w:t>
      </w:r>
    </w:p>
    <w:p>
      <w:pPr>
        <w:spacing w:line="240" w:lineRule="auto" w:before="7"/>
        <w:rPr>
          <w:rFonts w:ascii="宋体" w:hAnsi="宋体" w:cs="宋体" w:eastAsia="宋体" w:hint="default"/>
          <w:sz w:val="16"/>
          <w:szCs w:val="16"/>
        </w:rPr>
      </w:pPr>
    </w:p>
    <w:p>
      <w:pPr>
        <w:pStyle w:val="BodyText"/>
        <w:spacing w:line="312" w:lineRule="exact"/>
        <w:ind w:right="994"/>
        <w:jc w:val="left"/>
      </w:pPr>
      <w:r>
        <w:rPr>
          <w:spacing w:val="-2"/>
        </w:rPr>
        <w:t>对于应收款项，本集团设定相关政策以控制信用风险敞口。本集团基于对债务人的财务状况、</w:t>
      </w:r>
      <w:r>
        <w:rPr/>
        <w:t> 外部评级、从第三方获取担保的可能性、信用记录及其它因素诸如目前市场状况等评估债务 人的信用资质并设置相应欠款额度与信用期限。本集团已采取政策只与信用良好的交易对手 方合作并在有必要时获取足够的抵押品，以此缓解因交易对手方未能履行合同义务而产生财 务损失的风险。本集团会定期对债务人信用记录进行监控，对于信用记录不良的债务人，本 集团会采用书面催款、缩短信用期或取消信用期等方式，以确保本集团的整体信用风险在可</w:t>
      </w:r>
      <w:r>
        <w:rPr>
          <w:spacing w:val="-117"/>
        </w:rPr>
        <w:t> </w:t>
      </w:r>
      <w:r>
        <w:rPr>
          <w:spacing w:val="-117"/>
        </w:rPr>
      </w:r>
      <w:r>
        <w:rPr/>
        <w:t>控的范围内。</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本集团应收账款的债务人为分布于不同行业和地区的客户。本集团持续对应收账款的财务状 况实施信用评估，并在适当时购买信用担保保险。</w:t>
      </w:r>
    </w:p>
    <w:p>
      <w:pPr>
        <w:spacing w:line="240" w:lineRule="auto" w:before="7"/>
        <w:rPr>
          <w:rFonts w:ascii="宋体" w:hAnsi="宋体" w:cs="宋体" w:eastAsia="宋体" w:hint="default"/>
          <w:sz w:val="16"/>
          <w:szCs w:val="16"/>
        </w:rPr>
      </w:pPr>
    </w:p>
    <w:p>
      <w:pPr>
        <w:pStyle w:val="BodyText"/>
        <w:spacing w:line="312" w:lineRule="exact"/>
        <w:ind w:right="1132"/>
        <w:jc w:val="both"/>
      </w:pPr>
      <w:r>
        <w:rPr/>
        <w:t>本集团所承受的最大信用风险敞口为资产负债表中每项金融资产的账面金额。本集团没有提 供任何其他可能令本集团承受信用风险的担保。</w:t>
      </w:r>
    </w:p>
    <w:p>
      <w:pPr>
        <w:pStyle w:val="BodyText"/>
        <w:spacing w:line="312" w:lineRule="exact" w:before="216"/>
        <w:ind w:right="1132"/>
        <w:jc w:val="both"/>
      </w:pPr>
      <w:r>
        <w:rPr/>
        <w:t>本集团应收账款中，欠款金额前五大客户的应收账款占本集团应收账款总额的</w:t>
      </w:r>
      <w:r>
        <w:rPr>
          <w:rFonts w:ascii="Times New Roman" w:hAnsi="Times New Roman" w:cs="Times New Roman" w:eastAsia="Times New Roman" w:hint="default"/>
        </w:rPr>
        <w:t>27.46%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6"/>
        </w:rPr>
        <w:t> </w:t>
      </w:r>
      <w:r>
        <w:rPr/>
        <w:t>年：</w:t>
      </w:r>
      <w:r>
        <w:rPr>
          <w:rFonts w:ascii="Times New Roman" w:hAnsi="Times New Roman" w:cs="Times New Roman" w:eastAsia="Times New Roman" w:hint="default"/>
        </w:rPr>
        <w:t>21.70%</w:t>
      </w:r>
      <w:r>
        <w:rPr/>
        <w:t>）；本集团其他应收款中，欠款金额前五大公司的其他应收款占本集团其他应收 款总额的</w:t>
      </w:r>
      <w:r>
        <w:rPr>
          <w:rFonts w:ascii="Times New Roman" w:hAnsi="Times New Roman" w:cs="Times New Roman" w:eastAsia="Times New Roman" w:hint="default"/>
        </w:rPr>
        <w:t>38.19%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30.30%</w:t>
      </w:r>
      <w:r>
        <w:rPr/>
        <w:t>）。</w:t>
      </w:r>
    </w:p>
    <w:p>
      <w:pPr>
        <w:pStyle w:val="BodyText"/>
        <w:spacing w:line="240" w:lineRule="auto" w:before="185"/>
        <w:ind w:right="0"/>
        <w:jc w:val="both"/>
      </w:pPr>
      <w:r>
        <w:rPr/>
        <w:t>（</w:t>
      </w:r>
      <w:r>
        <w:rPr>
          <w:rFonts w:ascii="Times New Roman" w:hAnsi="Times New Roman" w:cs="Times New Roman" w:eastAsia="Times New Roman" w:hint="default"/>
        </w:rPr>
        <w:t>2</w:t>
      </w:r>
      <w:r>
        <w:rPr/>
        <w:t>）流动性风险</w:t>
      </w:r>
    </w:p>
    <w:p>
      <w:pPr>
        <w:spacing w:line="240" w:lineRule="auto" w:before="4"/>
        <w:rPr>
          <w:rFonts w:ascii="宋体" w:hAnsi="宋体" w:cs="宋体" w:eastAsia="宋体" w:hint="default"/>
          <w:sz w:val="17"/>
          <w:szCs w:val="17"/>
        </w:rPr>
      </w:pPr>
    </w:p>
    <w:p>
      <w:pPr>
        <w:pStyle w:val="BodyText"/>
        <w:spacing w:line="312" w:lineRule="exact"/>
        <w:ind w:right="1139"/>
        <w:jc w:val="both"/>
      </w:pPr>
      <w:r>
        <w:rPr/>
        <w:t>流动性风险，是指本集团在履行以交付现金或其他金融资产的方式结算的义务时发生资金短 缺的风险。</w:t>
      </w:r>
    </w:p>
    <w:p>
      <w:pPr>
        <w:pStyle w:val="BodyText"/>
        <w:spacing w:line="312" w:lineRule="exact" w:before="216"/>
        <w:ind w:right="1131"/>
        <w:jc w:val="both"/>
      </w:pPr>
      <w:r>
        <w:rPr/>
        <w:t>管理流动风险时，本集团保持管理层认为充分的现金及现金等价物并对其进行监控，以满足 本集团经营需要，并降低现金流量波动的影响。本集团管理层对银行借款的使用情况进行监 控并确保遵守借款协议。同时从主要金融机构获得提供足够备用资金的承诺，以满足短期和 长期的资金需求。</w:t>
      </w:r>
    </w:p>
    <w:p>
      <w:pPr>
        <w:pStyle w:val="BodyText"/>
        <w:spacing w:line="312" w:lineRule="exact" w:before="216"/>
        <w:ind w:right="817"/>
        <w:jc w:val="left"/>
      </w:pPr>
      <w:r>
        <w:rPr/>
        <w:t>本集团通过经营业务产生的资金及银行及其他借款来筹措营运资金。于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w:t>
      </w:r>
      <w:r>
        <w:rPr>
          <w:spacing w:val="-107"/>
        </w:rPr>
        <w:t> </w:t>
      </w:r>
      <w:r>
        <w:rPr>
          <w:spacing w:val="-107"/>
        </w:rPr>
      </w:r>
      <w:r>
        <w:rPr>
          <w:spacing w:val="-2"/>
        </w:rPr>
        <w:t>集团尚未使用的银行授信额度为人民币</w:t>
      </w:r>
      <w:r>
        <w:rPr>
          <w:rFonts w:ascii="Times New Roman" w:hAnsi="Times New Roman" w:cs="Times New Roman" w:eastAsia="Times New Roman" w:hint="default"/>
          <w:spacing w:val="-2"/>
        </w:rPr>
        <w:t>31,911.45</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2000</w:t>
      </w:r>
      <w:r>
        <w:rPr>
          <w:spacing w:val="-2"/>
        </w:rPr>
        <w:t>万元）。</w:t>
      </w:r>
    </w:p>
    <w:p>
      <w:pPr>
        <w:pStyle w:val="BodyText"/>
        <w:spacing w:line="312" w:lineRule="exact" w:before="216"/>
        <w:ind w:right="1139"/>
        <w:jc w:val="both"/>
      </w:pPr>
      <w:r>
        <w:rPr/>
        <w:t>期末本集团持有的金融负债按未折现剩余合同现金流量的到期期限分析如下（单位：人民币 万元）：</w:t>
      </w:r>
    </w:p>
    <w:p>
      <w:pPr>
        <w:spacing w:line="240" w:lineRule="auto" w:before="2"/>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3483"/>
        <w:gridCol w:w="2822"/>
        <w:gridCol w:w="1708"/>
        <w:gridCol w:w="1283"/>
      </w:tblGrid>
      <w:tr>
        <w:trPr>
          <w:trHeight w:val="349" w:hRule="exact"/>
        </w:trPr>
        <w:tc>
          <w:tcPr>
            <w:tcW w:w="9296" w:type="dxa"/>
            <w:gridSpan w:val="4"/>
            <w:tcBorders>
              <w:top w:val="single" w:sz="6" w:space="0" w:color="000000"/>
              <w:left w:val="nil" w:sz="6" w:space="0" w:color="auto"/>
              <w:bottom w:val="single" w:sz="8" w:space="0" w:color="000000"/>
              <w:right w:val="nil" w:sz="6" w:space="0" w:color="auto"/>
            </w:tcBorders>
          </w:tcPr>
          <w:p>
            <w:pPr>
              <w:pStyle w:val="TableParagraph"/>
              <w:spacing w:line="286" w:lineRule="exact"/>
              <w:ind w:left="5974"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347"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20"/>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822"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559"/>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年以内</w:t>
            </w:r>
            <w:r>
              <w:rPr>
                <w:rFonts w:ascii="宋体" w:hAnsi="宋体" w:cs="宋体" w:eastAsia="宋体" w:hint="default"/>
                <w:sz w:val="24"/>
                <w:szCs w:val="24"/>
              </w:rPr>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561"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年</w:t>
            </w:r>
            <w:r>
              <w:rPr>
                <w:rFonts w:ascii="宋体" w:hAnsi="宋体" w:cs="宋体" w:eastAsia="宋体" w:hint="default"/>
                <w:sz w:val="24"/>
                <w:szCs w:val="24"/>
              </w:rPr>
            </w:r>
          </w:p>
        </w:tc>
        <w:tc>
          <w:tcPr>
            <w:tcW w:w="1283" w:type="dxa"/>
            <w:tcBorders>
              <w:top w:val="single" w:sz="8" w:space="0" w:color="000000"/>
              <w:left w:val="nil" w:sz="6" w:space="0" w:color="auto"/>
              <w:bottom w:val="single" w:sz="8" w:space="0" w:color="000000"/>
              <w:right w:val="nil" w:sz="6" w:space="0" w:color="auto"/>
            </w:tcBorders>
          </w:tcPr>
          <w:p>
            <w:pPr>
              <w:pStyle w:val="TableParagraph"/>
              <w:tabs>
                <w:tab w:pos="445" w:val="left" w:leader="none"/>
              </w:tabs>
              <w:spacing w:line="281" w:lineRule="exact"/>
              <w:ind w:right="11"/>
              <w:jc w:val="right"/>
              <w:rPr>
                <w:rFonts w:ascii="宋体" w:hAnsi="宋体" w:cs="宋体" w:eastAsia="宋体" w:hint="default"/>
                <w:sz w:val="24"/>
                <w:szCs w:val="24"/>
              </w:rPr>
            </w:pPr>
            <w:r>
              <w:rPr>
                <w:rFonts w:ascii="宋体" w:hAnsi="宋体" w:cs="宋体" w:eastAsia="宋体" w:hint="default"/>
                <w:b/>
                <w:bCs/>
                <w:w w:val="95"/>
                <w:sz w:val="24"/>
                <w:szCs w:val="24"/>
              </w:rPr>
              <w:t>合</w:t>
              <w:tab/>
              <w:t>计</w:t>
            </w:r>
            <w:r>
              <w:rPr>
                <w:rFonts w:ascii="宋体" w:hAnsi="宋体" w:cs="宋体" w:eastAsia="宋体" w:hint="default"/>
                <w:sz w:val="24"/>
                <w:szCs w:val="24"/>
              </w:rPr>
            </w:r>
          </w:p>
        </w:tc>
      </w:tr>
      <w:tr>
        <w:trPr>
          <w:trHeight w:val="347"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822" w:type="dxa"/>
            <w:tcBorders>
              <w:top w:val="single" w:sz="8" w:space="0" w:color="000000"/>
              <w:left w:val="nil" w:sz="6" w:space="0" w:color="auto"/>
              <w:bottom w:val="single" w:sz="8" w:space="0" w:color="000000"/>
              <w:right w:val="nil" w:sz="6" w:space="0" w:color="auto"/>
            </w:tcBorders>
          </w:tcPr>
          <w:p>
            <w:pP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82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43,544.58</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43,544.58</w:t>
            </w:r>
          </w:p>
        </w:tc>
      </w:tr>
      <w:tr>
        <w:trPr>
          <w:trHeight w:val="347"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应付票据、应付账款</w:t>
            </w:r>
          </w:p>
        </w:tc>
        <w:tc>
          <w:tcPr>
            <w:tcW w:w="282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560"/>
              <w:jc w:val="right"/>
              <w:rPr>
                <w:rFonts w:ascii="Times New Roman" w:hAnsi="Times New Roman" w:cs="Times New Roman" w:eastAsia="Times New Roman" w:hint="default"/>
                <w:sz w:val="24"/>
                <w:szCs w:val="24"/>
              </w:rPr>
            </w:pPr>
            <w:r>
              <w:rPr>
                <w:rFonts w:ascii="Times New Roman"/>
                <w:sz w:val="24"/>
              </w:rPr>
              <w:t>40,393.66</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8"/>
              <w:jc w:val="right"/>
              <w:rPr>
                <w:rFonts w:ascii="Times New Roman" w:hAnsi="Times New Roman" w:cs="Times New Roman" w:eastAsia="Times New Roman" w:hint="default"/>
                <w:sz w:val="24"/>
                <w:szCs w:val="24"/>
              </w:rPr>
            </w:pPr>
            <w:r>
              <w:rPr>
                <w:rFonts w:ascii="Times New Roman"/>
                <w:sz w:val="24"/>
              </w:rPr>
              <w:t>40,393.66</w:t>
            </w:r>
          </w:p>
        </w:tc>
      </w:tr>
      <w:tr>
        <w:trPr>
          <w:trHeight w:val="347"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82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90.70</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90.70</w:t>
            </w:r>
          </w:p>
        </w:tc>
      </w:tr>
      <w:tr>
        <w:trPr>
          <w:trHeight w:val="347"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282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1,799.46</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1,799.46</w:t>
            </w:r>
          </w:p>
        </w:tc>
      </w:tr>
      <w:tr>
        <w:trPr>
          <w:trHeight w:val="348" w:hRule="exact"/>
        </w:trPr>
        <w:tc>
          <w:tcPr>
            <w:tcW w:w="348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82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1,778.52</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1,778.52</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39"/>
        <w:gridCol w:w="2382"/>
        <w:gridCol w:w="1711"/>
        <w:gridCol w:w="1480"/>
        <w:gridCol w:w="388"/>
      </w:tblGrid>
      <w:tr>
        <w:trPr>
          <w:trHeight w:val="335" w:hRule="exact"/>
        </w:trPr>
        <w:tc>
          <w:tcPr>
            <w:tcW w:w="3739" w:type="dxa"/>
            <w:tcBorders>
              <w:top w:val="single" w:sz="6" w:space="0" w:color="000000"/>
              <w:left w:val="nil" w:sz="6" w:space="0" w:color="auto"/>
              <w:bottom w:val="single" w:sz="6" w:space="0" w:color="000000"/>
              <w:right w:val="nil" w:sz="6" w:space="0" w:color="auto"/>
            </w:tcBorders>
          </w:tcPr>
          <w:p>
            <w:pPr/>
          </w:p>
        </w:tc>
        <w:tc>
          <w:tcPr>
            <w:tcW w:w="2382" w:type="dxa"/>
            <w:tcBorders>
              <w:top w:val="single" w:sz="6" w:space="0" w:color="000000"/>
              <w:left w:val="nil" w:sz="6" w:space="0" w:color="auto"/>
              <w:bottom w:val="single" w:sz="6" w:space="0" w:color="000000"/>
              <w:right w:val="nil" w:sz="6" w:space="0" w:color="auto"/>
            </w:tcBorders>
          </w:tcPr>
          <w:p>
            <w:pPr/>
          </w:p>
        </w:tc>
        <w:tc>
          <w:tcPr>
            <w:tcW w:w="1711" w:type="dxa"/>
            <w:tcBorders>
              <w:top w:val="single" w:sz="6" w:space="0" w:color="000000"/>
              <w:left w:val="nil" w:sz="6" w:space="0" w:color="auto"/>
              <w:bottom w:val="single" w:sz="6" w:space="0" w:color="000000"/>
              <w:right w:val="nil" w:sz="6" w:space="0" w:color="auto"/>
            </w:tcBorders>
          </w:tcPr>
          <w:p>
            <w:pPr/>
          </w:p>
        </w:tc>
        <w:tc>
          <w:tcPr>
            <w:tcW w:w="1480" w:type="dxa"/>
            <w:tcBorders>
              <w:top w:val="single" w:sz="6" w:space="0" w:color="000000"/>
              <w:left w:val="nil" w:sz="6" w:space="0" w:color="auto"/>
              <w:bottom w:val="single" w:sz="6" w:space="0" w:color="000000"/>
              <w:right w:val="nil" w:sz="6" w:space="0" w:color="auto"/>
            </w:tcBorders>
          </w:tcPr>
          <w:p>
            <w:pPr/>
          </w:p>
        </w:tc>
        <w:tc>
          <w:tcPr>
            <w:tcW w:w="388" w:type="dxa"/>
            <w:tcBorders>
              <w:top w:val="single" w:sz="6" w:space="0" w:color="000000"/>
              <w:left w:val="nil" w:sz="6" w:space="0" w:color="auto"/>
              <w:bottom w:val="nil" w:sz="6" w:space="0" w:color="auto"/>
              <w:right w:val="nil" w:sz="6" w:space="0" w:color="auto"/>
            </w:tcBorders>
          </w:tcPr>
          <w:p>
            <w:pPr/>
          </w:p>
        </w:tc>
      </w:tr>
      <w:tr>
        <w:trPr>
          <w:trHeight w:val="349" w:hRule="exact"/>
        </w:trPr>
        <w:tc>
          <w:tcPr>
            <w:tcW w:w="3739"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2382" w:type="dxa"/>
            <w:tcBorders>
              <w:top w:val="single" w:sz="6" w:space="0" w:color="000000"/>
              <w:left w:val="nil" w:sz="6" w:space="0" w:color="auto"/>
              <w:bottom w:val="single" w:sz="8" w:space="0" w:color="000000"/>
              <w:right w:val="nil" w:sz="6" w:space="0" w:color="auto"/>
            </w:tcBorders>
          </w:tcPr>
          <w:p>
            <w:pPr>
              <w:pStyle w:val="TableParagraph"/>
              <w:spacing w:line="240" w:lineRule="auto" w:before="28"/>
              <w:ind w:right="360"/>
              <w:jc w:val="right"/>
              <w:rPr>
                <w:rFonts w:ascii="Times New Roman" w:hAnsi="Times New Roman" w:cs="Times New Roman" w:eastAsia="Times New Roman" w:hint="default"/>
                <w:sz w:val="24"/>
                <w:szCs w:val="24"/>
              </w:rPr>
            </w:pPr>
            <w:r>
              <w:rPr>
                <w:rFonts w:ascii="Times New Roman"/>
                <w:sz w:val="24"/>
              </w:rPr>
              <w:t>12,293.27</w:t>
            </w:r>
          </w:p>
        </w:tc>
        <w:tc>
          <w:tcPr>
            <w:tcW w:w="1711" w:type="dxa"/>
            <w:tcBorders>
              <w:top w:val="single" w:sz="6" w:space="0" w:color="000000"/>
              <w:left w:val="nil" w:sz="6" w:space="0" w:color="auto"/>
              <w:bottom w:val="single" w:sz="8" w:space="0" w:color="000000"/>
              <w:right w:val="nil" w:sz="6" w:space="0" w:color="auto"/>
            </w:tcBorders>
          </w:tcPr>
          <w:p>
            <w:pPr/>
          </w:p>
        </w:tc>
        <w:tc>
          <w:tcPr>
            <w:tcW w:w="1480" w:type="dxa"/>
            <w:tcBorders>
              <w:top w:val="single" w:sz="6" w:space="0" w:color="000000"/>
              <w:left w:val="nil" w:sz="6" w:space="0" w:color="auto"/>
              <w:bottom w:val="single" w:sz="8" w:space="0" w:color="000000"/>
              <w:right w:val="nil" w:sz="6" w:space="0" w:color="auto"/>
            </w:tcBorders>
          </w:tcPr>
          <w:p>
            <w:pPr>
              <w:pStyle w:val="TableParagraph"/>
              <w:spacing w:line="240" w:lineRule="auto" w:before="28"/>
              <w:ind w:right="8"/>
              <w:jc w:val="right"/>
              <w:rPr>
                <w:rFonts w:ascii="Times New Roman" w:hAnsi="Times New Roman" w:cs="Times New Roman" w:eastAsia="Times New Roman" w:hint="default"/>
                <w:sz w:val="24"/>
                <w:szCs w:val="24"/>
              </w:rPr>
            </w:pPr>
            <w:r>
              <w:rPr>
                <w:rFonts w:ascii="Times New Roman"/>
                <w:sz w:val="24"/>
              </w:rPr>
              <w:t>12,293.27</w:t>
            </w:r>
          </w:p>
        </w:tc>
        <w:tc>
          <w:tcPr>
            <w:tcW w:w="388" w:type="dxa"/>
            <w:tcBorders>
              <w:top w:val="nil" w:sz="6" w:space="0" w:color="auto"/>
              <w:left w:val="nil" w:sz="6" w:space="0" w:color="auto"/>
              <w:bottom w:val="nil" w:sz="6" w:space="0" w:color="auto"/>
              <w:right w:val="nil" w:sz="6" w:space="0" w:color="auto"/>
            </w:tcBorders>
          </w:tcPr>
          <w:p>
            <w:pPr/>
          </w:p>
        </w:tc>
      </w:tr>
      <w:tr>
        <w:trPr>
          <w:trHeight w:val="347" w:hRule="exact"/>
        </w:trPr>
        <w:tc>
          <w:tcPr>
            <w:tcW w:w="373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382" w:type="dxa"/>
            <w:tcBorders>
              <w:top w:val="single" w:sz="8" w:space="0" w:color="000000"/>
              <w:left w:val="nil" w:sz="6" w:space="0" w:color="auto"/>
              <w:bottom w:val="single" w:sz="8" w:space="0" w:color="000000"/>
              <w:right w:val="nil" w:sz="6" w:space="0" w:color="auto"/>
            </w:tcBorders>
          </w:tcPr>
          <w:p>
            <w:pPr/>
          </w:p>
        </w:tc>
        <w:tc>
          <w:tcPr>
            <w:tcW w:w="171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4"/>
              <w:jc w:val="center"/>
              <w:rPr>
                <w:rFonts w:ascii="Times New Roman" w:hAnsi="Times New Roman" w:cs="Times New Roman" w:eastAsia="Times New Roman" w:hint="default"/>
                <w:sz w:val="24"/>
                <w:szCs w:val="24"/>
              </w:rPr>
            </w:pPr>
            <w:r>
              <w:rPr>
                <w:rFonts w:ascii="Times New Roman"/>
                <w:sz w:val="24"/>
              </w:rPr>
              <w:t>22,721.87</w:t>
            </w:r>
          </w:p>
        </w:tc>
        <w:tc>
          <w:tcPr>
            <w:tcW w:w="148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22,721.87</w:t>
            </w:r>
          </w:p>
        </w:tc>
        <w:tc>
          <w:tcPr>
            <w:tcW w:w="388" w:type="dxa"/>
            <w:tcBorders>
              <w:top w:val="nil" w:sz="6" w:space="0" w:color="auto"/>
              <w:left w:val="nil" w:sz="6" w:space="0" w:color="auto"/>
              <w:bottom w:val="nil" w:sz="6" w:space="0" w:color="auto"/>
              <w:right w:val="nil" w:sz="6" w:space="0" w:color="auto"/>
            </w:tcBorders>
          </w:tcPr>
          <w:p>
            <w:pPr/>
          </w:p>
        </w:tc>
      </w:tr>
      <w:tr>
        <w:trPr>
          <w:trHeight w:val="348" w:hRule="exact"/>
        </w:trPr>
        <w:tc>
          <w:tcPr>
            <w:tcW w:w="373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b/>
                <w:bCs/>
                <w:sz w:val="24"/>
                <w:szCs w:val="24"/>
              </w:rPr>
              <w:t>金融负债合计</w:t>
            </w:r>
            <w:r>
              <w:rPr>
                <w:rFonts w:ascii="宋体" w:hAnsi="宋体" w:cs="宋体" w:eastAsia="宋体" w:hint="default"/>
                <w:sz w:val="24"/>
                <w:szCs w:val="24"/>
              </w:rPr>
            </w:r>
          </w:p>
        </w:tc>
        <w:tc>
          <w:tcPr>
            <w:tcW w:w="23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360"/>
              <w:jc w:val="right"/>
              <w:rPr>
                <w:rFonts w:ascii="Times New Roman" w:hAnsi="Times New Roman" w:cs="Times New Roman" w:eastAsia="Times New Roman" w:hint="default"/>
                <w:sz w:val="24"/>
                <w:szCs w:val="24"/>
              </w:rPr>
            </w:pPr>
            <w:r>
              <w:rPr>
                <w:rFonts w:ascii="Times New Roman"/>
                <w:b/>
                <w:sz w:val="24"/>
              </w:rPr>
              <w:t>99,900.19</w:t>
            </w:r>
            <w:r>
              <w:rPr>
                <w:rFonts w:ascii="Times New Roman"/>
                <w:sz w:val="24"/>
              </w:rPr>
            </w:r>
          </w:p>
        </w:tc>
        <w:tc>
          <w:tcPr>
            <w:tcW w:w="1711"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24"/>
              <w:jc w:val="center"/>
              <w:rPr>
                <w:rFonts w:ascii="Times New Roman" w:hAnsi="Times New Roman" w:cs="Times New Roman" w:eastAsia="Times New Roman" w:hint="default"/>
                <w:sz w:val="24"/>
                <w:szCs w:val="24"/>
              </w:rPr>
            </w:pPr>
            <w:r>
              <w:rPr>
                <w:rFonts w:ascii="Times New Roman"/>
                <w:b/>
                <w:sz w:val="24"/>
              </w:rPr>
              <w:t>22,721.87</w:t>
            </w:r>
            <w:r>
              <w:rPr>
                <w:rFonts w:ascii="Times New Roman"/>
                <w:sz w:val="24"/>
              </w:rPr>
            </w:r>
          </w:p>
        </w:tc>
        <w:tc>
          <w:tcPr>
            <w:tcW w:w="148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122,622.06</w:t>
            </w:r>
            <w:r>
              <w:rPr>
                <w:rFonts w:ascii="Times New Roman"/>
                <w:sz w:val="24"/>
              </w:rPr>
            </w:r>
          </w:p>
        </w:tc>
        <w:tc>
          <w:tcPr>
            <w:tcW w:w="388" w:type="dxa"/>
            <w:tcBorders>
              <w:top w:val="nil" w:sz="6" w:space="0" w:color="auto"/>
              <w:left w:val="nil" w:sz="6" w:space="0" w:color="auto"/>
              <w:bottom w:val="nil" w:sz="6" w:space="0" w:color="auto"/>
              <w:right w:val="nil" w:sz="6" w:space="0" w:color="auto"/>
            </w:tcBorders>
          </w:tcPr>
          <w:p>
            <w:pPr/>
          </w:p>
        </w:tc>
      </w:tr>
    </w:tbl>
    <w:p>
      <w:pPr>
        <w:pStyle w:val="BodyText"/>
        <w:spacing w:line="312" w:lineRule="exact" w:before="112"/>
        <w:ind w:left="134" w:right="994"/>
        <w:jc w:val="left"/>
      </w:pPr>
      <w:r>
        <w:rPr/>
        <w:t>期初本集团持有的金融负债项目按未折现剩余合同现金流量的到期期限分析如下（单位：人 民币万元）：</w:t>
      </w:r>
    </w:p>
    <w:p>
      <w:pPr>
        <w:spacing w:line="240" w:lineRule="auto" w:before="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3717"/>
        <w:gridCol w:w="2577"/>
        <w:gridCol w:w="1715"/>
        <w:gridCol w:w="1287"/>
      </w:tblGrid>
      <w:tr>
        <w:trPr>
          <w:trHeight w:val="349" w:hRule="exact"/>
        </w:trPr>
        <w:tc>
          <w:tcPr>
            <w:tcW w:w="9296" w:type="dxa"/>
            <w:gridSpan w:val="4"/>
            <w:tcBorders>
              <w:top w:val="single" w:sz="6" w:space="0" w:color="000000"/>
              <w:left w:val="nil" w:sz="6" w:space="0" w:color="auto"/>
              <w:bottom w:val="single" w:sz="8" w:space="0" w:color="000000"/>
              <w:right w:val="nil" w:sz="6" w:space="0" w:color="auto"/>
            </w:tcBorders>
          </w:tcPr>
          <w:p>
            <w:pPr>
              <w:pStyle w:val="TableParagraph"/>
              <w:spacing w:line="286" w:lineRule="exact"/>
              <w:ind w:left="5964"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20"/>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561"/>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年以内</w:t>
            </w:r>
            <w:r>
              <w:rPr>
                <w:rFonts w:ascii="宋体" w:hAnsi="宋体" w:cs="宋体" w:eastAsia="宋体" w:hint="default"/>
                <w:sz w:val="24"/>
                <w:szCs w:val="24"/>
              </w:rPr>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563"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年</w:t>
            </w:r>
            <w:r>
              <w:rPr>
                <w:rFonts w:ascii="宋体" w:hAnsi="宋体" w:cs="宋体" w:eastAsia="宋体" w:hint="default"/>
                <w:sz w:val="24"/>
                <w:szCs w:val="24"/>
              </w:rPr>
            </w:r>
          </w:p>
        </w:tc>
        <w:tc>
          <w:tcPr>
            <w:tcW w:w="1287" w:type="dxa"/>
            <w:tcBorders>
              <w:top w:val="single" w:sz="8" w:space="0" w:color="000000"/>
              <w:left w:val="nil" w:sz="6" w:space="0" w:color="auto"/>
              <w:bottom w:val="single" w:sz="8" w:space="0" w:color="000000"/>
              <w:right w:val="nil" w:sz="6" w:space="0" w:color="auto"/>
            </w:tcBorders>
          </w:tcPr>
          <w:p>
            <w:pPr>
              <w:pStyle w:val="TableParagraph"/>
              <w:tabs>
                <w:tab w:pos="445" w:val="left" w:leader="none"/>
              </w:tabs>
              <w:spacing w:line="281" w:lineRule="exact"/>
              <w:ind w:right="8"/>
              <w:jc w:val="right"/>
              <w:rPr>
                <w:rFonts w:ascii="宋体" w:hAnsi="宋体" w:cs="宋体" w:eastAsia="宋体" w:hint="default"/>
                <w:sz w:val="24"/>
                <w:szCs w:val="24"/>
              </w:rPr>
            </w:pPr>
            <w:r>
              <w:rPr>
                <w:rFonts w:ascii="宋体" w:hAnsi="宋体" w:cs="宋体" w:eastAsia="宋体" w:hint="default"/>
                <w:b/>
                <w:bCs/>
                <w:w w:val="95"/>
                <w:sz w:val="24"/>
                <w:szCs w:val="24"/>
              </w:rPr>
              <w:t>合</w:t>
              <w:tab/>
              <w:t>计</w:t>
            </w:r>
            <w:r>
              <w:rPr>
                <w:rFonts w:ascii="宋体" w:hAnsi="宋体" w:cs="宋体" w:eastAsia="宋体" w:hint="default"/>
                <w:sz w:val="24"/>
                <w:szCs w:val="24"/>
              </w:rPr>
            </w:r>
          </w:p>
        </w:tc>
      </w:tr>
      <w:tr>
        <w:trPr>
          <w:trHeight w:val="348"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577" w:type="dxa"/>
            <w:tcBorders>
              <w:top w:val="single" w:sz="8" w:space="0" w:color="000000"/>
              <w:left w:val="nil" w:sz="6" w:space="0" w:color="auto"/>
              <w:bottom w:val="single" w:sz="8" w:space="0" w:color="000000"/>
              <w:right w:val="nil" w:sz="6" w:space="0" w:color="auto"/>
            </w:tcBorders>
          </w:tcPr>
          <w:p>
            <w:pP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562"/>
              <w:jc w:val="right"/>
              <w:rPr>
                <w:rFonts w:ascii="Times New Roman" w:hAnsi="Times New Roman" w:cs="Times New Roman" w:eastAsia="Times New Roman" w:hint="default"/>
                <w:sz w:val="24"/>
                <w:szCs w:val="24"/>
              </w:rPr>
            </w:pPr>
            <w:r>
              <w:rPr>
                <w:rFonts w:ascii="Times New Roman"/>
                <w:sz w:val="24"/>
              </w:rPr>
              <w:t>20,000.00</w:t>
            </w: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7"/>
              <w:jc w:val="right"/>
              <w:rPr>
                <w:rFonts w:ascii="Times New Roman" w:hAnsi="Times New Roman" w:cs="Times New Roman" w:eastAsia="Times New Roman" w:hint="default"/>
                <w:sz w:val="24"/>
                <w:szCs w:val="24"/>
              </w:rPr>
            </w:pPr>
            <w:r>
              <w:rPr>
                <w:rFonts w:ascii="Times New Roman"/>
                <w:sz w:val="24"/>
              </w:rPr>
              <w:t>20,000.00</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应付票据、应付账款</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32,166.25</w:t>
            </w: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32,166.25</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93.64</w:t>
            </w: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93.64</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2577" w:type="dxa"/>
            <w:tcBorders>
              <w:top w:val="single" w:sz="8" w:space="0" w:color="000000"/>
              <w:left w:val="nil" w:sz="6" w:space="0" w:color="auto"/>
              <w:bottom w:val="single" w:sz="8" w:space="0" w:color="000000"/>
              <w:right w:val="nil" w:sz="6" w:space="0" w:color="auto"/>
            </w:tcBorders>
          </w:tcPr>
          <w:p>
            <w:pP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47,391.86</w:t>
            </w: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47,391.86</w:t>
            </w:r>
          </w:p>
        </w:tc>
      </w:tr>
      <w:tr>
        <w:trPr>
          <w:trHeight w:val="348"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47.92</w:t>
            </w: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47.92</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金融负债合计</w:t>
            </w:r>
            <w:r>
              <w:rPr>
                <w:rFonts w:ascii="宋体" w:hAnsi="宋体" w:cs="宋体" w:eastAsia="宋体" w:hint="default"/>
                <w:sz w:val="24"/>
                <w:szCs w:val="24"/>
              </w:rPr>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62"/>
              <w:jc w:val="right"/>
              <w:rPr>
                <w:rFonts w:ascii="Times New Roman" w:hAnsi="Times New Roman" w:cs="Times New Roman" w:eastAsia="Times New Roman" w:hint="default"/>
                <w:sz w:val="24"/>
                <w:szCs w:val="24"/>
              </w:rPr>
            </w:pPr>
            <w:r>
              <w:rPr>
                <w:rFonts w:ascii="Times New Roman"/>
                <w:b/>
                <w:sz w:val="24"/>
              </w:rPr>
              <w:t>99,699.67</w:t>
            </w:r>
            <w:r>
              <w:rPr>
                <w:rFonts w:ascii="Times New Roman"/>
                <w:sz w:val="24"/>
              </w:rPr>
            </w:r>
          </w:p>
        </w:tc>
        <w:tc>
          <w:tcPr>
            <w:tcW w:w="1715" w:type="dxa"/>
            <w:tcBorders>
              <w:top w:val="single" w:sz="8" w:space="0" w:color="000000"/>
              <w:left w:val="nil" w:sz="6" w:space="0" w:color="auto"/>
              <w:bottom w:val="single" w:sz="8" w:space="0" w:color="000000"/>
              <w:right w:val="nil" w:sz="6" w:space="0" w:color="auto"/>
            </w:tcBorders>
          </w:tcPr>
          <w:p>
            <w:pPr/>
          </w:p>
        </w:tc>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7"/>
              <w:jc w:val="right"/>
              <w:rPr>
                <w:rFonts w:ascii="Times New Roman" w:hAnsi="Times New Roman" w:cs="Times New Roman" w:eastAsia="Times New Roman" w:hint="default"/>
                <w:sz w:val="24"/>
                <w:szCs w:val="24"/>
              </w:rPr>
            </w:pPr>
            <w:r>
              <w:rPr>
                <w:rFonts w:ascii="Times New Roman"/>
                <w:b/>
                <w:sz w:val="24"/>
              </w:rPr>
              <w:t>99,699.67</w:t>
            </w:r>
            <w:r>
              <w:rPr>
                <w:rFonts w:ascii="Times New Roman"/>
                <w:sz w:val="24"/>
              </w:rPr>
            </w:r>
          </w:p>
        </w:tc>
      </w:tr>
    </w:tbl>
    <w:p>
      <w:pPr>
        <w:pStyle w:val="BodyText"/>
        <w:spacing w:line="312" w:lineRule="exact" w:before="111"/>
        <w:ind w:left="134" w:right="994"/>
        <w:jc w:val="left"/>
      </w:pPr>
      <w:r>
        <w:rPr/>
        <w:t>上表中披露的金融负债金额为未经折现的合同现金流量，因而可能与资产负债表中的账面金 额有所不同。</w:t>
      </w:r>
    </w:p>
    <w:p>
      <w:pPr>
        <w:pStyle w:val="BodyText"/>
        <w:spacing w:line="240" w:lineRule="auto" w:before="185"/>
        <w:ind w:left="134" w:right="994"/>
        <w:jc w:val="left"/>
      </w:pP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17"/>
          <w:szCs w:val="17"/>
        </w:rPr>
      </w:pPr>
    </w:p>
    <w:p>
      <w:pPr>
        <w:pStyle w:val="BodyText"/>
        <w:spacing w:line="312" w:lineRule="exact"/>
        <w:ind w:left="134" w:right="994"/>
        <w:jc w:val="left"/>
      </w:pPr>
      <w:r>
        <w:rPr/>
        <w:t>金融工具的市场风险，是指金融工具的公允价值或未来现金流量因市场价格变动而发生波动 的风险，包括利率风险、汇率风险和其他价格风险。</w:t>
      </w:r>
    </w:p>
    <w:p>
      <w:pPr>
        <w:pStyle w:val="BodyText"/>
        <w:spacing w:line="240" w:lineRule="auto" w:before="185"/>
        <w:ind w:left="134" w:right="994"/>
        <w:jc w:val="left"/>
      </w:pPr>
      <w:r>
        <w:rPr/>
        <w:t>利率风险</w:t>
      </w:r>
    </w:p>
    <w:p>
      <w:pPr>
        <w:spacing w:line="240" w:lineRule="auto" w:before="9"/>
        <w:rPr>
          <w:rFonts w:ascii="宋体" w:hAnsi="宋体" w:cs="宋体" w:eastAsia="宋体" w:hint="default"/>
          <w:sz w:val="18"/>
          <w:szCs w:val="18"/>
        </w:rPr>
      </w:pPr>
    </w:p>
    <w:p>
      <w:pPr>
        <w:pStyle w:val="BodyText"/>
        <w:spacing w:line="312" w:lineRule="exact"/>
        <w:ind w:left="134" w:right="994"/>
        <w:jc w:val="left"/>
      </w:pPr>
      <w:r>
        <w:rPr/>
        <w:t>利率风险，是指金融工具的公允价值或未来现金流量因市场利率变动而发生波动的风险。利</w:t>
      </w:r>
      <w:r>
        <w:rPr>
          <w:spacing w:val="-112"/>
        </w:rPr>
        <w:t> </w:t>
      </w:r>
      <w:r>
        <w:rPr>
          <w:spacing w:val="-112"/>
        </w:rPr>
      </w:r>
      <w:r>
        <w:rPr/>
        <w:t>率风险可源于已确认的计息金融工具和未确认的金融工具（如某些贷款承诺）。</w:t>
      </w:r>
    </w:p>
    <w:p>
      <w:pPr>
        <w:pStyle w:val="BodyText"/>
        <w:spacing w:line="312" w:lineRule="exact" w:before="216"/>
        <w:ind w:left="134" w:right="1139"/>
        <w:jc w:val="both"/>
      </w:pPr>
      <w:r>
        <w:rPr/>
        <w:t>本集团的利率风险主要产生于长期银行借款及应付债券等长期带息债务。浮动利率的金融负 债使本集团面临现金流量利率风险，固定利率的金融负债使本集团面临公允价值利率风险。 本集团根据当时的市场环境来决定固定利率及浮动利率合同的相对比例，并通过定期审阅与 监察维持适当的固定和浮动利率工具组合。</w:t>
      </w:r>
    </w:p>
    <w:p>
      <w:pPr>
        <w:pStyle w:val="BodyText"/>
        <w:spacing w:line="312" w:lineRule="exact" w:before="216"/>
        <w:ind w:left="134" w:right="994"/>
        <w:jc w:val="left"/>
      </w:pPr>
      <w:r>
        <w:rPr/>
        <w:t>本集团密切关注利率变动对本集团利率风险的影响。本集团目前并未采取利率对冲政策。但 </w:t>
      </w:r>
      <w:r>
        <w:rPr>
          <w:spacing w:val="-2"/>
        </w:rPr>
        <w:t>管理层负责监控利率风险，并将于需要时考虑对冲重大利率风险。由于定期存款为短期存款，</w:t>
      </w:r>
      <w:r>
        <w:rPr/>
        <w:t> 故银行存款的公允价值利率风险并不重大。</w:t>
      </w:r>
    </w:p>
    <w:p>
      <w:pPr>
        <w:pStyle w:val="BodyText"/>
        <w:spacing w:line="240" w:lineRule="auto" w:before="185"/>
        <w:ind w:left="134" w:right="994"/>
        <w:jc w:val="left"/>
      </w:pPr>
      <w:r>
        <w:rPr/>
        <w:t>本集团持有的计息金融工具如下（单位：人民币万元）：</w:t>
      </w:r>
    </w:p>
    <w:p>
      <w:pPr>
        <w:pStyle w:val="Heading2"/>
        <w:tabs>
          <w:tab w:pos="5498" w:val="left" w:leader="none"/>
          <w:tab w:pos="8537" w:val="left" w:leader="none"/>
        </w:tabs>
        <w:spacing w:line="240" w:lineRule="auto" w:before="143"/>
        <w:ind w:left="143" w:right="994"/>
        <w:jc w:val="left"/>
        <w:rPr>
          <w:b w:val="0"/>
          <w:bCs w:val="0"/>
        </w:rPr>
      </w:pPr>
      <w:r>
        <w:rPr/>
        <w:pict>
          <v:group style="position:absolute;margin-left:56.340015pt;margin-top:7.845651pt;width:457.6pt;height:.75pt;mso-position-horizontal-relative:page;mso-position-vertical-relative:paragraph;z-index:-1264048" coordorigin="1127,157" coordsize="9152,15">
            <v:group style="position:absolute;left:1134;top:164;width:3687;height:2" coordorigin="1134,164" coordsize="3687,2">
              <v:shape style="position:absolute;left:1134;top:164;width:3687;height:2" coordorigin="1134,164" coordsize="3687,0" path="m1134,164l4821,164e" filled="false" stroked="true" strokeweight=".71997pt" strokecolor="#000000">
                <v:path arrowok="t"/>
              </v:shape>
            </v:group>
            <v:group style="position:absolute;left:4821;top:164;width:15;height:2" coordorigin="4821,164" coordsize="15,2">
              <v:shape style="position:absolute;left:4821;top:164;width:15;height:2" coordorigin="4821,164" coordsize="15,0" path="m4821,164l4835,164e" filled="false" stroked="true" strokeweight=".71997pt" strokecolor="#000000">
                <v:path arrowok="t"/>
              </v:shape>
            </v:group>
            <v:group style="position:absolute;left:4835;top:164;width:2396;height:2" coordorigin="4835,164" coordsize="2396,2">
              <v:shape style="position:absolute;left:4835;top:164;width:2396;height:2" coordorigin="4835,164" coordsize="2396,0" path="m4835,164l7231,164e" filled="false" stroked="true" strokeweight=".71997pt" strokecolor="#000000">
                <v:path arrowok="t"/>
              </v:shape>
            </v:group>
            <v:group style="position:absolute;left:7231;top:164;width:15;height:2" coordorigin="7231,164" coordsize="15,2">
              <v:shape style="position:absolute;left:7231;top:164;width:15;height:2" coordorigin="7231,164" coordsize="15,0" path="m7231,164l7245,164e" filled="false" stroked="true" strokeweight=".71997pt" strokecolor="#000000">
                <v:path arrowok="t"/>
              </v:shape>
            </v:group>
            <v:group style="position:absolute;left:7245;top:164;width:3026;height:2" coordorigin="7245,164" coordsize="3026,2">
              <v:shape style="position:absolute;left:7245;top:164;width:3026;height:2" coordorigin="7245,164" coordsize="3026,0" path="m7245,164l10271,164e" filled="false" stroked="true" strokeweight=".71997pt" strokecolor="#000000">
                <v:path arrowok="t"/>
              </v:shape>
            </v:group>
            <w10:wrap type="none"/>
          </v:group>
        </w:pict>
      </w:r>
      <w:r>
        <w:rPr/>
        <w:t>项</w:t>
      </w:r>
      <w:r>
        <w:rPr>
          <w:spacing w:val="-20"/>
        </w:rPr>
        <w:t> </w:t>
      </w:r>
      <w:r>
        <w:rPr/>
        <w:t>目</w:t>
        <w:tab/>
      </w:r>
      <w:r>
        <w:rPr>
          <w:w w:val="95"/>
        </w:rPr>
        <w:t>本年数</w:t>
        <w:tab/>
      </w:r>
      <w:r>
        <w:rPr/>
        <w:t>上年数</w:t>
      </w:r>
      <w:r>
        <w:rPr>
          <w:b w:val="0"/>
          <w:bCs w:val="0"/>
        </w:rPr>
      </w:r>
    </w:p>
    <w:p>
      <w:pPr>
        <w:pStyle w:val="BodyText"/>
        <w:spacing w:line="266" w:lineRule="auto" w:before="33"/>
        <w:ind w:left="143" w:right="8823"/>
        <w:jc w:val="left"/>
      </w:pPr>
      <w:r>
        <w:rPr/>
        <w:pict>
          <v:group style="position:absolute;margin-left:56.21999pt;margin-top:2.405608pt;width:457.8pt;height:1pt;mso-position-horizontal-relative:page;mso-position-vertical-relative:paragraph;z-index:-1264024" coordorigin="1124,48" coordsize="9156,20">
            <v:group style="position:absolute;left:1134;top:58;width:3687;height:2" coordorigin="1134,58" coordsize="3687,2">
              <v:shape style="position:absolute;left:1134;top:58;width:3687;height:2" coordorigin="1134,58" coordsize="3687,0" path="m1134,58l4821,58e" filled="false" stroked="true" strokeweight=".96002pt" strokecolor="#000000">
                <v:path arrowok="t"/>
              </v:shape>
            </v:group>
            <v:group style="position:absolute;left:4821;top:58;width:20;height:2" coordorigin="4821,58" coordsize="20,2">
              <v:shape style="position:absolute;left:4821;top:58;width:20;height:2" coordorigin="4821,58" coordsize="20,0" path="m4821,58l4840,58e" filled="false" stroked="true" strokeweight=".96002pt" strokecolor="#000000">
                <v:path arrowok="t"/>
              </v:shape>
            </v:group>
            <v:group style="position:absolute;left:4840;top:58;width:2391;height:2" coordorigin="4840,58" coordsize="2391,2">
              <v:shape style="position:absolute;left:4840;top:58;width:2391;height:2" coordorigin="4840,58" coordsize="2391,0" path="m4840,58l7231,58e" filled="false" stroked="true" strokeweight=".96002pt" strokecolor="#000000">
                <v:path arrowok="t"/>
              </v:shape>
            </v:group>
            <v:group style="position:absolute;left:7231;top:58;width:20;height:2" coordorigin="7231,58" coordsize="20,2">
              <v:shape style="position:absolute;left:7231;top:58;width:20;height:2" coordorigin="7231,58" coordsize="20,0" path="m7231,58l7250,58e" filled="false" stroked="true" strokeweight=".96002pt" strokecolor="#000000">
                <v:path arrowok="t"/>
              </v:shape>
            </v:group>
            <v:group style="position:absolute;left:7250;top:58;width:3021;height:2" coordorigin="7250,58" coordsize="3021,2">
              <v:shape style="position:absolute;left:7250;top:58;width:3021;height:2" coordorigin="7250,58" coordsize="3021,0" path="m7250,58l10271,58e" filled="false" stroked="true" strokeweight=".96002pt" strokecolor="#000000">
                <v:path arrowok="t"/>
              </v:shape>
            </v:group>
            <w10:wrap type="none"/>
          </v:group>
        </w:pict>
      </w:r>
      <w:r>
        <w:rPr/>
        <w:pict>
          <v:group style="position:absolute;margin-left:56.21999pt;margin-top:19.745609pt;width:457.8pt;height:1pt;mso-position-horizontal-relative:page;mso-position-vertical-relative:paragraph;z-index:-1264000" coordorigin="1124,395" coordsize="9156,20">
            <v:group style="position:absolute;left:1134;top:405;width:3687;height:2" coordorigin="1134,405" coordsize="3687,2">
              <v:shape style="position:absolute;left:1134;top:405;width:3687;height:2" coordorigin="1134,405" coordsize="3687,0" path="m1134,405l4821,405e" filled="false" stroked="true" strokeweight=".96002pt" strokecolor="#000000">
                <v:path arrowok="t"/>
              </v:shape>
            </v:group>
            <v:group style="position:absolute;left:4821;top:405;width:20;height:2" coordorigin="4821,405" coordsize="20,2">
              <v:shape style="position:absolute;left:4821;top:405;width:20;height:2" coordorigin="4821,405" coordsize="20,0" path="m4821,405l4840,405e" filled="false" stroked="true" strokeweight=".96002pt" strokecolor="#000000">
                <v:path arrowok="t"/>
              </v:shape>
            </v:group>
            <v:group style="position:absolute;left:4840;top:405;width:2391;height:2" coordorigin="4840,405" coordsize="2391,2">
              <v:shape style="position:absolute;left:4840;top:405;width:2391;height:2" coordorigin="4840,405" coordsize="2391,0" path="m4840,405l7231,405e" filled="false" stroked="true" strokeweight=".96002pt" strokecolor="#000000">
                <v:path arrowok="t"/>
              </v:shape>
            </v:group>
            <v:group style="position:absolute;left:7231;top:405;width:20;height:2" coordorigin="7231,405" coordsize="20,2">
              <v:shape style="position:absolute;left:7231;top:405;width:20;height:2" coordorigin="7231,405" coordsize="20,0" path="m7231,405l7250,405e" filled="false" stroked="true" strokeweight=".96002pt" strokecolor="#000000">
                <v:path arrowok="t"/>
              </v:shape>
            </v:group>
            <v:group style="position:absolute;left:7250;top:405;width:3021;height:2" coordorigin="7250,405" coordsize="3021,2">
              <v:shape style="position:absolute;left:7250;top:405;width:3021;height:2" coordorigin="7250,405" coordsize="3021,0" path="m7250,405l10271,405e" filled="false" stroked="true" strokeweight=".96002pt" strokecolor="#000000">
                <v:path arrowok="t"/>
              </v:shape>
            </v:group>
            <w10:wrap type="none"/>
          </v:group>
        </w:pict>
      </w:r>
      <w:r>
        <w:rPr/>
        <w:t>固定利率金融工具 金融资产</w:t>
      </w:r>
    </w:p>
    <w:p>
      <w:pPr>
        <w:pStyle w:val="BodyText"/>
        <w:spacing w:line="240" w:lineRule="auto" w:before="6"/>
        <w:ind w:left="143" w:right="994"/>
        <w:jc w:val="left"/>
      </w:pPr>
      <w:r>
        <w:rPr/>
        <w:pict>
          <v:group style="position:absolute;margin-left:56.21999pt;margin-top:.995603pt;width:457.8pt;height:1pt;mso-position-horizontal-relative:page;mso-position-vertical-relative:paragraph;z-index:-1263976" coordorigin="1124,20" coordsize="9156,20">
            <v:group style="position:absolute;left:1134;top:30;width:3687;height:2" coordorigin="1134,30" coordsize="3687,2">
              <v:shape style="position:absolute;left:1134;top:30;width:3687;height:2" coordorigin="1134,30" coordsize="3687,0" path="m1134,30l4821,30e" filled="false" stroked="true" strokeweight=".96002pt" strokecolor="#000000">
                <v:path arrowok="t"/>
              </v:shape>
            </v:group>
            <v:group style="position:absolute;left:4821;top:30;width:20;height:2" coordorigin="4821,30" coordsize="20,2">
              <v:shape style="position:absolute;left:4821;top:30;width:20;height:2" coordorigin="4821,30" coordsize="20,0" path="m4821,30l4840,30e" filled="false" stroked="true" strokeweight=".96002pt" strokecolor="#000000">
                <v:path arrowok="t"/>
              </v:shape>
            </v:group>
            <v:group style="position:absolute;left:4840;top:30;width:2391;height:2" coordorigin="4840,30" coordsize="2391,2">
              <v:shape style="position:absolute;left:4840;top:30;width:2391;height:2" coordorigin="4840,30" coordsize="2391,0" path="m4840,30l7231,30e" filled="false" stroked="true" strokeweight=".96002pt" strokecolor="#000000">
                <v:path arrowok="t"/>
              </v:shape>
            </v:group>
            <v:group style="position:absolute;left:7231;top:30;width:20;height:2" coordorigin="7231,30" coordsize="20,2">
              <v:shape style="position:absolute;left:7231;top:30;width:20;height:2" coordorigin="7231,30" coordsize="20,0" path="m7231,30l7250,30e" filled="false" stroked="true" strokeweight=".96002pt" strokecolor="#000000">
                <v:path arrowok="t"/>
              </v:shape>
            </v:group>
            <v:group style="position:absolute;left:7250;top:30;width:3021;height:2" coordorigin="7250,30" coordsize="3021,2">
              <v:shape style="position:absolute;left:7250;top:30;width:3021;height:2" coordorigin="7250,30" coordsize="3021,0" path="m7250,30l10271,30e" filled="false" stroked="true" strokeweight=".96002pt" strokecolor="#000000">
                <v:path arrowok="t"/>
              </v:shape>
            </v:group>
            <w10:wrap type="none"/>
          </v:group>
        </w:pict>
      </w:r>
      <w:r>
        <w:rPr/>
        <w:t>其中：其他流动资产</w:t>
      </w:r>
      <w:r>
        <w:rPr>
          <w:rFonts w:ascii="Times New Roman" w:hAnsi="Times New Roman" w:cs="Times New Roman" w:eastAsia="Times New Roman" w:hint="default"/>
        </w:rPr>
        <w:t>-</w:t>
      </w:r>
      <w:r>
        <w:rPr/>
        <w:t>理财产品</w:t>
      </w:r>
    </w:p>
    <w:p>
      <w:pPr>
        <w:spacing w:line="240" w:lineRule="auto" w:before="4"/>
        <w:rPr>
          <w:rFonts w:ascii="宋体" w:hAnsi="宋体" w:cs="宋体" w:eastAsia="宋体" w:hint="default"/>
          <w:sz w:val="2"/>
          <w:szCs w:val="2"/>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8.55pt;height:1pt;mso-position-horizontal-relative:char;mso-position-vertical-relative:line" coordorigin="0,0" coordsize="9171,20">
            <v:group style="position:absolute;left:10;top:10;width:3702;height:2" coordorigin="10,10" coordsize="3702,2">
              <v:shape style="position:absolute;left:10;top:10;width:3702;height:2" coordorigin="10,10" coordsize="3702,0" path="m10,10l3711,10e" filled="false" stroked="true" strokeweight=".95996pt" strokecolor="#000000">
                <v:path arrowok="t"/>
              </v:shape>
            </v:group>
            <v:group style="position:absolute;left:3696;top:10;width:20;height:2" coordorigin="3696,10" coordsize="20,2">
              <v:shape style="position:absolute;left:3696;top:10;width:20;height:2" coordorigin="3696,10" coordsize="20,0" path="m3696,10l3716,10e" filled="false" stroked="true" strokeweight=".95996pt" strokecolor="#000000">
                <v:path arrowok="t"/>
              </v:shape>
            </v:group>
            <v:group style="position:absolute;left:3716;top:10;width:2406;height:2" coordorigin="3716,10" coordsize="2406,2">
              <v:shape style="position:absolute;left:3716;top:10;width:2406;height:2" coordorigin="3716,10" coordsize="2406,0" path="m3716,10l6121,10e" filled="false" stroked="true" strokeweight=".95996pt" strokecolor="#000000">
                <v:path arrowok="t"/>
              </v:shape>
            </v:group>
            <v:group style="position:absolute;left:6106;top:10;width:20;height:2" coordorigin="6106,10" coordsize="20,2">
              <v:shape style="position:absolute;left:6106;top:10;width:20;height:2" coordorigin="6106,10" coordsize="20,0" path="m6106,10l6126,10e" filled="false" stroked="true" strokeweight=".95996pt" strokecolor="#000000">
                <v:path arrowok="t"/>
              </v:shape>
            </v:group>
            <v:group style="position:absolute;left:6126;top:10;width:3036;height:2" coordorigin="6126,10" coordsize="3036,2">
              <v:shape style="position:absolute;left:6126;top:10;width:3036;height:2" coordorigin="6126,10" coordsize="3036,0" path="m6126,10l9161,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79" w:top="1060" w:bottom="1160" w:left="10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26395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4207"/>
        <w:gridCol w:w="2949"/>
        <w:gridCol w:w="2011"/>
      </w:tblGrid>
      <w:tr>
        <w:trPr>
          <w:trHeight w:val="335" w:hRule="exact"/>
        </w:trPr>
        <w:tc>
          <w:tcPr>
            <w:tcW w:w="4207" w:type="dxa"/>
            <w:tcBorders>
              <w:top w:val="nil" w:sz="6" w:space="0" w:color="auto"/>
              <w:left w:val="nil" w:sz="6" w:space="0" w:color="auto"/>
              <w:bottom w:val="single" w:sz="6" w:space="0" w:color="000000"/>
              <w:right w:val="nil" w:sz="6" w:space="0" w:color="auto"/>
            </w:tcBorders>
          </w:tcPr>
          <w:p>
            <w:pPr/>
          </w:p>
        </w:tc>
        <w:tc>
          <w:tcPr>
            <w:tcW w:w="2949" w:type="dxa"/>
            <w:tcBorders>
              <w:top w:val="nil" w:sz="6" w:space="0" w:color="auto"/>
              <w:left w:val="nil" w:sz="6" w:space="0" w:color="auto"/>
              <w:bottom w:val="single" w:sz="6" w:space="0" w:color="000000"/>
              <w:right w:val="nil" w:sz="6" w:space="0" w:color="auto"/>
            </w:tcBorders>
          </w:tcPr>
          <w:p>
            <w:pPr/>
          </w:p>
        </w:tc>
        <w:tc>
          <w:tcPr>
            <w:tcW w:w="2011" w:type="dxa"/>
            <w:tcBorders>
              <w:top w:val="nil" w:sz="6" w:space="0" w:color="auto"/>
              <w:left w:val="nil" w:sz="6" w:space="0" w:color="auto"/>
              <w:bottom w:val="single" w:sz="6" w:space="0" w:color="000000"/>
              <w:right w:val="nil" w:sz="6" w:space="0" w:color="auto"/>
            </w:tcBorders>
          </w:tcPr>
          <w:p>
            <w:pPr/>
          </w:p>
        </w:tc>
      </w:tr>
      <w:tr>
        <w:trPr>
          <w:trHeight w:val="349" w:hRule="exact"/>
        </w:trPr>
        <w:tc>
          <w:tcPr>
            <w:tcW w:w="4207"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39"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949" w:type="dxa"/>
            <w:tcBorders>
              <w:top w:val="single" w:sz="6" w:space="0" w:color="000000"/>
              <w:left w:val="nil" w:sz="6" w:space="0" w:color="auto"/>
              <w:bottom w:val="single" w:sz="8" w:space="0" w:color="000000"/>
              <w:right w:val="nil" w:sz="6" w:space="0" w:color="auto"/>
            </w:tcBorders>
          </w:tcPr>
          <w:p>
            <w:pPr/>
          </w:p>
        </w:tc>
        <w:tc>
          <w:tcPr>
            <w:tcW w:w="2011" w:type="dxa"/>
            <w:tcBorders>
              <w:top w:val="single" w:sz="6" w:space="0" w:color="000000"/>
              <w:left w:val="nil" w:sz="6" w:space="0" w:color="auto"/>
              <w:bottom w:val="single" w:sz="8" w:space="0" w:color="000000"/>
              <w:right w:val="nil" w:sz="6" w:space="0" w:color="auto"/>
            </w:tcBorders>
          </w:tcPr>
          <w:p>
            <w:pP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其中：短期借款</w:t>
            </w: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950" w:right="0"/>
              <w:jc w:val="left"/>
              <w:rPr>
                <w:rFonts w:ascii="Times New Roman" w:hAnsi="Times New Roman" w:cs="Times New Roman" w:eastAsia="Times New Roman" w:hint="default"/>
                <w:sz w:val="24"/>
                <w:szCs w:val="24"/>
              </w:rPr>
            </w:pPr>
            <w:r>
              <w:rPr>
                <w:rFonts w:ascii="Times New Roman"/>
                <w:sz w:val="24"/>
              </w:rPr>
              <w:t>43,544.58</w:t>
            </w:r>
          </w:p>
        </w:tc>
        <w:tc>
          <w:tcPr>
            <w:tcW w:w="201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20,000.00</w:t>
            </w: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615"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950" w:right="0"/>
              <w:jc w:val="left"/>
              <w:rPr>
                <w:rFonts w:ascii="Times New Roman" w:hAnsi="Times New Roman" w:cs="Times New Roman" w:eastAsia="Times New Roman" w:hint="default"/>
                <w:sz w:val="24"/>
                <w:szCs w:val="24"/>
              </w:rPr>
            </w:pPr>
            <w:r>
              <w:rPr>
                <w:rFonts w:ascii="Times New Roman"/>
                <w:sz w:val="24"/>
              </w:rPr>
              <w:t>12,293.27</w:t>
            </w:r>
          </w:p>
        </w:tc>
        <w:tc>
          <w:tcPr>
            <w:tcW w:w="201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47.92</w:t>
            </w:r>
          </w:p>
        </w:tc>
      </w:tr>
      <w:tr>
        <w:trPr>
          <w:trHeight w:val="348"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615"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950" w:right="0"/>
              <w:jc w:val="left"/>
              <w:rPr>
                <w:rFonts w:ascii="Times New Roman" w:hAnsi="Times New Roman" w:cs="Times New Roman" w:eastAsia="Times New Roman" w:hint="default"/>
                <w:sz w:val="24"/>
                <w:szCs w:val="24"/>
              </w:rPr>
            </w:pPr>
            <w:r>
              <w:rPr>
                <w:rFonts w:ascii="Times New Roman"/>
                <w:sz w:val="24"/>
              </w:rPr>
              <w:t>22,721.87</w:t>
            </w:r>
          </w:p>
        </w:tc>
        <w:tc>
          <w:tcPr>
            <w:tcW w:w="2011"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39"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20"/>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left="950" w:right="0"/>
              <w:jc w:val="left"/>
              <w:rPr>
                <w:rFonts w:ascii="Times New Roman" w:hAnsi="Times New Roman" w:cs="Times New Roman" w:eastAsia="Times New Roman" w:hint="default"/>
                <w:sz w:val="24"/>
                <w:szCs w:val="24"/>
              </w:rPr>
            </w:pPr>
            <w:r>
              <w:rPr>
                <w:rFonts w:ascii="Times New Roman"/>
                <w:b/>
                <w:sz w:val="24"/>
              </w:rPr>
              <w:t>78,559.72</w:t>
            </w:r>
            <w:r>
              <w:rPr>
                <w:rFonts w:ascii="Times New Roman"/>
                <w:sz w:val="24"/>
              </w:rPr>
            </w:r>
          </w:p>
        </w:tc>
        <w:tc>
          <w:tcPr>
            <w:tcW w:w="2011"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9"/>
              <w:jc w:val="right"/>
              <w:rPr>
                <w:rFonts w:ascii="Times New Roman" w:hAnsi="Times New Roman" w:cs="Times New Roman" w:eastAsia="Times New Roman" w:hint="default"/>
                <w:sz w:val="24"/>
                <w:szCs w:val="24"/>
              </w:rPr>
            </w:pPr>
            <w:r>
              <w:rPr>
                <w:rFonts w:ascii="Times New Roman"/>
                <w:b/>
                <w:sz w:val="24"/>
              </w:rPr>
              <w:t>20,047.92</w:t>
            </w:r>
            <w:r>
              <w:rPr>
                <w:rFonts w:ascii="Times New Roman"/>
                <w:sz w:val="24"/>
              </w:rPr>
            </w: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浮动利率金融工具</w:t>
            </w:r>
          </w:p>
        </w:tc>
        <w:tc>
          <w:tcPr>
            <w:tcW w:w="2949" w:type="dxa"/>
            <w:tcBorders>
              <w:top w:val="single" w:sz="8" w:space="0" w:color="000000"/>
              <w:left w:val="nil" w:sz="6" w:space="0" w:color="auto"/>
              <w:bottom w:val="single" w:sz="8" w:space="0" w:color="000000"/>
              <w:right w:val="nil" w:sz="6" w:space="0" w:color="auto"/>
            </w:tcBorders>
          </w:tcPr>
          <w:p>
            <w:pPr/>
          </w:p>
        </w:tc>
        <w:tc>
          <w:tcPr>
            <w:tcW w:w="2011"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2949" w:type="dxa"/>
            <w:tcBorders>
              <w:top w:val="single" w:sz="8" w:space="0" w:color="000000"/>
              <w:left w:val="nil" w:sz="6" w:space="0" w:color="auto"/>
              <w:bottom w:val="single" w:sz="8" w:space="0" w:color="000000"/>
              <w:right w:val="nil" w:sz="6" w:space="0" w:color="auto"/>
            </w:tcBorders>
          </w:tcPr>
          <w:p>
            <w:pPr/>
          </w:p>
        </w:tc>
        <w:tc>
          <w:tcPr>
            <w:tcW w:w="2011"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其中：货币资金</w:t>
            </w: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950" w:right="0"/>
              <w:jc w:val="left"/>
              <w:rPr>
                <w:rFonts w:ascii="Times New Roman" w:hAnsi="Times New Roman" w:cs="Times New Roman" w:eastAsia="Times New Roman" w:hint="default"/>
                <w:sz w:val="24"/>
                <w:szCs w:val="24"/>
              </w:rPr>
            </w:pPr>
            <w:r>
              <w:rPr>
                <w:rFonts w:ascii="Times New Roman"/>
                <w:sz w:val="24"/>
              </w:rPr>
              <w:t>23,756.08</w:t>
            </w:r>
          </w:p>
        </w:tc>
        <w:tc>
          <w:tcPr>
            <w:tcW w:w="201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52,108.57</w:t>
            </w:r>
          </w:p>
        </w:tc>
      </w:tr>
      <w:tr>
        <w:trPr>
          <w:trHeight w:val="347"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949" w:type="dxa"/>
            <w:tcBorders>
              <w:top w:val="single" w:sz="8" w:space="0" w:color="000000"/>
              <w:left w:val="nil" w:sz="6" w:space="0" w:color="auto"/>
              <w:bottom w:val="single" w:sz="8" w:space="0" w:color="000000"/>
              <w:right w:val="nil" w:sz="6" w:space="0" w:color="auto"/>
            </w:tcBorders>
          </w:tcPr>
          <w:p>
            <w:pPr/>
          </w:p>
        </w:tc>
        <w:tc>
          <w:tcPr>
            <w:tcW w:w="2011"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其中：长期借款</w:t>
            </w:r>
          </w:p>
        </w:tc>
        <w:tc>
          <w:tcPr>
            <w:tcW w:w="2949" w:type="dxa"/>
            <w:tcBorders>
              <w:top w:val="single" w:sz="8" w:space="0" w:color="000000"/>
              <w:left w:val="nil" w:sz="6" w:space="0" w:color="auto"/>
              <w:bottom w:val="single" w:sz="8" w:space="0" w:color="000000"/>
              <w:right w:val="nil" w:sz="6" w:space="0" w:color="auto"/>
            </w:tcBorders>
          </w:tcPr>
          <w:p>
            <w:pPr/>
          </w:p>
        </w:tc>
        <w:tc>
          <w:tcPr>
            <w:tcW w:w="2011" w:type="dxa"/>
            <w:tcBorders>
              <w:top w:val="single" w:sz="8" w:space="0" w:color="000000"/>
              <w:left w:val="nil" w:sz="6" w:space="0" w:color="auto"/>
              <w:bottom w:val="single" w:sz="8" w:space="0" w:color="000000"/>
              <w:right w:val="nil" w:sz="6" w:space="0" w:color="auto"/>
            </w:tcBorders>
          </w:tcPr>
          <w:p>
            <w:pPr/>
          </w:p>
        </w:tc>
      </w:tr>
      <w:tr>
        <w:trPr>
          <w:trHeight w:val="659" w:hRule="exact"/>
        </w:trPr>
        <w:tc>
          <w:tcPr>
            <w:tcW w:w="4207"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39"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20"/>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left="950" w:right="0"/>
              <w:jc w:val="left"/>
              <w:rPr>
                <w:rFonts w:ascii="Times New Roman" w:hAnsi="Times New Roman" w:cs="Times New Roman" w:eastAsia="Times New Roman" w:hint="default"/>
                <w:sz w:val="24"/>
                <w:szCs w:val="24"/>
              </w:rPr>
            </w:pPr>
            <w:r>
              <w:rPr>
                <w:rFonts w:ascii="Times New Roman"/>
                <w:b/>
                <w:sz w:val="24"/>
              </w:rPr>
              <w:t>23,756.08</w:t>
            </w:r>
            <w:r>
              <w:rPr>
                <w:rFonts w:ascii="Times New Roman"/>
                <w:sz w:val="24"/>
              </w:rPr>
            </w:r>
          </w:p>
        </w:tc>
        <w:tc>
          <w:tcPr>
            <w:tcW w:w="2011"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8"/>
              <w:jc w:val="right"/>
              <w:rPr>
                <w:rFonts w:ascii="Times New Roman" w:hAnsi="Times New Roman" w:cs="Times New Roman" w:eastAsia="Times New Roman" w:hint="default"/>
                <w:sz w:val="24"/>
                <w:szCs w:val="24"/>
              </w:rPr>
            </w:pPr>
            <w:r>
              <w:rPr>
                <w:rFonts w:ascii="Times New Roman"/>
                <w:b/>
                <w:sz w:val="24"/>
              </w:rPr>
              <w:t>52,108.57</w:t>
            </w:r>
            <w:r>
              <w:rPr>
                <w:rFonts w:ascii="Times New Roman"/>
                <w:sz w:val="24"/>
              </w:rPr>
            </w:r>
          </w:p>
        </w:tc>
      </w:tr>
    </w:tbl>
    <w:p>
      <w:pPr>
        <w:pStyle w:val="BodyText"/>
        <w:spacing w:line="312" w:lineRule="exact" w:before="111"/>
        <w:ind w:right="1129"/>
        <w:jc w:val="both"/>
      </w:pPr>
      <w:r>
        <w:rPr/>
        <w:t>于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日，如果以浮动利率计算的借款利率上升或下降</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个基点，而其它因素 保持不变，本集团的净利润及股东权益将减少或增加约</w:t>
      </w:r>
      <w:r>
        <w:rPr>
          <w:rFonts w:ascii="Times New Roman" w:hAnsi="Times New Roman" w:cs="Times New Roman" w:eastAsia="Times New Roman" w:hint="default"/>
        </w:rPr>
        <w:t>232.92</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w:t>
      </w:r>
      <w:r>
        <w:rPr>
          <w:rFonts w:ascii="Times New Roman" w:hAnsi="Times New Roman" w:cs="Times New Roman" w:eastAsia="Times New Roman" w:hint="default"/>
        </w:rPr>
        <w:t>100 </w:t>
      </w:r>
      <w:r>
        <w:rPr/>
        <w:t>万元）。</w:t>
      </w:r>
    </w:p>
    <w:p>
      <w:pPr>
        <w:pStyle w:val="BodyText"/>
        <w:spacing w:line="312" w:lineRule="exact" w:before="216"/>
        <w:ind w:right="1129"/>
        <w:jc w:val="both"/>
      </w:pPr>
      <w:r>
        <w:rPr/>
        <w:t>对于资产负债表日持有的、使本集团面临公允价值利率风险的金融工具，上述敏感性分析中</w:t>
      </w:r>
      <w:r>
        <w:rPr>
          <w:spacing w:val="-109"/>
        </w:rPr>
        <w:t> </w:t>
      </w:r>
      <w:r>
        <w:rPr>
          <w:spacing w:val="-109"/>
        </w:rPr>
      </w:r>
      <w:r>
        <w:rPr/>
        <w:t>的净利润及股东权益的影响是假设在资产负债表日利率发生变动，按照新利率对上述金融工</w:t>
      </w:r>
      <w:r>
        <w:rPr/>
        <w:t> 具进行重新计量后的影响。对于资产负债表日持有的、使本集团面临现金流量利率风险的浮 动利率非衍生工具，上述敏感性分析中的净利润及股东权益的影响是上述利率变动对按年度 估算的利息费用或收入的影响。上一年度的分析基于同样的假设和方法。</w:t>
      </w:r>
    </w:p>
    <w:p>
      <w:pPr>
        <w:pStyle w:val="BodyText"/>
        <w:spacing w:line="240" w:lineRule="auto" w:before="185"/>
        <w:ind w:right="0"/>
        <w:jc w:val="both"/>
      </w:pPr>
      <w:r>
        <w:rPr/>
        <w:t>汇率风险</w:t>
      </w:r>
    </w:p>
    <w:p>
      <w:pPr>
        <w:spacing w:line="240" w:lineRule="auto" w:before="9"/>
        <w:rPr>
          <w:rFonts w:ascii="宋体" w:hAnsi="宋体" w:cs="宋体" w:eastAsia="宋体" w:hint="default"/>
          <w:sz w:val="18"/>
          <w:szCs w:val="18"/>
        </w:rPr>
      </w:pPr>
    </w:p>
    <w:p>
      <w:pPr>
        <w:pStyle w:val="BodyText"/>
        <w:spacing w:line="312" w:lineRule="exact"/>
        <w:ind w:right="1139"/>
        <w:jc w:val="both"/>
      </w:pPr>
      <w:r>
        <w:rPr/>
        <w:t>汇率风险主要为本集团的财务状况和现金流量受外汇汇率波动的影响。除了在澳大利亚设立 的子公司持有以澳元为结算货币的资产外，本集团持有的外币资产及负债占整体的资产及负 债比例并不重大。因此本集团认为面临的汇率风险并不重大。</w:t>
      </w:r>
    </w:p>
    <w:p>
      <w:pPr>
        <w:pStyle w:val="BodyText"/>
        <w:spacing w:line="312" w:lineRule="exact" w:before="216"/>
        <w:ind w:right="1132"/>
        <w:jc w:val="both"/>
      </w:pPr>
      <w:r>
        <w:rPr/>
        <w:t>于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日，本集团持有的外币金融资产和外币金融负债折算成人民币的金额列示 如下（单位：人民币元）：</w:t>
      </w:r>
    </w:p>
    <w:p>
      <w:pPr>
        <w:spacing w:line="240" w:lineRule="auto" w:before="2"/>
        <w:rPr>
          <w:rFonts w:ascii="宋体" w:hAnsi="宋体" w:cs="宋体" w:eastAsia="宋体"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1828"/>
        <w:gridCol w:w="2436"/>
        <w:gridCol w:w="1432"/>
        <w:gridCol w:w="1887"/>
        <w:gridCol w:w="1554"/>
      </w:tblGrid>
      <w:tr>
        <w:trPr>
          <w:trHeight w:val="350" w:hRule="exact"/>
        </w:trPr>
        <w:tc>
          <w:tcPr>
            <w:tcW w:w="1828" w:type="dxa"/>
            <w:tcBorders>
              <w:top w:val="single" w:sz="6" w:space="0" w:color="000000"/>
              <w:left w:val="nil" w:sz="6" w:space="0" w:color="auto"/>
              <w:bottom w:val="nil" w:sz="6" w:space="0" w:color="auto"/>
              <w:right w:val="nil" w:sz="6" w:space="0" w:color="auto"/>
            </w:tcBorders>
          </w:tcPr>
          <w:p>
            <w:pPr>
              <w:pStyle w:val="TableParagraph"/>
              <w:tabs>
                <w:tab w:pos="454" w:val="left" w:leader="none"/>
              </w:tabs>
              <w:spacing w:line="286" w:lineRule="exact"/>
              <w:ind w:left="9"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436"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344" w:right="0"/>
              <w:jc w:val="left"/>
              <w:rPr>
                <w:rFonts w:ascii="宋体" w:hAnsi="宋体" w:cs="宋体" w:eastAsia="宋体" w:hint="default"/>
                <w:sz w:val="24"/>
                <w:szCs w:val="24"/>
              </w:rPr>
            </w:pPr>
            <w:r>
              <w:rPr>
                <w:rFonts w:ascii="宋体" w:hAnsi="宋体" w:cs="宋体" w:eastAsia="宋体" w:hint="default"/>
                <w:b/>
                <w:bCs/>
                <w:sz w:val="24"/>
                <w:szCs w:val="24"/>
              </w:rPr>
              <w:t>外币负债</w:t>
            </w:r>
            <w:r>
              <w:rPr>
                <w:rFonts w:ascii="宋体" w:hAnsi="宋体" w:cs="宋体" w:eastAsia="宋体" w:hint="default"/>
                <w:sz w:val="24"/>
                <w:szCs w:val="24"/>
              </w:rPr>
            </w:r>
          </w:p>
        </w:tc>
        <w:tc>
          <w:tcPr>
            <w:tcW w:w="1432" w:type="dxa"/>
            <w:tcBorders>
              <w:top w:val="single" w:sz="6" w:space="0" w:color="000000"/>
              <w:left w:val="nil" w:sz="6" w:space="0" w:color="auto"/>
              <w:bottom w:val="single" w:sz="8" w:space="0" w:color="000000"/>
              <w:right w:val="nil" w:sz="6" w:space="0" w:color="auto"/>
            </w:tcBorders>
          </w:tcPr>
          <w:p>
            <w:pPr/>
          </w:p>
        </w:tc>
        <w:tc>
          <w:tcPr>
            <w:tcW w:w="3441" w:type="dxa"/>
            <w:gridSpan w:val="2"/>
            <w:tcBorders>
              <w:top w:val="single" w:sz="6" w:space="0" w:color="000000"/>
              <w:left w:val="nil" w:sz="6" w:space="0" w:color="auto"/>
              <w:bottom w:val="single" w:sz="8" w:space="0" w:color="000000"/>
              <w:right w:val="nil" w:sz="6" w:space="0" w:color="auto"/>
            </w:tcBorders>
          </w:tcPr>
          <w:p>
            <w:pPr>
              <w:pStyle w:val="TableParagraph"/>
              <w:spacing w:line="286" w:lineRule="exact"/>
              <w:ind w:left="1130" w:right="0"/>
              <w:jc w:val="left"/>
              <w:rPr>
                <w:rFonts w:ascii="宋体" w:hAnsi="宋体" w:cs="宋体" w:eastAsia="宋体" w:hint="default"/>
                <w:sz w:val="24"/>
                <w:szCs w:val="24"/>
              </w:rPr>
            </w:pPr>
            <w:r>
              <w:rPr>
                <w:rFonts w:ascii="宋体" w:hAnsi="宋体" w:cs="宋体" w:eastAsia="宋体" w:hint="default"/>
                <w:b/>
                <w:bCs/>
                <w:sz w:val="24"/>
                <w:szCs w:val="24"/>
              </w:rPr>
              <w:t>外币资产</w:t>
            </w:r>
            <w:r>
              <w:rPr>
                <w:rFonts w:ascii="宋体" w:hAnsi="宋体" w:cs="宋体" w:eastAsia="宋体" w:hint="default"/>
                <w:sz w:val="24"/>
                <w:szCs w:val="24"/>
              </w:rPr>
            </w:r>
          </w:p>
        </w:tc>
      </w:tr>
      <w:tr>
        <w:trPr>
          <w:trHeight w:val="347" w:hRule="exact"/>
        </w:trPr>
        <w:tc>
          <w:tcPr>
            <w:tcW w:w="1828" w:type="dxa"/>
            <w:tcBorders>
              <w:top w:val="nil" w:sz="6" w:space="0" w:color="auto"/>
              <w:left w:val="nil" w:sz="6" w:space="0" w:color="auto"/>
              <w:bottom w:val="single" w:sz="8" w:space="0" w:color="000000"/>
              <w:right w:val="nil" w:sz="6" w:space="0" w:color="auto"/>
            </w:tcBorders>
          </w:tcPr>
          <w:p>
            <w:pP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1094"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221"/>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887"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280"/>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80" w:lineRule="exact"/>
              <w:ind w:right="7"/>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436" w:type="dxa"/>
            <w:tcBorders>
              <w:top w:val="single" w:sz="8" w:space="0" w:color="000000"/>
              <w:left w:val="nil" w:sz="6" w:space="0" w:color="auto"/>
              <w:bottom w:val="single" w:sz="8" w:space="0" w:color="000000"/>
              <w:right w:val="nil" w:sz="6" w:space="0" w:color="auto"/>
            </w:tcBorders>
          </w:tcPr>
          <w:p>
            <w:pPr/>
          </w:p>
        </w:tc>
        <w:tc>
          <w:tcPr>
            <w:tcW w:w="1432" w:type="dxa"/>
            <w:tcBorders>
              <w:top w:val="single" w:sz="8" w:space="0" w:color="000000"/>
              <w:left w:val="nil" w:sz="6" w:space="0" w:color="auto"/>
              <w:bottom w:val="single" w:sz="8" w:space="0" w:color="000000"/>
              <w:right w:val="nil" w:sz="6" w:space="0" w:color="auto"/>
            </w:tcBorders>
          </w:tcPr>
          <w:p>
            <w:pPr/>
          </w:p>
        </w:tc>
        <w:tc>
          <w:tcPr>
            <w:tcW w:w="18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83"/>
              <w:jc w:val="right"/>
              <w:rPr>
                <w:rFonts w:ascii="Times New Roman" w:hAnsi="Times New Roman" w:cs="Times New Roman" w:eastAsia="Times New Roman" w:hint="default"/>
                <w:sz w:val="24"/>
                <w:szCs w:val="24"/>
              </w:rPr>
            </w:pPr>
            <w:r>
              <w:rPr>
                <w:rFonts w:ascii="Times New Roman"/>
                <w:sz w:val="24"/>
              </w:rPr>
              <w:t>11,647,252.90</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6,489,964.32</w:t>
            </w: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英镑</w:t>
            </w: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856" w:right="0"/>
              <w:jc w:val="left"/>
              <w:rPr>
                <w:rFonts w:ascii="Times New Roman" w:hAnsi="Times New Roman" w:cs="Times New Roman" w:eastAsia="Times New Roman" w:hint="default"/>
                <w:sz w:val="24"/>
                <w:szCs w:val="24"/>
              </w:rPr>
            </w:pPr>
            <w:r>
              <w:rPr>
                <w:rFonts w:ascii="Times New Roman"/>
                <w:sz w:val="24"/>
              </w:rPr>
              <w:t>55,911.17</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2"/>
              <w:jc w:val="right"/>
              <w:rPr>
                <w:rFonts w:ascii="Times New Roman" w:hAnsi="Times New Roman" w:cs="Times New Roman" w:eastAsia="Times New Roman" w:hint="default"/>
                <w:sz w:val="24"/>
                <w:szCs w:val="24"/>
              </w:rPr>
            </w:pPr>
            <w:r>
              <w:rPr>
                <w:rFonts w:ascii="Times New Roman"/>
                <w:sz w:val="24"/>
              </w:rPr>
              <w:t>56,574.92</w:t>
            </w:r>
          </w:p>
        </w:tc>
        <w:tc>
          <w:tcPr>
            <w:tcW w:w="1887" w:type="dxa"/>
            <w:tcBorders>
              <w:top w:val="single" w:sz="8" w:space="0" w:color="000000"/>
              <w:left w:val="nil" w:sz="6" w:space="0" w:color="auto"/>
              <w:bottom w:val="single" w:sz="8" w:space="0" w:color="000000"/>
              <w:right w:val="nil" w:sz="6" w:space="0" w:color="auto"/>
            </w:tcBorders>
          </w:tcPr>
          <w:p>
            <w:pPr/>
          </w:p>
        </w:tc>
        <w:tc>
          <w:tcPr>
            <w:tcW w:w="1554"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182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澳元</w:t>
            </w: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36" w:right="0"/>
              <w:jc w:val="left"/>
              <w:rPr>
                <w:rFonts w:ascii="Times New Roman" w:hAnsi="Times New Roman" w:cs="Times New Roman" w:eastAsia="Times New Roman" w:hint="default"/>
                <w:sz w:val="24"/>
                <w:szCs w:val="24"/>
              </w:rPr>
            </w:pPr>
            <w:r>
              <w:rPr>
                <w:rFonts w:ascii="Times New Roman"/>
                <w:sz w:val="24"/>
              </w:rPr>
              <w:t>153,253.05</w:t>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2"/>
              <w:jc w:val="right"/>
              <w:rPr>
                <w:rFonts w:ascii="Times New Roman" w:hAnsi="Times New Roman" w:cs="Times New Roman" w:eastAsia="Times New Roman" w:hint="default"/>
                <w:sz w:val="24"/>
                <w:szCs w:val="24"/>
              </w:rPr>
            </w:pPr>
            <w:r>
              <w:rPr>
                <w:rFonts w:ascii="Times New Roman"/>
                <w:sz w:val="24"/>
              </w:rPr>
              <w:t>332,095.02</w:t>
            </w:r>
          </w:p>
        </w:tc>
        <w:tc>
          <w:tcPr>
            <w:tcW w:w="18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83"/>
              <w:jc w:val="right"/>
              <w:rPr>
                <w:rFonts w:ascii="Times New Roman" w:hAnsi="Times New Roman" w:cs="Times New Roman" w:eastAsia="Times New Roman" w:hint="default"/>
                <w:sz w:val="24"/>
                <w:szCs w:val="24"/>
              </w:rPr>
            </w:pPr>
            <w:r>
              <w:rPr>
                <w:rFonts w:ascii="Times New Roman"/>
                <w:sz w:val="24"/>
              </w:rPr>
              <w:t>1,840,602.45</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1,828,013.00</w:t>
            </w:r>
          </w:p>
        </w:tc>
      </w:tr>
      <w:tr>
        <w:trPr>
          <w:trHeight w:val="348" w:hRule="exact"/>
        </w:trPr>
        <w:tc>
          <w:tcPr>
            <w:tcW w:w="1828" w:type="dxa"/>
            <w:tcBorders>
              <w:top w:val="single" w:sz="8" w:space="0" w:color="000000"/>
              <w:left w:val="nil" w:sz="6" w:space="0" w:color="auto"/>
              <w:bottom w:val="single" w:sz="8" w:space="0" w:color="000000"/>
              <w:right w:val="nil" w:sz="6" w:space="0" w:color="auto"/>
            </w:tcBorders>
          </w:tcPr>
          <w:p>
            <w:pPr>
              <w:pStyle w:val="TableParagraph"/>
              <w:tabs>
                <w:tab w:pos="454" w:val="left" w:leader="none"/>
              </w:tabs>
              <w:spacing w:line="281" w:lineRule="exact"/>
              <w:ind w:left="9"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736" w:right="0"/>
              <w:jc w:val="left"/>
              <w:rPr>
                <w:rFonts w:ascii="Times New Roman" w:hAnsi="Times New Roman" w:cs="Times New Roman" w:eastAsia="Times New Roman" w:hint="default"/>
                <w:sz w:val="24"/>
                <w:szCs w:val="24"/>
              </w:rPr>
            </w:pPr>
            <w:r>
              <w:rPr>
                <w:rFonts w:ascii="Times New Roman"/>
                <w:b/>
                <w:sz w:val="24"/>
              </w:rPr>
              <w:t>209,164.22</w:t>
            </w:r>
            <w:r>
              <w:rPr>
                <w:rFonts w:ascii="Times New Roman"/>
                <w:sz w:val="24"/>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222"/>
              <w:jc w:val="right"/>
              <w:rPr>
                <w:rFonts w:ascii="Times New Roman" w:hAnsi="Times New Roman" w:cs="Times New Roman" w:eastAsia="Times New Roman" w:hint="default"/>
                <w:sz w:val="24"/>
                <w:szCs w:val="24"/>
              </w:rPr>
            </w:pPr>
            <w:r>
              <w:rPr>
                <w:rFonts w:ascii="Times New Roman"/>
                <w:b/>
                <w:sz w:val="24"/>
              </w:rPr>
              <w:t>388,669.94</w:t>
            </w:r>
            <w:r>
              <w:rPr>
                <w:rFonts w:ascii="Times New Roman"/>
                <w:sz w:val="24"/>
              </w:rPr>
            </w:r>
          </w:p>
        </w:tc>
        <w:tc>
          <w:tcPr>
            <w:tcW w:w="1887"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283"/>
              <w:jc w:val="right"/>
              <w:rPr>
                <w:rFonts w:ascii="Times New Roman" w:hAnsi="Times New Roman" w:cs="Times New Roman" w:eastAsia="Times New Roman" w:hint="default"/>
                <w:sz w:val="24"/>
                <w:szCs w:val="24"/>
              </w:rPr>
            </w:pPr>
            <w:r>
              <w:rPr>
                <w:rFonts w:ascii="Times New Roman"/>
                <w:b/>
                <w:sz w:val="24"/>
              </w:rPr>
              <w:t>13,487,855.35</w:t>
            </w:r>
            <w:r>
              <w:rPr>
                <w:rFonts w:ascii="Times New Roman"/>
                <w:sz w:val="24"/>
              </w:rPr>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8,317,977.32</w:t>
            </w:r>
            <w:r>
              <w:rPr>
                <w:rFonts w:ascii="Times New Roman"/>
                <w:sz w:val="24"/>
              </w:rPr>
            </w:r>
          </w:p>
        </w:tc>
      </w:tr>
    </w:tbl>
    <w:p>
      <w:pPr>
        <w:pStyle w:val="BodyText"/>
        <w:spacing w:line="312" w:lineRule="exact" w:before="111"/>
        <w:ind w:right="817"/>
        <w:jc w:val="left"/>
      </w:pPr>
      <w:r>
        <w:rPr/>
        <w:t>本集团密切关注汇率变动对本集团汇率风险的影响。本集团目前并未采取任何措施规避汇率 风险。但管理层负责监控汇率风险，并将于需要时考虑对冲重大汇率风险。</w:t>
      </w:r>
    </w:p>
    <w:p>
      <w:pPr>
        <w:spacing w:line="240" w:lineRule="auto" w:before="7"/>
        <w:rPr>
          <w:rFonts w:ascii="宋体" w:hAnsi="宋体" w:cs="宋体" w:eastAsia="宋体" w:hint="default"/>
          <w:sz w:val="16"/>
          <w:szCs w:val="16"/>
        </w:rPr>
      </w:pPr>
    </w:p>
    <w:p>
      <w:pPr>
        <w:pStyle w:val="BodyText"/>
        <w:spacing w:line="312" w:lineRule="exact"/>
        <w:ind w:right="1002"/>
        <w:jc w:val="left"/>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日，对于本集团以外币计价的货币资金、应收账款、其他应收款、应付账款、</w:t>
      </w:r>
      <w:r>
        <w:rPr>
          <w:spacing w:val="-114"/>
        </w:rPr>
        <w:t> </w:t>
      </w:r>
      <w:r>
        <w:rPr>
          <w:spacing w:val="-114"/>
        </w:rPr>
      </w:r>
      <w:r>
        <w:rPr/>
        <w:t>其他应付款等外币资产、负债，假设人民币对外币（主要为对美元、英镑和澳元）升值或贬 </w:t>
      </w:r>
      <w:r>
        <w:rPr>
          <w:spacing w:val="7"/>
        </w:rPr>
        <w:t>值</w:t>
      </w:r>
      <w:r>
        <w:rPr>
          <w:rFonts w:ascii="Times New Roman" w:hAnsi="Times New Roman" w:cs="Times New Roman" w:eastAsia="Times New Roman" w:hint="default"/>
          <w:spacing w:val="7"/>
        </w:rPr>
        <w:t>10%</w:t>
      </w:r>
      <w:r>
        <w:rPr>
          <w:spacing w:val="7"/>
        </w:rPr>
        <w:t>，而其他因素保持不变，则会导致本集团股东权益及净利润均增加或减少约人民币</w:t>
      </w:r>
    </w:p>
    <w:p>
      <w:pPr>
        <w:spacing w:after="0" w:line="312" w:lineRule="exact"/>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240" w:lineRule="auto" w:before="26"/>
        <w:ind w:right="817"/>
        <w:jc w:val="left"/>
      </w:pPr>
      <w:r>
        <w:rPr>
          <w:rFonts w:ascii="Times New Roman" w:hAnsi="Times New Roman" w:cs="Times New Roman" w:eastAsia="Times New Roman" w:hint="default"/>
        </w:rPr>
        <w:t>132.79</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日：约人民币</w:t>
      </w:r>
      <w:r>
        <w:rPr>
          <w:rFonts w:ascii="Times New Roman" w:hAnsi="Times New Roman" w:cs="Times New Roman" w:eastAsia="Times New Roman" w:hint="default"/>
        </w:rPr>
        <w:t>79.29</w:t>
      </w:r>
      <w:r>
        <w:rPr/>
        <w:t>万元）。</w:t>
      </w:r>
    </w:p>
    <w:p>
      <w:pPr>
        <w:pStyle w:val="BodyText"/>
        <w:spacing w:line="240" w:lineRule="auto" w:before="195"/>
        <w:ind w:right="817"/>
        <w:jc w:val="left"/>
      </w:pPr>
      <w:r>
        <w:rPr>
          <w:rFonts w:ascii="Times New Roman" w:hAnsi="Times New Roman" w:cs="Times New Roman" w:eastAsia="Times New Roman" w:hint="default"/>
        </w:rPr>
        <w:t>2</w:t>
      </w:r>
      <w:r>
        <w:rPr/>
        <w:t>、资本管理</w:t>
      </w:r>
    </w:p>
    <w:p>
      <w:pPr>
        <w:pStyle w:val="BodyText"/>
        <w:spacing w:line="240" w:lineRule="auto" w:before="195"/>
        <w:ind w:right="817"/>
        <w:jc w:val="left"/>
      </w:pPr>
      <w:r>
        <w:rPr/>
        <w:t>本集团资本管理政策的目标是为了保障本集团能够持续经营，从而为股东提供回报，并使其 他利益相关者获益，同时维持最佳的资本结构以降低资本成本。</w:t>
      </w:r>
    </w:p>
    <w:p>
      <w:pPr>
        <w:spacing w:line="240" w:lineRule="auto" w:before="9"/>
        <w:rPr>
          <w:rFonts w:ascii="宋体" w:hAnsi="宋体" w:cs="宋体" w:eastAsia="宋体" w:hint="default"/>
          <w:sz w:val="18"/>
          <w:szCs w:val="18"/>
        </w:rPr>
      </w:pPr>
    </w:p>
    <w:p>
      <w:pPr>
        <w:pStyle w:val="BodyText"/>
        <w:spacing w:line="312" w:lineRule="exact"/>
        <w:ind w:right="817"/>
        <w:jc w:val="left"/>
      </w:pPr>
      <w:r>
        <w:rPr/>
        <w:t>为了维持或调整资本结构，本集团可能会调整支付给股东的股利金额、向股东返还资本、发 行新股或出售资产以减低债务。</w:t>
      </w:r>
    </w:p>
    <w:p>
      <w:pPr>
        <w:spacing w:line="240" w:lineRule="auto" w:before="7"/>
        <w:rPr>
          <w:rFonts w:ascii="宋体" w:hAnsi="宋体" w:cs="宋体" w:eastAsia="宋体" w:hint="default"/>
          <w:sz w:val="16"/>
          <w:szCs w:val="16"/>
        </w:rPr>
      </w:pPr>
    </w:p>
    <w:p>
      <w:pPr>
        <w:pStyle w:val="BodyText"/>
        <w:spacing w:line="312" w:lineRule="exact"/>
        <w:ind w:right="817"/>
        <w:jc w:val="left"/>
      </w:pPr>
      <w:r>
        <w:rPr/>
        <w:t>本集团以资产负债率（即总负债除以总资产）为基础对资本结构进行监控。于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9"/>
        </w:rPr>
        <w:t> </w:t>
      </w:r>
      <w:r>
        <w:rPr/>
        <w:t>日，本集团的资产负债率为</w:t>
      </w:r>
      <w:r>
        <w:rPr>
          <w:rFonts w:ascii="Times New Roman" w:hAnsi="Times New Roman" w:cs="Times New Roman" w:eastAsia="Times New Roman" w:hint="default"/>
        </w:rPr>
        <w:t>38.74%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36.72%</w:t>
      </w:r>
      <w:r>
        <w:rPr/>
        <w:t>）。</w:t>
      </w:r>
    </w:p>
    <w:p>
      <w:pPr>
        <w:spacing w:line="240" w:lineRule="auto" w:before="10"/>
        <w:rPr>
          <w:rFonts w:ascii="宋体" w:hAnsi="宋体" w:cs="宋体" w:eastAsia="宋体" w:hint="default"/>
          <w:sz w:val="20"/>
          <w:szCs w:val="20"/>
        </w:rPr>
      </w:pPr>
    </w:p>
    <w:p>
      <w:pPr>
        <w:pStyle w:val="Heading2"/>
        <w:spacing w:line="240" w:lineRule="auto"/>
        <w:ind w:right="817"/>
        <w:jc w:val="left"/>
        <w:rPr>
          <w:b w:val="0"/>
          <w:bCs w:val="0"/>
        </w:rPr>
      </w:pPr>
      <w:bookmarkStart w:name="十一、公允价值的披露" w:id="364"/>
      <w:bookmarkEnd w:id="36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以公允价值计量的资产和负债的期末公允价值" w:id="365"/>
      <w:bookmarkEnd w:id="3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其中：存货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20,676,853.72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20,676,853.72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143,471,452.34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143,471,452.34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其中：投资性房地产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14,292,691.68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14,292,691.68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其中：无形资产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59,000,333.96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59,000,333.96</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237,441,331.70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237,441,331.70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其中：递延所得税负债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16,295,799.06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16,295,799.06</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16,295,799.06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16,295,799.06</w:t>
            </w:r>
          </w:p>
        </w:tc>
      </w:tr>
    </w:tbl>
    <w:p>
      <w:pPr>
        <w:spacing w:line="240" w:lineRule="auto" w:before="3"/>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2、持续和非持续第一层次公允价值计量项目市价的确定依据" w:id="366"/>
      <w:bookmarkEnd w:id="3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817"/>
        <w:jc w:val="left"/>
      </w:pPr>
      <w:r>
        <w:rPr/>
        <w:t>相同资产或负债在活跃市场中的报价（未经调整的）。</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3、持续和非持续第二层次公允价值计量项目，采用的估值技术和重要参数的定性及定量信" w:id="367"/>
      <w:bookmarkEnd w:id="3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52"/>
        <w:jc w:val="left"/>
      </w:pPr>
      <w:r>
        <w:rPr/>
        <w:t>直接（即价格）或间接（即从价格推导出）地使用除第一层次中的资产或负债的市场报价之 外的可观察输入值。</w:t>
      </w:r>
    </w:p>
    <w:p>
      <w:pPr>
        <w:spacing w:line="240" w:lineRule="auto" w:before="7"/>
        <w:rPr>
          <w:rFonts w:ascii="宋体" w:hAnsi="宋体" w:cs="宋体" w:eastAsia="宋体" w:hint="default"/>
          <w:sz w:val="22"/>
          <w:szCs w:val="22"/>
        </w:rPr>
      </w:pPr>
    </w:p>
    <w:p>
      <w:pPr>
        <w:spacing w:line="487" w:lineRule="auto" w:before="0"/>
        <w:ind w:left="154" w:right="817" w:firstLine="0"/>
        <w:jc w:val="left"/>
        <w:rPr>
          <w:rFonts w:ascii="宋体" w:hAnsi="宋体" w:cs="宋体" w:eastAsia="宋体" w:hint="default"/>
          <w:sz w:val="21"/>
          <w:szCs w:val="21"/>
        </w:rPr>
      </w:pPr>
      <w:bookmarkStart w:name="4、持续和非持续第三层次公允价值计量项目，采用的估值技术和重要参数的定性及定量信" w:id="368"/>
      <w:bookmarkEnd w:id="36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z w:val="24"/>
          <w:szCs w:val="24"/>
        </w:rPr>
        <w:t>资产或负债使用了任何非基于可观察市场数据的输入值（不可观察输入值）。 </w:t>
      </w:r>
      <w:bookmarkStart w:name="5、持续的第三层次公允价值计量项目，期初与期末账面价值间的调节信息及不可观察参数" w:id="369"/>
      <w:bookmarkEnd w:id="369"/>
      <w:r>
        <w:rPr>
          <w:rFonts w:ascii="宋体" w:hAnsi="宋体" w:cs="宋体" w:eastAsia="宋体" w:hint="default"/>
          <w:sz w:val="24"/>
          <w:szCs w:val="24"/>
        </w:rPr>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before="107"/>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6、持续的公允价值计量项目，本期内发生各层级之间转换的，转换的原因及确定转换时点" w:id="370"/>
      <w:bookmarkEnd w:id="37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7、本期内发生的估值技术变更及变更原因" w:id="371"/>
      <w:bookmarkEnd w:id="37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8、不以公允价值计量的金融资产和金融负债的公允价值情况" w:id="372"/>
      <w:bookmarkEnd w:id="37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jc w:val="both"/>
      </w:pPr>
      <w:r>
        <w:rPr/>
        <w:t>本集团以摊余成本计量的金融资产和金融负债主要包括：货币资金、应收票据、应收账款、 可供出售金融资产、其他应收款、短期借款、应付票据、应付账款、其他应付款、一年内到 期的长期借款、长期借款等。</w:t>
      </w:r>
    </w:p>
    <w:p>
      <w:pPr>
        <w:pStyle w:val="BodyText"/>
        <w:spacing w:line="240" w:lineRule="auto" w:before="185"/>
        <w:ind w:right="0"/>
        <w:jc w:val="both"/>
      </w:pPr>
      <w:r>
        <w:rPr/>
        <w:t>本集团不以公允价值计量的金融资产和金融负债的账面价值与公允价值相差很小。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9、其他" w:id="373"/>
      <w:bookmarkEnd w:id="37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70"/>
        <w:jc w:val="both"/>
      </w:pPr>
      <w:r>
        <w:rPr/>
        <w:t>上述项目均为因非同一控制下企业合并中取得的被购买方可辨认资产、负债于购买日的公允 价值。公允价值系基于市场价值的价值类型，采用成本法评估，从重置成本的角度确认可辨 认资产、负债公允价值。</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二、关联方及关联交易" w:id="374"/>
      <w:bookmarkEnd w:id="374"/>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本企业的母公司情况" w:id="375"/>
      <w:bookmarkEnd w:id="37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4" w:right="787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本企业最终控制方是杨保田、杨成。 其他说明：</w:t>
      </w:r>
    </w:p>
    <w:p>
      <w:pPr>
        <w:spacing w:line="240" w:lineRule="auto" w:before="11"/>
        <w:rPr>
          <w:rFonts w:ascii="宋体" w:hAnsi="宋体" w:cs="宋体" w:eastAsia="宋体" w:hint="default"/>
          <w:sz w:val="19"/>
          <w:szCs w:val="19"/>
        </w:rPr>
      </w:pPr>
    </w:p>
    <w:p>
      <w:pPr>
        <w:spacing w:before="0"/>
        <w:ind w:left="154" w:right="817" w:firstLine="0"/>
        <w:jc w:val="left"/>
        <w:rPr>
          <w:rFonts w:ascii="宋体" w:hAnsi="宋体" w:cs="宋体" w:eastAsia="宋体" w:hint="default"/>
          <w:sz w:val="21"/>
          <w:szCs w:val="21"/>
        </w:rPr>
      </w:pPr>
      <w:bookmarkStart w:name="2、本企业的子公司情况" w:id="376"/>
      <w:bookmarkEnd w:id="3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footerReference w:type="default" r:id="rId19"/>
          <w:pgSz w:w="11910" w:h="16840"/>
          <w:pgMar w:footer="979" w:header="747" w:top="1060" w:bottom="1160" w:left="980" w:right="0"/>
          <w:pgNumType w:start="215"/>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3、其他关联方情况" w:id="377"/>
      <w:bookmarkEnd w:id="37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卧龙电气集团股份有限公司（以下简称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卧龙电气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卧龙控股集团有限公司（以下简称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卧龙控股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持有卧龙电气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卧龙电气集团北京华泰变压器有限公司（以下简称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北京华泰</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卧龙控股的控股子公司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卧龙电气烟台东源变压器有限公司（以下简称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烟台东源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卧龙控股的控股子公司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上海卧龙国际商务股份有限公司（以下简称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上海商务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浙江龙能电力发展有限公司（以下简称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浙江龙能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梁山龙能电力发展有限公司（以下简称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梁山龙能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都昌龙能电力发展有限公司（以下简称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都昌龙能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浙江白云浙变电气设备有限公司（以下简称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白云浙变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卧龙控股的联营公司</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关联交易情况" w:id="378"/>
      <w:bookmarkEnd w:id="3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购销商品、提供和接受劳务的关联交易"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653,965.52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994,786.32</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1,076,225.54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5" w:right="0"/>
              <w:jc w:val="left"/>
              <w:rPr>
                <w:rFonts w:ascii="Times New Roman" w:hAnsi="Times New Roman" w:cs="Times New Roman" w:eastAsia="Times New Roman" w:hint="default"/>
                <w:sz w:val="18"/>
                <w:szCs w:val="18"/>
              </w:rPr>
            </w:pPr>
            <w:r>
              <w:rPr>
                <w:rFonts w:ascii="Times New Roman"/>
                <w:sz w:val="18"/>
              </w:rPr>
              <w:t>78,292,277.37</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关联受托管理/承包及委托管理/出包情况"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关联租赁情况" w:id="381"/>
      <w:bookmarkEnd w:id="3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4）关联担保情况"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309" w:lineRule="auto" w:before="116"/>
        <w:ind w:left="154" w:right="1133" w:firstLine="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月完成银川卧龙</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股权及星波通信</w:t>
      </w:r>
      <w:r>
        <w:rPr>
          <w:rFonts w:ascii="Times New Roman" w:hAnsi="Times New Roman" w:cs="Times New Roman" w:eastAsia="Times New Roman" w:hint="default"/>
          <w:sz w:val="18"/>
          <w:szCs w:val="18"/>
        </w:rPr>
        <w:t>67.54%</w:t>
      </w:r>
      <w:r>
        <w:rPr>
          <w:rFonts w:ascii="宋体" w:hAnsi="宋体" w:cs="宋体" w:eastAsia="宋体" w:hint="default"/>
          <w:sz w:val="18"/>
          <w:szCs w:val="18"/>
        </w:rPr>
        <w:t>股权收购事宜，本次收购完成后，卧龙电气成为公司</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w:t>
      </w:r>
      <w:r>
        <w:rPr>
          <w:rFonts w:ascii="宋体" w:hAnsi="宋体" w:cs="宋体" w:eastAsia="宋体" w:hint="default"/>
          <w:spacing w:val="-2"/>
          <w:sz w:val="18"/>
          <w:szCs w:val="18"/>
        </w:rPr>
        <w:t>东。银川卧龙为卧龙电气原全资子公司，银川卧龙与卧龙电气并表内的子公司提供了担保，因本次收购完成后卧龙电气成为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上市公司关联股东的情形，导致卧龙电气为银川卧龙未到期银行借款提供的担保变更为关联担保。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1"/>
        <w:ind w:left="154" w:right="0" w:firstLine="0"/>
        <w:jc w:val="both"/>
        <w:rPr>
          <w:rFonts w:ascii="宋体" w:hAnsi="宋体" w:cs="宋体" w:eastAsia="宋体" w:hint="default"/>
          <w:sz w:val="21"/>
          <w:szCs w:val="21"/>
        </w:rPr>
      </w:pPr>
      <w:bookmarkStart w:name="（5）关联方资金拆借"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004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spacing w:before="35"/>
        <w:ind w:left="154" w:right="817" w:firstLine="0"/>
        <w:jc w:val="left"/>
        <w:rPr>
          <w:rFonts w:ascii="宋体" w:hAnsi="宋体" w:cs="宋体" w:eastAsia="宋体" w:hint="default"/>
          <w:sz w:val="21"/>
          <w:szCs w:val="21"/>
        </w:rPr>
      </w:pPr>
      <w:bookmarkStart w:name="（6）关联方资产转让、债务重组情况"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7）关键管理人员报酬"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3,561,700.39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5,908,027.25</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8）其他关联交易"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4" w:right="8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股东杨成和澳洲红相董事</w:t>
      </w:r>
      <w:r>
        <w:rPr>
          <w:rFonts w:ascii="Times New Roman" w:hAnsi="Times New Roman" w:cs="Times New Roman" w:eastAsia="Times New Roman" w:hint="default"/>
          <w:sz w:val="21"/>
          <w:szCs w:val="21"/>
        </w:rPr>
        <w:t>Ri</w:t>
      </w:r>
      <w:r>
        <w:rPr>
          <w:rFonts w:ascii="Times New Roman" w:hAnsi="Times New Roman" w:cs="Times New Roman" w:eastAsia="Times New Roman" w:hint="default"/>
          <w:spacing w:val="-1"/>
          <w:sz w:val="21"/>
          <w:szCs w:val="21"/>
        </w:rPr>
        <w:t>c</w:t>
      </w:r>
      <w:r>
        <w:rPr>
          <w:rFonts w:ascii="Times New Roman" w:hAnsi="Times New Roman" w:cs="Times New Roman" w:eastAsia="Times New Roman" w:hint="default"/>
          <w:sz w:val="21"/>
          <w:szCs w:val="21"/>
        </w:rPr>
        <w:t>hard</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
          <w:w w:val="99"/>
          <w:sz w:val="21"/>
          <w:szCs w:val="21"/>
        </w:rPr>
        <w:t>M</w:t>
      </w:r>
      <w:r>
        <w:rPr>
          <w:rFonts w:ascii="Times New Roman" w:hAnsi="Times New Roman" w:cs="Times New Roman" w:eastAsia="Times New Roman" w:hint="default"/>
          <w:spacing w:val="-1"/>
          <w:sz w:val="21"/>
          <w:szCs w:val="21"/>
        </w:rPr>
        <w:t>i</w:t>
      </w:r>
      <w:r>
        <w:rPr>
          <w:rFonts w:ascii="Times New Roman" w:hAnsi="Times New Roman" w:cs="Times New Roman" w:eastAsia="Times New Roman" w:hint="default"/>
          <w:sz w:val="21"/>
          <w:szCs w:val="21"/>
        </w:rPr>
        <w:t>chael</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Dowling</w:t>
      </w:r>
      <w:r>
        <w:rPr>
          <w:rFonts w:ascii="宋体" w:hAnsi="宋体" w:cs="宋体" w:eastAsia="宋体" w:hint="default"/>
          <w:sz w:val="21"/>
          <w:szCs w:val="21"/>
        </w:rPr>
        <w:t>对子公司澳洲红相的房租提供了担保</w:t>
      </w:r>
      <w:r>
        <w:rPr>
          <w:rFonts w:ascii="宋体" w:hAnsi="宋体" w:cs="宋体" w:eastAsia="宋体" w:hint="default"/>
          <w:spacing w:val="-94"/>
          <w:sz w:val="21"/>
          <w:szCs w:val="21"/>
        </w:rPr>
        <w:t>，</w:t>
      </w:r>
      <w:r>
        <w:rPr>
          <w:rFonts w:ascii="宋体" w:hAnsi="宋体" w:cs="宋体" w:eastAsia="宋体" w:hint="default"/>
          <w:sz w:val="21"/>
          <w:szCs w:val="21"/>
        </w:rPr>
        <w:t>担保起始日为</w:t>
      </w:r>
      <w:r>
        <w:rPr>
          <w:rFonts w:ascii="Times New Roman" w:hAnsi="Times New Roman" w:cs="Times New Roman" w:eastAsia="Times New Roman" w:hint="default"/>
          <w:sz w:val="21"/>
          <w:szCs w:val="21"/>
        </w:rPr>
        <w:t>2009</w:t>
      </w:r>
    </w:p>
    <w:p>
      <w:pPr>
        <w:spacing w:before="21"/>
        <w:ind w:left="154" w:right="81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日，担保到期日为</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5、关联方应收应付款项" w:id="387"/>
      <w:bookmarkEnd w:id="3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应收项目"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21,341,846.56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1,067,092.33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39,321,001.46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393,210.01</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367,720.00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2,016,926.54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201,692.65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4,521,105.94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226,055.30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1,098,570.22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109,857.02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1,098,570.22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54,928.51</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389,548.67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38,954.87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1,036,348.67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51,817.43</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梁山龙能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84,230.00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浙江龙能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13,491.18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134,911.80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6,745.59</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卧龙控股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上海商务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2）应付项目"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白云浙变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1,076,225.54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758,600.00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北京华泰</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3,572,250.91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银川卧龙和星波通信原股东</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462,604,229.84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686,863.02</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6、关联方承诺" w:id="390"/>
      <w:bookmarkEnd w:id="39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13" w:lineRule="exact"/>
        <w:ind w:right="817"/>
        <w:jc w:val="left"/>
      </w:pPr>
      <w:r>
        <w:rPr>
          <w:spacing w:val="-3"/>
        </w:rPr>
        <w:t>根据红相股份与子公司银川卧龙原股东（卧龙电气）达成的约定，补偿义务人卧龙电气承诺：</w:t>
      </w:r>
    </w:p>
    <w:p>
      <w:pPr>
        <w:pStyle w:val="BodyText"/>
        <w:spacing w:line="312" w:lineRule="exact" w:before="29"/>
        <w:ind w:right="1131"/>
        <w:jc w:val="both"/>
      </w:pPr>
      <w:r>
        <w:rPr/>
        <w:t>（</w:t>
      </w:r>
      <w:r>
        <w:rPr>
          <w:rFonts w:ascii="Times New Roman" w:hAnsi="Times New Roman" w:cs="Times New Roman" w:eastAsia="Times New Roman" w:hint="default"/>
        </w:rPr>
        <w:t>1</w:t>
      </w:r>
      <w:r>
        <w:rPr/>
        <w:t>）银川卧龙</w:t>
      </w:r>
      <w:r>
        <w:rPr>
          <w:rFonts w:ascii="Times New Roman" w:hAnsi="Times New Roman" w:cs="Times New Roman" w:eastAsia="Times New Roman" w:hint="default"/>
        </w:rPr>
        <w:t>2017</w:t>
      </w:r>
      <w:r>
        <w:rPr/>
        <w:t>年度实现的归属于母公司所有者的净利润不低于</w:t>
      </w:r>
      <w:r>
        <w:rPr>
          <w:rFonts w:ascii="Times New Roman" w:hAnsi="Times New Roman" w:cs="Times New Roman" w:eastAsia="Times New Roman" w:hint="default"/>
        </w:rPr>
        <w:t>9,000</w:t>
      </w:r>
      <w:r>
        <w:rPr/>
        <w:t>万元，</w:t>
      </w:r>
      <w:r>
        <w:rPr>
          <w:rFonts w:ascii="Times New Roman" w:hAnsi="Times New Roman" w:cs="Times New Roman" w:eastAsia="Times New Roman" w:hint="default"/>
        </w:rPr>
        <w:t>2018</w:t>
      </w:r>
      <w:r>
        <w:rPr/>
        <w:t>年度实</w:t>
      </w:r>
      <w:r>
        <w:rPr>
          <w:spacing w:val="-33"/>
        </w:rPr>
        <w:t> </w:t>
      </w:r>
      <w:r>
        <w:rPr>
          <w:spacing w:val="-33"/>
        </w:rPr>
      </w:r>
      <w:r>
        <w:rPr/>
        <w:t>现的归属于母公司所有者的净利润不低于</w:t>
      </w:r>
      <w:r>
        <w:rPr>
          <w:rFonts w:ascii="Times New Roman" w:hAnsi="Times New Roman" w:cs="Times New Roman" w:eastAsia="Times New Roman" w:hint="default"/>
        </w:rPr>
        <w:t>10,600</w:t>
      </w:r>
      <w:r>
        <w:rPr/>
        <w:t>万元，</w:t>
      </w:r>
      <w:r>
        <w:rPr>
          <w:rFonts w:ascii="Times New Roman" w:hAnsi="Times New Roman" w:cs="Times New Roman" w:eastAsia="Times New Roman" w:hint="default"/>
        </w:rPr>
        <w:t>2019</w:t>
      </w:r>
      <w:r>
        <w:rPr/>
        <w:t>年实现的归属于母公司所有者的</w:t>
      </w:r>
      <w:r>
        <w:rPr>
          <w:spacing w:val="-36"/>
        </w:rPr>
        <w:t> </w:t>
      </w:r>
      <w:r>
        <w:rPr>
          <w:spacing w:val="-36"/>
        </w:rPr>
      </w:r>
      <w:r>
        <w:rPr>
          <w:spacing w:val="-1"/>
        </w:rPr>
        <w:t>净利润不低于</w:t>
      </w:r>
      <w:r>
        <w:rPr>
          <w:rFonts w:ascii="Times New Roman" w:hAnsi="Times New Roman" w:cs="Times New Roman" w:eastAsia="Times New Roman" w:hint="default"/>
          <w:spacing w:val="-1"/>
        </w:rPr>
        <w:t>12,000</w:t>
      </w:r>
      <w:r>
        <w:rPr>
          <w:spacing w:val="-1"/>
        </w:rPr>
        <w:t>万元；（</w:t>
      </w:r>
      <w:r>
        <w:rPr>
          <w:rFonts w:ascii="Times New Roman" w:hAnsi="Times New Roman" w:cs="Times New Roman" w:eastAsia="Times New Roman" w:hint="default"/>
          <w:spacing w:val="-1"/>
        </w:rPr>
        <w:t>2</w:t>
      </w:r>
      <w:r>
        <w:rPr>
          <w:spacing w:val="-1"/>
        </w:rPr>
        <w:t>）银川卧龙</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年三个年度实现的归属于母公司所有</w:t>
      </w:r>
      <w:r>
        <w:rPr>
          <w:spacing w:val="-95"/>
        </w:rPr>
        <w:t> </w:t>
      </w:r>
      <w:r>
        <w:rPr/>
        <w:t>者的净利润累积不低于</w:t>
      </w:r>
      <w:r>
        <w:rPr>
          <w:rFonts w:ascii="Times New Roman" w:hAnsi="Times New Roman" w:cs="Times New Roman" w:eastAsia="Times New Roman" w:hint="default"/>
        </w:rPr>
        <w:t>31,600</w:t>
      </w:r>
      <w:r>
        <w:rPr/>
        <w:t>万元人民币。</w:t>
      </w:r>
    </w:p>
    <w:p>
      <w:pPr>
        <w:spacing w:line="240" w:lineRule="auto" w:before="7"/>
        <w:rPr>
          <w:rFonts w:ascii="宋体" w:hAnsi="宋体" w:cs="宋体" w:eastAsia="宋体" w:hint="default"/>
          <w:sz w:val="22"/>
          <w:szCs w:val="22"/>
        </w:rPr>
      </w:pPr>
    </w:p>
    <w:p>
      <w:pPr>
        <w:spacing w:line="487" w:lineRule="auto" w:before="0"/>
        <w:ind w:left="154" w:right="8750" w:firstLine="0"/>
        <w:jc w:val="left"/>
        <w:rPr>
          <w:rFonts w:ascii="宋体" w:hAnsi="宋体" w:cs="宋体" w:eastAsia="宋体" w:hint="default"/>
          <w:sz w:val="21"/>
          <w:szCs w:val="21"/>
        </w:rPr>
      </w:pPr>
      <w:bookmarkStart w:name="7、其他" w:id="391"/>
      <w:bookmarkEnd w:id="39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392"/>
      <w:bookmarkEnd w:id="39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93"/>
      <w:bookmarkEnd w:id="39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以权益结算的股份支付情况" w:id="394"/>
      <w:bookmarkEnd w:id="39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3、以现金结算的股份支付情况" w:id="395"/>
      <w:bookmarkEnd w:id="39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4" w:right="817" w:firstLine="0"/>
        <w:jc w:val="left"/>
        <w:rPr>
          <w:rFonts w:ascii="宋体" w:hAnsi="宋体" w:cs="宋体" w:eastAsia="宋体" w:hint="default"/>
          <w:sz w:val="21"/>
          <w:szCs w:val="21"/>
        </w:rPr>
      </w:pPr>
      <w:bookmarkStart w:name="4、股份支付的修改、终止情况" w:id="396"/>
      <w:bookmarkEnd w:id="3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397"/>
      <w:bookmarkEnd w:id="39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398"/>
      <w:bookmarkEnd w:id="39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399"/>
      <w:bookmarkEnd w:id="39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81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6"/>
        <w:ind w:right="817"/>
        <w:jc w:val="left"/>
      </w:pPr>
      <w:r>
        <w:rPr>
          <w:rFonts w:ascii="Times New Roman" w:hAnsi="Times New Roman" w:cs="Times New Roman" w:eastAsia="Times New Roman" w:hint="default"/>
        </w:rPr>
        <w:t>1</w:t>
      </w:r>
      <w:r>
        <w:rPr/>
        <w:t>、重要的承诺事项</w:t>
      </w:r>
    </w:p>
    <w:p>
      <w:pPr>
        <w:pStyle w:val="BodyText"/>
        <w:spacing w:line="240" w:lineRule="auto" w:before="195"/>
        <w:ind w:right="817"/>
        <w:jc w:val="left"/>
      </w:pPr>
      <w:r>
        <w:rPr/>
        <w:t>（</w:t>
      </w:r>
      <w:r>
        <w:rPr>
          <w:rFonts w:ascii="Times New Roman" w:hAnsi="Times New Roman" w:cs="Times New Roman" w:eastAsia="Times New Roman" w:hint="default"/>
        </w:rPr>
        <w:t>1</w:t>
      </w:r>
      <w:r>
        <w:rPr/>
        <w:t>）资本承诺</w:t>
      </w:r>
    </w:p>
    <w:p>
      <w:pPr>
        <w:spacing w:line="240" w:lineRule="auto" w:before="8"/>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5421"/>
        <w:gridCol w:w="1965"/>
        <w:gridCol w:w="1803"/>
      </w:tblGrid>
      <w:tr>
        <w:trPr>
          <w:trHeight w:val="352" w:hRule="exact"/>
        </w:trPr>
        <w:tc>
          <w:tcPr>
            <w:tcW w:w="5421"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346" w:right="0"/>
              <w:jc w:val="left"/>
              <w:rPr>
                <w:rFonts w:ascii="宋体" w:hAnsi="宋体" w:cs="宋体" w:eastAsia="宋体" w:hint="default"/>
                <w:sz w:val="24"/>
                <w:szCs w:val="24"/>
              </w:rPr>
            </w:pPr>
            <w:r>
              <w:rPr>
                <w:rFonts w:ascii="宋体" w:hAnsi="宋体" w:cs="宋体" w:eastAsia="宋体" w:hint="default"/>
                <w:b/>
                <w:bCs/>
                <w:sz w:val="24"/>
                <w:szCs w:val="24"/>
              </w:rPr>
              <w:t>已签约但尚未于财务报表中确认的资本承诺</w:t>
            </w:r>
            <w:r>
              <w:rPr>
                <w:rFonts w:ascii="宋体" w:hAnsi="宋体" w:cs="宋体" w:eastAsia="宋体" w:hint="default"/>
                <w:sz w:val="24"/>
                <w:szCs w:val="24"/>
              </w:rPr>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292"/>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803" w:type="dxa"/>
            <w:tcBorders>
              <w:top w:val="single" w:sz="8" w:space="0" w:color="000000"/>
              <w:left w:val="nil" w:sz="6" w:space="0" w:color="auto"/>
              <w:bottom w:val="single" w:sz="8" w:space="0" w:color="000000"/>
              <w:right w:val="nil" w:sz="6" w:space="0" w:color="auto"/>
            </w:tcBorders>
          </w:tcPr>
          <w:p>
            <w:pPr>
              <w:pStyle w:val="TableParagraph"/>
              <w:spacing w:line="286" w:lineRule="exact"/>
              <w:ind w:right="6"/>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664" w:hRule="exact"/>
        </w:trPr>
        <w:tc>
          <w:tcPr>
            <w:tcW w:w="5421" w:type="dxa"/>
            <w:tcBorders>
              <w:top w:val="single" w:sz="8" w:space="0" w:color="000000"/>
              <w:left w:val="nil" w:sz="6" w:space="0" w:color="auto"/>
              <w:bottom w:val="single" w:sz="8" w:space="0" w:color="000000"/>
              <w:right w:val="nil" w:sz="6" w:space="0" w:color="auto"/>
            </w:tcBorders>
          </w:tcPr>
          <w:p>
            <w:pPr>
              <w:pStyle w:val="TableParagraph"/>
              <w:spacing w:line="312" w:lineRule="exact" w:before="2"/>
              <w:ind w:left="1690" w:right="168"/>
              <w:jc w:val="left"/>
              <w:rPr>
                <w:rFonts w:ascii="宋体" w:hAnsi="宋体" w:cs="宋体" w:eastAsia="宋体" w:hint="default"/>
                <w:sz w:val="24"/>
                <w:szCs w:val="24"/>
              </w:rPr>
            </w:pPr>
            <w:r>
              <w:rPr>
                <w:rFonts w:ascii="宋体" w:hAnsi="宋体" w:cs="宋体" w:eastAsia="宋体" w:hint="default"/>
                <w:spacing w:val="-3"/>
                <w:sz w:val="24"/>
                <w:szCs w:val="24"/>
              </w:rPr>
              <w:t>对外投资承诺：发行股份及支付现</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金购买星波通信股份（注</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292"/>
              <w:jc w:val="right"/>
              <w:rPr>
                <w:rFonts w:ascii="Times New Roman" w:hAnsi="Times New Roman" w:cs="Times New Roman" w:eastAsia="Times New Roman" w:hint="default"/>
                <w:sz w:val="24"/>
                <w:szCs w:val="24"/>
              </w:rPr>
            </w:pPr>
            <w:r>
              <w:rPr>
                <w:rFonts w:ascii="Times New Roman"/>
                <w:sz w:val="24"/>
              </w:rPr>
              <w:t>251,232,049.00</w:t>
            </w:r>
          </w:p>
        </w:tc>
        <w:tc>
          <w:tcPr>
            <w:tcW w:w="1803"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7"/>
              <w:jc w:val="right"/>
              <w:rPr>
                <w:rFonts w:ascii="Times New Roman" w:hAnsi="Times New Roman" w:cs="Times New Roman" w:eastAsia="Times New Roman" w:hint="default"/>
                <w:sz w:val="24"/>
                <w:szCs w:val="24"/>
              </w:rPr>
            </w:pPr>
            <w:r>
              <w:rPr>
                <w:rFonts w:ascii="Times New Roman"/>
                <w:sz w:val="24"/>
              </w:rPr>
              <w:t>251,232,049.00</w:t>
            </w:r>
          </w:p>
        </w:tc>
      </w:tr>
      <w:tr>
        <w:trPr>
          <w:trHeight w:val="662" w:hRule="exact"/>
        </w:trPr>
        <w:tc>
          <w:tcPr>
            <w:tcW w:w="5421" w:type="dxa"/>
            <w:tcBorders>
              <w:top w:val="single" w:sz="8" w:space="0" w:color="000000"/>
              <w:left w:val="nil" w:sz="6" w:space="0" w:color="auto"/>
              <w:bottom w:val="single" w:sz="6" w:space="0" w:color="000000"/>
              <w:right w:val="nil" w:sz="6" w:space="0" w:color="auto"/>
            </w:tcBorders>
          </w:tcPr>
          <w:p>
            <w:pPr>
              <w:pStyle w:val="TableParagraph"/>
              <w:spacing w:line="312" w:lineRule="exact" w:before="2"/>
              <w:ind w:left="1690" w:right="168"/>
              <w:jc w:val="left"/>
              <w:rPr>
                <w:rFonts w:ascii="宋体" w:hAnsi="宋体" w:cs="宋体" w:eastAsia="宋体" w:hint="default"/>
                <w:sz w:val="24"/>
                <w:szCs w:val="24"/>
              </w:rPr>
            </w:pPr>
            <w:r>
              <w:rPr>
                <w:rFonts w:ascii="宋体" w:hAnsi="宋体" w:cs="宋体" w:eastAsia="宋体" w:hint="default"/>
                <w:spacing w:val="-8"/>
                <w:sz w:val="24"/>
                <w:szCs w:val="24"/>
              </w:rPr>
              <w:t>对外投资承诺：志良电子</w:t>
            </w:r>
            <w:r>
              <w:rPr>
                <w:rFonts w:ascii="Times New Roman" w:hAnsi="Times New Roman" w:cs="Times New Roman" w:eastAsia="Times New Roman" w:hint="default"/>
                <w:spacing w:val="-8"/>
                <w:sz w:val="24"/>
                <w:szCs w:val="24"/>
              </w:rPr>
              <w:t>5%</w:t>
            </w:r>
            <w:r>
              <w:rPr>
                <w:rFonts w:ascii="宋体" w:hAnsi="宋体" w:cs="宋体" w:eastAsia="宋体" w:hint="default"/>
                <w:spacing w:val="-8"/>
                <w:sz w:val="24"/>
                <w:szCs w:val="24"/>
              </w:rPr>
              <w:t>的股权</w:t>
            </w:r>
            <w:r>
              <w:rPr>
                <w:rFonts w:ascii="宋体" w:hAnsi="宋体" w:cs="宋体" w:eastAsia="宋体" w:hint="default"/>
                <w:spacing w:val="-112"/>
                <w:sz w:val="24"/>
                <w:szCs w:val="24"/>
              </w:rPr>
              <w:t> </w:t>
            </w:r>
            <w:r>
              <w:rPr>
                <w:rFonts w:ascii="宋体" w:hAnsi="宋体" w:cs="宋体" w:eastAsia="宋体" w:hint="default"/>
                <w:sz w:val="24"/>
                <w:szCs w:val="24"/>
              </w:rPr>
              <w:t>收购（注</w:t>
            </w:r>
            <w:r>
              <w:rPr>
                <w:rFonts w:ascii="Times New Roman" w:hAnsi="Times New Roman" w:cs="Times New Roman" w:eastAsia="Times New Roman" w:hint="default"/>
                <w:sz w:val="24"/>
                <w:szCs w:val="24"/>
              </w:rPr>
              <w:t>2</w:t>
            </w:r>
            <w:r>
              <w:rPr>
                <w:rFonts w:ascii="宋体" w:hAnsi="宋体" w:cs="宋体" w:eastAsia="宋体" w:hint="default"/>
                <w:sz w:val="24"/>
                <w:szCs w:val="24"/>
              </w:rPr>
              <w:t>）</w:t>
            </w:r>
          </w:p>
        </w:tc>
        <w:tc>
          <w:tcPr>
            <w:tcW w:w="1965" w:type="dxa"/>
            <w:tcBorders>
              <w:top w:val="single" w:sz="8" w:space="0" w:color="000000"/>
              <w:left w:val="nil" w:sz="6" w:space="0" w:color="auto"/>
              <w:bottom w:val="single" w:sz="6" w:space="0" w:color="000000"/>
              <w:right w:val="nil" w:sz="6" w:space="0" w:color="auto"/>
            </w:tcBorders>
          </w:tcPr>
          <w:p>
            <w:pPr>
              <w:pStyle w:val="TableParagraph"/>
              <w:spacing w:line="240" w:lineRule="auto" w:before="28"/>
              <w:ind w:right="292"/>
              <w:jc w:val="right"/>
              <w:rPr>
                <w:rFonts w:ascii="Times New Roman" w:hAnsi="Times New Roman" w:cs="Times New Roman" w:eastAsia="Times New Roman" w:hint="default"/>
                <w:sz w:val="24"/>
                <w:szCs w:val="24"/>
              </w:rPr>
            </w:pPr>
            <w:r>
              <w:rPr>
                <w:rFonts w:ascii="Times New Roman"/>
                <w:sz w:val="24"/>
              </w:rPr>
              <w:t>30,500,000.00</w:t>
            </w:r>
          </w:p>
        </w:tc>
        <w:tc>
          <w:tcPr>
            <w:tcW w:w="1803" w:type="dxa"/>
            <w:tcBorders>
              <w:top w:val="single" w:sz="8" w:space="0" w:color="000000"/>
              <w:left w:val="nil" w:sz="6" w:space="0" w:color="auto"/>
              <w:bottom w:val="single" w:sz="6" w:space="0" w:color="000000"/>
              <w:right w:val="nil" w:sz="6" w:space="0" w:color="auto"/>
            </w:tcBorders>
          </w:tcPr>
          <w:p>
            <w:pPr/>
          </w:p>
        </w:tc>
      </w:tr>
    </w:tbl>
    <w:p>
      <w:pPr>
        <w:spacing w:line="240" w:lineRule="auto" w:before="9"/>
        <w:rPr>
          <w:rFonts w:ascii="宋体" w:hAnsi="宋体" w:cs="宋体" w:eastAsia="宋体" w:hint="default"/>
          <w:sz w:val="9"/>
          <w:szCs w:val="9"/>
        </w:rPr>
      </w:pPr>
    </w:p>
    <w:p>
      <w:pPr>
        <w:pStyle w:val="BodyText"/>
        <w:spacing w:line="228" w:lineRule="auto" w:before="40"/>
        <w:ind w:right="1013"/>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月，本公司已完成以发行股份及支付现金相结合的方式购买星波通信</w:t>
      </w:r>
      <w:r>
        <w:rPr>
          <w:rFonts w:ascii="Times New Roman" w:hAnsi="Times New Roman" w:cs="Times New Roman" w:eastAsia="Times New Roman" w:hint="default"/>
        </w:rPr>
        <w:t>67.5411%</w:t>
      </w:r>
      <w:r>
        <w:rPr>
          <w:rFonts w:ascii="Times New Roman" w:hAnsi="Times New Roman" w:cs="Times New Roman" w:eastAsia="Times New Roman" w:hint="default"/>
          <w:spacing w:val="-56"/>
        </w:rPr>
        <w:t> </w:t>
      </w:r>
      <w:r>
        <w:rPr/>
        <w:t>股权的重大资产重组交易。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日，本公司与陈剑虹、赵静如、徐建平、刘宏胜、</w:t>
      </w:r>
      <w:r>
        <w:rPr>
          <w:spacing w:val="-112"/>
        </w:rPr>
        <w:t> </w:t>
      </w:r>
      <w:r>
        <w:rPr>
          <w:spacing w:val="-112"/>
        </w:rPr>
      </w:r>
      <w:r>
        <w:rPr/>
        <w:t>陈小杰签署附条件生效的《股权收购协议》，各方参考评估机构出具的评估报告中载明的评 估结果以及上市公司收购星波通信</w:t>
      </w:r>
      <w:r>
        <w:rPr>
          <w:rFonts w:ascii="Times New Roman" w:hAnsi="Times New Roman" w:cs="Times New Roman" w:eastAsia="Times New Roman" w:hint="default"/>
        </w:rPr>
        <w:t>67.5411% </w:t>
      </w:r>
      <w:r>
        <w:rPr/>
        <w:t>股权的对价，协商确定星波通信</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股权作价 为</w:t>
      </w:r>
      <w:r>
        <w:rPr>
          <w:rFonts w:ascii="Times New Roman" w:hAnsi="Times New Roman" w:cs="Times New Roman" w:eastAsia="Times New Roman" w:hint="default"/>
        </w:rPr>
        <w:t>77,400.00</w:t>
      </w:r>
      <w:r>
        <w:rPr/>
        <w:t>万元，星波通信</w:t>
      </w:r>
      <w:r>
        <w:rPr>
          <w:rFonts w:ascii="Times New Roman" w:hAnsi="Times New Roman" w:cs="Times New Roman" w:eastAsia="Times New Roman" w:hint="default"/>
        </w:rPr>
        <w:t>32.4589%</w:t>
      </w:r>
      <w:r>
        <w:rPr/>
        <w:t>股权转让对价为</w:t>
      </w:r>
      <w:r>
        <w:rPr>
          <w:rFonts w:ascii="Times New Roman" w:hAnsi="Times New Roman" w:cs="Times New Roman" w:eastAsia="Times New Roman" w:hint="default"/>
        </w:rPr>
        <w:t>25,123.20</w:t>
      </w:r>
      <w:r>
        <w:rPr/>
        <w:t>万元，原计划采用非公开发行 股票获取现金进行支付购买。</w:t>
      </w:r>
    </w:p>
    <w:p>
      <w:pPr>
        <w:spacing w:line="240" w:lineRule="auto" w:before="11"/>
        <w:rPr>
          <w:rFonts w:ascii="宋体" w:hAnsi="宋体" w:cs="宋体" w:eastAsia="宋体" w:hint="default"/>
          <w:sz w:val="18"/>
          <w:szCs w:val="18"/>
        </w:rPr>
      </w:pPr>
    </w:p>
    <w:p>
      <w:pPr>
        <w:pStyle w:val="BodyText"/>
        <w:spacing w:line="312" w:lineRule="exact"/>
        <w:ind w:right="1013"/>
        <w:jc w:val="both"/>
      </w:pPr>
      <w:r>
        <w:rPr>
          <w:spacing w:val="-3"/>
        </w:rPr>
        <w:t>截至本财务报告日，公司通过募集资金和自有资金相结合的方式向陈剑虹、赵静如、徐建平、</w:t>
      </w:r>
      <w:r>
        <w:rPr>
          <w:spacing w:val="-81"/>
        </w:rPr>
        <w:t> </w:t>
      </w:r>
      <w:r>
        <w:rPr>
          <w:spacing w:val="-81"/>
        </w:rPr>
      </w:r>
      <w:r>
        <w:rPr/>
        <w:t>刘宏胜、陈小杰五位星波通信股东合计支付第一笔股权转让款</w:t>
      </w:r>
      <w:r>
        <w:rPr>
          <w:rFonts w:ascii="Times New Roman" w:hAnsi="Times New Roman" w:cs="Times New Roman" w:eastAsia="Times New Roman" w:hint="default"/>
        </w:rPr>
        <w:t>3500</w:t>
      </w:r>
      <w:r>
        <w:rPr/>
        <w:t>万元。</w:t>
      </w:r>
    </w:p>
    <w:p>
      <w:pPr>
        <w:pStyle w:val="BodyText"/>
        <w:spacing w:line="312" w:lineRule="exact" w:before="216"/>
        <w:ind w:right="1128"/>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月，公司召开第四届董事会第五次会议审议通过《关于收购上海志良电子科 技有限公司少数股权的议案》，并与上海志良电子科技有限公司（以下简称</w:t>
      </w:r>
      <w:r>
        <w:rPr>
          <w:rFonts w:ascii="Times New Roman" w:hAnsi="Times New Roman" w:cs="Times New Roman" w:eastAsia="Times New Roman" w:hint="default"/>
        </w:rPr>
        <w:t>“</w:t>
      </w:r>
      <w:r>
        <w:rPr/>
        <w:t>志良电子</w:t>
      </w:r>
      <w:r>
        <w:rPr>
          <w:rFonts w:ascii="Times New Roman" w:hAnsi="Times New Roman" w:cs="Times New Roman" w:eastAsia="Times New Roman" w:hint="default"/>
        </w:rPr>
        <w:t>”</w:t>
      </w:r>
      <w:r>
        <w:rPr/>
        <w:t>）之</w:t>
      </w:r>
      <w:r>
        <w:rPr>
          <w:spacing w:val="-78"/>
        </w:rPr>
        <w:t> </w:t>
      </w:r>
      <w:r>
        <w:rPr>
          <w:spacing w:val="-2"/>
        </w:rPr>
        <w:t>股东唐斌就收购志良电子</w:t>
      </w:r>
      <w:r>
        <w:rPr>
          <w:rFonts w:ascii="Times New Roman" w:hAnsi="Times New Roman" w:cs="Times New Roman" w:eastAsia="Times New Roman" w:hint="default"/>
          <w:spacing w:val="-2"/>
        </w:rPr>
        <w:t>5%</w:t>
      </w:r>
      <w:r>
        <w:rPr>
          <w:spacing w:val="-2"/>
        </w:rPr>
        <w:t>股权签署《股权转让协议》，在志良电子完成员工激励、在</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8"/>
        </w:rPr>
        <w:t> </w:t>
      </w:r>
      <w:r>
        <w:rPr/>
        <w:t>年度实现净利润不低于</w:t>
      </w:r>
      <w:r>
        <w:rPr>
          <w:rFonts w:ascii="Times New Roman" w:hAnsi="Times New Roman" w:cs="Times New Roman" w:eastAsia="Times New Roman" w:hint="default"/>
        </w:rPr>
        <w:t>1100</w:t>
      </w:r>
      <w:r>
        <w:rPr/>
        <w:t>万元的情况下，经各方一致确认本次交易中对志良电子的估值为</w:t>
      </w:r>
      <w:r>
        <w:rPr>
          <w:spacing w:val="-115"/>
        </w:rPr>
        <w:t> </w:t>
      </w:r>
      <w:r>
        <w:rPr>
          <w:spacing w:val="-115"/>
        </w:rPr>
      </w:r>
      <w:r>
        <w:rPr/>
        <w:t>人民币</w:t>
      </w:r>
      <w:r>
        <w:rPr>
          <w:rFonts w:ascii="Times New Roman" w:hAnsi="Times New Roman" w:cs="Times New Roman" w:eastAsia="Times New Roman" w:hint="default"/>
        </w:rPr>
        <w:t>6.1</w:t>
      </w:r>
      <w:r>
        <w:rPr>
          <w:rFonts w:ascii="Times New Roman" w:hAnsi="Times New Roman" w:cs="Times New Roman" w:eastAsia="Times New Roman" w:hint="default"/>
          <w:spacing w:val="19"/>
        </w:rPr>
        <w:t> </w:t>
      </w:r>
      <w:r>
        <w:rPr/>
        <w:t>亿元，公司拟以自有资金</w:t>
      </w:r>
      <w:r>
        <w:rPr>
          <w:rFonts w:ascii="Times New Roman" w:hAnsi="Times New Roman" w:cs="Times New Roman" w:eastAsia="Times New Roman" w:hint="default"/>
        </w:rPr>
        <w:t>3,050</w:t>
      </w:r>
      <w:r>
        <w:rPr/>
        <w:t>万元收购志良电子</w:t>
      </w:r>
      <w:r>
        <w:rPr>
          <w:rFonts w:ascii="Times New Roman" w:hAnsi="Times New Roman" w:cs="Times New Roman" w:eastAsia="Times New Roman" w:hint="default"/>
        </w:rPr>
        <w:t>5%</w:t>
      </w:r>
      <w:r>
        <w:rPr/>
        <w:t>股权。截至本财务报告日，志 良电子尚未完成员工激励。</w:t>
      </w:r>
    </w:p>
    <w:p>
      <w:pPr>
        <w:pStyle w:val="BodyText"/>
        <w:spacing w:line="381" w:lineRule="auto" w:before="185"/>
        <w:ind w:right="2832"/>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7"/>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4497"/>
        <w:gridCol w:w="2601"/>
        <w:gridCol w:w="1990"/>
      </w:tblGrid>
      <w:tr>
        <w:trPr>
          <w:trHeight w:val="349" w:hRule="exact"/>
        </w:trPr>
        <w:tc>
          <w:tcPr>
            <w:tcW w:w="4497"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601"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718"/>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990"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7" w:hRule="exact"/>
        </w:trPr>
        <w:tc>
          <w:tcPr>
            <w:tcW w:w="4497"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24"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1</w:t>
            </w:r>
            <w:r>
              <w:rPr>
                <w:rFonts w:ascii="宋体" w:hAnsi="宋体" w:cs="宋体" w:eastAsia="宋体" w:hint="default"/>
                <w:sz w:val="24"/>
                <w:szCs w:val="24"/>
              </w:rPr>
              <w:t>年</w:t>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18"/>
              <w:jc w:val="right"/>
              <w:rPr>
                <w:rFonts w:ascii="Times New Roman" w:hAnsi="Times New Roman" w:cs="Times New Roman" w:eastAsia="Times New Roman" w:hint="default"/>
                <w:sz w:val="24"/>
                <w:szCs w:val="24"/>
              </w:rPr>
            </w:pPr>
            <w:r>
              <w:rPr>
                <w:rFonts w:ascii="Times New Roman"/>
                <w:sz w:val="24"/>
              </w:rPr>
              <w:t>1,669,472.06</w:t>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2,242,312.72</w:t>
            </w:r>
          </w:p>
        </w:tc>
      </w:tr>
      <w:tr>
        <w:trPr>
          <w:trHeight w:val="348" w:hRule="exact"/>
        </w:trPr>
        <w:tc>
          <w:tcPr>
            <w:tcW w:w="4497" w:type="dxa"/>
            <w:tcBorders>
              <w:top w:val="single" w:sz="8" w:space="0" w:color="000000"/>
              <w:left w:val="nil" w:sz="6" w:space="0" w:color="auto"/>
              <w:bottom w:val="single" w:sz="8" w:space="0" w:color="000000"/>
              <w:right w:val="nil" w:sz="6" w:space="0" w:color="auto"/>
            </w:tcBorders>
          </w:tcPr>
          <w:p>
            <w:pPr>
              <w:pStyle w:val="TableParagraph"/>
              <w:spacing w:line="300" w:lineRule="exact"/>
              <w:ind w:left="24"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18"/>
              <w:jc w:val="right"/>
              <w:rPr>
                <w:rFonts w:ascii="Times New Roman" w:hAnsi="Times New Roman" w:cs="Times New Roman" w:eastAsia="Times New Roman" w:hint="default"/>
                <w:sz w:val="24"/>
                <w:szCs w:val="24"/>
              </w:rPr>
            </w:pPr>
            <w:r>
              <w:rPr>
                <w:rFonts w:ascii="Times New Roman"/>
                <w:sz w:val="24"/>
              </w:rPr>
              <w:t>1,027,245.12</w:t>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1,275,818.64</w:t>
            </w:r>
          </w:p>
        </w:tc>
      </w:tr>
      <w:tr>
        <w:trPr>
          <w:trHeight w:val="347" w:hRule="exact"/>
        </w:trPr>
        <w:tc>
          <w:tcPr>
            <w:tcW w:w="4497" w:type="dxa"/>
            <w:tcBorders>
              <w:top w:val="single" w:sz="8" w:space="0" w:color="000000"/>
              <w:left w:val="nil" w:sz="6" w:space="0" w:color="auto"/>
              <w:bottom w:val="single" w:sz="8" w:space="0" w:color="000000"/>
              <w:right w:val="nil" w:sz="6" w:space="0" w:color="auto"/>
            </w:tcBorders>
          </w:tcPr>
          <w:p>
            <w:pPr>
              <w:pStyle w:val="TableParagraph"/>
              <w:spacing w:line="298" w:lineRule="exact"/>
              <w:ind w:left="24"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601" w:type="dxa"/>
            <w:tcBorders>
              <w:top w:val="single" w:sz="8" w:space="0" w:color="000000"/>
              <w:left w:val="nil" w:sz="6" w:space="0" w:color="auto"/>
              <w:bottom w:val="single" w:sz="8" w:space="0" w:color="000000"/>
              <w:right w:val="nil" w:sz="6" w:space="0" w:color="auto"/>
            </w:tcBorders>
          </w:tcPr>
          <w:p>
            <w:pP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8"/>
              <w:jc w:val="right"/>
              <w:rPr>
                <w:rFonts w:ascii="Times New Roman" w:hAnsi="Times New Roman" w:cs="Times New Roman" w:eastAsia="Times New Roman" w:hint="default"/>
                <w:sz w:val="24"/>
                <w:szCs w:val="24"/>
              </w:rPr>
            </w:pPr>
            <w:r>
              <w:rPr>
                <w:rFonts w:ascii="Times New Roman"/>
                <w:sz w:val="24"/>
              </w:rPr>
              <w:t>981,045.12</w:t>
            </w:r>
          </w:p>
        </w:tc>
      </w:tr>
      <w:tr>
        <w:trPr>
          <w:trHeight w:val="348" w:hRule="exact"/>
        </w:trPr>
        <w:tc>
          <w:tcPr>
            <w:tcW w:w="4497" w:type="dxa"/>
            <w:tcBorders>
              <w:top w:val="single" w:sz="8" w:space="0" w:color="000000"/>
              <w:left w:val="nil" w:sz="6" w:space="0" w:color="auto"/>
              <w:bottom w:val="single" w:sz="8" w:space="0" w:color="000000"/>
              <w:right w:val="nil" w:sz="6" w:space="0" w:color="auto"/>
            </w:tcBorders>
          </w:tcPr>
          <w:p>
            <w:pPr>
              <w:pStyle w:val="TableParagraph"/>
              <w:tabs>
                <w:tab w:pos="469" w:val="left" w:leader="none"/>
              </w:tabs>
              <w:spacing w:line="281" w:lineRule="exact"/>
              <w:ind w:left="24"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718"/>
              <w:jc w:val="right"/>
              <w:rPr>
                <w:rFonts w:ascii="Times New Roman" w:hAnsi="Times New Roman" w:cs="Times New Roman" w:eastAsia="Times New Roman" w:hint="default"/>
                <w:sz w:val="24"/>
                <w:szCs w:val="24"/>
              </w:rPr>
            </w:pPr>
            <w:r>
              <w:rPr>
                <w:rFonts w:ascii="Times New Roman"/>
                <w:b/>
                <w:sz w:val="24"/>
              </w:rPr>
              <w:t>2,696,717.18</w:t>
            </w:r>
            <w:r>
              <w:rPr>
                <w:rFonts w:ascii="Times New Roman"/>
                <w:sz w:val="24"/>
              </w:rPr>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4,499,176.48</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81" w:lineRule="auto" w:before="26"/>
        <w:ind w:right="8712"/>
        <w:jc w:val="left"/>
      </w:pPr>
      <w:r>
        <w:rPr/>
        <w:t>（</w:t>
      </w:r>
      <w:r>
        <w:rPr>
          <w:rFonts w:ascii="Times New Roman" w:hAnsi="Times New Roman" w:cs="Times New Roman" w:eastAsia="Times New Roman" w:hint="default"/>
        </w:rPr>
        <w:t>3</w:t>
      </w:r>
      <w:r>
        <w:rPr/>
        <w:t>）其他承诺事项 利润分配承诺</w:t>
      </w:r>
    </w:p>
    <w:p>
      <w:pPr>
        <w:pStyle w:val="BodyText"/>
        <w:spacing w:line="237" w:lineRule="auto" w:before="75"/>
        <w:ind w:right="1139"/>
        <w:jc w:val="both"/>
      </w:pPr>
      <w:r>
        <w:rPr/>
        <w:t>根据本公司章程，在满足公司正常生产经营资金需求的情况下，如无重大投资计划或重大现 金支出等事项，公司应该采取现金方式分配股利，并且以现金方式分配的利润不少于当年实 现的可分配利润的</w:t>
      </w:r>
      <w:r>
        <w:rPr>
          <w:rFonts w:ascii="Times New Roman" w:hAnsi="Times New Roman" w:cs="Times New Roman" w:eastAsia="Times New Roman" w:hint="default"/>
        </w:rPr>
        <w:t>20%</w:t>
      </w:r>
      <w:r>
        <w:rPr/>
        <w:t>。</w:t>
      </w:r>
    </w:p>
    <w:p>
      <w:pPr>
        <w:pStyle w:val="BodyText"/>
        <w:spacing w:line="240" w:lineRule="auto" w:before="196"/>
        <w:ind w:right="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4"/>
        <w:rPr>
          <w:rFonts w:ascii="宋体" w:hAnsi="宋体" w:cs="宋体" w:eastAsia="宋体" w:hint="default"/>
          <w:sz w:val="23"/>
          <w:szCs w:val="23"/>
        </w:rPr>
      </w:pPr>
    </w:p>
    <w:p>
      <w:pPr>
        <w:spacing w:before="0"/>
        <w:ind w:left="154" w:right="0" w:firstLine="0"/>
        <w:jc w:val="both"/>
        <w:rPr>
          <w:rFonts w:ascii="宋体" w:hAnsi="宋体" w:cs="宋体" w:eastAsia="宋体" w:hint="default"/>
          <w:sz w:val="21"/>
          <w:szCs w:val="21"/>
        </w:rPr>
      </w:pPr>
      <w:bookmarkStart w:name="2、或有事项" w:id="400"/>
      <w:bookmarkEnd w:id="40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资产负债表日存在的重要或有事项"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403" w:lineRule="auto"/>
        <w:ind w:right="4752"/>
        <w:jc w:val="left"/>
      </w:pPr>
      <w:r>
        <w:rPr/>
        <w:pict>
          <v:shape style="position:absolute;margin-left:55.98pt;margin-top:46.932205pt;width:457.75pt;height:450.5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5"/>
                    <w:gridCol w:w="1067"/>
                    <w:gridCol w:w="991"/>
                    <w:gridCol w:w="1485"/>
                    <w:gridCol w:w="1506"/>
                    <w:gridCol w:w="3160"/>
                  </w:tblGrid>
                  <w:tr>
                    <w:trPr>
                      <w:trHeight w:val="930" w:hRule="exact"/>
                    </w:trPr>
                    <w:tc>
                      <w:tcPr>
                        <w:tcW w:w="945" w:type="dxa"/>
                        <w:tcBorders>
                          <w:top w:val="nil" w:sz="6" w:space="0" w:color="auto"/>
                          <w:left w:val="nil" w:sz="6" w:space="0" w:color="auto"/>
                          <w:bottom w:val="single" w:sz="8" w:space="0" w:color="000000"/>
                          <w:right w:val="nil" w:sz="6" w:space="0" w:color="auto"/>
                        </w:tcBorders>
                      </w:tcPr>
                      <w:p>
                        <w:pPr>
                          <w:pStyle w:val="TableParagraph"/>
                          <w:spacing w:line="210" w:lineRule="exact"/>
                          <w:ind w:left="68" w:right="0"/>
                          <w:jc w:val="left"/>
                          <w:rPr>
                            <w:rFonts w:ascii="宋体" w:hAnsi="宋体" w:cs="宋体" w:eastAsia="宋体" w:hint="default"/>
                            <w:sz w:val="21"/>
                            <w:szCs w:val="21"/>
                          </w:rPr>
                        </w:pPr>
                        <w:r>
                          <w:rPr>
                            <w:rFonts w:ascii="宋体" w:hAnsi="宋体" w:cs="宋体" w:eastAsia="宋体" w:hint="default"/>
                            <w:b/>
                            <w:bCs/>
                            <w:sz w:val="21"/>
                            <w:szCs w:val="21"/>
                          </w:rPr>
                          <w:t>被担保方</w:t>
                        </w:r>
                        <w:r>
                          <w:rPr>
                            <w:rFonts w:ascii="宋体" w:hAnsi="宋体" w:cs="宋体" w:eastAsia="宋体" w:hint="default"/>
                            <w:sz w:val="21"/>
                            <w:szCs w:val="21"/>
                          </w:rPr>
                        </w:r>
                      </w:p>
                    </w:tc>
                    <w:tc>
                      <w:tcPr>
                        <w:tcW w:w="106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109" w:right="0"/>
                          <w:jc w:val="left"/>
                          <w:rPr>
                            <w:rFonts w:ascii="宋体" w:hAnsi="宋体" w:cs="宋体" w:eastAsia="宋体" w:hint="default"/>
                            <w:sz w:val="21"/>
                            <w:szCs w:val="21"/>
                          </w:rPr>
                        </w:pPr>
                        <w:r>
                          <w:rPr>
                            <w:rFonts w:ascii="宋体" w:hAnsi="宋体" w:cs="宋体" w:eastAsia="宋体" w:hint="default"/>
                            <w:b/>
                            <w:bCs/>
                            <w:sz w:val="21"/>
                            <w:szCs w:val="21"/>
                          </w:rPr>
                          <w:t>担保事项</w:t>
                        </w:r>
                        <w:r>
                          <w:rPr>
                            <w:rFonts w:ascii="宋体" w:hAnsi="宋体" w:cs="宋体" w:eastAsia="宋体" w:hint="default"/>
                            <w:sz w:val="21"/>
                            <w:szCs w:val="21"/>
                          </w:rPr>
                        </w:r>
                      </w:p>
                    </w:tc>
                    <w:tc>
                      <w:tcPr>
                        <w:tcW w:w="991" w:type="dxa"/>
                        <w:tcBorders>
                          <w:top w:val="nil" w:sz="6" w:space="0" w:color="auto"/>
                          <w:left w:val="nil" w:sz="6" w:space="0" w:color="auto"/>
                          <w:bottom w:val="single" w:sz="8" w:space="0" w:color="000000"/>
                          <w:right w:val="nil" w:sz="6" w:space="0" w:color="auto"/>
                        </w:tcBorders>
                      </w:tcPr>
                      <w:p>
                        <w:pPr>
                          <w:pStyle w:val="TableParagraph"/>
                          <w:spacing w:line="273" w:lineRule="auto" w:before="55"/>
                          <w:ind w:left="372" w:right="87" w:hanging="316"/>
                          <w:jc w:val="left"/>
                          <w:rPr>
                            <w:rFonts w:ascii="宋体" w:hAnsi="宋体" w:cs="宋体" w:eastAsia="宋体" w:hint="default"/>
                            <w:sz w:val="21"/>
                            <w:szCs w:val="21"/>
                          </w:rPr>
                        </w:pPr>
                        <w:r>
                          <w:rPr>
                            <w:rFonts w:ascii="宋体" w:hAnsi="宋体" w:cs="宋体" w:eastAsia="宋体" w:hint="default"/>
                            <w:b/>
                            <w:bCs/>
                            <w:sz w:val="21"/>
                            <w:szCs w:val="21"/>
                          </w:rPr>
                          <w:t>担保受益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人</w:t>
                        </w:r>
                        <w:r>
                          <w:rPr>
                            <w:rFonts w:ascii="宋体" w:hAnsi="宋体" w:cs="宋体" w:eastAsia="宋体" w:hint="default"/>
                            <w:sz w:val="21"/>
                            <w:szCs w:val="21"/>
                          </w:rPr>
                        </w:r>
                      </w:p>
                    </w:tc>
                    <w:tc>
                      <w:tcPr>
                        <w:tcW w:w="148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278" w:right="0"/>
                          <w:jc w:val="left"/>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50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83" w:right="0"/>
                          <w:jc w:val="left"/>
                          <w:rPr>
                            <w:rFonts w:ascii="宋体" w:hAnsi="宋体" w:cs="宋体" w:eastAsia="宋体" w:hint="default"/>
                            <w:sz w:val="21"/>
                            <w:szCs w:val="21"/>
                          </w:rPr>
                        </w:pPr>
                        <w:r>
                          <w:rPr>
                            <w:rFonts w:ascii="宋体" w:hAnsi="宋体" w:cs="宋体" w:eastAsia="宋体" w:hint="default"/>
                            <w:b/>
                            <w:bCs/>
                            <w:sz w:val="21"/>
                            <w:szCs w:val="21"/>
                          </w:rPr>
                          <w:t>期末担保余额</w:t>
                        </w:r>
                        <w:r>
                          <w:rPr>
                            <w:rFonts w:ascii="宋体" w:hAnsi="宋体" w:cs="宋体" w:eastAsia="宋体" w:hint="default"/>
                            <w:sz w:val="21"/>
                            <w:szCs w:val="21"/>
                          </w:rPr>
                        </w:r>
                      </w:p>
                    </w:tc>
                    <w:tc>
                      <w:tcPr>
                        <w:tcW w:w="316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65"/>
                          <w:jc w:val="center"/>
                          <w:rPr>
                            <w:rFonts w:ascii="宋体" w:hAnsi="宋体" w:cs="宋体" w:eastAsia="宋体" w:hint="default"/>
                            <w:sz w:val="21"/>
                            <w:szCs w:val="21"/>
                          </w:rPr>
                        </w:pPr>
                        <w:r>
                          <w:rPr>
                            <w:rFonts w:ascii="宋体" w:hAnsi="宋体" w:cs="宋体" w:eastAsia="宋体" w:hint="default"/>
                            <w:b/>
                            <w:bCs/>
                            <w:sz w:val="21"/>
                            <w:szCs w:val="21"/>
                          </w:rPr>
                          <w:t>担保期限</w:t>
                        </w:r>
                        <w:r>
                          <w:rPr>
                            <w:rFonts w:ascii="宋体" w:hAnsi="宋体" w:cs="宋体" w:eastAsia="宋体" w:hint="default"/>
                            <w:sz w:val="21"/>
                            <w:szCs w:val="21"/>
                          </w:rPr>
                        </w:r>
                      </w:p>
                    </w:tc>
                  </w:tr>
                  <w:tr>
                    <w:trPr>
                      <w:trHeight w:val="678" w:hRule="exact"/>
                    </w:trPr>
                    <w:tc>
                      <w:tcPr>
                        <w:tcW w:w="9154" w:type="dxa"/>
                        <w:gridSpan w:val="6"/>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子（孙）公司</w:t>
                        </w:r>
                      </w:p>
                    </w:tc>
                  </w:tr>
                  <w:tr>
                    <w:trPr>
                      <w:trHeight w:val="1926" w:hRule="exact"/>
                    </w:trPr>
                    <w:tc>
                      <w:tcPr>
                        <w:tcW w:w="945"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31"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16" w:right="164"/>
                          <w:jc w:val="left"/>
                          <w:rPr>
                            <w:rFonts w:ascii="宋体" w:hAnsi="宋体" w:cs="宋体" w:eastAsia="宋体" w:hint="default"/>
                            <w:sz w:val="21"/>
                            <w:szCs w:val="21"/>
                          </w:rPr>
                        </w:pPr>
                        <w:r>
                          <w:rPr>
                            <w:rFonts w:ascii="宋体" w:hAnsi="宋体" w:cs="宋体" w:eastAsia="宋体" w:hint="default"/>
                            <w:sz w:val="21"/>
                            <w:szCs w:val="21"/>
                          </w:rPr>
                          <w:t>光大银行 银川分行</w:t>
                        </w:r>
                      </w:p>
                    </w:tc>
                    <w:tc>
                      <w:tcPr>
                        <w:tcW w:w="1485"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1"/>
                          <w:jc w:val="right"/>
                          <w:rPr>
                            <w:rFonts w:ascii="Times New Roman" w:hAnsi="Times New Roman" w:cs="Times New Roman" w:eastAsia="Times New Roman" w:hint="default"/>
                            <w:sz w:val="21"/>
                            <w:szCs w:val="21"/>
                          </w:rPr>
                        </w:pPr>
                        <w:r>
                          <w:rPr>
                            <w:rFonts w:ascii="Times New Roman"/>
                            <w:spacing w:val="-1"/>
                            <w:sz w:val="21"/>
                          </w:rPr>
                          <w:t>100,000,000.00</w:t>
                        </w:r>
                      </w:p>
                    </w:tc>
                    <w:tc>
                      <w:tcPr>
                        <w:tcW w:w="1506"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7"/>
                          <w:jc w:val="right"/>
                          <w:rPr>
                            <w:rFonts w:ascii="Times New Roman" w:hAnsi="Times New Roman" w:cs="Times New Roman" w:eastAsia="Times New Roman" w:hint="default"/>
                            <w:sz w:val="21"/>
                            <w:szCs w:val="21"/>
                          </w:rPr>
                        </w:pPr>
                        <w:r>
                          <w:rPr>
                            <w:rFonts w:ascii="Times New Roman"/>
                            <w:spacing w:val="-1"/>
                            <w:sz w:val="21"/>
                          </w:rPr>
                          <w:t>100,000,000.00</w:t>
                        </w:r>
                      </w:p>
                    </w:tc>
                    <w:tc>
                      <w:tcPr>
                        <w:tcW w:w="3160"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9" w:right="0"/>
                          <w:jc w:val="left"/>
                          <w:rPr>
                            <w:rFonts w:ascii="宋体" w:hAnsi="宋体" w:cs="宋体" w:eastAsia="宋体" w:hint="default"/>
                            <w:sz w:val="21"/>
                            <w:szCs w:val="21"/>
                          </w:rPr>
                        </w:pPr>
                        <w:r>
                          <w:rPr>
                            <w:rFonts w:ascii="宋体" w:hAnsi="宋体" w:cs="宋体" w:eastAsia="宋体" w:hint="default"/>
                            <w:spacing w:val="-6"/>
                            <w:sz w:val="21"/>
                            <w:szCs w:val="21"/>
                          </w:rPr>
                          <w:t>《综合授信协议》项下的每一笔具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体授信业务的保证期间单独计算， 自具体授信业务合同或协议约定 的授信人履行债务期限届满之日 起两年</w:t>
                        </w:r>
                      </w:p>
                    </w:tc>
                  </w:tr>
                  <w:tr>
                    <w:trPr>
                      <w:trHeight w:val="1926" w:hRule="exact"/>
                    </w:trPr>
                    <w:tc>
                      <w:tcPr>
                        <w:tcW w:w="945"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31"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16" w:right="164"/>
                          <w:jc w:val="left"/>
                          <w:rPr>
                            <w:rFonts w:ascii="宋体" w:hAnsi="宋体" w:cs="宋体" w:eastAsia="宋体" w:hint="default"/>
                            <w:sz w:val="21"/>
                            <w:szCs w:val="21"/>
                          </w:rPr>
                        </w:pPr>
                        <w:r>
                          <w:rPr>
                            <w:rFonts w:ascii="宋体" w:hAnsi="宋体" w:cs="宋体" w:eastAsia="宋体" w:hint="default"/>
                            <w:sz w:val="21"/>
                            <w:szCs w:val="21"/>
                          </w:rPr>
                          <w:t>兴业银行 银川分行</w:t>
                        </w:r>
                      </w:p>
                    </w:tc>
                    <w:tc>
                      <w:tcPr>
                        <w:tcW w:w="1485"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1"/>
                          <w:jc w:val="right"/>
                          <w:rPr>
                            <w:rFonts w:ascii="Times New Roman" w:hAnsi="Times New Roman" w:cs="Times New Roman" w:eastAsia="Times New Roman" w:hint="default"/>
                            <w:sz w:val="21"/>
                            <w:szCs w:val="21"/>
                          </w:rPr>
                        </w:pPr>
                        <w:r>
                          <w:rPr>
                            <w:rFonts w:ascii="Times New Roman"/>
                            <w:spacing w:val="-1"/>
                            <w:sz w:val="21"/>
                          </w:rPr>
                          <w:t>100,000,000.00</w:t>
                        </w:r>
                      </w:p>
                    </w:tc>
                    <w:tc>
                      <w:tcPr>
                        <w:tcW w:w="1506"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
                          <w:jc w:val="right"/>
                          <w:rPr>
                            <w:rFonts w:ascii="Times New Roman" w:hAnsi="Times New Roman" w:cs="Times New Roman" w:eastAsia="Times New Roman" w:hint="default"/>
                            <w:sz w:val="21"/>
                            <w:szCs w:val="21"/>
                          </w:rPr>
                        </w:pPr>
                        <w:r>
                          <w:rPr>
                            <w:rFonts w:ascii="Times New Roman"/>
                            <w:sz w:val="21"/>
                          </w:rPr>
                          <w:t>49,422,700.00</w:t>
                        </w:r>
                      </w:p>
                    </w:tc>
                    <w:tc>
                      <w:tcPr>
                        <w:tcW w:w="3160"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9" w:right="77"/>
                          <w:jc w:val="left"/>
                          <w:rPr>
                            <w:rFonts w:ascii="宋体" w:hAnsi="宋体" w:cs="宋体" w:eastAsia="宋体" w:hint="default"/>
                            <w:sz w:val="21"/>
                            <w:szCs w:val="21"/>
                          </w:rPr>
                        </w:pPr>
                        <w:r>
                          <w:rPr>
                            <w:rFonts w:ascii="宋体" w:hAnsi="宋体" w:cs="宋体" w:eastAsia="宋体" w:hint="default"/>
                            <w:sz w:val="21"/>
                            <w:szCs w:val="21"/>
                          </w:rPr>
                          <w:t>根据主合同项下债权人对债务人 </w:t>
                        </w:r>
                        <w:r>
                          <w:rPr>
                            <w:rFonts w:ascii="宋体" w:hAnsi="宋体" w:cs="宋体" w:eastAsia="宋体" w:hint="default"/>
                            <w:spacing w:val="-6"/>
                            <w:sz w:val="21"/>
                            <w:szCs w:val="21"/>
                          </w:rPr>
                          <w:t>所提供的每笔融资分别计算，就每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笔融资而言，保证期间为该笔融资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项下债务履行期限届满之日起两 年</w:t>
                        </w:r>
                      </w:p>
                    </w:tc>
                  </w:tr>
                  <w:tr>
                    <w:trPr>
                      <w:trHeight w:val="1302" w:hRule="exact"/>
                    </w:trPr>
                    <w:tc>
                      <w:tcPr>
                        <w:tcW w:w="945"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64" w:lineRule="auto" w:before="105"/>
                          <w:ind w:left="31" w:right="134"/>
                          <w:jc w:val="both"/>
                          <w:rPr>
                            <w:rFonts w:ascii="宋体" w:hAnsi="宋体" w:cs="宋体" w:eastAsia="宋体" w:hint="default"/>
                            <w:sz w:val="21"/>
                            <w:szCs w:val="21"/>
                          </w:rPr>
                        </w:pPr>
                        <w:r>
                          <w:rPr>
                            <w:rFonts w:ascii="宋体" w:hAnsi="宋体" w:cs="宋体" w:eastAsia="宋体" w:hint="default"/>
                            <w:sz w:val="21"/>
                            <w:szCs w:val="21"/>
                          </w:rPr>
                          <w:t>开立保函</w:t>
                        </w:r>
                        <w:r>
                          <w:rPr>
                            <w:rFonts w:ascii="Times New Roman" w:hAnsi="Times New Roman" w:cs="Times New Roman" w:eastAsia="Times New Roman" w:hint="default"/>
                            <w:sz w:val="21"/>
                            <w:szCs w:val="21"/>
                          </w:rPr>
                          <w:t>/ </w:t>
                        </w:r>
                        <w:r>
                          <w:rPr>
                            <w:rFonts w:ascii="宋体" w:hAnsi="宋体" w:cs="宋体" w:eastAsia="宋体" w:hint="default"/>
                            <w:sz w:val="21"/>
                            <w:szCs w:val="21"/>
                          </w:rPr>
                          <w:t>备用信用 证</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16" w:right="164"/>
                          <w:jc w:val="left"/>
                          <w:rPr>
                            <w:rFonts w:ascii="宋体" w:hAnsi="宋体" w:cs="宋体" w:eastAsia="宋体" w:hint="default"/>
                            <w:sz w:val="21"/>
                            <w:szCs w:val="21"/>
                          </w:rPr>
                        </w:pPr>
                        <w:r>
                          <w:rPr>
                            <w:rFonts w:ascii="宋体" w:hAnsi="宋体" w:cs="宋体" w:eastAsia="宋体" w:hint="default"/>
                            <w:sz w:val="21"/>
                            <w:szCs w:val="21"/>
                          </w:rPr>
                          <w:t>中国银行 宁夏分行</w:t>
                        </w:r>
                      </w:p>
                    </w:tc>
                    <w:tc>
                      <w:tcPr>
                        <w:tcW w:w="1485"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1"/>
                          <w:jc w:val="right"/>
                          <w:rPr>
                            <w:rFonts w:ascii="Times New Roman" w:hAnsi="Times New Roman" w:cs="Times New Roman" w:eastAsia="Times New Roman" w:hint="default"/>
                            <w:sz w:val="21"/>
                            <w:szCs w:val="21"/>
                          </w:rPr>
                        </w:pPr>
                        <w:r>
                          <w:rPr>
                            <w:rFonts w:ascii="Times New Roman"/>
                            <w:sz w:val="21"/>
                          </w:rPr>
                          <w:t>75,000,000.00</w:t>
                        </w:r>
                      </w:p>
                    </w:tc>
                    <w:tc>
                      <w:tcPr>
                        <w:tcW w:w="1506"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
                          <w:jc w:val="right"/>
                          <w:rPr>
                            <w:rFonts w:ascii="Times New Roman" w:hAnsi="Times New Roman" w:cs="Times New Roman" w:eastAsia="Times New Roman" w:hint="default"/>
                            <w:sz w:val="21"/>
                            <w:szCs w:val="21"/>
                          </w:rPr>
                        </w:pPr>
                        <w:r>
                          <w:rPr>
                            <w:rFonts w:ascii="Times New Roman"/>
                            <w:sz w:val="21"/>
                          </w:rPr>
                          <w:t>12,832,122.13</w:t>
                        </w:r>
                      </w:p>
                    </w:tc>
                    <w:tc>
                      <w:tcPr>
                        <w:tcW w:w="3160"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9" w:right="0"/>
                          <w:jc w:val="left"/>
                          <w:rPr>
                            <w:rFonts w:ascii="宋体" w:hAnsi="宋体" w:cs="宋体" w:eastAsia="宋体" w:hint="default"/>
                            <w:sz w:val="21"/>
                            <w:szCs w:val="21"/>
                          </w:rPr>
                        </w:pPr>
                        <w:r>
                          <w:rPr>
                            <w:rFonts w:ascii="宋体" w:hAnsi="宋体" w:cs="宋体" w:eastAsia="宋体" w:hint="default"/>
                            <w:sz w:val="21"/>
                            <w:szCs w:val="21"/>
                          </w:rPr>
                          <w:t>主债权发生期间届满之日起两年</w:t>
                        </w:r>
                      </w:p>
                    </w:tc>
                  </w:tr>
                  <w:tr>
                    <w:trPr>
                      <w:trHeight w:val="2238" w:hRule="exact"/>
                    </w:trPr>
                    <w:tc>
                      <w:tcPr>
                        <w:tcW w:w="945"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31" w:right="13"/>
                          <w:jc w:val="left"/>
                          <w:rPr>
                            <w:rFonts w:ascii="宋体" w:hAnsi="宋体" w:cs="宋体" w:eastAsia="宋体" w:hint="default"/>
                            <w:sz w:val="21"/>
                            <w:szCs w:val="21"/>
                          </w:rPr>
                        </w:pPr>
                        <w:r>
                          <w:rPr>
                            <w:rFonts w:ascii="宋体" w:hAnsi="宋体" w:cs="宋体" w:eastAsia="宋体" w:hint="default"/>
                            <w:spacing w:val="-6"/>
                            <w:sz w:val="21"/>
                            <w:szCs w:val="21"/>
                          </w:rPr>
                          <w:t>银行借款、</w:t>
                        </w:r>
                        <w:r>
                          <w:rPr>
                            <w:rFonts w:ascii="宋体" w:hAnsi="宋体" w:cs="宋体" w:eastAsia="宋体" w:hint="default"/>
                            <w:spacing w:val="-30"/>
                            <w:sz w:val="21"/>
                            <w:szCs w:val="21"/>
                          </w:rPr>
                          <w:t> </w:t>
                        </w:r>
                        <w:r>
                          <w:rPr>
                            <w:rFonts w:ascii="宋体" w:hAnsi="宋体" w:cs="宋体" w:eastAsia="宋体" w:hint="default"/>
                            <w:sz w:val="21"/>
                            <w:szCs w:val="21"/>
                          </w:rPr>
                          <w:t>应付票据</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16" w:right="164"/>
                          <w:jc w:val="left"/>
                          <w:rPr>
                            <w:rFonts w:ascii="宋体" w:hAnsi="宋体" w:cs="宋体" w:eastAsia="宋体" w:hint="default"/>
                            <w:sz w:val="21"/>
                            <w:szCs w:val="21"/>
                          </w:rPr>
                        </w:pPr>
                        <w:r>
                          <w:rPr>
                            <w:rFonts w:ascii="宋体" w:hAnsi="宋体" w:cs="宋体" w:eastAsia="宋体" w:hint="default"/>
                            <w:sz w:val="21"/>
                            <w:szCs w:val="21"/>
                          </w:rPr>
                          <w:t>交通银行 宁夏分行</w:t>
                        </w:r>
                      </w:p>
                    </w:tc>
                    <w:tc>
                      <w:tcPr>
                        <w:tcW w:w="1485"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1"/>
                          <w:jc w:val="right"/>
                          <w:rPr>
                            <w:rFonts w:ascii="Times New Roman" w:hAnsi="Times New Roman" w:cs="Times New Roman" w:eastAsia="Times New Roman" w:hint="default"/>
                            <w:sz w:val="21"/>
                            <w:szCs w:val="21"/>
                          </w:rPr>
                        </w:pPr>
                        <w:r>
                          <w:rPr>
                            <w:rFonts w:ascii="Times New Roman"/>
                            <w:sz w:val="21"/>
                          </w:rPr>
                          <w:t>50,000,000.00</w:t>
                        </w:r>
                      </w:p>
                    </w:tc>
                    <w:tc>
                      <w:tcPr>
                        <w:tcW w:w="1506" w:type="dxa"/>
                        <w:tcBorders>
                          <w:top w:val="single" w:sz="8" w:space="0" w:color="000000"/>
                          <w:left w:val="nil" w:sz="6" w:space="0" w:color="auto"/>
                          <w:bottom w:val="single" w:sz="8" w:space="0" w:color="000000"/>
                          <w:right w:val="nil" w:sz="6" w:space="0" w:color="auto"/>
                        </w:tcBorders>
                      </w:tcPr>
                      <w:p>
                        <w:pPr/>
                      </w:p>
                    </w:tc>
                    <w:tc>
                      <w:tcPr>
                        <w:tcW w:w="3160"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9" w:right="77"/>
                          <w:jc w:val="left"/>
                          <w:rPr>
                            <w:rFonts w:ascii="宋体" w:hAnsi="宋体" w:cs="宋体" w:eastAsia="宋体" w:hint="default"/>
                            <w:sz w:val="21"/>
                            <w:szCs w:val="21"/>
                          </w:rPr>
                        </w:pPr>
                        <w:r>
                          <w:rPr>
                            <w:rFonts w:ascii="宋体" w:hAnsi="宋体" w:cs="宋体" w:eastAsia="宋体" w:hint="default"/>
                            <w:sz w:val="21"/>
                            <w:szCs w:val="21"/>
                          </w:rPr>
                          <w:t>根据主合同约定的各笔主债务的 </w:t>
                        </w:r>
                        <w:r>
                          <w:rPr>
                            <w:rFonts w:ascii="宋体" w:hAnsi="宋体" w:cs="宋体" w:eastAsia="宋体" w:hint="default"/>
                            <w:spacing w:val="-6"/>
                            <w:sz w:val="21"/>
                            <w:szCs w:val="21"/>
                          </w:rPr>
                          <w:t>债务履行期限分别计算，每一笔主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债务项下的保证期间为，自该笔债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务履行期限届满之日起，计至全部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主合同项下最后到期的主债务的 债务履行期限届满之日后两年止</w:t>
                        </w:r>
                      </w:p>
                    </w:tc>
                  </w:tr>
                </w:tbl>
                <w:p>
                  <w:pPr/>
                </w:p>
              </w:txbxContent>
            </v:textbox>
            <w10:wrap type="none"/>
          </v:shape>
        </w:pict>
      </w:r>
      <w:r>
        <w:rPr/>
        <w:t>为其他单位提供债务担保形成的或有负债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日，本集团为下列单位贷款提供保证：</w:t>
      </w:r>
    </w:p>
    <w:p>
      <w:pPr>
        <w:spacing w:after="0" w:line="40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906"/>
        <w:gridCol w:w="1092"/>
        <w:gridCol w:w="953"/>
        <w:gridCol w:w="1626"/>
        <w:gridCol w:w="1403"/>
        <w:gridCol w:w="3091"/>
      </w:tblGrid>
      <w:tr>
        <w:trPr>
          <w:trHeight w:val="1122" w:hRule="exact"/>
        </w:trPr>
        <w:tc>
          <w:tcPr>
            <w:tcW w:w="906" w:type="dxa"/>
            <w:tcBorders>
              <w:top w:val="nil" w:sz="6" w:space="0" w:color="auto"/>
              <w:left w:val="nil" w:sz="6" w:space="0" w:color="auto"/>
              <w:bottom w:val="single" w:sz="8" w:space="0" w:color="000000"/>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sz w:val="21"/>
                <w:szCs w:val="21"/>
              </w:rPr>
              <w:t>银川卧龙</w:t>
            </w:r>
          </w:p>
        </w:tc>
        <w:tc>
          <w:tcPr>
            <w:tcW w:w="1092" w:type="dxa"/>
            <w:tcBorders>
              <w:top w:val="nil" w:sz="6" w:space="0" w:color="auto"/>
              <w:left w:val="nil" w:sz="6" w:space="0" w:color="auto"/>
              <w:bottom w:val="single" w:sz="8" w:space="0" w:color="000000"/>
              <w:right w:val="nil" w:sz="6" w:space="0" w:color="auto"/>
            </w:tcBorders>
          </w:tcPr>
          <w:p>
            <w:pPr>
              <w:pStyle w:val="TableParagraph"/>
              <w:spacing w:line="226" w:lineRule="exact"/>
              <w:ind w:left="56"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953" w:type="dxa"/>
            <w:tcBorders>
              <w:top w:val="nil" w:sz="6" w:space="0" w:color="auto"/>
              <w:left w:val="nil" w:sz="6" w:space="0" w:color="auto"/>
              <w:bottom w:val="single" w:sz="8" w:space="0" w:color="000000"/>
              <w:right w:val="nil" w:sz="6" w:space="0" w:color="auto"/>
            </w:tcBorders>
          </w:tcPr>
          <w:p>
            <w:pPr>
              <w:pStyle w:val="TableParagraph"/>
              <w:spacing w:line="210" w:lineRule="exact"/>
              <w:ind w:left="-16" w:right="0"/>
              <w:jc w:val="left"/>
              <w:rPr>
                <w:rFonts w:ascii="宋体" w:hAnsi="宋体" w:cs="宋体" w:eastAsia="宋体" w:hint="default"/>
                <w:sz w:val="21"/>
                <w:szCs w:val="21"/>
              </w:rPr>
            </w:pPr>
            <w:r>
              <w:rPr>
                <w:rFonts w:ascii="宋体" w:hAnsi="宋体" w:cs="宋体" w:eastAsia="宋体" w:hint="default"/>
                <w:sz w:val="21"/>
                <w:szCs w:val="21"/>
              </w:rPr>
              <w:t>远东国际</w:t>
            </w:r>
          </w:p>
          <w:p>
            <w:pPr>
              <w:pStyle w:val="TableParagraph"/>
              <w:spacing w:line="273" w:lineRule="auto" w:before="37"/>
              <w:ind w:left="-16" w:right="125"/>
              <w:jc w:val="left"/>
              <w:rPr>
                <w:rFonts w:ascii="宋体" w:hAnsi="宋体" w:cs="宋体" w:eastAsia="宋体" w:hint="default"/>
                <w:sz w:val="21"/>
                <w:szCs w:val="21"/>
              </w:rPr>
            </w:pPr>
            <w:r>
              <w:rPr>
                <w:rFonts w:ascii="宋体" w:hAnsi="宋体" w:cs="宋体" w:eastAsia="宋体" w:hint="default"/>
                <w:sz w:val="21"/>
                <w:szCs w:val="21"/>
              </w:rPr>
              <w:t>租赁有限 公司</w:t>
            </w:r>
          </w:p>
        </w:tc>
        <w:tc>
          <w:tcPr>
            <w:tcW w:w="1626" w:type="dxa"/>
            <w:tcBorders>
              <w:top w:val="nil" w:sz="6" w:space="0" w:color="auto"/>
              <w:left w:val="nil" w:sz="6" w:space="0" w:color="auto"/>
              <w:bottom w:val="single" w:sz="8" w:space="0" w:color="000000"/>
              <w:right w:val="nil" w:sz="6" w:space="0" w:color="auto"/>
            </w:tcBorders>
          </w:tcPr>
          <w:p>
            <w:pPr>
              <w:pStyle w:val="TableParagraph"/>
              <w:spacing w:line="226" w:lineRule="exact"/>
              <w:ind w:right="184"/>
              <w:jc w:val="right"/>
              <w:rPr>
                <w:rFonts w:ascii="Times New Roman" w:hAnsi="Times New Roman" w:cs="Times New Roman" w:eastAsia="Times New Roman" w:hint="default"/>
                <w:sz w:val="21"/>
                <w:szCs w:val="21"/>
              </w:rPr>
            </w:pPr>
            <w:r>
              <w:rPr>
                <w:rFonts w:ascii="Times New Roman"/>
                <w:sz w:val="21"/>
              </w:rPr>
              <w:t>88,000,000.00</w:t>
            </w:r>
          </w:p>
        </w:tc>
        <w:tc>
          <w:tcPr>
            <w:tcW w:w="1403" w:type="dxa"/>
            <w:tcBorders>
              <w:top w:val="nil" w:sz="6" w:space="0" w:color="auto"/>
              <w:left w:val="nil" w:sz="6" w:space="0" w:color="auto"/>
              <w:bottom w:val="single" w:sz="8" w:space="0" w:color="000000"/>
              <w:right w:val="nil" w:sz="6" w:space="0" w:color="auto"/>
            </w:tcBorders>
          </w:tcPr>
          <w:p>
            <w:pPr>
              <w:pStyle w:val="TableParagraph"/>
              <w:spacing w:line="226" w:lineRule="exact"/>
              <w:ind w:right="7"/>
              <w:jc w:val="right"/>
              <w:rPr>
                <w:rFonts w:ascii="Times New Roman" w:hAnsi="Times New Roman" w:cs="Times New Roman" w:eastAsia="Times New Roman" w:hint="default"/>
                <w:sz w:val="21"/>
                <w:szCs w:val="21"/>
              </w:rPr>
            </w:pPr>
            <w:r>
              <w:rPr>
                <w:rFonts w:ascii="Times New Roman"/>
                <w:sz w:val="21"/>
              </w:rPr>
              <w:t>80,443,109.16</w:t>
            </w:r>
          </w:p>
        </w:tc>
        <w:tc>
          <w:tcPr>
            <w:tcW w:w="3091" w:type="dxa"/>
            <w:tcBorders>
              <w:top w:val="nil" w:sz="6" w:space="0" w:color="auto"/>
              <w:left w:val="nil" w:sz="6" w:space="0" w:color="auto"/>
              <w:bottom w:val="single" w:sz="8" w:space="0" w:color="000000"/>
              <w:right w:val="nil" w:sz="6" w:space="0" w:color="auto"/>
            </w:tcBorders>
          </w:tcPr>
          <w:p>
            <w:pPr>
              <w:pStyle w:val="TableParagraph"/>
              <w:spacing w:line="210" w:lineRule="exact"/>
              <w:ind w:left="9" w:right="0"/>
              <w:jc w:val="left"/>
              <w:rPr>
                <w:rFonts w:ascii="宋体" w:hAnsi="宋体" w:cs="宋体" w:eastAsia="宋体" w:hint="default"/>
                <w:sz w:val="21"/>
                <w:szCs w:val="21"/>
              </w:rPr>
            </w:pPr>
            <w:r>
              <w:rPr>
                <w:rFonts w:ascii="宋体" w:hAnsi="宋体" w:cs="宋体" w:eastAsia="宋体" w:hint="default"/>
                <w:sz w:val="21"/>
                <w:szCs w:val="21"/>
              </w:rPr>
              <w:t>自保证合同签署之日始至租赁合</w:t>
            </w:r>
          </w:p>
          <w:p>
            <w:pPr>
              <w:pStyle w:val="TableParagraph"/>
              <w:spacing w:line="273" w:lineRule="auto" w:before="37"/>
              <w:ind w:left="9" w:right="138"/>
              <w:jc w:val="left"/>
              <w:rPr>
                <w:rFonts w:ascii="宋体" w:hAnsi="宋体" w:cs="宋体" w:eastAsia="宋体" w:hint="default"/>
                <w:sz w:val="21"/>
                <w:szCs w:val="21"/>
              </w:rPr>
            </w:pPr>
            <w:r>
              <w:rPr>
                <w:rFonts w:ascii="宋体" w:hAnsi="宋体" w:cs="宋体" w:eastAsia="宋体" w:hint="default"/>
                <w:sz w:val="21"/>
                <w:szCs w:val="21"/>
              </w:rPr>
              <w:t>同项下主债务履行其届满之日起 满两年的期间</w:t>
            </w:r>
          </w:p>
        </w:tc>
      </w:tr>
      <w:tr>
        <w:trPr>
          <w:trHeight w:val="1302" w:hRule="exact"/>
        </w:trPr>
        <w:tc>
          <w:tcPr>
            <w:tcW w:w="906"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9" w:right="54"/>
              <w:jc w:val="left"/>
              <w:rPr>
                <w:rFonts w:ascii="宋体" w:hAnsi="宋体" w:cs="宋体" w:eastAsia="宋体" w:hint="default"/>
                <w:sz w:val="21"/>
                <w:szCs w:val="21"/>
              </w:rPr>
            </w:pPr>
            <w:r>
              <w:rPr>
                <w:rFonts w:ascii="宋体" w:hAnsi="宋体" w:cs="宋体" w:eastAsia="宋体" w:hint="default"/>
                <w:sz w:val="21"/>
                <w:szCs w:val="21"/>
              </w:rPr>
              <w:t>中宁新能 源</w:t>
            </w:r>
          </w:p>
        </w:tc>
        <w:tc>
          <w:tcPr>
            <w:tcW w:w="1092"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56"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16" w:right="125"/>
              <w:jc w:val="both"/>
              <w:rPr>
                <w:rFonts w:ascii="宋体" w:hAnsi="宋体" w:cs="宋体" w:eastAsia="宋体" w:hint="default"/>
                <w:sz w:val="21"/>
                <w:szCs w:val="21"/>
              </w:rPr>
            </w:pPr>
            <w:r>
              <w:rPr>
                <w:rFonts w:ascii="宋体" w:hAnsi="宋体" w:cs="宋体" w:eastAsia="宋体" w:hint="default"/>
                <w:sz w:val="21"/>
                <w:szCs w:val="21"/>
              </w:rPr>
              <w:t>新疆金风 科技股份 有限公司</w:t>
            </w:r>
          </w:p>
        </w:tc>
        <w:tc>
          <w:tcPr>
            <w:tcW w:w="1626"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183"/>
              <w:jc w:val="right"/>
              <w:rPr>
                <w:rFonts w:ascii="Times New Roman" w:hAnsi="Times New Roman" w:cs="Times New Roman" w:eastAsia="Times New Roman" w:hint="default"/>
                <w:sz w:val="21"/>
                <w:szCs w:val="21"/>
              </w:rPr>
            </w:pPr>
            <w:r>
              <w:rPr>
                <w:rFonts w:ascii="Times New Roman"/>
                <w:spacing w:val="-1"/>
                <w:sz w:val="21"/>
              </w:rPr>
              <w:t>325,864,000.00</w:t>
            </w:r>
          </w:p>
        </w:tc>
        <w:tc>
          <w:tcPr>
            <w:tcW w:w="1403"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
              <w:jc w:val="right"/>
              <w:rPr>
                <w:rFonts w:ascii="Times New Roman" w:hAnsi="Times New Roman" w:cs="Times New Roman" w:eastAsia="Times New Roman" w:hint="default"/>
                <w:sz w:val="21"/>
                <w:szCs w:val="21"/>
              </w:rPr>
            </w:pPr>
            <w:r>
              <w:rPr>
                <w:rFonts w:ascii="Times New Roman"/>
                <w:spacing w:val="-1"/>
                <w:sz w:val="21"/>
              </w:rPr>
              <w:t>1,992,768.97</w:t>
            </w:r>
          </w:p>
        </w:tc>
        <w:tc>
          <w:tcPr>
            <w:tcW w:w="3091"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9" w:right="138"/>
              <w:jc w:val="both"/>
              <w:rPr>
                <w:rFonts w:ascii="宋体" w:hAnsi="宋体" w:cs="宋体" w:eastAsia="宋体" w:hint="default"/>
                <w:sz w:val="21"/>
                <w:szCs w:val="21"/>
              </w:rPr>
            </w:pPr>
            <w:r>
              <w:rPr>
                <w:rFonts w:ascii="宋体" w:hAnsi="宋体" w:cs="宋体" w:eastAsia="宋体" w:hint="default"/>
                <w:sz w:val="21"/>
                <w:szCs w:val="21"/>
              </w:rPr>
              <w:t>自中宁县银变新能源有限公司履 行主合同项下债务期限届满之日 起两年</w:t>
            </w:r>
          </w:p>
        </w:tc>
      </w:tr>
      <w:tr>
        <w:trPr>
          <w:trHeight w:val="1926" w:hRule="exact"/>
        </w:trPr>
        <w:tc>
          <w:tcPr>
            <w:tcW w:w="906"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9" w:right="0"/>
              <w:jc w:val="left"/>
              <w:rPr>
                <w:rFonts w:ascii="宋体" w:hAnsi="宋体" w:cs="宋体" w:eastAsia="宋体" w:hint="default"/>
                <w:sz w:val="21"/>
                <w:szCs w:val="21"/>
              </w:rPr>
            </w:pPr>
            <w:r>
              <w:rPr>
                <w:rFonts w:ascii="宋体" w:hAnsi="宋体" w:cs="宋体" w:eastAsia="宋体" w:hint="default"/>
                <w:sz w:val="21"/>
                <w:szCs w:val="21"/>
              </w:rPr>
              <w:t>星波通信</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092"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56" w:right="13"/>
              <w:jc w:val="left"/>
              <w:rPr>
                <w:rFonts w:ascii="宋体" w:hAnsi="宋体" w:cs="宋体" w:eastAsia="宋体" w:hint="default"/>
                <w:sz w:val="21"/>
                <w:szCs w:val="21"/>
              </w:rPr>
            </w:pPr>
            <w:r>
              <w:rPr>
                <w:rFonts w:ascii="宋体" w:hAnsi="宋体" w:cs="宋体" w:eastAsia="宋体" w:hint="default"/>
                <w:spacing w:val="-6"/>
                <w:sz w:val="21"/>
                <w:szCs w:val="21"/>
              </w:rPr>
              <w:t>银行借款、</w:t>
            </w:r>
            <w:r>
              <w:rPr>
                <w:rFonts w:ascii="宋体" w:hAnsi="宋体" w:cs="宋体" w:eastAsia="宋体" w:hint="default"/>
                <w:spacing w:val="-30"/>
                <w:sz w:val="21"/>
                <w:szCs w:val="21"/>
              </w:rPr>
              <w:t> </w:t>
            </w:r>
            <w:r>
              <w:rPr>
                <w:rFonts w:ascii="宋体" w:hAnsi="宋体" w:cs="宋体" w:eastAsia="宋体" w:hint="default"/>
                <w:sz w:val="21"/>
                <w:szCs w:val="21"/>
              </w:rPr>
              <w:t>应付票据</w:t>
            </w:r>
          </w:p>
        </w:tc>
        <w:tc>
          <w:tcPr>
            <w:tcW w:w="953"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16" w:right="125"/>
              <w:jc w:val="left"/>
              <w:rPr>
                <w:rFonts w:ascii="宋体" w:hAnsi="宋体" w:cs="宋体" w:eastAsia="宋体" w:hint="default"/>
                <w:sz w:val="21"/>
                <w:szCs w:val="21"/>
              </w:rPr>
            </w:pPr>
            <w:r>
              <w:rPr>
                <w:rFonts w:ascii="宋体" w:hAnsi="宋体" w:cs="宋体" w:eastAsia="宋体" w:hint="default"/>
                <w:sz w:val="21"/>
                <w:szCs w:val="21"/>
              </w:rPr>
              <w:t>兴业银行 合肥分行</w:t>
            </w:r>
          </w:p>
        </w:tc>
        <w:tc>
          <w:tcPr>
            <w:tcW w:w="1626"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184"/>
              <w:jc w:val="right"/>
              <w:rPr>
                <w:rFonts w:ascii="Times New Roman" w:hAnsi="Times New Roman" w:cs="Times New Roman" w:eastAsia="Times New Roman" w:hint="default"/>
                <w:sz w:val="21"/>
                <w:szCs w:val="21"/>
              </w:rPr>
            </w:pPr>
            <w:r>
              <w:rPr>
                <w:rFonts w:ascii="Times New Roman"/>
                <w:sz w:val="21"/>
              </w:rPr>
              <w:t>60,000,000.00</w:t>
            </w:r>
          </w:p>
        </w:tc>
        <w:tc>
          <w:tcPr>
            <w:tcW w:w="1403" w:type="dxa"/>
            <w:tcBorders>
              <w:top w:val="single" w:sz="8" w:space="0" w:color="000000"/>
              <w:left w:val="nil" w:sz="6" w:space="0" w:color="auto"/>
              <w:bottom w:val="single" w:sz="8" w:space="0" w:color="000000"/>
              <w:right w:val="nil" w:sz="6" w:space="0" w:color="auto"/>
            </w:tcBorders>
          </w:tcPr>
          <w:p>
            <w:pPr>
              <w:pStyle w:val="TableParagraph"/>
              <w:spacing w:line="240" w:lineRule="auto" w:before="154"/>
              <w:ind w:right="8"/>
              <w:jc w:val="right"/>
              <w:rPr>
                <w:rFonts w:ascii="Times New Roman" w:hAnsi="Times New Roman" w:cs="Times New Roman" w:eastAsia="Times New Roman" w:hint="default"/>
                <w:sz w:val="21"/>
                <w:szCs w:val="21"/>
              </w:rPr>
            </w:pPr>
            <w:r>
              <w:rPr>
                <w:rFonts w:ascii="Times New Roman"/>
                <w:spacing w:val="-1"/>
                <w:sz w:val="21"/>
              </w:rPr>
              <w:t>2,008,397.66</w:t>
            </w:r>
          </w:p>
        </w:tc>
        <w:tc>
          <w:tcPr>
            <w:tcW w:w="3091" w:type="dxa"/>
            <w:tcBorders>
              <w:top w:val="single" w:sz="8" w:space="0" w:color="000000"/>
              <w:left w:val="nil" w:sz="6" w:space="0" w:color="auto"/>
              <w:bottom w:val="single" w:sz="8" w:space="0" w:color="000000"/>
              <w:right w:val="nil" w:sz="6" w:space="0" w:color="auto"/>
            </w:tcBorders>
          </w:tcPr>
          <w:p>
            <w:pPr>
              <w:pStyle w:val="TableParagraph"/>
              <w:spacing w:line="273" w:lineRule="auto" w:before="105"/>
              <w:ind w:left="9" w:right="7"/>
              <w:jc w:val="left"/>
              <w:rPr>
                <w:rFonts w:ascii="宋体" w:hAnsi="宋体" w:cs="宋体" w:eastAsia="宋体" w:hint="default"/>
                <w:sz w:val="21"/>
                <w:szCs w:val="21"/>
              </w:rPr>
            </w:pPr>
            <w:r>
              <w:rPr>
                <w:rFonts w:ascii="宋体" w:hAnsi="宋体" w:cs="宋体" w:eastAsia="宋体" w:hint="default"/>
                <w:sz w:val="21"/>
                <w:szCs w:val="21"/>
              </w:rPr>
              <w:t>根据主合同项下债权人对债务人 </w:t>
            </w:r>
            <w:r>
              <w:rPr>
                <w:rFonts w:ascii="宋体" w:hAnsi="宋体" w:cs="宋体" w:eastAsia="宋体" w:hint="default"/>
                <w:spacing w:val="-6"/>
                <w:sz w:val="21"/>
                <w:szCs w:val="21"/>
              </w:rPr>
              <w:t>所提供的每笔融资分别计算，就每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笔融资而言，保证期间为该笔融资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项下债务履行期限届满之日起两 年</w:t>
            </w:r>
          </w:p>
        </w:tc>
      </w:tr>
    </w:tbl>
    <w:p>
      <w:pPr>
        <w:pStyle w:val="BodyText"/>
        <w:spacing w:line="312" w:lineRule="exact" w:before="111"/>
        <w:ind w:right="1133"/>
        <w:jc w:val="both"/>
      </w:pPr>
      <w:r>
        <w:rPr/>
        <w:t>注</w:t>
      </w:r>
      <w:r>
        <w:rPr>
          <w:rFonts w:ascii="Times New Roman" w:hAnsi="Times New Roman" w:cs="Times New Roman" w:eastAsia="Times New Roman" w:hint="default"/>
        </w:rPr>
        <w:t>1</w:t>
      </w:r>
      <w:r>
        <w:rPr/>
        <w:t>：本公司与远东国际租赁有限公司于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月签订《保证合同》，为卧龙电气银川变压</w:t>
      </w:r>
      <w:r>
        <w:rPr>
          <w:spacing w:val="-113"/>
        </w:rPr>
        <w:t> </w:t>
      </w:r>
      <w:r>
        <w:rPr>
          <w:spacing w:val="-5"/>
        </w:rPr>
        <w:t>器有限公司提供不可撤销的连带责任保证，以担保卧龙电气银川变压器有限公司履行其在《售</w:t>
      </w:r>
      <w:r>
        <w:rPr>
          <w:spacing w:val="-117"/>
        </w:rPr>
        <w:t> </w:t>
      </w:r>
      <w:r>
        <w:rPr>
          <w:spacing w:val="-117"/>
        </w:rPr>
      </w:r>
      <w:r>
        <w:rPr/>
        <w:t>后回租赁合同》项下偿付租金及其他款项的义务。保证期限为自本合同签署之日始至租赁合 同项下主债务履行其届满之日起满两年的期间。</w:t>
      </w:r>
    </w:p>
    <w:p>
      <w:pPr>
        <w:pStyle w:val="BodyText"/>
        <w:spacing w:line="232" w:lineRule="auto" w:before="193"/>
        <w:ind w:right="1132"/>
        <w:jc w:val="both"/>
      </w:pPr>
      <w:r>
        <w:rPr>
          <w:spacing w:val="-8"/>
        </w:rPr>
        <w:t>注</w:t>
      </w:r>
      <w:r>
        <w:rPr>
          <w:rFonts w:ascii="Times New Roman" w:hAnsi="Times New Roman" w:cs="Times New Roman" w:eastAsia="Times New Roman" w:hint="default"/>
          <w:spacing w:val="-8"/>
        </w:rPr>
        <w:t>2</w:t>
      </w:r>
      <w:r>
        <w:rPr>
          <w:spacing w:val="-8"/>
        </w:rPr>
        <w:t>：本公司与新疆金风科技股份有限公司（以下简称甲方）、中宁县银变新能源有限公司（以</w:t>
      </w:r>
      <w:r>
        <w:rPr>
          <w:spacing w:val="-109"/>
        </w:rPr>
        <w:t> </w:t>
      </w:r>
      <w:r>
        <w:rPr>
          <w:spacing w:val="-109"/>
        </w:rPr>
      </w:r>
      <w:r>
        <w:rPr>
          <w:spacing w:val="-2"/>
        </w:rPr>
        <w:t>下简称丙方）于</w:t>
      </w:r>
      <w:r>
        <w:rPr>
          <w:rFonts w:ascii="Times New Roman" w:hAnsi="Times New Roman" w:cs="Times New Roman" w:eastAsia="Times New Roman" w:hint="default"/>
          <w:spacing w:val="-2"/>
        </w:rPr>
        <w:t>2018</w:t>
      </w:r>
      <w:r>
        <w:rPr>
          <w:spacing w:val="-2"/>
        </w:rPr>
        <w:t>年签订了《中宁县新堡</w:t>
      </w:r>
      <w:r>
        <w:rPr>
          <w:rFonts w:ascii="Times New Roman" w:hAnsi="Times New Roman" w:cs="Times New Roman" w:eastAsia="Times New Roman" w:hint="default"/>
          <w:spacing w:val="-2"/>
        </w:rPr>
        <w:t>100MW</w:t>
      </w:r>
      <w:r>
        <w:rPr>
          <w:spacing w:val="-2"/>
        </w:rPr>
        <w:t>风电项目风力发电机组及附属设备采购合</w:t>
      </w:r>
      <w:r>
        <w:rPr>
          <w:spacing w:val="-79"/>
        </w:rPr>
        <w:t> </w:t>
      </w:r>
      <w:r>
        <w:rPr/>
        <w:t>同》，为确保丙方顺利履约主合同项目下的风电机组价格的付款责任与义务，保证甲方主合 同下的权利与义务，本公司为丙方提供连带责任保证担保，保证本协议中的甲方在主合同中 的权利。</w:t>
      </w:r>
    </w:p>
    <w:p>
      <w:pPr>
        <w:spacing w:line="240" w:lineRule="auto" w:before="10"/>
        <w:rPr>
          <w:rFonts w:ascii="宋体" w:hAnsi="宋体" w:cs="宋体" w:eastAsia="宋体" w:hint="default"/>
          <w:sz w:val="18"/>
          <w:szCs w:val="18"/>
        </w:rPr>
      </w:pPr>
    </w:p>
    <w:p>
      <w:pPr>
        <w:pStyle w:val="BodyText"/>
        <w:spacing w:line="312" w:lineRule="exact"/>
        <w:ind w:right="1135"/>
        <w:jc w:val="both"/>
      </w:pPr>
      <w:r>
        <w:rPr/>
        <w:t>注</w:t>
      </w:r>
      <w:r>
        <w:rPr>
          <w:rFonts w:ascii="Times New Roman" w:hAnsi="Times New Roman" w:cs="Times New Roman" w:eastAsia="Times New Roman" w:hint="default"/>
        </w:rPr>
        <w:t>3</w:t>
      </w:r>
      <w:r>
        <w:rPr/>
        <w:t>：根据本公司与子公司星波通信于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日签订的《最高额反担保协议》，星波通</w:t>
      </w:r>
      <w:r>
        <w:rPr>
          <w:spacing w:val="-111"/>
        </w:rPr>
        <w:t> </w:t>
      </w:r>
      <w:r>
        <w:rPr/>
        <w:t>信为本公司在不超过</w:t>
      </w:r>
      <w:r>
        <w:rPr>
          <w:rFonts w:ascii="Times New Roman" w:hAnsi="Times New Roman" w:cs="Times New Roman" w:eastAsia="Times New Roman" w:hint="default"/>
        </w:rPr>
        <w:t>6000</w:t>
      </w:r>
      <w:r>
        <w:rPr/>
        <w:t>万人民币主债权本金额度范围内为其提供保证担保，所形成的保证</w:t>
      </w:r>
      <w:r>
        <w:rPr>
          <w:spacing w:val="-116"/>
        </w:rPr>
        <w:t> </w:t>
      </w:r>
      <w:r>
        <w:rPr>
          <w:spacing w:val="-116"/>
        </w:rPr>
      </w:r>
      <w:r>
        <w:rPr/>
        <w:t>担保金额提供反担保措施。</w:t>
      </w:r>
    </w:p>
    <w:p>
      <w:pPr>
        <w:pStyle w:val="BodyText"/>
        <w:spacing w:line="240" w:lineRule="auto" w:before="185"/>
        <w:ind w:right="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日，本集团无其他应披露的未决诉讼、对外担保等或有事项。</w:t>
      </w:r>
    </w:p>
    <w:p>
      <w:pPr>
        <w:spacing w:line="240" w:lineRule="auto" w:before="4"/>
        <w:rPr>
          <w:rFonts w:ascii="宋体" w:hAnsi="宋体" w:cs="宋体" w:eastAsia="宋体" w:hint="default"/>
          <w:sz w:val="23"/>
          <w:szCs w:val="23"/>
        </w:rPr>
      </w:pPr>
    </w:p>
    <w:p>
      <w:pPr>
        <w:spacing w:before="0"/>
        <w:ind w:left="154" w:right="0" w:firstLine="0"/>
        <w:jc w:val="both"/>
        <w:rPr>
          <w:rFonts w:ascii="宋体" w:hAnsi="宋体" w:cs="宋体" w:eastAsia="宋体" w:hint="default"/>
          <w:sz w:val="21"/>
          <w:szCs w:val="21"/>
        </w:rPr>
      </w:pPr>
      <w:bookmarkStart w:name="（2）公司没有需要披露的重要或有事项，也应予以说明"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03"/>
      <w:bookmarkEnd w:id="40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04"/>
      <w:bookmarkEnd w:id="40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05"/>
      <w:bookmarkEnd w:id="40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59999pt;margin-top:-47.648285pt;width:479.2pt;height:473.0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3"/>
                    <w:gridCol w:w="2295"/>
                    <w:gridCol w:w="2391"/>
                    <w:gridCol w:w="2389"/>
                  </w:tblGrid>
                  <w:tr>
                    <w:trPr>
                      <w:trHeight w:val="945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p>
                      <w:p>
                        <w:pPr>
                          <w:pStyle w:val="TableParagraph"/>
                          <w:spacing w:line="316" w:lineRule="auto" w:before="76"/>
                          <w:ind w:left="22" w:right="194"/>
                          <w:jc w:val="left"/>
                          <w:rPr>
                            <w:rFonts w:ascii="宋体" w:hAnsi="宋体" w:cs="宋体" w:eastAsia="宋体" w:hint="default"/>
                            <w:sz w:val="18"/>
                            <w:szCs w:val="18"/>
                          </w:rPr>
                        </w:pPr>
                        <w:r>
                          <w:rPr>
                            <w:rFonts w:ascii="宋体" w:hAnsi="宋体" w:cs="宋体" w:eastAsia="宋体" w:hint="default"/>
                            <w:sz w:val="18"/>
                            <w:szCs w:val="18"/>
                          </w:rPr>
                          <w:t>《关于核准红相股份有限公 司非公开发行股票的批复》</w:t>
                        </w:r>
                      </w:p>
                      <w:p>
                        <w:pPr>
                          <w:pStyle w:val="TableParagraph"/>
                          <w:spacing w:line="312"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1317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 核准，本公司与厦门蜜呆伍号 创业投资合伙企业（有限合 </w:t>
                        </w:r>
                        <w:r>
                          <w:rPr>
                            <w:rFonts w:ascii="宋体" w:hAnsi="宋体" w:cs="宋体" w:eastAsia="宋体" w:hint="default"/>
                            <w:spacing w:val="-17"/>
                            <w:sz w:val="18"/>
                            <w:szCs w:val="18"/>
                          </w:rPr>
                          <w:t>伙）于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日签 </w:t>
                        </w:r>
                        <w:r>
                          <w:rPr>
                            <w:rFonts w:ascii="宋体" w:hAnsi="宋体" w:cs="宋体" w:eastAsia="宋体" w:hint="default"/>
                            <w:spacing w:val="-7"/>
                            <w:sz w:val="18"/>
                            <w:szCs w:val="18"/>
                          </w:rPr>
                          <w:t>订的《认购协议》，拟向厦门</w:t>
                        </w:r>
                        <w:r>
                          <w:rPr>
                            <w:rFonts w:ascii="宋体" w:hAnsi="宋体" w:cs="宋体" w:eastAsia="宋体" w:hint="default"/>
                            <w:sz w:val="18"/>
                            <w:szCs w:val="18"/>
                          </w:rPr>
                          <w:t> 蜜呆伍号创业投资合伙企业</w:t>
                        </w:r>
                      </w:p>
                      <w:p>
                        <w:pPr>
                          <w:pStyle w:val="TableParagraph"/>
                          <w:spacing w:line="300" w:lineRule="auto" w:before="22"/>
                          <w:ind w:left="22" w:right="2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名投资者非公 开发行 </w:t>
                        </w:r>
                        <w:r>
                          <w:rPr>
                            <w:rFonts w:ascii="Times New Roman" w:hAnsi="Times New Roman" w:cs="Times New Roman" w:eastAsia="Times New Roman" w:hint="default"/>
                            <w:sz w:val="18"/>
                            <w:szCs w:val="18"/>
                          </w:rPr>
                          <w:t>575.3968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每股面值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元，每股发行</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 </w:t>
                        </w:r>
                        <w:r>
                          <w:rPr>
                            <w:rFonts w:ascii="Times New Roman" w:hAnsi="Times New Roman" w:cs="Times New Roman" w:eastAsia="Times New Roman" w:hint="default"/>
                            <w:sz w:val="18"/>
                            <w:szCs w:val="18"/>
                          </w:rPr>
                          <w:t>10.08  </w:t>
                        </w:r>
                        <w:r>
                          <w:rPr>
                            <w:rFonts w:ascii="宋体" w:hAnsi="宋体" w:cs="宋体" w:eastAsia="宋体" w:hint="default"/>
                            <w:sz w:val="18"/>
                            <w:szCs w:val="18"/>
                          </w:rPr>
                          <w:t>元。截至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日止，本公司已收到股 东认缴股款人民币 </w:t>
                        </w:r>
                        <w:r>
                          <w:rPr>
                            <w:rFonts w:ascii="Times New Roman" w:hAnsi="Times New Roman" w:cs="Times New Roman" w:eastAsia="Times New Roman" w:hint="default"/>
                            <w:sz w:val="18"/>
                            <w:szCs w:val="18"/>
                          </w:rPr>
                          <w:t>56,549,997.50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元。扣减其他相</w:t>
                        </w:r>
                        <w:r>
                          <w:rPr>
                            <w:rFonts w:ascii="宋体" w:hAnsi="宋体" w:cs="宋体" w:eastAsia="宋体" w:hint="default"/>
                            <w:sz w:val="18"/>
                            <w:szCs w:val="18"/>
                          </w:rPr>
                          <w:t> 关发行费用后，本次非公开发 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股实际募集资金净额为 人民币 </w:t>
                        </w:r>
                        <w:r>
                          <w:rPr>
                            <w:rFonts w:ascii="Times New Roman" w:hAnsi="Times New Roman" w:cs="Times New Roman" w:eastAsia="Times New Roman" w:hint="default"/>
                            <w:sz w:val="18"/>
                            <w:szCs w:val="18"/>
                          </w:rPr>
                          <w:t>54,487,639.76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元，其 中计入股本人民币 </w:t>
                        </w:r>
                        <w:r>
                          <w:rPr>
                            <w:rFonts w:ascii="Times New Roman" w:hAnsi="Times New Roman" w:cs="Times New Roman" w:eastAsia="Times New Roman" w:hint="default"/>
                            <w:sz w:val="18"/>
                            <w:szCs w:val="18"/>
                          </w:rPr>
                          <w:t>5,753,968.00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元，计入资本公</w:t>
                        </w:r>
                      </w:p>
                      <w:p>
                        <w:pPr>
                          <w:pStyle w:val="TableParagraph"/>
                          <w:spacing w:line="307" w:lineRule="auto" w:before="7"/>
                          <w:ind w:left="22" w:right="60"/>
                          <w:jc w:val="left"/>
                          <w:rPr>
                            <w:rFonts w:ascii="宋体" w:hAnsi="宋体" w:cs="宋体" w:eastAsia="宋体" w:hint="default"/>
                            <w:sz w:val="18"/>
                            <w:szCs w:val="18"/>
                          </w:rPr>
                        </w:pPr>
                        <w:r>
                          <w:rPr>
                            <w:rFonts w:ascii="宋体" w:hAnsi="宋体" w:cs="宋体" w:eastAsia="宋体" w:hint="default"/>
                            <w:sz w:val="18"/>
                            <w:szCs w:val="18"/>
                          </w:rPr>
                          <w:t>积 </w:t>
                        </w:r>
                        <w:r>
                          <w:rPr>
                            <w:rFonts w:ascii="Times New Roman" w:hAnsi="Times New Roman" w:cs="Times New Roman" w:eastAsia="Times New Roman" w:hint="default"/>
                            <w:sz w:val="18"/>
                            <w:szCs w:val="18"/>
                          </w:rPr>
                          <w:t>48,733,671.76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元。本次变 更后的注册资本为人民币 </w:t>
                        </w:r>
                        <w:r>
                          <w:rPr>
                            <w:rFonts w:ascii="Times New Roman" w:hAnsi="Times New Roman" w:cs="Times New Roman" w:eastAsia="Times New Roman" w:hint="default"/>
                            <w:sz w:val="18"/>
                            <w:szCs w:val="18"/>
                          </w:rPr>
                          <w:t>358,340,754.00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元，业经致同 验字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 </w:t>
                        </w:r>
                        <w:r>
                          <w:rPr>
                            <w:rFonts w:ascii="Times New Roman" w:hAnsi="Times New Roman" w:cs="Times New Roman" w:eastAsia="Times New Roman" w:hint="default"/>
                            <w:sz w:val="18"/>
                            <w:szCs w:val="18"/>
                          </w:rPr>
                          <w:t>350ZA0005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p>
                        <w:pPr>
                          <w:pStyle w:val="TableParagraph"/>
                          <w:spacing w:line="316" w:lineRule="auto" w:before="7"/>
                          <w:ind w:left="22" w:right="20"/>
                          <w:jc w:val="left"/>
                          <w:rPr>
                            <w:rFonts w:ascii="宋体" w:hAnsi="宋体" w:cs="宋体" w:eastAsia="宋体" w:hint="default"/>
                            <w:sz w:val="18"/>
                            <w:szCs w:val="18"/>
                          </w:rPr>
                        </w:pPr>
                        <w:r>
                          <w:rPr>
                            <w:rFonts w:ascii="宋体" w:hAnsi="宋体" w:cs="宋体" w:eastAsia="宋体" w:hint="default"/>
                            <w:sz w:val="18"/>
                            <w:szCs w:val="18"/>
                          </w:rPr>
                          <w:t>《红相股份有限公司验资报 告》验证。本次非公开发行新 增股份 </w:t>
                        </w:r>
                        <w:r>
                          <w:rPr>
                            <w:rFonts w:ascii="Times New Roman" w:hAnsi="Times New Roman" w:cs="Times New Roman" w:eastAsia="Times New Roman" w:hint="default"/>
                            <w:sz w:val="18"/>
                            <w:szCs w:val="18"/>
                          </w:rPr>
                          <w:t>5,753,968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股，于</w:t>
                        </w:r>
                      </w:p>
                      <w:p>
                        <w:pPr>
                          <w:pStyle w:val="TableParagraph"/>
                          <w:spacing w:line="302" w:lineRule="auto"/>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日在深圳证 券交易所上市。</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35"/>
        <w:ind w:left="154" w:right="817" w:firstLine="0"/>
        <w:jc w:val="left"/>
        <w:rPr>
          <w:rFonts w:ascii="宋体" w:hAnsi="宋体" w:cs="宋体" w:eastAsia="宋体" w:hint="default"/>
          <w:sz w:val="21"/>
          <w:szCs w:val="21"/>
        </w:rPr>
      </w:pPr>
      <w:bookmarkStart w:name="2、利润分配情况" w:id="406"/>
      <w:bookmarkEnd w:id="40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46,225,957.27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3、销售退回" w:id="407"/>
      <w:bookmarkEnd w:id="40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截至报告批准日，公司不存在重要的销售退回。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154" w:right="817" w:firstLine="0"/>
        <w:jc w:val="left"/>
        <w:rPr>
          <w:rFonts w:ascii="宋体" w:hAnsi="宋体" w:cs="宋体" w:eastAsia="宋体" w:hint="default"/>
          <w:sz w:val="21"/>
          <w:szCs w:val="21"/>
        </w:rPr>
      </w:pPr>
      <w:bookmarkStart w:name="4、其他资产负债表日后事项说明" w:id="408"/>
      <w:bookmarkEnd w:id="40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817"/>
        <w:jc w:val="left"/>
      </w:pPr>
      <w:r>
        <w:rPr>
          <w:rFonts w:ascii="Times New Roman" w:hAnsi="Times New Roman" w:cs="Times New Roman" w:eastAsia="Times New Roman" w:hint="default"/>
        </w:rPr>
        <w:t>1</w:t>
      </w:r>
      <w:r>
        <w:rPr/>
        <w:t>）接管盐池华秦光伏项目</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25" w:lineRule="auto" w:before="42"/>
        <w:ind w:right="1129"/>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日，子公司银川卧龙与青铜峡市华秦太阳能发电有限公司（以下简称</w:t>
      </w:r>
      <w:r>
        <w:rPr>
          <w:rFonts w:ascii="Times New Roman" w:hAnsi="Times New Roman" w:cs="Times New Roman" w:eastAsia="Times New Roman" w:hint="default"/>
        </w:rPr>
        <w:t>“</w:t>
      </w:r>
      <w:r>
        <w:rPr/>
        <w:t>青铜峡华</w:t>
      </w:r>
      <w:r>
        <w:rPr>
          <w:spacing w:val="-76"/>
        </w:rPr>
        <w:t> </w:t>
      </w:r>
      <w:r>
        <w:rPr>
          <w:spacing w:val="-2"/>
        </w:rPr>
        <w:t>秦</w:t>
      </w:r>
      <w:r>
        <w:rPr>
          <w:rFonts w:ascii="Times New Roman" w:hAnsi="Times New Roman" w:cs="Times New Roman" w:eastAsia="Times New Roman" w:hint="default"/>
          <w:spacing w:val="-2"/>
        </w:rPr>
        <w:t>”</w:t>
      </w:r>
      <w:r>
        <w:rPr>
          <w:spacing w:val="-2"/>
        </w:rPr>
        <w:t>）、盐池县华秦太阳能发电有限公司（以下简称</w:t>
      </w:r>
      <w:r>
        <w:rPr>
          <w:rFonts w:ascii="Times New Roman" w:hAnsi="Times New Roman" w:cs="Times New Roman" w:eastAsia="Times New Roman" w:hint="default"/>
          <w:spacing w:val="-2"/>
        </w:rPr>
        <w:t>“</w:t>
      </w:r>
      <w:r>
        <w:rPr>
          <w:spacing w:val="-2"/>
        </w:rPr>
        <w:t>盐池华秦</w:t>
      </w:r>
      <w:r>
        <w:rPr>
          <w:rFonts w:ascii="Times New Roman" w:hAnsi="Times New Roman" w:cs="Times New Roman" w:eastAsia="Times New Roman" w:hint="default"/>
          <w:spacing w:val="-2"/>
        </w:rPr>
        <w:t>”</w:t>
      </w:r>
      <w:r>
        <w:rPr>
          <w:spacing w:val="-2"/>
        </w:rPr>
        <w:t>）、宁夏中赢正源发电有限公</w:t>
      </w:r>
      <w:r>
        <w:rPr>
          <w:spacing w:val="-81"/>
        </w:rPr>
        <w:t> </w:t>
      </w:r>
      <w:r>
        <w:rPr>
          <w:spacing w:val="-81"/>
        </w:rPr>
      </w:r>
      <w:r>
        <w:rPr/>
        <w:t>司（以下简称</w:t>
      </w:r>
      <w:r>
        <w:rPr>
          <w:rFonts w:ascii="Times New Roman" w:hAnsi="Times New Roman" w:cs="Times New Roman" w:eastAsia="Times New Roman" w:hint="default"/>
        </w:rPr>
        <w:t>“</w:t>
      </w:r>
      <w:r>
        <w:rPr/>
        <w:t>中赢正源</w:t>
      </w:r>
      <w:r>
        <w:rPr>
          <w:rFonts w:ascii="Times New Roman" w:hAnsi="Times New Roman" w:cs="Times New Roman" w:eastAsia="Times New Roman" w:hint="default"/>
        </w:rPr>
        <w:t>”</w:t>
      </w:r>
      <w:r>
        <w:rPr/>
        <w:t>）签署补充协议，经各方协商一致，青铜峡华秦将其持有的盐池华</w:t>
      </w:r>
      <w:r>
        <w:rPr>
          <w:spacing w:val="-86"/>
        </w:rPr>
        <w:t> </w:t>
      </w:r>
      <w:r>
        <w:rPr>
          <w:spacing w:val="-86"/>
        </w:rPr>
      </w:r>
      <w:r>
        <w:rPr>
          <w:spacing w:val="2"/>
        </w:rPr>
        <w:t>秦</w:t>
      </w:r>
      <w:r>
        <w:rPr>
          <w:rFonts w:ascii="Times New Roman" w:hAnsi="Times New Roman" w:cs="Times New Roman" w:eastAsia="Times New Roman" w:hint="default"/>
          <w:spacing w:val="2"/>
        </w:rPr>
        <w:t>100%</w:t>
      </w:r>
      <w:r>
        <w:rPr>
          <w:spacing w:val="2"/>
        </w:rPr>
        <w:t>股权转让给银川卧龙，作为银川卧龙应收盐池华秦</w:t>
      </w:r>
      <w:r>
        <w:rPr>
          <w:rFonts w:ascii="Times New Roman" w:hAnsi="Times New Roman" w:cs="Times New Roman" w:eastAsia="Times New Roman" w:hint="default"/>
          <w:spacing w:val="2"/>
        </w:rPr>
        <w:t>20MWp</w:t>
      </w:r>
      <w:r>
        <w:rPr>
          <w:spacing w:val="2"/>
        </w:rPr>
        <w:t>光伏电站并网发电项目款</w:t>
      </w:r>
      <w:r>
        <w:rPr>
          <w:spacing w:val="-103"/>
        </w:rPr>
        <w:t> </w:t>
      </w:r>
      <w:r>
        <w:rPr>
          <w:spacing w:val="-103"/>
        </w:rPr>
      </w:r>
      <w:r>
        <w:rPr/>
        <w:t>项的担保。协议各方同意，银川卧龙应收工程承包款</w:t>
      </w:r>
      <w:r>
        <w:rPr>
          <w:rFonts w:ascii="Times New Roman" w:hAnsi="Times New Roman" w:cs="Times New Roman" w:eastAsia="Times New Roman" w:hint="default"/>
        </w:rPr>
        <w:t>11,820.05</w:t>
      </w:r>
      <w:r>
        <w:rPr/>
        <w:t>万元延期至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日结</w:t>
      </w:r>
      <w:r>
        <w:rPr>
          <w:spacing w:val="-102"/>
        </w:rPr>
        <w:t> </w:t>
      </w:r>
      <w:r>
        <w:rPr/>
        <w:t>算。款项如未能如期支付，标的公司及标的项目的所得权及经营权归属银川卧龙所有。</w:t>
      </w:r>
    </w:p>
    <w:p>
      <w:pPr>
        <w:spacing w:line="240" w:lineRule="auto" w:before="11"/>
        <w:rPr>
          <w:rFonts w:ascii="宋体" w:hAnsi="宋体" w:cs="宋体" w:eastAsia="宋体" w:hint="default"/>
          <w:sz w:val="18"/>
          <w:szCs w:val="18"/>
        </w:rPr>
      </w:pPr>
    </w:p>
    <w:p>
      <w:pPr>
        <w:pStyle w:val="BodyText"/>
        <w:spacing w:line="312" w:lineRule="exact"/>
        <w:ind w:right="1130"/>
        <w:jc w:val="both"/>
      </w:pPr>
      <w:r>
        <w:rPr>
          <w:spacing w:val="-2"/>
        </w:rPr>
        <w:t>因青铜峡华秦及中赢正源未能如期支付上述工程承包款，本公司已于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月底正式全面接</w:t>
      </w:r>
      <w:r>
        <w:rPr>
          <w:spacing w:val="-115"/>
        </w:rPr>
        <w:t> </w:t>
      </w:r>
      <w:r>
        <w:rPr/>
        <w:t>管盐池华秦光伏项目。</w:t>
      </w:r>
    </w:p>
    <w:p>
      <w:pPr>
        <w:pStyle w:val="BodyText"/>
        <w:spacing w:line="240" w:lineRule="auto" w:before="89"/>
        <w:ind w:right="0"/>
        <w:jc w:val="both"/>
      </w:pPr>
      <w:r>
        <w:rPr>
          <w:rFonts w:ascii="Times New Roman" w:hAnsi="Times New Roman" w:cs="Times New Roman" w:eastAsia="Times New Roman" w:hint="default"/>
        </w:rPr>
        <w:t>2</w:t>
      </w:r>
      <w:r>
        <w:rPr/>
        <w:t>）收购浙江涵普少数股东股权</w:t>
      </w:r>
    </w:p>
    <w:p>
      <w:pPr>
        <w:pStyle w:val="BodyText"/>
        <w:spacing w:line="312" w:lineRule="exact" w:before="130"/>
        <w:ind w:right="1128"/>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日，红相股份与浙江涵普和浙江涵普的原股东特盟国际经贸有限公司（以下简称</w:t>
      </w:r>
      <w:r>
        <w:rPr>
          <w:spacing w:val="-114"/>
        </w:rPr>
        <w:t> </w:t>
      </w:r>
      <w:r>
        <w:rPr>
          <w:spacing w:val="-114"/>
        </w:rPr>
      </w:r>
      <w:r>
        <w:rPr/>
        <w:t>东特盟国际）、海盐众普电力科技有限公司（以下简称海盐众普）和海盐城普电子科技有限 公司（以下简称海盐城普）签订投资协议，约定本公司以人民币现金</w:t>
      </w:r>
      <w:r>
        <w:rPr>
          <w:rFonts w:ascii="Times New Roman" w:hAnsi="Times New Roman" w:cs="Times New Roman" w:eastAsia="Times New Roman" w:hint="default"/>
        </w:rPr>
        <w:t>54,925,589.52</w:t>
      </w:r>
      <w:r>
        <w:rPr/>
        <w:t>元对浙江</w:t>
      </w:r>
      <w:r>
        <w:rPr>
          <w:spacing w:val="-32"/>
        </w:rPr>
        <w:t> </w:t>
      </w:r>
      <w:r>
        <w:rPr>
          <w:spacing w:val="-32"/>
        </w:rPr>
      </w:r>
      <w:r>
        <w:rPr/>
        <w:t>涵普增资，增资后本公司持有浙江涵普</w:t>
      </w:r>
      <w:r>
        <w:rPr>
          <w:rFonts w:ascii="Times New Roman" w:hAnsi="Times New Roman" w:cs="Times New Roman" w:eastAsia="Times New Roman" w:hint="default"/>
        </w:rPr>
        <w:t>51%</w:t>
      </w:r>
      <w:r>
        <w:rPr/>
        <w:t>股权。增资完成后，协议各方同意，在浙江涵普</w:t>
      </w:r>
      <w:r>
        <w:rPr>
          <w:spacing w:val="-57"/>
        </w:rPr>
        <w:t> </w:t>
      </w:r>
      <w:r>
        <w:rPr>
          <w:spacing w:val="-57"/>
        </w:rPr>
      </w:r>
      <w:r>
        <w:rPr>
          <w:rFonts w:ascii="Times New Roman" w:hAnsi="Times New Roman" w:cs="Times New Roman" w:eastAsia="Times New Roman" w:hint="default"/>
          <w:spacing w:val="-5"/>
        </w:rPr>
        <w:t>2015</w:t>
      </w:r>
      <w:r>
        <w:rPr>
          <w:spacing w:val="-5"/>
        </w:rPr>
        <w:t>年和</w:t>
      </w:r>
      <w:r>
        <w:rPr>
          <w:rFonts w:ascii="Times New Roman" w:hAnsi="Times New Roman" w:cs="Times New Roman" w:eastAsia="Times New Roman" w:hint="default"/>
          <w:spacing w:val="-5"/>
        </w:rPr>
        <w:t>2016</w:t>
      </w:r>
      <w:r>
        <w:rPr>
          <w:spacing w:val="-5"/>
        </w:rPr>
        <w:t>年的实际税后净利润（扣除非经常性损益后）分别不低于人民币</w:t>
      </w:r>
      <w:r>
        <w:rPr>
          <w:rFonts w:ascii="Times New Roman" w:hAnsi="Times New Roman" w:cs="Times New Roman" w:eastAsia="Times New Roman" w:hint="default"/>
          <w:spacing w:val="-5"/>
        </w:rPr>
        <w:t>1800</w:t>
      </w:r>
      <w:r>
        <w:rPr>
          <w:spacing w:val="-5"/>
        </w:rPr>
        <w:t>万元和</w:t>
      </w:r>
      <w:r>
        <w:rPr>
          <w:rFonts w:ascii="Times New Roman" w:hAnsi="Times New Roman" w:cs="Times New Roman" w:eastAsia="Times New Roman" w:hint="default"/>
          <w:spacing w:val="-5"/>
        </w:rPr>
        <w:t>2000</w:t>
      </w:r>
      <w:r>
        <w:rPr>
          <w:rFonts w:ascii="Times New Roman" w:hAnsi="Times New Roman" w:cs="Times New Roman" w:eastAsia="Times New Roman" w:hint="default"/>
          <w:spacing w:val="-17"/>
        </w:rPr>
        <w:t> </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年三年累计净利润（扣除非经常性损益后）不低于人民币</w:t>
      </w:r>
      <w:r>
        <w:rPr>
          <w:rFonts w:ascii="Times New Roman" w:hAnsi="Times New Roman" w:cs="Times New Roman" w:eastAsia="Times New Roman" w:hint="default"/>
        </w:rPr>
        <w:t>5500</w:t>
      </w:r>
      <w:r>
        <w:rPr/>
        <w:t>万元的情</w:t>
      </w:r>
      <w:r>
        <w:rPr>
          <w:spacing w:val="-102"/>
        </w:rPr>
        <w:t> </w:t>
      </w:r>
      <w:r>
        <w:rPr>
          <w:spacing w:val="-2"/>
        </w:rPr>
        <w:t>形下，本公司承诺在浙江涵普</w:t>
      </w:r>
      <w:r>
        <w:rPr>
          <w:rFonts w:ascii="Times New Roman" w:hAnsi="Times New Roman" w:cs="Times New Roman" w:eastAsia="Times New Roman" w:hint="default"/>
          <w:spacing w:val="-2"/>
        </w:rPr>
        <w:t>2017</w:t>
      </w:r>
      <w:r>
        <w:rPr>
          <w:spacing w:val="-2"/>
        </w:rPr>
        <w:t>年审计完成后的</w:t>
      </w:r>
      <w:r>
        <w:rPr>
          <w:rFonts w:ascii="Times New Roman" w:hAnsi="Times New Roman" w:cs="Times New Roman" w:eastAsia="Times New Roman" w:hint="default"/>
          <w:spacing w:val="-2"/>
        </w:rPr>
        <w:t>6</w:t>
      </w:r>
      <w:r>
        <w:rPr>
          <w:spacing w:val="-2"/>
        </w:rPr>
        <w:t>个月内，以各方确认的</w:t>
      </w:r>
      <w:r>
        <w:rPr>
          <w:rFonts w:ascii="Times New Roman" w:hAnsi="Times New Roman" w:cs="Times New Roman" w:eastAsia="Times New Roman" w:hint="default"/>
          <w:spacing w:val="-2"/>
        </w:rPr>
        <w:t>2017</w:t>
      </w:r>
      <w:r>
        <w:rPr>
          <w:spacing w:val="-2"/>
        </w:rPr>
        <w:t>年经审计的扣</w:t>
      </w:r>
      <w:r>
        <w:rPr>
          <w:spacing w:val="-112"/>
        </w:rPr>
        <w:t> </w:t>
      </w:r>
      <w:r>
        <w:rPr>
          <w:spacing w:val="-2"/>
        </w:rPr>
        <w:t>除非经常性损益后的税后净利润为依据，以不高于</w:t>
      </w:r>
      <w:r>
        <w:rPr>
          <w:rFonts w:ascii="Times New Roman" w:hAnsi="Times New Roman" w:cs="Times New Roman" w:eastAsia="Times New Roman" w:hint="default"/>
          <w:spacing w:val="-2"/>
        </w:rPr>
        <w:t>15</w:t>
      </w:r>
      <w:r>
        <w:rPr>
          <w:spacing w:val="-2"/>
        </w:rPr>
        <w:t>倍市盈率且不超过人民币</w:t>
      </w:r>
      <w:r>
        <w:rPr>
          <w:rFonts w:ascii="Times New Roman" w:hAnsi="Times New Roman" w:cs="Times New Roman" w:eastAsia="Times New Roman" w:hint="default"/>
          <w:spacing w:val="-2"/>
        </w:rPr>
        <w:t>45000</w:t>
      </w:r>
      <w:r>
        <w:rPr>
          <w:spacing w:val="-2"/>
        </w:rPr>
        <w:t>万元对浙</w:t>
      </w:r>
      <w:r>
        <w:rPr>
          <w:spacing w:val="-114"/>
        </w:rPr>
        <w:t> </w:t>
      </w:r>
      <w:r>
        <w:rPr/>
        <w:t>江涵普进行股权收购前的整体估值，由本公司以现金及股份支付相结合的方式收购特盟国际 </w:t>
      </w:r>
      <w:r>
        <w:rPr>
          <w:spacing w:val="13"/>
        </w:rPr>
        <w:t>经贸有限公司、海盐众普电力科技有限公司和海盐城普电子科技有限公司所持有的剩余</w:t>
      </w:r>
      <w:r>
        <w:rPr/>
        <w:t> </w:t>
      </w:r>
      <w:r>
        <w:rPr>
          <w:rFonts w:ascii="Times New Roman" w:hAnsi="Times New Roman" w:cs="Times New Roman" w:eastAsia="Times New Roman" w:hint="default"/>
        </w:rPr>
        <w:t>29%-39%</w:t>
      </w:r>
      <w:r>
        <w:rPr/>
        <w:t>的股权（具体股权比例届时由各方另行商议确定）。</w:t>
      </w:r>
    </w:p>
    <w:p>
      <w:pPr>
        <w:spacing w:line="240" w:lineRule="auto" w:before="7"/>
        <w:rPr>
          <w:rFonts w:ascii="宋体" w:hAnsi="宋体" w:cs="宋体" w:eastAsia="宋体" w:hint="default"/>
          <w:sz w:val="16"/>
          <w:szCs w:val="16"/>
        </w:rPr>
      </w:pPr>
    </w:p>
    <w:p>
      <w:pPr>
        <w:pStyle w:val="BodyText"/>
        <w:spacing w:line="312" w:lineRule="exact"/>
        <w:ind w:right="1132"/>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25</w:t>
      </w:r>
      <w:r>
        <w:rPr>
          <w:spacing w:val="-2"/>
        </w:rPr>
        <w:t>日，本公司与浙江涵普的原股东特盟国际、海盐众普、海盐城普签订股权转让协</w:t>
      </w:r>
      <w:r>
        <w:rPr>
          <w:spacing w:val="-116"/>
        </w:rPr>
        <w:t> </w:t>
      </w:r>
      <w:r>
        <w:rPr>
          <w:spacing w:val="-116"/>
        </w:rPr>
      </w:r>
      <w:r>
        <w:rPr>
          <w:spacing w:val="8"/>
        </w:rPr>
        <w:t>议，由本公司以总价</w:t>
      </w:r>
      <w:r>
        <w:rPr>
          <w:rFonts w:ascii="Times New Roman" w:hAnsi="Times New Roman" w:cs="Times New Roman" w:eastAsia="Times New Roman" w:hint="default"/>
          <w:spacing w:val="8"/>
        </w:rPr>
        <w:t>21,895.356</w:t>
      </w:r>
      <w:r>
        <w:rPr>
          <w:spacing w:val="8"/>
        </w:rPr>
        <w:t>万元（税前）受让出让方持有的浙江涵普剩余的全部股权</w:t>
      </w:r>
    </w:p>
    <w:p>
      <w:pPr>
        <w:pStyle w:val="BodyText"/>
        <w:spacing w:line="302" w:lineRule="exact"/>
        <w:ind w:right="0"/>
        <w:jc w:val="both"/>
      </w:pPr>
      <w:r>
        <w:rPr/>
        <w:t>（</w:t>
      </w:r>
      <w:r>
        <w:rPr>
          <w:rFonts w:ascii="Times New Roman" w:hAnsi="Times New Roman" w:cs="Times New Roman" w:eastAsia="Times New Roman" w:hint="default"/>
        </w:rPr>
        <w:t>49%</w:t>
      </w:r>
      <w:r>
        <w:rPr/>
        <w:t>），经本次受让后，本公司持有浙江涵普</w:t>
      </w:r>
      <w:r>
        <w:rPr>
          <w:rFonts w:ascii="Times New Roman" w:hAnsi="Times New Roman" w:cs="Times New Roman" w:eastAsia="Times New Roman" w:hint="default"/>
        </w:rPr>
        <w:t>100%</w:t>
      </w:r>
      <w:r>
        <w:rPr/>
        <w:t>的股权。</w:t>
      </w:r>
    </w:p>
    <w:p>
      <w:pPr>
        <w:pStyle w:val="BodyText"/>
        <w:spacing w:line="240" w:lineRule="auto" w:before="195"/>
        <w:ind w:right="0"/>
        <w:jc w:val="both"/>
      </w:pPr>
      <w:r>
        <w:rPr/>
        <w:t>截至本报告批准日，本集团不存在其他应披露的资产负债表日后事项。</w:t>
      </w:r>
    </w:p>
    <w:p>
      <w:pPr>
        <w:pStyle w:val="BodyText"/>
        <w:spacing w:line="240" w:lineRule="auto" w:before="214"/>
        <w:ind w:right="0"/>
        <w:jc w:val="both"/>
      </w:pPr>
      <w:r>
        <w:rPr>
          <w:rFonts w:ascii="Times New Roman" w:hAnsi="Times New Roman" w:cs="Times New Roman" w:eastAsia="Times New Roman" w:hint="default"/>
        </w:rPr>
        <w:t>3)</w:t>
      </w:r>
      <w:r>
        <w:rPr/>
        <w:t>诉讼事项</w:t>
      </w:r>
    </w:p>
    <w:p>
      <w:pPr>
        <w:spacing w:line="240" w:lineRule="auto" w:before="4"/>
        <w:rPr>
          <w:rFonts w:ascii="宋体" w:hAnsi="宋体" w:cs="宋体" w:eastAsia="宋体" w:hint="default"/>
          <w:sz w:val="17"/>
          <w:szCs w:val="17"/>
        </w:rPr>
      </w:pPr>
    </w:p>
    <w:p>
      <w:pPr>
        <w:pStyle w:val="BodyText"/>
        <w:spacing w:line="312" w:lineRule="exact"/>
        <w:ind w:right="1132"/>
        <w:jc w:val="both"/>
      </w:pPr>
      <w:r>
        <w:rPr>
          <w:spacing w:val="-2"/>
        </w:rPr>
        <w:t>本公司之子公司银川卧龙于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日收到江阴市人民法院的《应诉通知书》及《民事裁</w:t>
      </w:r>
      <w:r>
        <w:rPr>
          <w:spacing w:val="-116"/>
        </w:rPr>
        <w:t> </w:t>
      </w:r>
      <w:r>
        <w:rPr>
          <w:spacing w:val="-116"/>
        </w:rPr>
      </w:r>
      <w:r>
        <w:rPr/>
        <w:t>定书》，就中建材浚鑫科技有限公司（以下简称中建材浚鑫）诉银川卧龙买卖合同纠纷一案 裁定，冻结银川卧龙银行存款</w:t>
      </w:r>
      <w:r>
        <w:rPr>
          <w:rFonts w:ascii="Times New Roman" w:hAnsi="Times New Roman" w:cs="Times New Roman" w:eastAsia="Times New Roman" w:hint="default"/>
        </w:rPr>
        <w:t>4200</w:t>
      </w:r>
      <w:r>
        <w:rPr/>
        <w:t>万元或查封、扣押其相应价值的财产。由于此买卖合同涉</w:t>
      </w:r>
      <w:r>
        <w:rPr>
          <w:spacing w:val="-115"/>
        </w:rPr>
        <w:t> </w:t>
      </w:r>
      <w:r>
        <w:rPr>
          <w:spacing w:val="-115"/>
        </w:rPr>
      </w:r>
      <w:r>
        <w:rPr>
          <w:spacing w:val="2"/>
        </w:rPr>
        <w:t>及的</w:t>
      </w:r>
      <w:r>
        <w:rPr>
          <w:rFonts w:ascii="Times New Roman" w:hAnsi="Times New Roman" w:cs="Times New Roman" w:eastAsia="Times New Roman" w:hint="default"/>
          <w:spacing w:val="2"/>
        </w:rPr>
        <w:t>“</w:t>
      </w:r>
      <w:r>
        <w:rPr>
          <w:spacing w:val="2"/>
        </w:rPr>
        <w:t>新金马物流园</w:t>
      </w:r>
      <w:r>
        <w:rPr>
          <w:rFonts w:ascii="Times New Roman" w:hAnsi="Times New Roman" w:cs="Times New Roman" w:eastAsia="Times New Roman" w:hint="default"/>
          <w:spacing w:val="2"/>
        </w:rPr>
        <w:t>14MW</w:t>
      </w:r>
      <w:r>
        <w:rPr>
          <w:spacing w:val="2"/>
        </w:rPr>
        <w:t>分布式光伏发电项目</w:t>
      </w:r>
      <w:r>
        <w:rPr>
          <w:rFonts w:ascii="Times New Roman" w:hAnsi="Times New Roman" w:cs="Times New Roman" w:eastAsia="Times New Roman" w:hint="default"/>
          <w:spacing w:val="2"/>
        </w:rPr>
        <w:t>”</w:t>
      </w:r>
      <w:r>
        <w:rPr>
          <w:spacing w:val="2"/>
        </w:rPr>
        <w:t>由银川卧龙作总承包方，新郑市旭能新能源</w:t>
      </w:r>
      <w:r>
        <w:rPr>
          <w:spacing w:val="-112"/>
        </w:rPr>
        <w:t> </w:t>
      </w:r>
      <w:r>
        <w:rPr>
          <w:spacing w:val="-112"/>
        </w:rPr>
      </w:r>
      <w:r>
        <w:rPr>
          <w:spacing w:val="-2"/>
        </w:rPr>
        <w:t>有限公司（以下简称新郑旭能）作为项目业主方，新郑旭能于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日向本公司发出关</w:t>
      </w:r>
      <w:r>
        <w:rPr>
          <w:spacing w:val="-116"/>
        </w:rPr>
        <w:t> </w:t>
      </w:r>
      <w:r>
        <w:rPr>
          <w:spacing w:val="2"/>
        </w:rPr>
        <w:t>于</w:t>
      </w:r>
      <w:r>
        <w:rPr>
          <w:rFonts w:ascii="Times New Roman" w:hAnsi="Times New Roman" w:cs="Times New Roman" w:eastAsia="Times New Roman" w:hint="default"/>
          <w:spacing w:val="2"/>
        </w:rPr>
        <w:t>“</w:t>
      </w:r>
      <w:r>
        <w:rPr>
          <w:spacing w:val="2"/>
        </w:rPr>
        <w:t>新金马物流园</w:t>
      </w:r>
      <w:r>
        <w:rPr>
          <w:rFonts w:ascii="Times New Roman" w:hAnsi="Times New Roman" w:cs="Times New Roman" w:eastAsia="Times New Roman" w:hint="default"/>
          <w:spacing w:val="2"/>
        </w:rPr>
        <w:t>14MW</w:t>
      </w:r>
      <w:r>
        <w:rPr>
          <w:spacing w:val="2"/>
        </w:rPr>
        <w:t>分布式光伏发电项目</w:t>
      </w:r>
      <w:r>
        <w:rPr>
          <w:rFonts w:ascii="Times New Roman" w:hAnsi="Times New Roman" w:cs="Times New Roman" w:eastAsia="Times New Roman" w:hint="default"/>
          <w:spacing w:val="2"/>
        </w:rPr>
        <w:t>”</w:t>
      </w:r>
      <w:r>
        <w:rPr>
          <w:spacing w:val="2"/>
        </w:rPr>
        <w:t>光伏组件事宜的承诺函，承诺本案纠纷产生的</w:t>
      </w:r>
      <w:r>
        <w:rPr>
          <w:spacing w:val="-115"/>
        </w:rPr>
        <w:t> </w:t>
      </w:r>
      <w:r>
        <w:rPr>
          <w:spacing w:val="-115"/>
        </w:rPr>
      </w:r>
      <w:r>
        <w:rPr/>
        <w:t>一切费用开支均由新郑旭能承担（包括应付货款、违约金以及中建材浚鑫实现债权费用在内 的所有费用），并于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日之间合计汇入银川卧龙货币资金</w:t>
      </w:r>
      <w:r>
        <w:rPr>
          <w:rFonts w:ascii="Times New Roman" w:hAnsi="Times New Roman" w:cs="Times New Roman" w:eastAsia="Times New Roman" w:hint="default"/>
        </w:rPr>
        <w:t>4200</w:t>
      </w:r>
      <w:r>
        <w:rPr/>
        <w:t>万</w:t>
      </w:r>
      <w:r>
        <w:rPr>
          <w:spacing w:val="-105"/>
        </w:rPr>
        <w:t> </w:t>
      </w:r>
      <w:r>
        <w:rPr/>
        <w:t>元</w:t>
      </w:r>
      <w:r>
        <w:rPr>
          <w:spacing w:val="-67"/>
        </w:rPr>
        <w:t> </w:t>
      </w:r>
      <w:r>
        <w:rPr/>
        <w:t>，</w:t>
      </w:r>
      <w:r>
        <w:rPr>
          <w:spacing w:val="-67"/>
        </w:rPr>
        <w:t> </w:t>
      </w:r>
      <w:r>
        <w:rPr/>
        <w:t>作</w:t>
      </w:r>
      <w:r>
        <w:rPr>
          <w:spacing w:val="-67"/>
        </w:rPr>
        <w:t> </w:t>
      </w:r>
      <w:r>
        <w:rPr/>
        <w:t>为</w:t>
      </w:r>
      <w:r>
        <w:rPr>
          <w:spacing w:val="-68"/>
        </w:rPr>
        <w:t> </w:t>
      </w:r>
      <w:r>
        <w:rPr/>
        <w:t>本</w:t>
      </w:r>
      <w:r>
        <w:rPr>
          <w:spacing w:val="-67"/>
        </w:rPr>
        <w:t> </w:t>
      </w:r>
      <w:r>
        <w:rPr/>
        <w:t>次</w:t>
      </w:r>
      <w:r>
        <w:rPr>
          <w:spacing w:val="-67"/>
        </w:rPr>
        <w:t> </w:t>
      </w:r>
      <w:r>
        <w:rPr/>
        <w:t>冻</w:t>
      </w:r>
      <w:r>
        <w:rPr>
          <w:spacing w:val="-67"/>
        </w:rPr>
        <w:t> </w:t>
      </w:r>
      <w:r>
        <w:rPr/>
        <w:t>结</w:t>
      </w:r>
      <w:r>
        <w:rPr>
          <w:spacing w:val="-68"/>
        </w:rPr>
        <w:t> </w:t>
      </w:r>
      <w:r>
        <w:rPr/>
        <w:t>资</w:t>
      </w:r>
      <w:r>
        <w:rPr>
          <w:spacing w:val="-67"/>
        </w:rPr>
        <w:t> </w:t>
      </w:r>
      <w:r>
        <w:rPr/>
        <w:t>金</w:t>
      </w:r>
      <w:r>
        <w:rPr>
          <w:spacing w:val="-67"/>
        </w:rPr>
        <w:t> </w:t>
      </w:r>
      <w:r>
        <w:rPr/>
        <w:t>。</w:t>
      </w:r>
      <w:r>
        <w:rPr>
          <w:spacing w:val="-67"/>
        </w:rPr>
        <w:t> </w:t>
      </w:r>
      <w:r>
        <w:rPr/>
        <w:t>截</w:t>
      </w:r>
      <w:r>
        <w:rPr>
          <w:spacing w:val="-68"/>
        </w:rPr>
        <w:t> </w:t>
      </w:r>
      <w:r>
        <w:rPr/>
        <w:t>止</w:t>
      </w:r>
      <w:r>
        <w:rPr>
          <w:spacing w:val="-67"/>
        </w:rPr>
        <w:t> </w:t>
      </w:r>
      <w:r>
        <w:rPr/>
        <w:t>报</w:t>
      </w:r>
      <w:r>
        <w:rPr>
          <w:spacing w:val="-67"/>
        </w:rPr>
        <w:t> </w:t>
      </w:r>
      <w:r>
        <w:rPr/>
        <w:t>告</w:t>
      </w:r>
      <w:r>
        <w:rPr>
          <w:spacing w:val="-67"/>
        </w:rPr>
        <w:t> </w:t>
      </w:r>
      <w:r>
        <w:rPr/>
        <w:t>日</w:t>
      </w:r>
      <w:r>
        <w:rPr>
          <w:spacing w:val="-68"/>
        </w:rPr>
        <w:t> </w:t>
      </w:r>
      <w:r>
        <w:rPr/>
        <w:t>，</w:t>
      </w:r>
      <w:r>
        <w:rPr>
          <w:spacing w:val="-67"/>
        </w:rPr>
        <w:t> </w:t>
      </w:r>
      <w:r>
        <w:rPr/>
        <w:t>银</w:t>
      </w:r>
      <w:r>
        <w:rPr>
          <w:spacing w:val="-67"/>
        </w:rPr>
        <w:t> </w:t>
      </w:r>
      <w:r>
        <w:rPr/>
        <w:t>川</w:t>
      </w:r>
      <w:r>
        <w:rPr>
          <w:spacing w:val="-67"/>
        </w:rPr>
        <w:t> </w:t>
      </w:r>
      <w:r>
        <w:rPr/>
        <w:t>卧</w:t>
      </w:r>
      <w:r>
        <w:rPr>
          <w:spacing w:val="-68"/>
        </w:rPr>
        <w:t> </w:t>
      </w:r>
      <w:r>
        <w:rPr/>
        <w:t>龙</w:t>
      </w:r>
      <w:r>
        <w:rPr>
          <w:spacing w:val="-67"/>
        </w:rPr>
        <w:t> </w:t>
      </w:r>
      <w:r>
        <w:rPr/>
        <w:t>之</w:t>
      </w:r>
      <w:r>
        <w:rPr>
          <w:spacing w:val="-67"/>
        </w:rPr>
        <w:t> </w:t>
      </w:r>
      <w:r>
        <w:rPr/>
        <w:t>工</w:t>
      </w:r>
      <w:r>
        <w:rPr>
          <w:spacing w:val="-67"/>
        </w:rPr>
        <w:t> </w:t>
      </w:r>
      <w:r>
        <w:rPr/>
        <w:t>商</w:t>
      </w:r>
      <w:r>
        <w:rPr>
          <w:spacing w:val="-68"/>
        </w:rPr>
        <w:t> </w:t>
      </w:r>
      <w:r>
        <w:rPr/>
        <w:t>银</w:t>
      </w:r>
      <w:r>
        <w:rPr>
          <w:spacing w:val="-67"/>
        </w:rPr>
        <w:t> </w:t>
      </w:r>
      <w:r>
        <w:rPr/>
        <w:t>行</w:t>
      </w:r>
      <w:r>
        <w:rPr>
          <w:spacing w:val="-67"/>
        </w:rPr>
        <w:t> </w:t>
      </w:r>
      <w:r>
        <w:rPr/>
        <w:t>东</w:t>
      </w:r>
      <w:r>
        <w:rPr>
          <w:spacing w:val="-67"/>
        </w:rPr>
        <w:t> </w:t>
      </w:r>
      <w:r>
        <w:rPr/>
        <w:t>城</w:t>
      </w:r>
      <w:r>
        <w:rPr>
          <w:spacing w:val="-68"/>
        </w:rPr>
        <w:t> </w:t>
      </w:r>
      <w:r>
        <w:rPr/>
        <w:t>支</w:t>
      </w:r>
      <w:r>
        <w:rPr>
          <w:spacing w:val="-67"/>
        </w:rPr>
        <w:t> </w:t>
      </w:r>
      <w:r>
        <w:rPr/>
        <w:t>行</w:t>
      </w:r>
      <w:r>
        <w:rPr>
          <w:spacing w:val="-67"/>
        </w:rPr>
        <w:t> </w:t>
      </w:r>
      <w:r>
        <w:rPr/>
        <w:t>（</w:t>
      </w:r>
      <w:r>
        <w:rPr>
          <w:spacing w:val="-67"/>
        </w:rPr>
        <w:t> </w:t>
      </w:r>
      <w:r>
        <w:rPr/>
        <w:t>账</w:t>
      </w:r>
      <w:r>
        <w:rPr>
          <w:spacing w:val="-68"/>
        </w:rPr>
        <w:t> </w:t>
      </w:r>
      <w:r>
        <w:rPr/>
        <w:t>号</w:t>
      </w:r>
      <w:r>
        <w:rPr/>
        <w:t> </w:t>
      </w:r>
      <w:r>
        <w:rPr>
          <w:rFonts w:ascii="Times New Roman" w:hAnsi="Times New Roman" w:cs="Times New Roman" w:eastAsia="Times New Roman" w:hint="default"/>
        </w:rPr>
        <w:t>2902001119200508009</w:t>
      </w:r>
      <w:r>
        <w:rPr/>
        <w:t>）中的</w:t>
      </w:r>
      <w:r>
        <w:rPr>
          <w:rFonts w:ascii="Times New Roman" w:hAnsi="Times New Roman" w:cs="Times New Roman" w:eastAsia="Times New Roman" w:hint="default"/>
        </w:rPr>
        <w:t>4200</w:t>
      </w:r>
      <w:r>
        <w:rPr/>
        <w:t>万元处于冻结状态。</w:t>
      </w:r>
    </w:p>
    <w:p>
      <w:pPr>
        <w:pStyle w:val="BodyText"/>
        <w:spacing w:line="381" w:lineRule="auto" w:before="185"/>
        <w:ind w:right="6192"/>
        <w:jc w:val="left"/>
      </w:pPr>
      <w:r>
        <w:rPr>
          <w:rFonts w:ascii="Times New Roman" w:hAnsi="Times New Roman" w:cs="Times New Roman" w:eastAsia="Times New Roman" w:hint="default"/>
        </w:rPr>
        <w:t>4</w:t>
      </w:r>
      <w:r>
        <w:rPr/>
        <w:t>）实际控制人、董事减持股份 期后实际控制人及董事减持股份情况如下：</w:t>
      </w:r>
    </w:p>
    <w:p>
      <w:pPr>
        <w:spacing w:line="240" w:lineRule="auto" w:before="12"/>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876"/>
        <w:gridCol w:w="1736"/>
        <w:gridCol w:w="2237"/>
        <w:gridCol w:w="1239"/>
        <w:gridCol w:w="1143"/>
        <w:gridCol w:w="1307"/>
        <w:gridCol w:w="1023"/>
      </w:tblGrid>
      <w:tr>
        <w:trPr>
          <w:trHeight w:val="297" w:hRule="exact"/>
        </w:trPr>
        <w:tc>
          <w:tcPr>
            <w:tcW w:w="876" w:type="dxa"/>
            <w:tcBorders>
              <w:top w:val="nil" w:sz="6" w:space="0" w:color="auto"/>
              <w:left w:val="nil" w:sz="6" w:space="0" w:color="auto"/>
              <w:bottom w:val="single" w:sz="8" w:space="0" w:color="000000"/>
              <w:right w:val="nil" w:sz="6" w:space="0" w:color="auto"/>
            </w:tcBorders>
          </w:tcPr>
          <w:p>
            <w:pPr>
              <w:pStyle w:val="TableParagraph"/>
              <w:spacing w:line="240"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股东名</w:t>
            </w:r>
            <w:r>
              <w:rPr>
                <w:rFonts w:ascii="宋体" w:hAnsi="宋体" w:cs="宋体" w:eastAsia="宋体" w:hint="default"/>
                <w:sz w:val="24"/>
                <w:szCs w:val="24"/>
              </w:rPr>
            </w:r>
          </w:p>
        </w:tc>
        <w:tc>
          <w:tcPr>
            <w:tcW w:w="1736" w:type="dxa"/>
            <w:tcBorders>
              <w:top w:val="nil" w:sz="6" w:space="0" w:color="auto"/>
              <w:left w:val="nil" w:sz="6" w:space="0" w:color="auto"/>
              <w:bottom w:val="single" w:sz="8" w:space="0" w:color="000000"/>
              <w:right w:val="nil" w:sz="6" w:space="0" w:color="auto"/>
            </w:tcBorders>
          </w:tcPr>
          <w:p>
            <w:pPr>
              <w:pStyle w:val="TableParagraph"/>
              <w:spacing w:line="240" w:lineRule="exact"/>
              <w:ind w:left="128" w:right="0"/>
              <w:jc w:val="left"/>
              <w:rPr>
                <w:rFonts w:ascii="宋体" w:hAnsi="宋体" w:cs="宋体" w:eastAsia="宋体" w:hint="default"/>
                <w:sz w:val="24"/>
                <w:szCs w:val="24"/>
              </w:rPr>
            </w:pPr>
            <w:r>
              <w:rPr>
                <w:rFonts w:ascii="宋体" w:hAnsi="宋体" w:cs="宋体" w:eastAsia="宋体" w:hint="default"/>
                <w:b/>
                <w:bCs/>
                <w:sz w:val="24"/>
                <w:szCs w:val="24"/>
              </w:rPr>
              <w:t>与本公司关系</w:t>
            </w:r>
            <w:r>
              <w:rPr>
                <w:rFonts w:ascii="宋体" w:hAnsi="宋体" w:cs="宋体" w:eastAsia="宋体" w:hint="default"/>
                <w:sz w:val="24"/>
                <w:szCs w:val="24"/>
              </w:rPr>
            </w:r>
          </w:p>
        </w:tc>
        <w:tc>
          <w:tcPr>
            <w:tcW w:w="2237" w:type="dxa"/>
            <w:tcBorders>
              <w:top w:val="nil" w:sz="6" w:space="0" w:color="auto"/>
              <w:left w:val="nil" w:sz="6" w:space="0" w:color="auto"/>
              <w:bottom w:val="single" w:sz="8" w:space="0" w:color="000000"/>
              <w:right w:val="nil" w:sz="6" w:space="0" w:color="auto"/>
            </w:tcBorders>
          </w:tcPr>
          <w:p>
            <w:pPr>
              <w:pStyle w:val="TableParagraph"/>
              <w:spacing w:line="240" w:lineRule="exact"/>
              <w:ind w:left="163" w:right="0"/>
              <w:jc w:val="left"/>
              <w:rPr>
                <w:rFonts w:ascii="宋体" w:hAnsi="宋体" w:cs="宋体" w:eastAsia="宋体" w:hint="default"/>
                <w:sz w:val="24"/>
                <w:szCs w:val="24"/>
              </w:rPr>
            </w:pPr>
            <w:r>
              <w:rPr>
                <w:rFonts w:ascii="宋体" w:hAnsi="宋体" w:cs="宋体" w:eastAsia="宋体" w:hint="default"/>
                <w:b/>
                <w:bCs/>
                <w:sz w:val="24"/>
                <w:szCs w:val="24"/>
              </w:rPr>
              <w:t>减持（过户）期间</w:t>
            </w:r>
            <w:r>
              <w:rPr>
                <w:rFonts w:ascii="宋体" w:hAnsi="宋体" w:cs="宋体" w:eastAsia="宋体" w:hint="default"/>
                <w:sz w:val="24"/>
                <w:szCs w:val="24"/>
              </w:rPr>
            </w:r>
          </w:p>
        </w:tc>
        <w:tc>
          <w:tcPr>
            <w:tcW w:w="1239" w:type="dxa"/>
            <w:tcBorders>
              <w:top w:val="nil" w:sz="6" w:space="0" w:color="auto"/>
              <w:left w:val="nil" w:sz="6" w:space="0" w:color="auto"/>
              <w:bottom w:val="single" w:sz="8" w:space="0" w:color="000000"/>
              <w:right w:val="nil" w:sz="6" w:space="0" w:color="auto"/>
            </w:tcBorders>
          </w:tcPr>
          <w:p>
            <w:pPr>
              <w:pStyle w:val="TableParagraph"/>
              <w:spacing w:line="240" w:lineRule="exact"/>
              <w:ind w:left="147" w:right="0"/>
              <w:jc w:val="left"/>
              <w:rPr>
                <w:rFonts w:ascii="宋体" w:hAnsi="宋体" w:cs="宋体" w:eastAsia="宋体" w:hint="default"/>
                <w:sz w:val="24"/>
                <w:szCs w:val="24"/>
              </w:rPr>
            </w:pPr>
            <w:r>
              <w:rPr>
                <w:rFonts w:ascii="宋体" w:hAnsi="宋体" w:cs="宋体" w:eastAsia="宋体" w:hint="default"/>
                <w:b/>
                <w:bCs/>
                <w:sz w:val="24"/>
                <w:szCs w:val="24"/>
              </w:rPr>
              <w:t>减持股数</w:t>
            </w:r>
            <w:r>
              <w:rPr>
                <w:rFonts w:ascii="宋体" w:hAnsi="宋体" w:cs="宋体" w:eastAsia="宋体" w:hint="default"/>
                <w:sz w:val="24"/>
                <w:szCs w:val="24"/>
              </w:rPr>
            </w:r>
          </w:p>
        </w:tc>
        <w:tc>
          <w:tcPr>
            <w:tcW w:w="1143" w:type="dxa"/>
            <w:tcBorders>
              <w:top w:val="nil" w:sz="6" w:space="0" w:color="auto"/>
              <w:left w:val="nil" w:sz="6" w:space="0" w:color="auto"/>
              <w:bottom w:val="single" w:sz="8" w:space="0" w:color="000000"/>
              <w:right w:val="nil" w:sz="6" w:space="0" w:color="auto"/>
            </w:tcBorders>
          </w:tcPr>
          <w:p>
            <w:pPr>
              <w:pStyle w:val="TableParagraph"/>
              <w:spacing w:line="240" w:lineRule="exact"/>
              <w:ind w:left="126" w:right="0"/>
              <w:jc w:val="left"/>
              <w:rPr>
                <w:rFonts w:ascii="宋体" w:hAnsi="宋体" w:cs="宋体" w:eastAsia="宋体" w:hint="default"/>
                <w:sz w:val="24"/>
                <w:szCs w:val="24"/>
              </w:rPr>
            </w:pPr>
            <w:r>
              <w:rPr>
                <w:rFonts w:ascii="宋体" w:hAnsi="宋体" w:cs="宋体" w:eastAsia="宋体" w:hint="default"/>
                <w:b/>
                <w:bCs/>
                <w:sz w:val="24"/>
                <w:szCs w:val="24"/>
              </w:rPr>
              <w:t>减持占总</w:t>
            </w:r>
            <w:r>
              <w:rPr>
                <w:rFonts w:ascii="宋体" w:hAnsi="宋体" w:cs="宋体" w:eastAsia="宋体" w:hint="default"/>
                <w:sz w:val="24"/>
                <w:szCs w:val="24"/>
              </w:rPr>
            </w:r>
          </w:p>
        </w:tc>
        <w:tc>
          <w:tcPr>
            <w:tcW w:w="1307" w:type="dxa"/>
            <w:tcBorders>
              <w:top w:val="nil" w:sz="6" w:space="0" w:color="auto"/>
              <w:left w:val="nil" w:sz="6" w:space="0" w:color="auto"/>
              <w:bottom w:val="single" w:sz="8" w:space="0" w:color="000000"/>
              <w:right w:val="nil" w:sz="6" w:space="0" w:color="auto"/>
            </w:tcBorders>
          </w:tcPr>
          <w:p>
            <w:pPr>
              <w:pStyle w:val="TableParagraph"/>
              <w:spacing w:line="240" w:lineRule="exact"/>
              <w:ind w:left="51" w:right="0"/>
              <w:jc w:val="left"/>
              <w:rPr>
                <w:rFonts w:ascii="宋体" w:hAnsi="宋体" w:cs="宋体" w:eastAsia="宋体" w:hint="default"/>
                <w:sz w:val="24"/>
                <w:szCs w:val="24"/>
              </w:rPr>
            </w:pPr>
            <w:r>
              <w:rPr>
                <w:rFonts w:ascii="宋体" w:hAnsi="宋体" w:cs="宋体" w:eastAsia="宋体" w:hint="default"/>
                <w:b/>
                <w:bCs/>
                <w:sz w:val="24"/>
                <w:szCs w:val="24"/>
              </w:rPr>
              <w:t>减持后股数</w:t>
            </w:r>
            <w:r>
              <w:rPr>
                <w:rFonts w:ascii="宋体" w:hAnsi="宋体" w:cs="宋体" w:eastAsia="宋体" w:hint="default"/>
                <w:sz w:val="24"/>
                <w:szCs w:val="24"/>
              </w:rPr>
            </w:r>
          </w:p>
        </w:tc>
        <w:tc>
          <w:tcPr>
            <w:tcW w:w="1023" w:type="dxa"/>
            <w:tcBorders>
              <w:top w:val="nil" w:sz="6" w:space="0" w:color="auto"/>
              <w:left w:val="nil" w:sz="6" w:space="0" w:color="auto"/>
              <w:bottom w:val="single" w:sz="8" w:space="0" w:color="000000"/>
              <w:right w:val="nil" w:sz="6" w:space="0" w:color="auto"/>
            </w:tcBorders>
          </w:tcPr>
          <w:p>
            <w:pPr>
              <w:pStyle w:val="TableParagraph"/>
              <w:spacing w:line="240" w:lineRule="exact"/>
              <w:ind w:left="49" w:right="0"/>
              <w:jc w:val="left"/>
              <w:rPr>
                <w:rFonts w:ascii="宋体" w:hAnsi="宋体" w:cs="宋体" w:eastAsia="宋体" w:hint="default"/>
                <w:sz w:val="24"/>
                <w:szCs w:val="24"/>
              </w:rPr>
            </w:pPr>
            <w:r>
              <w:rPr>
                <w:rFonts w:ascii="宋体" w:hAnsi="宋体" w:cs="宋体" w:eastAsia="宋体" w:hint="default"/>
                <w:b/>
                <w:bCs/>
                <w:sz w:val="24"/>
                <w:szCs w:val="24"/>
              </w:rPr>
              <w:t>减持后占</w:t>
            </w:r>
            <w:r>
              <w:rPr>
                <w:rFonts w:ascii="宋体" w:hAnsi="宋体" w:cs="宋体" w:eastAsia="宋体" w:hint="default"/>
                <w:sz w:val="24"/>
                <w:szCs w:val="24"/>
              </w:rPr>
            </w:r>
          </w:p>
        </w:tc>
      </w:tr>
    </w:tbl>
    <w:p>
      <w:pPr>
        <w:spacing w:after="0" w:line="240" w:lineRule="exact"/>
        <w:jc w:val="left"/>
        <w:rPr>
          <w:rFonts w:ascii="宋体" w:hAnsi="宋体" w:cs="宋体" w:eastAsia="宋体" w:hint="default"/>
          <w:sz w:val="24"/>
          <w:szCs w:val="24"/>
        </w:rPr>
        <w:sectPr>
          <w:footerReference w:type="default" r:id="rId20"/>
          <w:pgSz w:w="11910" w:h="16840"/>
          <w:pgMar w:footer="979" w:header="747" w:top="1060" w:bottom="1160" w:left="980" w:right="0"/>
          <w:pgNumType w:start="224"/>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90"/>
        <w:gridCol w:w="1710"/>
        <w:gridCol w:w="2352"/>
        <w:gridCol w:w="1152"/>
        <w:gridCol w:w="1145"/>
        <w:gridCol w:w="1336"/>
        <w:gridCol w:w="991"/>
        <w:gridCol w:w="124"/>
      </w:tblGrid>
      <w:tr>
        <w:trPr>
          <w:trHeight w:val="982" w:hRule="exact"/>
        </w:trPr>
        <w:tc>
          <w:tcPr>
            <w:tcW w:w="890" w:type="dxa"/>
            <w:tcBorders>
              <w:top w:val="single" w:sz="6"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9" w:right="0"/>
              <w:jc w:val="left"/>
              <w:rPr>
                <w:rFonts w:ascii="宋体" w:hAnsi="宋体" w:cs="宋体" w:eastAsia="宋体" w:hint="default"/>
                <w:sz w:val="24"/>
                <w:szCs w:val="24"/>
              </w:rPr>
            </w:pPr>
            <w:r>
              <w:rPr>
                <w:rFonts w:ascii="宋体" w:hAnsi="宋体" w:cs="宋体" w:eastAsia="宋体" w:hint="default"/>
                <w:b/>
                <w:bCs/>
                <w:w w:val="99"/>
                <w:sz w:val="24"/>
                <w:szCs w:val="24"/>
              </w:rPr>
              <w:t>称</w:t>
            </w:r>
            <w:r>
              <w:rPr>
                <w:rFonts w:ascii="宋体" w:hAnsi="宋体" w:cs="宋体" w:eastAsia="宋体" w:hint="default"/>
                <w:sz w:val="24"/>
                <w:szCs w:val="24"/>
              </w:rPr>
            </w:r>
          </w:p>
        </w:tc>
        <w:tc>
          <w:tcPr>
            <w:tcW w:w="1710" w:type="dxa"/>
            <w:tcBorders>
              <w:top w:val="single" w:sz="6" w:space="0" w:color="000000"/>
              <w:left w:val="nil" w:sz="6" w:space="0" w:color="auto"/>
              <w:bottom w:val="single" w:sz="8" w:space="0" w:color="000000"/>
              <w:right w:val="nil" w:sz="6" w:space="0" w:color="auto"/>
            </w:tcBorders>
          </w:tcPr>
          <w:p>
            <w:pPr/>
          </w:p>
        </w:tc>
        <w:tc>
          <w:tcPr>
            <w:tcW w:w="2352" w:type="dxa"/>
            <w:tcBorders>
              <w:top w:val="single" w:sz="6" w:space="0" w:color="000000"/>
              <w:left w:val="nil" w:sz="6" w:space="0" w:color="auto"/>
              <w:bottom w:val="single" w:sz="8" w:space="0" w:color="000000"/>
              <w:right w:val="nil" w:sz="6" w:space="0" w:color="auto"/>
            </w:tcBorders>
          </w:tcPr>
          <w:p>
            <w:pPr/>
          </w:p>
        </w:tc>
        <w:tc>
          <w:tcPr>
            <w:tcW w:w="1152" w:type="dxa"/>
            <w:tcBorders>
              <w:top w:val="single" w:sz="6"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24"/>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万股）</w:t>
            </w:r>
            <w:r>
              <w:rPr>
                <w:rFonts w:ascii="宋体" w:hAnsi="宋体" w:cs="宋体" w:eastAsia="宋体" w:hint="default"/>
                <w:sz w:val="24"/>
                <w:szCs w:val="24"/>
              </w:rPr>
            </w:r>
          </w:p>
        </w:tc>
        <w:tc>
          <w:tcPr>
            <w:tcW w:w="1145" w:type="dxa"/>
            <w:tcBorders>
              <w:top w:val="single" w:sz="6"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13" w:lineRule="exact"/>
              <w:ind w:left="126" w:right="0"/>
              <w:jc w:val="left"/>
              <w:rPr>
                <w:rFonts w:ascii="宋体" w:hAnsi="宋体" w:cs="宋体" w:eastAsia="宋体" w:hint="default"/>
                <w:sz w:val="24"/>
                <w:szCs w:val="24"/>
              </w:rPr>
            </w:pPr>
            <w:r>
              <w:rPr>
                <w:rFonts w:ascii="宋体" w:hAnsi="宋体" w:cs="宋体" w:eastAsia="宋体" w:hint="default"/>
                <w:b/>
                <w:bCs/>
                <w:sz w:val="24"/>
                <w:szCs w:val="24"/>
              </w:rPr>
              <w:t>股本的比</w:t>
            </w:r>
            <w:r>
              <w:rPr>
                <w:rFonts w:ascii="宋体" w:hAnsi="宋体" w:cs="宋体" w:eastAsia="宋体" w:hint="default"/>
                <w:sz w:val="24"/>
                <w:szCs w:val="24"/>
              </w:rPr>
            </w:r>
          </w:p>
          <w:p>
            <w:pPr>
              <w:pStyle w:val="TableParagraph"/>
              <w:spacing w:line="331" w:lineRule="exact"/>
              <w:ind w:left="608"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336" w:type="dxa"/>
            <w:tcBorders>
              <w:top w:val="single" w:sz="6"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79"/>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万股）</w:t>
            </w:r>
            <w:r>
              <w:rPr>
                <w:rFonts w:ascii="宋体" w:hAnsi="宋体" w:cs="宋体" w:eastAsia="宋体" w:hint="default"/>
                <w:sz w:val="24"/>
                <w:szCs w:val="24"/>
              </w:rPr>
            </w:r>
          </w:p>
        </w:tc>
        <w:tc>
          <w:tcPr>
            <w:tcW w:w="991" w:type="dxa"/>
            <w:tcBorders>
              <w:top w:val="single" w:sz="6"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13" w:lineRule="exact"/>
              <w:ind w:left="259" w:right="0"/>
              <w:jc w:val="left"/>
              <w:rPr>
                <w:rFonts w:ascii="宋体" w:hAnsi="宋体" w:cs="宋体" w:eastAsia="宋体" w:hint="default"/>
                <w:sz w:val="24"/>
                <w:szCs w:val="24"/>
              </w:rPr>
            </w:pPr>
            <w:r>
              <w:rPr>
                <w:rFonts w:ascii="宋体" w:hAnsi="宋体" w:cs="宋体" w:eastAsia="宋体" w:hint="default"/>
                <w:b/>
                <w:bCs/>
                <w:sz w:val="24"/>
                <w:szCs w:val="24"/>
              </w:rPr>
              <w:t>股本比</w:t>
            </w:r>
            <w:r>
              <w:rPr>
                <w:rFonts w:ascii="宋体" w:hAnsi="宋体" w:cs="宋体" w:eastAsia="宋体" w:hint="default"/>
                <w:sz w:val="24"/>
                <w:szCs w:val="24"/>
              </w:rPr>
            </w:r>
          </w:p>
          <w:p>
            <w:pPr>
              <w:pStyle w:val="TableParagraph"/>
              <w:spacing w:line="331" w:lineRule="exact"/>
              <w:ind w:left="50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24" w:type="dxa"/>
            <w:tcBorders>
              <w:top w:val="single" w:sz="6" w:space="0" w:color="000000"/>
              <w:left w:val="nil" w:sz="6" w:space="0" w:color="auto"/>
              <w:bottom w:val="nil" w:sz="6" w:space="0" w:color="auto"/>
              <w:right w:val="nil" w:sz="6" w:space="0" w:color="auto"/>
            </w:tcBorders>
          </w:tcPr>
          <w:p>
            <w:pPr/>
          </w:p>
        </w:tc>
      </w:tr>
      <w:tr>
        <w:trPr>
          <w:trHeight w:val="654" w:hRule="exact"/>
        </w:trPr>
        <w:tc>
          <w:tcPr>
            <w:tcW w:w="890"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39" w:right="0"/>
              <w:jc w:val="left"/>
              <w:rPr>
                <w:rFonts w:ascii="宋体" w:hAnsi="宋体" w:cs="宋体" w:eastAsia="宋体" w:hint="default"/>
                <w:sz w:val="24"/>
                <w:szCs w:val="24"/>
              </w:rPr>
            </w:pPr>
            <w:r>
              <w:rPr>
                <w:rFonts w:ascii="宋体" w:hAnsi="宋体" w:cs="宋体" w:eastAsia="宋体" w:hint="default"/>
                <w:sz w:val="24"/>
                <w:szCs w:val="24"/>
              </w:rPr>
              <w:t>杨保田</w:t>
            </w:r>
          </w:p>
        </w:tc>
        <w:tc>
          <w:tcPr>
            <w:tcW w:w="1710"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30" w:right="0"/>
              <w:jc w:val="left"/>
              <w:rPr>
                <w:rFonts w:ascii="宋体" w:hAnsi="宋体" w:cs="宋体" w:eastAsia="宋体" w:hint="default"/>
                <w:sz w:val="24"/>
                <w:szCs w:val="24"/>
              </w:rPr>
            </w:pPr>
            <w:r>
              <w:rPr>
                <w:rFonts w:ascii="宋体" w:hAnsi="宋体" w:cs="宋体" w:eastAsia="宋体" w:hint="default"/>
                <w:sz w:val="24"/>
                <w:szCs w:val="24"/>
              </w:rPr>
              <w:t>实际控制人之</w:t>
            </w:r>
          </w:p>
          <w:p>
            <w:pPr>
              <w:pStyle w:val="TableParagraph"/>
              <w:spacing w:line="313" w:lineRule="exact"/>
              <w:ind w:left="130" w:right="0"/>
              <w:jc w:val="left"/>
              <w:rPr>
                <w:rFonts w:ascii="宋体" w:hAnsi="宋体" w:cs="宋体" w:eastAsia="宋体" w:hint="default"/>
                <w:sz w:val="24"/>
                <w:szCs w:val="24"/>
              </w:rPr>
            </w:pPr>
            <w:r>
              <w:rPr>
                <w:rFonts w:ascii="宋体" w:hAnsi="宋体" w:cs="宋体" w:eastAsia="宋体" w:hint="default"/>
                <w:sz w:val="24"/>
                <w:szCs w:val="24"/>
              </w:rPr>
              <w:t>一</w:t>
            </w:r>
          </w:p>
        </w:tc>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42"/>
              <w:jc w:val="center"/>
              <w:rPr>
                <w:rFonts w:ascii="Times New Roman" w:hAnsi="Times New Roman" w:cs="Times New Roman" w:eastAsia="Times New Roman" w:hint="default"/>
                <w:sz w:val="24"/>
                <w:szCs w:val="24"/>
              </w:rPr>
            </w:pPr>
            <w:r>
              <w:rPr>
                <w:rFonts w:ascii="Times New Roman"/>
                <w:sz w:val="24"/>
              </w:rPr>
              <w:t>2019/3/18</w:t>
            </w:r>
          </w:p>
        </w:tc>
        <w:tc>
          <w:tcPr>
            <w:tcW w:w="11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25"/>
              <w:jc w:val="right"/>
              <w:rPr>
                <w:rFonts w:ascii="Times New Roman" w:hAnsi="Times New Roman" w:cs="Times New Roman" w:eastAsia="Times New Roman" w:hint="default"/>
                <w:sz w:val="24"/>
                <w:szCs w:val="24"/>
              </w:rPr>
            </w:pPr>
            <w:r>
              <w:rPr>
                <w:rFonts w:ascii="Times New Roman"/>
                <w:sz w:val="24"/>
              </w:rPr>
              <w:t>2,150.00</w:t>
            </w:r>
          </w:p>
        </w:tc>
        <w:tc>
          <w:tcPr>
            <w:tcW w:w="114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52"/>
              <w:jc w:val="right"/>
              <w:rPr>
                <w:rFonts w:ascii="Times New Roman" w:hAnsi="Times New Roman" w:cs="Times New Roman" w:eastAsia="Times New Roman" w:hint="default"/>
                <w:sz w:val="24"/>
                <w:szCs w:val="24"/>
              </w:rPr>
            </w:pPr>
            <w:r>
              <w:rPr>
                <w:rFonts w:ascii="Times New Roman"/>
                <w:sz w:val="24"/>
              </w:rPr>
              <w:t>5.9999</w:t>
            </w: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4"/>
                <w:szCs w:val="24"/>
              </w:rPr>
            </w:pPr>
            <w:r>
              <w:rPr>
                <w:rFonts w:ascii="Times New Roman"/>
                <w:sz w:val="24"/>
              </w:rPr>
              <w:t>10,339.8042</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28.85547</w:t>
            </w:r>
          </w:p>
        </w:tc>
        <w:tc>
          <w:tcPr>
            <w:tcW w:w="124" w:type="dxa"/>
            <w:tcBorders>
              <w:top w:val="nil" w:sz="6" w:space="0" w:color="auto"/>
              <w:left w:val="nil" w:sz="6" w:space="0" w:color="auto"/>
              <w:bottom w:val="nil" w:sz="6" w:space="0" w:color="auto"/>
              <w:right w:val="nil" w:sz="6" w:space="0" w:color="auto"/>
            </w:tcBorders>
          </w:tcPr>
          <w:p>
            <w:pPr/>
          </w:p>
        </w:tc>
      </w:tr>
      <w:tr>
        <w:trPr>
          <w:trHeight w:val="654" w:hRule="exact"/>
        </w:trPr>
        <w:tc>
          <w:tcPr>
            <w:tcW w:w="890"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39" w:right="0"/>
              <w:jc w:val="left"/>
              <w:rPr>
                <w:rFonts w:ascii="宋体" w:hAnsi="宋体" w:cs="宋体" w:eastAsia="宋体" w:hint="default"/>
                <w:sz w:val="24"/>
                <w:szCs w:val="24"/>
              </w:rPr>
            </w:pPr>
            <w:r>
              <w:rPr>
                <w:rFonts w:ascii="宋体" w:hAnsi="宋体" w:cs="宋体" w:eastAsia="宋体" w:hint="default"/>
                <w:sz w:val="24"/>
                <w:szCs w:val="24"/>
              </w:rPr>
              <w:t>杨成</w:t>
            </w:r>
          </w:p>
        </w:tc>
        <w:tc>
          <w:tcPr>
            <w:tcW w:w="1710"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30" w:right="0"/>
              <w:jc w:val="left"/>
              <w:rPr>
                <w:rFonts w:ascii="宋体" w:hAnsi="宋体" w:cs="宋体" w:eastAsia="宋体" w:hint="default"/>
                <w:sz w:val="24"/>
                <w:szCs w:val="24"/>
              </w:rPr>
            </w:pPr>
            <w:r>
              <w:rPr>
                <w:rFonts w:ascii="宋体" w:hAnsi="宋体" w:cs="宋体" w:eastAsia="宋体" w:hint="default"/>
                <w:sz w:val="24"/>
                <w:szCs w:val="24"/>
              </w:rPr>
              <w:t>实际控制人之</w:t>
            </w:r>
          </w:p>
          <w:p>
            <w:pPr>
              <w:pStyle w:val="TableParagraph"/>
              <w:spacing w:line="313" w:lineRule="exact"/>
              <w:ind w:left="130" w:right="0"/>
              <w:jc w:val="left"/>
              <w:rPr>
                <w:rFonts w:ascii="宋体" w:hAnsi="宋体" w:cs="宋体" w:eastAsia="宋体" w:hint="default"/>
                <w:sz w:val="24"/>
                <w:szCs w:val="24"/>
              </w:rPr>
            </w:pPr>
            <w:r>
              <w:rPr>
                <w:rFonts w:ascii="宋体" w:hAnsi="宋体" w:cs="宋体" w:eastAsia="宋体" w:hint="default"/>
                <w:sz w:val="24"/>
                <w:szCs w:val="24"/>
              </w:rPr>
              <w:t>一</w:t>
            </w:r>
          </w:p>
        </w:tc>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41"/>
              <w:jc w:val="center"/>
              <w:rPr>
                <w:rFonts w:ascii="Times New Roman" w:hAnsi="Times New Roman" w:cs="Times New Roman" w:eastAsia="Times New Roman" w:hint="default"/>
                <w:sz w:val="24"/>
                <w:szCs w:val="24"/>
              </w:rPr>
            </w:pPr>
            <w:r>
              <w:rPr>
                <w:rFonts w:ascii="Times New Roman"/>
                <w:sz w:val="24"/>
              </w:rPr>
              <w:t>2019/3/19-2019/3/20</w:t>
            </w:r>
          </w:p>
        </w:tc>
        <w:tc>
          <w:tcPr>
            <w:tcW w:w="11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25"/>
              <w:jc w:val="right"/>
              <w:rPr>
                <w:rFonts w:ascii="Times New Roman" w:hAnsi="Times New Roman" w:cs="Times New Roman" w:eastAsia="Times New Roman" w:hint="default"/>
                <w:sz w:val="24"/>
                <w:szCs w:val="24"/>
              </w:rPr>
            </w:pPr>
            <w:r>
              <w:rPr>
                <w:rFonts w:ascii="Times New Roman"/>
                <w:sz w:val="24"/>
              </w:rPr>
              <w:t>486.00</w:t>
            </w:r>
          </w:p>
        </w:tc>
        <w:tc>
          <w:tcPr>
            <w:tcW w:w="114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52"/>
              <w:jc w:val="right"/>
              <w:rPr>
                <w:rFonts w:ascii="Times New Roman" w:hAnsi="Times New Roman" w:cs="Times New Roman" w:eastAsia="Times New Roman" w:hint="default"/>
                <w:sz w:val="24"/>
                <w:szCs w:val="24"/>
              </w:rPr>
            </w:pPr>
            <w:r>
              <w:rPr>
                <w:rFonts w:ascii="Times New Roman"/>
                <w:sz w:val="24"/>
              </w:rPr>
              <w:t>1.3562</w:t>
            </w: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4"/>
                <w:szCs w:val="24"/>
              </w:rPr>
            </w:pPr>
            <w:r>
              <w:rPr>
                <w:rFonts w:ascii="Times New Roman"/>
                <w:sz w:val="24"/>
              </w:rPr>
              <w:t>3,399.3113</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9.4863</w:t>
            </w:r>
          </w:p>
        </w:tc>
        <w:tc>
          <w:tcPr>
            <w:tcW w:w="124" w:type="dxa"/>
            <w:tcBorders>
              <w:top w:val="nil" w:sz="6" w:space="0" w:color="auto"/>
              <w:left w:val="nil" w:sz="6" w:space="0" w:color="auto"/>
              <w:bottom w:val="nil" w:sz="6" w:space="0" w:color="auto"/>
              <w:right w:val="nil" w:sz="6" w:space="0" w:color="auto"/>
            </w:tcBorders>
          </w:tcPr>
          <w:p>
            <w:pPr/>
          </w:p>
        </w:tc>
      </w:tr>
      <w:tr>
        <w:trPr>
          <w:trHeight w:val="342" w:hRule="exact"/>
        </w:trPr>
        <w:tc>
          <w:tcPr>
            <w:tcW w:w="890"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39" w:right="0"/>
              <w:jc w:val="left"/>
              <w:rPr>
                <w:rFonts w:ascii="宋体" w:hAnsi="宋体" w:cs="宋体" w:eastAsia="宋体" w:hint="default"/>
                <w:sz w:val="24"/>
                <w:szCs w:val="24"/>
              </w:rPr>
            </w:pPr>
            <w:r>
              <w:rPr>
                <w:rFonts w:ascii="宋体" w:hAnsi="宋体" w:cs="宋体" w:eastAsia="宋体" w:hint="default"/>
                <w:sz w:val="24"/>
                <w:szCs w:val="24"/>
              </w:rPr>
              <w:t>吴志阳</w:t>
            </w:r>
          </w:p>
        </w:tc>
        <w:tc>
          <w:tcPr>
            <w:tcW w:w="1710"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130"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42"/>
              <w:jc w:val="center"/>
              <w:rPr>
                <w:rFonts w:ascii="Times New Roman" w:hAnsi="Times New Roman" w:cs="Times New Roman" w:eastAsia="Times New Roman" w:hint="default"/>
                <w:sz w:val="24"/>
                <w:szCs w:val="24"/>
              </w:rPr>
            </w:pPr>
            <w:r>
              <w:rPr>
                <w:rFonts w:ascii="Times New Roman"/>
                <w:sz w:val="24"/>
              </w:rPr>
              <w:t>2019/3/13</w:t>
            </w:r>
          </w:p>
        </w:tc>
        <w:tc>
          <w:tcPr>
            <w:tcW w:w="11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25"/>
              <w:jc w:val="right"/>
              <w:rPr>
                <w:rFonts w:ascii="Times New Roman" w:hAnsi="Times New Roman" w:cs="Times New Roman" w:eastAsia="Times New Roman" w:hint="default"/>
                <w:sz w:val="24"/>
                <w:szCs w:val="24"/>
              </w:rPr>
            </w:pPr>
            <w:r>
              <w:rPr>
                <w:rFonts w:ascii="Times New Roman"/>
                <w:sz w:val="24"/>
              </w:rPr>
              <w:t>14.00</w:t>
            </w:r>
          </w:p>
        </w:tc>
        <w:tc>
          <w:tcPr>
            <w:tcW w:w="114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52"/>
              <w:jc w:val="right"/>
              <w:rPr>
                <w:rFonts w:ascii="Times New Roman" w:hAnsi="Times New Roman" w:cs="Times New Roman" w:eastAsia="Times New Roman" w:hint="default"/>
                <w:sz w:val="24"/>
                <w:szCs w:val="24"/>
              </w:rPr>
            </w:pPr>
            <w:r>
              <w:rPr>
                <w:rFonts w:ascii="Times New Roman"/>
                <w:sz w:val="24"/>
              </w:rPr>
              <w:t>0.0391</w:t>
            </w: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4"/>
                <w:szCs w:val="24"/>
              </w:rPr>
            </w:pPr>
            <w:r>
              <w:rPr>
                <w:rFonts w:ascii="Times New Roman"/>
                <w:sz w:val="24"/>
              </w:rPr>
              <w:t>989.7958</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2.7622</w:t>
            </w:r>
          </w:p>
        </w:tc>
        <w:tc>
          <w:tcPr>
            <w:tcW w:w="124" w:type="dxa"/>
            <w:tcBorders>
              <w:top w:val="nil" w:sz="6" w:space="0" w:color="auto"/>
              <w:left w:val="nil" w:sz="6" w:space="0" w:color="auto"/>
              <w:bottom w:val="nil" w:sz="6" w:space="0" w:color="auto"/>
              <w:right w:val="nil" w:sz="6" w:space="0" w:color="auto"/>
            </w:tcBorders>
          </w:tcPr>
          <w:p>
            <w:pPr/>
          </w:p>
        </w:tc>
      </w:tr>
      <w:tr>
        <w:trPr>
          <w:trHeight w:val="342" w:hRule="exact"/>
        </w:trPr>
        <w:tc>
          <w:tcPr>
            <w:tcW w:w="890"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39" w:right="0"/>
              <w:jc w:val="left"/>
              <w:rPr>
                <w:rFonts w:ascii="宋体" w:hAnsi="宋体" w:cs="宋体" w:eastAsia="宋体" w:hint="default"/>
                <w:sz w:val="24"/>
                <w:szCs w:val="24"/>
              </w:rPr>
            </w:pPr>
            <w:r>
              <w:rPr>
                <w:rFonts w:ascii="宋体" w:hAnsi="宋体" w:cs="宋体" w:eastAsia="宋体" w:hint="default"/>
                <w:sz w:val="24"/>
                <w:szCs w:val="24"/>
              </w:rPr>
              <w:t>杨力</w:t>
            </w:r>
          </w:p>
        </w:tc>
        <w:tc>
          <w:tcPr>
            <w:tcW w:w="1710"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130"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3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42"/>
              <w:jc w:val="center"/>
              <w:rPr>
                <w:rFonts w:ascii="Times New Roman" w:hAnsi="Times New Roman" w:cs="Times New Roman" w:eastAsia="Times New Roman" w:hint="default"/>
                <w:sz w:val="24"/>
                <w:szCs w:val="24"/>
              </w:rPr>
            </w:pPr>
            <w:r>
              <w:rPr>
                <w:rFonts w:ascii="Times New Roman"/>
                <w:sz w:val="24"/>
              </w:rPr>
              <w:t>2019/3/13</w:t>
            </w:r>
          </w:p>
        </w:tc>
        <w:tc>
          <w:tcPr>
            <w:tcW w:w="115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25"/>
              <w:jc w:val="right"/>
              <w:rPr>
                <w:rFonts w:ascii="Times New Roman" w:hAnsi="Times New Roman" w:cs="Times New Roman" w:eastAsia="Times New Roman" w:hint="default"/>
                <w:sz w:val="24"/>
                <w:szCs w:val="24"/>
              </w:rPr>
            </w:pPr>
            <w:r>
              <w:rPr>
                <w:rFonts w:ascii="Times New Roman"/>
                <w:sz w:val="24"/>
              </w:rPr>
              <w:t>14.00</w:t>
            </w:r>
          </w:p>
        </w:tc>
        <w:tc>
          <w:tcPr>
            <w:tcW w:w="114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52"/>
              <w:jc w:val="right"/>
              <w:rPr>
                <w:rFonts w:ascii="Times New Roman" w:hAnsi="Times New Roman" w:cs="Times New Roman" w:eastAsia="Times New Roman" w:hint="default"/>
                <w:sz w:val="24"/>
                <w:szCs w:val="24"/>
              </w:rPr>
            </w:pPr>
            <w:r>
              <w:rPr>
                <w:rFonts w:ascii="Times New Roman"/>
                <w:sz w:val="24"/>
              </w:rPr>
              <w:t>0.0391</w:t>
            </w:r>
          </w:p>
        </w:tc>
        <w:tc>
          <w:tcPr>
            <w:tcW w:w="1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4"/>
                <w:szCs w:val="24"/>
              </w:rPr>
            </w:pPr>
            <w:r>
              <w:rPr>
                <w:rFonts w:ascii="Times New Roman"/>
                <w:sz w:val="24"/>
              </w:rPr>
              <w:t>732.0211</w:t>
            </w:r>
          </w:p>
        </w:tc>
        <w:tc>
          <w:tcPr>
            <w:tcW w:w="99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24"/>
                <w:szCs w:val="24"/>
              </w:rPr>
            </w:pPr>
            <w:r>
              <w:rPr>
                <w:rFonts w:ascii="Times New Roman"/>
                <w:sz w:val="24"/>
              </w:rPr>
              <w:t>2.0428</w:t>
            </w:r>
          </w:p>
        </w:tc>
        <w:tc>
          <w:tcPr>
            <w:tcW w:w="124" w:type="dxa"/>
            <w:tcBorders>
              <w:top w:val="nil" w:sz="6" w:space="0" w:color="auto"/>
              <w:left w:val="nil" w:sz="6" w:space="0" w:color="auto"/>
              <w:bottom w:val="nil" w:sz="6" w:space="0" w:color="auto"/>
              <w:right w:val="nil" w:sz="6" w:space="0" w:color="auto"/>
            </w:tcBorders>
          </w:tcPr>
          <w:p>
            <w:pPr/>
          </w:p>
        </w:tc>
      </w:tr>
    </w:tbl>
    <w:p>
      <w:pPr>
        <w:pStyle w:val="BodyText"/>
        <w:spacing w:line="275" w:lineRule="exact"/>
        <w:ind w:left="134" w:right="0"/>
        <w:jc w:val="both"/>
      </w:pPr>
      <w:r>
        <w:rPr/>
        <w:t>经减持后，杨保田、杨成仍为本公司实际控制人。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4"/>
          <w:szCs w:val="24"/>
        </w:rPr>
      </w:pPr>
    </w:p>
    <w:p>
      <w:pPr>
        <w:pStyle w:val="Heading2"/>
        <w:spacing w:line="240" w:lineRule="auto"/>
        <w:ind w:left="134" w:right="0"/>
        <w:jc w:val="both"/>
        <w:rPr>
          <w:b w:val="0"/>
          <w:bCs w:val="0"/>
        </w:rPr>
      </w:pPr>
      <w:bookmarkStart w:name="十六、其他重要事项" w:id="409"/>
      <w:bookmarkEnd w:id="40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34" w:right="0" w:firstLine="0"/>
        <w:jc w:val="both"/>
        <w:rPr>
          <w:rFonts w:ascii="宋体" w:hAnsi="宋体" w:cs="宋体" w:eastAsia="宋体" w:hint="default"/>
          <w:sz w:val="21"/>
          <w:szCs w:val="21"/>
        </w:rPr>
      </w:pPr>
      <w:bookmarkStart w:name="1、分部信息" w:id="410"/>
      <w:bookmarkEnd w:id="4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34" w:right="0" w:firstLine="0"/>
        <w:jc w:val="both"/>
        <w:rPr>
          <w:rFonts w:ascii="宋体" w:hAnsi="宋体" w:cs="宋体" w:eastAsia="宋体" w:hint="default"/>
          <w:sz w:val="21"/>
          <w:szCs w:val="21"/>
        </w:rPr>
      </w:pPr>
      <w:bookmarkStart w:name="（1）报告分部的确定依据与会计政策"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34" w:right="1130"/>
        <w:jc w:val="both"/>
      </w:pPr>
      <w:r>
        <w:rPr>
          <w:spacing w:val="-2"/>
        </w:rPr>
        <w:t>根据本集团的内部组织结构、管理要求及内部报告制度，本集团的经营业务划分为</w:t>
      </w:r>
      <w:r>
        <w:rPr>
          <w:rFonts w:ascii="Times New Roman" w:hAnsi="Times New Roman" w:cs="Times New Roman" w:eastAsia="Times New Roman" w:hint="default"/>
          <w:spacing w:val="-2"/>
        </w:rPr>
        <w:t>4</w:t>
      </w:r>
      <w:r>
        <w:rPr>
          <w:spacing w:val="-2"/>
        </w:rPr>
        <w:t>个报告分</w:t>
      </w:r>
      <w:r>
        <w:rPr/>
        <w:t> 部。这些报告分部是以公司日常内部管理要求的财务信息为基础确定的。集团的管理层定期 评价这些报告分部的经营成果，以决定向其分配资源及评价其业绩。</w:t>
      </w:r>
    </w:p>
    <w:p>
      <w:pPr>
        <w:pStyle w:val="BodyText"/>
        <w:spacing w:line="240" w:lineRule="auto" w:before="185"/>
        <w:ind w:left="134" w:right="0"/>
        <w:jc w:val="both"/>
      </w:pPr>
      <w:r>
        <w:rPr/>
        <w:t>本集团报告分部包括：</w:t>
      </w:r>
    </w:p>
    <w:p>
      <w:pPr>
        <w:pStyle w:val="BodyText"/>
        <w:spacing w:line="240" w:lineRule="auto" w:before="214"/>
        <w:ind w:left="134" w:right="0"/>
        <w:jc w:val="both"/>
      </w:pPr>
      <w:r>
        <w:rPr/>
        <w:t>（</w:t>
      </w:r>
      <w:r>
        <w:rPr>
          <w:rFonts w:ascii="Times New Roman" w:hAnsi="Times New Roman" w:cs="Times New Roman" w:eastAsia="Times New Roman" w:hint="default"/>
        </w:rPr>
        <w:t>1</w:t>
      </w:r>
      <w:r>
        <w:rPr/>
        <w:t>）电力分部：合并范围内除银川卧龙和星波通信公司，生产及销售电力设备相关产品；</w:t>
      </w:r>
    </w:p>
    <w:p>
      <w:pPr>
        <w:spacing w:line="240" w:lineRule="auto" w:before="4"/>
        <w:rPr>
          <w:rFonts w:ascii="宋体" w:hAnsi="宋体" w:cs="宋体" w:eastAsia="宋体" w:hint="default"/>
          <w:sz w:val="17"/>
          <w:szCs w:val="17"/>
        </w:rPr>
      </w:pPr>
    </w:p>
    <w:p>
      <w:pPr>
        <w:pStyle w:val="BodyText"/>
        <w:spacing w:line="312" w:lineRule="exact"/>
        <w:ind w:left="134" w:right="1133"/>
        <w:jc w:val="both"/>
      </w:pPr>
      <w:r>
        <w:rPr>
          <w:spacing w:val="-3"/>
        </w:rPr>
        <w:t>（</w:t>
      </w:r>
      <w:r>
        <w:rPr>
          <w:rFonts w:ascii="Times New Roman" w:hAnsi="Times New Roman" w:cs="Times New Roman" w:eastAsia="Times New Roman" w:hint="default"/>
          <w:spacing w:val="-3"/>
        </w:rPr>
        <w:t>2</w:t>
      </w:r>
      <w:r>
        <w:rPr>
          <w:spacing w:val="-3"/>
        </w:rPr>
        <w:t>）铁路与轨道交通分部：银川卧龙公司，生产及销售铁路变压器及电力变压器、新能源等</w:t>
      </w:r>
      <w:r>
        <w:rPr>
          <w:spacing w:val="-81"/>
        </w:rPr>
        <w:t> </w:t>
      </w:r>
      <w:r>
        <w:rPr>
          <w:spacing w:val="-81"/>
        </w:rPr>
      </w:r>
      <w:r>
        <w:rPr/>
        <w:t>相关产品；</w:t>
      </w:r>
    </w:p>
    <w:p>
      <w:pPr>
        <w:pStyle w:val="BodyText"/>
        <w:spacing w:line="312" w:lineRule="exact" w:before="216"/>
        <w:ind w:left="134" w:right="1133"/>
        <w:jc w:val="both"/>
      </w:pPr>
      <w:r>
        <w:rPr>
          <w:spacing w:val="-3"/>
        </w:rPr>
        <w:t>（</w:t>
      </w:r>
      <w:r>
        <w:rPr>
          <w:rFonts w:ascii="Times New Roman" w:hAnsi="Times New Roman" w:cs="Times New Roman" w:eastAsia="Times New Roman" w:hint="default"/>
          <w:spacing w:val="-3"/>
        </w:rPr>
        <w:t>3</w:t>
      </w:r>
      <w:r>
        <w:rPr>
          <w:spacing w:val="-3"/>
        </w:rPr>
        <w:t>）新能源分部：宁夏新能源、中宁新能源、涵普新能源，从事新能源开发、建设、管理咨</w:t>
      </w:r>
      <w:r>
        <w:rPr>
          <w:spacing w:val="-81"/>
        </w:rPr>
        <w:t> </w:t>
      </w:r>
      <w:r>
        <w:rPr>
          <w:spacing w:val="-81"/>
        </w:rPr>
      </w:r>
      <w:r>
        <w:rPr/>
        <w:t>询；</w:t>
      </w:r>
    </w:p>
    <w:p>
      <w:pPr>
        <w:pStyle w:val="BodyText"/>
        <w:spacing w:line="240" w:lineRule="auto" w:before="185"/>
        <w:ind w:left="134" w:right="0"/>
        <w:jc w:val="both"/>
      </w:pPr>
      <w:r>
        <w:rPr/>
        <w:t>（</w:t>
      </w:r>
      <w:r>
        <w:rPr>
          <w:rFonts w:ascii="Times New Roman" w:hAnsi="Times New Roman" w:cs="Times New Roman" w:eastAsia="Times New Roman" w:hint="default"/>
        </w:rPr>
        <w:t>4</w:t>
      </w:r>
      <w:r>
        <w:rPr/>
        <w:t>）军工分部：星波通信公司，生产及销售射频</w:t>
      </w:r>
      <w:r>
        <w:rPr>
          <w:rFonts w:ascii="Times New Roman" w:hAnsi="Times New Roman" w:cs="Times New Roman" w:eastAsia="Times New Roman" w:hint="default"/>
        </w:rPr>
        <w:t>/</w:t>
      </w:r>
      <w:r>
        <w:rPr/>
        <w:t>微波部件等相关产品；</w:t>
      </w:r>
    </w:p>
    <w:p>
      <w:pPr>
        <w:spacing w:line="240" w:lineRule="auto" w:before="4"/>
        <w:rPr>
          <w:rFonts w:ascii="宋体" w:hAnsi="宋体" w:cs="宋体" w:eastAsia="宋体" w:hint="default"/>
          <w:sz w:val="17"/>
          <w:szCs w:val="17"/>
        </w:rPr>
      </w:pPr>
    </w:p>
    <w:p>
      <w:pPr>
        <w:pStyle w:val="BodyText"/>
        <w:spacing w:line="312" w:lineRule="exact"/>
        <w:ind w:left="134" w:right="1137"/>
        <w:jc w:val="both"/>
      </w:pPr>
      <w:r>
        <w:rPr/>
        <w:t>除本节五之</w:t>
      </w:r>
      <w:r>
        <w:rPr>
          <w:rFonts w:ascii="Times New Roman" w:hAnsi="Times New Roman" w:cs="Times New Roman" w:eastAsia="Times New Roman" w:hint="default"/>
        </w:rPr>
        <w:t>11</w:t>
      </w:r>
      <w:r>
        <w:rPr/>
        <w:t>、</w:t>
      </w:r>
      <w:r>
        <w:rPr>
          <w:rFonts w:ascii="Times New Roman" w:hAnsi="Times New Roman" w:cs="Times New Roman" w:eastAsia="Times New Roman" w:hint="default"/>
        </w:rPr>
        <w:t>26</w:t>
      </w:r>
      <w:r>
        <w:rPr/>
        <w:t>中按照报告分部列示的会计政策差异外，分部报告信息根据各分部向管理</w:t>
      </w:r>
      <w:r>
        <w:rPr>
          <w:spacing w:val="-114"/>
        </w:rPr>
        <w:t> </w:t>
      </w:r>
      <w:r>
        <w:rPr/>
        <w:t>层报告时采用的会计政策及计量标准披露，这些会计政策及计量基础与编制财务报表时的会 计政策及计量基础保持一致。</w:t>
      </w:r>
    </w:p>
    <w:p>
      <w:pPr>
        <w:spacing w:line="240" w:lineRule="auto" w:before="7"/>
        <w:rPr>
          <w:rFonts w:ascii="宋体" w:hAnsi="宋体" w:cs="宋体" w:eastAsia="宋体" w:hint="default"/>
          <w:sz w:val="22"/>
          <w:szCs w:val="22"/>
        </w:rPr>
      </w:pPr>
    </w:p>
    <w:p>
      <w:pPr>
        <w:spacing w:before="0"/>
        <w:ind w:left="134" w:right="0" w:firstLine="0"/>
        <w:jc w:val="both"/>
        <w:rPr>
          <w:rFonts w:ascii="宋体" w:hAnsi="宋体" w:cs="宋体" w:eastAsia="宋体" w:hint="default"/>
          <w:sz w:val="21"/>
          <w:szCs w:val="21"/>
        </w:rPr>
      </w:pPr>
      <w:bookmarkStart w:name="（2）报告分部的财务信息"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4"/>
        <w:gridCol w:w="1606"/>
        <w:gridCol w:w="1571"/>
        <w:gridCol w:w="1606"/>
        <w:gridCol w:w="1595"/>
        <w:gridCol w:w="1594"/>
      </w:tblGrid>
      <w:tr>
        <w:trPr>
          <w:trHeight w:val="161" w:hRule="exact"/>
        </w:trPr>
        <w:tc>
          <w:tcPr>
            <w:tcW w:w="1594" w:type="dxa"/>
            <w:vMerge w:val="restart"/>
            <w:tcBorders>
              <w:top w:val="single" w:sz="4" w:space="0" w:color="000000"/>
              <w:left w:val="single" w:sz="4" w:space="0" w:color="000000"/>
              <w:right w:val="single" w:sz="10"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nil" w:sz="6" w:space="0" w:color="auto"/>
              <w:right w:val="single" w:sz="4" w:space="0" w:color="000000"/>
            </w:tcBorders>
            <w:shd w:val="clear" w:color="auto" w:fill="E0FFFF"/>
          </w:tcPr>
          <w:p>
            <w:pPr/>
          </w:p>
        </w:tc>
        <w:tc>
          <w:tcPr>
            <w:tcW w:w="1571"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691" w:right="60" w:hanging="631"/>
              <w:jc w:val="left"/>
              <w:rPr>
                <w:rFonts w:ascii="宋体" w:hAnsi="宋体" w:cs="宋体" w:eastAsia="宋体" w:hint="default"/>
                <w:sz w:val="18"/>
                <w:szCs w:val="18"/>
              </w:rPr>
            </w:pPr>
            <w:r>
              <w:rPr>
                <w:rFonts w:ascii="宋体" w:hAnsi="宋体" w:cs="宋体" w:eastAsia="宋体" w:hint="default"/>
                <w:sz w:val="18"/>
                <w:szCs w:val="18"/>
              </w:rPr>
              <w:t>铁路与轨道交通分 部</w:t>
            </w:r>
          </w:p>
        </w:tc>
        <w:tc>
          <w:tcPr>
            <w:tcW w:w="1606" w:type="dxa"/>
            <w:tcBorders>
              <w:top w:val="single" w:sz="4" w:space="0" w:color="000000"/>
              <w:left w:val="single" w:sz="4" w:space="0" w:color="000000"/>
              <w:bottom w:val="nil" w:sz="6" w:space="0" w:color="auto"/>
              <w:right w:val="single" w:sz="4" w:space="0" w:color="000000"/>
            </w:tcBorders>
            <w:shd w:val="clear" w:color="auto" w:fill="E0FFFF"/>
          </w:tcPr>
          <w:p>
            <w:pPr/>
          </w:p>
        </w:tc>
        <w:tc>
          <w:tcPr>
            <w:tcW w:w="1595" w:type="dxa"/>
            <w:vMerge w:val="restart"/>
            <w:tcBorders>
              <w:top w:val="single" w:sz="4" w:space="0" w:color="000000"/>
              <w:left w:val="single" w:sz="9"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594" w:type="dxa"/>
            <w:vMerge/>
            <w:tcBorders>
              <w:left w:val="single" w:sz="4" w:space="0" w:color="000000"/>
              <w:right w:val="single" w:sz="10" w:space="0" w:color="E0FFFF"/>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电力分部</w:t>
            </w:r>
          </w:p>
        </w:tc>
        <w:tc>
          <w:tcPr>
            <w:tcW w:w="1571" w:type="dxa"/>
            <w:vMerge/>
            <w:tcBorders>
              <w:left w:val="single" w:sz="4" w:space="0" w:color="000000"/>
              <w:right w:val="single" w:sz="4" w:space="0" w:color="000000"/>
            </w:tcBorders>
            <w:shd w:val="clear" w:color="auto" w:fill="E0FFFF"/>
          </w:tcPr>
          <w:p>
            <w:pPr/>
          </w:p>
        </w:tc>
        <w:tc>
          <w:tcPr>
            <w:tcW w:w="160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军工分部</w:t>
            </w:r>
          </w:p>
        </w:tc>
        <w:tc>
          <w:tcPr>
            <w:tcW w:w="1595" w:type="dxa"/>
            <w:vMerge/>
            <w:tcBorders>
              <w:left w:val="single" w:sz="9" w:space="0" w:color="E0FFFF"/>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4" w:type="dxa"/>
            <w:vMerge/>
            <w:tcBorders>
              <w:left w:val="single" w:sz="4" w:space="0" w:color="000000"/>
              <w:bottom w:val="single" w:sz="4" w:space="0" w:color="000000"/>
              <w:right w:val="single" w:sz="10" w:space="0" w:color="E0FFFF"/>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E0FFFF"/>
          </w:tcPr>
          <w:p>
            <w:pPr/>
          </w:p>
        </w:tc>
        <w:tc>
          <w:tcPr>
            <w:tcW w:w="1571" w:type="dxa"/>
            <w:vMerge/>
            <w:tcBorders>
              <w:left w:val="single" w:sz="4" w:space="0" w:color="000000"/>
              <w:bottom w:val="single" w:sz="4" w:space="0" w:color="000000"/>
              <w:right w:val="single" w:sz="4" w:space="0" w:color="000000"/>
            </w:tcBorders>
            <w:shd w:val="clear" w:color="auto" w:fill="E0FFFF"/>
          </w:tcPr>
          <w:p>
            <w:pPr/>
          </w:p>
        </w:tc>
        <w:tc>
          <w:tcPr>
            <w:tcW w:w="1606" w:type="dxa"/>
            <w:tcBorders>
              <w:top w:val="nil" w:sz="6" w:space="0" w:color="auto"/>
              <w:left w:val="single" w:sz="4" w:space="0" w:color="000000"/>
              <w:bottom w:val="single" w:sz="4" w:space="0" w:color="000000"/>
              <w:right w:val="single" w:sz="4" w:space="0" w:color="000000"/>
            </w:tcBorders>
            <w:shd w:val="clear" w:color="auto" w:fill="E0FFFF"/>
          </w:tcPr>
          <w:p>
            <w:pPr/>
          </w:p>
        </w:tc>
        <w:tc>
          <w:tcPr>
            <w:tcW w:w="1595" w:type="dxa"/>
            <w:vMerge/>
            <w:tcBorders>
              <w:left w:val="single" w:sz="9" w:space="0" w:color="E0FFFF"/>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534,106,569.87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690,040,931.14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120,152,809.15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-32,806,777.64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1,311,493,532.52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502,139,103.55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689,201,619.82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120,152,809.15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1,311,493,532.52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31,967,466.32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839,311.32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-32,806,777.64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531,009,323.58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672,562,090.86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116,542,464.44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-32,806,777.64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1,287,307,101.24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261,283,318.73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453,082,091.25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45,747,113.38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-32,806,777.64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727,305,745.72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259,826,213.26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452,453,091.91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42,163,992.48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-32,806,777.64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721,636,520.01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145,919,656.98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88,069,090.15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22,610,539.38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256,599,286.51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148,645,017.24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116,104,009.30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57,078,272.48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-20,356,311.24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301,470,987.78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2,102,459,921.36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1,426,320,758.01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301,936,917.76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-175,703,101.11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3,655,014,496.02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763,831,402.93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785,201,084.30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42,664,873.91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-175,703,101.11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1,415,994,260.03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折旧和摊销费用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12,761,748.01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16,728,754.83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5,947,958.52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35,438,461.36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折旧和摊销以外 的非现金费用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资产减值损失</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10,213,053.85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31,673,436.13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5,898,409.26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47,784,899.24</w:t>
            </w:r>
          </w:p>
        </w:tc>
      </w:tr>
    </w:tbl>
    <w:p>
      <w:pPr>
        <w:spacing w:line="240" w:lineRule="auto" w:before="2"/>
        <w:rPr>
          <w:rFonts w:ascii="宋体" w:hAnsi="宋体" w:cs="宋体" w:eastAsia="宋体" w:hint="default"/>
          <w:sz w:val="19"/>
          <w:szCs w:val="19"/>
        </w:rPr>
      </w:pPr>
    </w:p>
    <w:p>
      <w:pPr>
        <w:spacing w:before="35"/>
        <w:ind w:left="154" w:right="0" w:firstLine="0"/>
        <w:jc w:val="both"/>
        <w:rPr>
          <w:rFonts w:ascii="宋体" w:hAnsi="宋体" w:cs="宋体" w:eastAsia="宋体" w:hint="default"/>
          <w:sz w:val="21"/>
          <w:szCs w:val="21"/>
        </w:rPr>
      </w:pPr>
      <w:bookmarkStart w:name="（3）公司无报告分部的，或者不能披露各报告分部的资产总额和负债总额的，应说明原因"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4）其他说明"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both"/>
      </w:pPr>
      <w:r>
        <w:rPr/>
        <w:t>①地区信息</w:t>
      </w:r>
    </w:p>
    <w:p>
      <w:pPr>
        <w:pStyle w:val="BodyText"/>
        <w:spacing w:line="312" w:lineRule="exact" w:before="148"/>
        <w:ind w:right="817"/>
        <w:jc w:val="left"/>
      </w:pPr>
      <w:r>
        <w:rPr>
          <w:spacing w:val="2"/>
        </w:rPr>
        <w:t>由于本集团收入逾</w:t>
      </w:r>
      <w:r>
        <w:rPr>
          <w:rFonts w:ascii="Times New Roman" w:hAnsi="Times New Roman" w:cs="Times New Roman" w:eastAsia="Times New Roman" w:hint="default"/>
          <w:spacing w:val="2"/>
        </w:rPr>
        <w:t>90%</w:t>
      </w:r>
      <w:r>
        <w:rPr>
          <w:spacing w:val="2"/>
        </w:rPr>
        <w:t>来自于中国境内的客户，而且本集团资产逾</w:t>
      </w:r>
      <w:r>
        <w:rPr>
          <w:rFonts w:ascii="Times New Roman" w:hAnsi="Times New Roman" w:cs="Times New Roman" w:eastAsia="Times New Roman" w:hint="default"/>
          <w:spacing w:val="2"/>
        </w:rPr>
        <w:t>90%</w:t>
      </w:r>
      <w:r>
        <w:rPr>
          <w:spacing w:val="2"/>
        </w:rPr>
        <w:t>位于中国境内，所以</w:t>
      </w:r>
      <w:r>
        <w:rPr>
          <w:spacing w:val="-101"/>
        </w:rPr>
        <w:t> </w:t>
      </w:r>
      <w:r>
        <w:rPr>
          <w:spacing w:val="-101"/>
        </w:rPr>
      </w:r>
      <w:r>
        <w:rPr/>
        <w:t>无须列报更详细的地区信息。</w:t>
      </w:r>
    </w:p>
    <w:p>
      <w:pPr>
        <w:pStyle w:val="BodyText"/>
        <w:spacing w:line="331" w:lineRule="auto" w:before="89"/>
        <w:ind w:right="3112"/>
        <w:jc w:val="left"/>
      </w:pPr>
      <w:r>
        <w:rPr/>
        <w:t>②对主要客户的依赖程度 本期本集团无从单一客户处所获得的收入占本集团总收入超</w:t>
      </w:r>
      <w:r>
        <w:rPr>
          <w:rFonts w:ascii="Times New Roman" w:hAnsi="Times New Roman" w:cs="Times New Roman" w:eastAsia="Times New Roman" w:hint="default"/>
        </w:rPr>
        <w:t>10%</w:t>
      </w:r>
      <w:r>
        <w:rPr/>
        <w:t>的情况。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2、其他对投资者决策有影响的重要交易和事项" w:id="415"/>
      <w:bookmarkEnd w:id="41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0"/>
        <w:jc w:val="both"/>
      </w:pPr>
      <w:r>
        <w:rPr/>
        <w:t>实际控制人股分及受到限情况：</w:t>
      </w:r>
    </w:p>
    <w:p>
      <w:pPr>
        <w:pStyle w:val="BodyText"/>
        <w:spacing w:line="312" w:lineRule="exact" w:before="148"/>
        <w:ind w:right="1129"/>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日，公司控股股东、实际控制人杨保田、杨成及其一致行动人杨力合计持有</w:t>
      </w:r>
      <w:r>
        <w:rPr>
          <w:spacing w:val="-116"/>
        </w:rPr>
        <w:t> </w:t>
      </w:r>
      <w:r>
        <w:rPr>
          <w:spacing w:val="-116"/>
        </w:rPr>
      </w:r>
      <w:r>
        <w:rPr/>
        <w:t>公司股份</w:t>
      </w:r>
      <w:r>
        <w:rPr>
          <w:rFonts w:ascii="Times New Roman" w:hAnsi="Times New Roman" w:cs="Times New Roman" w:eastAsia="Times New Roman" w:hint="default"/>
        </w:rPr>
        <w:t>143,771,366</w:t>
      </w:r>
      <w:r>
        <w:rPr/>
        <w:t>股，占公司总股本的</w:t>
      </w:r>
      <w:r>
        <w:rPr>
          <w:rFonts w:ascii="Times New Roman" w:hAnsi="Times New Roman" w:cs="Times New Roman" w:eastAsia="Times New Roman" w:hint="default"/>
        </w:rPr>
        <w:t>40.12%</w:t>
      </w:r>
      <w:r>
        <w:rPr/>
        <w:t>，其所持有公司股份累计被质押</w:t>
      </w:r>
      <w:r>
        <w:rPr>
          <w:rFonts w:ascii="Times New Roman" w:hAnsi="Times New Roman" w:cs="Times New Roman" w:eastAsia="Times New Roman" w:hint="default"/>
        </w:rPr>
        <w:t>115,771,722</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t>股，占其持有公司股份总数的</w:t>
      </w:r>
      <w:r>
        <w:rPr>
          <w:rFonts w:ascii="Times New Roman" w:hAnsi="Times New Roman" w:cs="Times New Roman" w:eastAsia="Times New Roman" w:hint="default"/>
        </w:rPr>
        <w:t>80.52%</w:t>
      </w:r>
      <w:r>
        <w:rPr/>
        <w:t>，占公司总股本的</w:t>
      </w:r>
      <w:r>
        <w:rPr>
          <w:rFonts w:ascii="Times New Roman" w:hAnsi="Times New Roman" w:cs="Times New Roman" w:eastAsia="Times New Roman" w:hint="default"/>
        </w:rPr>
        <w:t>32.31%</w:t>
      </w:r>
      <w:r>
        <w:rPr/>
        <w:t>。该等股票质押并不影响控股 股东、实际控制人在此期间对公司的实际控制权及表决权、投票权。</w:t>
      </w:r>
    </w:p>
    <w:p>
      <w:pPr>
        <w:spacing w:after="0" w:line="312" w:lineRule="exact"/>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6472" w:firstLine="0"/>
        <w:jc w:val="left"/>
        <w:rPr>
          <w:rFonts w:ascii="宋体" w:hAnsi="宋体" w:cs="宋体" w:eastAsia="宋体" w:hint="default"/>
          <w:sz w:val="21"/>
          <w:szCs w:val="21"/>
        </w:rPr>
      </w:pPr>
      <w:bookmarkStart w:name="3、其他" w:id="416"/>
      <w:bookmarkEnd w:id="4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17"/>
      <w:bookmarkEnd w:id="41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18"/>
      <w:bookmarkEnd w:id="41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3,453,042.85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7,531,199.91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274,910,099.73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136,284,308.06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278,363,142.58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143,815,507.97</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应收票据"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2,493,652.96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4,970,999.91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商业承兑汇票坏账准备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-170,610.11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-35,800.00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3,453,042.85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7,531,199.91</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期末公司因出票人未履约而将其转应收账款的票据" w:id="420"/>
      <w:bookmarkEnd w:id="4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应收账款"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303,485,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971.12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28,575,8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71.39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274,910,0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99.73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158,675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,552.90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22,391,24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14.11%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136,284,30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8.06</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303,485,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971.12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28,575,8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71.39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274,910,0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99.73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158,675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,552.90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22,391,24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14.11%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136,284,30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8.06</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221,406,691.72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11,070,334.59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18,381,902.48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1,838,190.25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11,302,834.70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2,260,566.94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14,181,026.21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4,254,307.86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6,650,088.53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3,325,044.27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5,827,427.48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5,827,427.48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277,749,971.12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28,575,871.39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10.29%</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5"/>
        <w:ind w:right="817"/>
        <w:jc w:val="left"/>
      </w:pPr>
      <w:r>
        <w:rPr/>
        <w:t>确定该等应收账款组合的依据是各个明细项目的账龄。</w:t>
      </w:r>
    </w:p>
    <w:p>
      <w:pPr>
        <w:spacing w:before="88"/>
        <w:ind w:left="154" w:right="8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325" w:lineRule="exact"/>
        <w:ind w:right="817"/>
        <w:jc w:val="left"/>
      </w:pPr>
      <w:r>
        <w:rPr/>
        <w:t>公司对于应收账款之组合</w:t>
      </w:r>
      <w:r>
        <w:rPr>
          <w:rFonts w:ascii="Times New Roman" w:hAnsi="Times New Roman" w:cs="Times New Roman" w:eastAsia="Times New Roman" w:hint="default"/>
        </w:rPr>
        <w:t>2</w:t>
      </w:r>
      <w:r>
        <w:rPr/>
        <w:t>：合并范围内的关联方应收款不计提坏账。</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160" w:left="980" w:right="0"/>
        </w:sectPr>
      </w:pPr>
    </w:p>
    <w:p>
      <w:pPr>
        <w:spacing w:before="44"/>
        <w:ind w:left="15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6,184,626.55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817"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1263784"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6"/>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312" w:lineRule="exact" w:before="83"/>
        <w:ind w:right="817"/>
        <w:jc w:val="left"/>
      </w:pPr>
      <w:r>
        <w:rPr>
          <w:spacing w:val="-1"/>
        </w:rPr>
        <w:t>本期按欠款方归集的期末余额前五名应收账款汇总金额</w:t>
      </w:r>
      <w:r>
        <w:rPr>
          <w:rFonts w:ascii="Times New Roman" w:hAnsi="Times New Roman" w:cs="Times New Roman" w:eastAsia="Times New Roman" w:hint="default"/>
          <w:spacing w:val="-1"/>
        </w:rPr>
        <w:t>168,362,487.08</w:t>
      </w:r>
      <w:r>
        <w:rPr>
          <w:spacing w:val="-1"/>
        </w:rPr>
        <w:t>元，占应收账款期末余</w:t>
      </w:r>
      <w:r>
        <w:rPr>
          <w:spacing w:val="-94"/>
        </w:rPr>
        <w:t> </w:t>
      </w:r>
      <w:r>
        <w:rPr>
          <w:spacing w:val="-94"/>
        </w:rPr>
      </w:r>
      <w:r>
        <w:rPr/>
        <w:t>额合计数的比例</w:t>
      </w:r>
      <w:r>
        <w:rPr>
          <w:rFonts w:ascii="Times New Roman" w:hAnsi="Times New Roman" w:cs="Times New Roman" w:eastAsia="Times New Roman" w:hint="default"/>
        </w:rPr>
        <w:t>55.48%</w:t>
      </w:r>
      <w:r>
        <w:rPr/>
        <w:t>，相应计提的坏账准备期末余额汇总金额</w:t>
      </w:r>
      <w:r>
        <w:rPr>
          <w:rFonts w:ascii="Times New Roman" w:hAnsi="Times New Roman" w:cs="Times New Roman" w:eastAsia="Times New Roman" w:hint="default"/>
        </w:rPr>
        <w:t>7,243,875.10</w:t>
      </w:r>
      <w:r>
        <w:rPr/>
        <w:t>元。</w:t>
      </w:r>
    </w:p>
    <w:p>
      <w:pPr>
        <w:spacing w:before="59"/>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2"/>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before="0"/>
        <w:ind w:left="154" w:right="817" w:firstLine="0"/>
        <w:jc w:val="left"/>
        <w:rPr>
          <w:rFonts w:ascii="宋体" w:hAnsi="宋体" w:cs="宋体" w:eastAsia="宋体" w:hint="default"/>
          <w:sz w:val="21"/>
          <w:szCs w:val="21"/>
        </w:rPr>
      </w:pPr>
      <w:bookmarkStart w:name="2、其他应收款" w:id="422"/>
      <w:bookmarkEnd w:id="4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19,400,608.64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11,193,042.14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121,311,900.98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7,357,019.94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140,712,509.62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19,218,064.98</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应收利息" w:id="423"/>
      <w:bookmarkEnd w:id="4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通知存款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2）应收股利"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19,400,608.64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11,193,042.14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19,400,608.64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11,193,042.14</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3）其他应收款"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121,920,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448.06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608,547.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121,311,9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7,540,8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183,795.2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7,357,019.9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121,920,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448.06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608,547.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121,311,9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7,540,8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183,795.2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7,357,019.9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5,463,947.40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273,197.37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153,497.10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15,349.71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5,937,444.50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608,547.08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right="817"/>
        <w:jc w:val="left"/>
      </w:pPr>
      <w:r>
        <w:rPr/>
        <w:t>确定该等其他应收账款组合的依据是各个明细项目的账龄。</w:t>
      </w:r>
    </w:p>
    <w:p>
      <w:pPr>
        <w:spacing w:line="240" w:lineRule="auto" w:before="8"/>
        <w:rPr>
          <w:rFonts w:ascii="宋体" w:hAnsi="宋体" w:cs="宋体" w:eastAsia="宋体" w:hint="default"/>
          <w:sz w:val="30"/>
          <w:szCs w:val="30"/>
        </w:rPr>
      </w:pPr>
    </w:p>
    <w:p>
      <w:pPr>
        <w:spacing w:before="0"/>
        <w:ind w:left="154" w:right="8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25" w:lineRule="auto" w:before="68"/>
        <w:ind w:right="1131"/>
        <w:jc w:val="both"/>
      </w:pPr>
      <w:r>
        <w:rPr>
          <w:spacing w:val="-2"/>
        </w:rPr>
        <w:t>采用其他方法计提坏账准备的其他应收款包括组合</w:t>
      </w:r>
      <w:r>
        <w:rPr>
          <w:rFonts w:ascii="Times New Roman" w:hAnsi="Times New Roman" w:cs="Times New Roman" w:eastAsia="Times New Roman" w:hint="default"/>
          <w:spacing w:val="-2"/>
        </w:rPr>
        <w:t>2</w:t>
      </w:r>
      <w:r>
        <w:rPr>
          <w:spacing w:val="-2"/>
        </w:rPr>
        <w:t>：其他应收款之合并范围内的关联方应收</w:t>
      </w:r>
      <w:r>
        <w:rPr/>
        <w:t> 款、组合</w:t>
      </w:r>
      <w:r>
        <w:rPr>
          <w:rFonts w:ascii="Times New Roman" w:hAnsi="Times New Roman" w:cs="Times New Roman" w:eastAsia="Times New Roman" w:hint="default"/>
        </w:rPr>
        <w:t>3</w:t>
      </w:r>
      <w:r>
        <w:rPr/>
        <w:t>：其他应收款之应收备用金、组合</w:t>
      </w:r>
      <w:r>
        <w:rPr>
          <w:rFonts w:ascii="Times New Roman" w:hAnsi="Times New Roman" w:cs="Times New Roman" w:eastAsia="Times New Roman" w:hint="default"/>
        </w:rPr>
        <w:t>4</w:t>
      </w:r>
      <w:r>
        <w:rPr/>
        <w:t>：其他应收款之应收保证金，按个别认定法根 据具体情况确定坏账计提比例，具体的明细如下：</w:t>
      </w:r>
    </w:p>
    <w:p>
      <w:pPr>
        <w:spacing w:line="240" w:lineRule="auto" w:before="13"/>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759"/>
        <w:gridCol w:w="1638"/>
        <w:gridCol w:w="1582"/>
        <w:gridCol w:w="2232"/>
        <w:gridCol w:w="1979"/>
      </w:tblGrid>
      <w:tr>
        <w:trPr>
          <w:trHeight w:val="347" w:hRule="exact"/>
        </w:trPr>
        <w:tc>
          <w:tcPr>
            <w:tcW w:w="1759"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401"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1582"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232" w:type="dxa"/>
            <w:tcBorders>
              <w:top w:val="single" w:sz="6" w:space="0" w:color="000000"/>
              <w:left w:val="nil" w:sz="6" w:space="0" w:color="auto"/>
              <w:bottom w:val="single" w:sz="6" w:space="0" w:color="000000"/>
              <w:right w:val="nil" w:sz="6" w:space="0" w:color="auto"/>
            </w:tcBorders>
          </w:tcPr>
          <w:p>
            <w:pPr>
              <w:pStyle w:val="TableParagraph"/>
              <w:spacing w:line="287" w:lineRule="exact"/>
              <w:ind w:left="46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132"/>
              <w:jc w:val="center"/>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659" w:hRule="exact"/>
        </w:trPr>
        <w:tc>
          <w:tcPr>
            <w:tcW w:w="1759" w:type="dxa"/>
            <w:tcBorders>
              <w:top w:val="single" w:sz="6" w:space="0" w:color="000000"/>
              <w:left w:val="nil" w:sz="6" w:space="0" w:color="auto"/>
              <w:bottom w:val="single" w:sz="6" w:space="0" w:color="000000"/>
              <w:right w:val="nil" w:sz="6" w:space="0" w:color="auto"/>
            </w:tcBorders>
          </w:tcPr>
          <w:p>
            <w:pPr>
              <w:pStyle w:val="TableParagraph"/>
              <w:spacing w:line="256" w:lineRule="auto"/>
              <w:ind w:left="24" w:right="51"/>
              <w:jc w:val="left"/>
              <w:rPr>
                <w:rFonts w:ascii="宋体" w:hAnsi="宋体" w:cs="宋体" w:eastAsia="宋体" w:hint="default"/>
                <w:sz w:val="21"/>
                <w:szCs w:val="21"/>
              </w:rPr>
            </w:pPr>
            <w:r>
              <w:rPr>
                <w:rFonts w:ascii="宋体" w:hAnsi="宋体" w:cs="宋体" w:eastAsia="宋体" w:hint="default"/>
                <w:spacing w:val="-12"/>
                <w:sz w:val="21"/>
                <w:szCs w:val="21"/>
              </w:rPr>
              <w:t>组合</w:t>
            </w: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：合并范围内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的关联方应收款</w:t>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69"/>
              <w:jc w:val="right"/>
              <w:rPr>
                <w:rFonts w:ascii="Times New Roman" w:hAnsi="Times New Roman" w:cs="Times New Roman" w:eastAsia="Times New Roman" w:hint="default"/>
                <w:sz w:val="21"/>
                <w:szCs w:val="21"/>
              </w:rPr>
            </w:pPr>
            <w:r>
              <w:rPr>
                <w:rFonts w:ascii="Times New Roman"/>
                <w:spacing w:val="-1"/>
                <w:sz w:val="21"/>
              </w:rPr>
              <w:t>113,133,431.11</w:t>
            </w:r>
          </w:p>
        </w:tc>
        <w:tc>
          <w:tcPr>
            <w:tcW w:w="1582" w:type="dxa"/>
            <w:tcBorders>
              <w:top w:val="single" w:sz="6" w:space="0" w:color="000000"/>
              <w:left w:val="nil" w:sz="6" w:space="0" w:color="auto"/>
              <w:bottom w:val="single" w:sz="6" w:space="0" w:color="000000"/>
              <w:right w:val="nil" w:sz="6" w:space="0" w:color="auto"/>
            </w:tcBorders>
          </w:tcPr>
          <w:p>
            <w:pPr/>
          </w:p>
        </w:tc>
        <w:tc>
          <w:tcPr>
            <w:tcW w:w="2232"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657" w:right="0"/>
              <w:jc w:val="left"/>
              <w:rPr>
                <w:rFonts w:ascii="Times New Roman" w:hAnsi="Times New Roman" w:cs="Times New Roman" w:eastAsia="Times New Roman" w:hint="default"/>
                <w:sz w:val="21"/>
                <w:szCs w:val="21"/>
              </w:rPr>
            </w:pPr>
            <w:r>
              <w:rPr>
                <w:rFonts w:ascii="Times New Roman"/>
                <w:sz w:val="21"/>
              </w:rPr>
              <w:t>113,133,431.11</w:t>
            </w:r>
          </w:p>
        </w:tc>
      </w:tr>
      <w:tr>
        <w:trPr>
          <w:trHeight w:val="659" w:hRule="exact"/>
        </w:trPr>
        <w:tc>
          <w:tcPr>
            <w:tcW w:w="1759" w:type="dxa"/>
            <w:tcBorders>
              <w:top w:val="single" w:sz="6" w:space="0" w:color="000000"/>
              <w:left w:val="nil" w:sz="6" w:space="0" w:color="auto"/>
              <w:bottom w:val="single" w:sz="6" w:space="0" w:color="000000"/>
              <w:right w:val="nil" w:sz="6" w:space="0" w:color="auto"/>
            </w:tcBorders>
          </w:tcPr>
          <w:p>
            <w:pPr>
              <w:pStyle w:val="TableParagraph"/>
              <w:spacing w:line="256" w:lineRule="auto"/>
              <w:ind w:left="24" w:right="335"/>
              <w:jc w:val="left"/>
              <w:rPr>
                <w:rFonts w:ascii="宋体" w:hAnsi="宋体" w:cs="宋体" w:eastAsia="宋体" w:hint="default"/>
                <w:sz w:val="21"/>
                <w:szCs w:val="21"/>
              </w:rPr>
            </w:pPr>
            <w:r>
              <w:rPr>
                <w:rFonts w:ascii="宋体" w:hAnsi="宋体" w:cs="宋体" w:eastAsia="宋体" w:hint="default"/>
                <w:spacing w:val="4"/>
                <w:sz w:val="21"/>
                <w:szCs w:val="21"/>
              </w:rPr>
              <w:t>组合</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：应收备</w:t>
            </w:r>
            <w:r>
              <w:rPr>
                <w:rFonts w:ascii="宋体" w:hAnsi="宋体" w:cs="宋体" w:eastAsia="宋体" w:hint="default"/>
                <w:sz w:val="21"/>
                <w:szCs w:val="21"/>
              </w:rPr>
              <w:t> 用金</w:t>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70"/>
              <w:jc w:val="right"/>
              <w:rPr>
                <w:rFonts w:ascii="Times New Roman" w:hAnsi="Times New Roman" w:cs="Times New Roman" w:eastAsia="Times New Roman" w:hint="default"/>
                <w:sz w:val="21"/>
                <w:szCs w:val="21"/>
              </w:rPr>
            </w:pPr>
            <w:r>
              <w:rPr>
                <w:rFonts w:ascii="Times New Roman"/>
                <w:spacing w:val="-1"/>
                <w:sz w:val="21"/>
              </w:rPr>
              <w:t>332,446.35</w:t>
            </w:r>
          </w:p>
        </w:tc>
        <w:tc>
          <w:tcPr>
            <w:tcW w:w="1582" w:type="dxa"/>
            <w:tcBorders>
              <w:top w:val="single" w:sz="6" w:space="0" w:color="000000"/>
              <w:left w:val="nil" w:sz="6" w:space="0" w:color="auto"/>
              <w:bottom w:val="single" w:sz="6" w:space="0" w:color="000000"/>
              <w:right w:val="nil" w:sz="6" w:space="0" w:color="auto"/>
            </w:tcBorders>
          </w:tcPr>
          <w:p>
            <w:pPr/>
          </w:p>
        </w:tc>
        <w:tc>
          <w:tcPr>
            <w:tcW w:w="2232"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916" w:right="0"/>
              <w:jc w:val="left"/>
              <w:rPr>
                <w:rFonts w:ascii="Times New Roman" w:hAnsi="Times New Roman" w:cs="Times New Roman" w:eastAsia="Times New Roman" w:hint="default"/>
                <w:sz w:val="21"/>
                <w:szCs w:val="21"/>
              </w:rPr>
            </w:pPr>
            <w:r>
              <w:rPr>
                <w:rFonts w:ascii="Times New Roman"/>
                <w:sz w:val="21"/>
              </w:rPr>
              <w:t>332,446.35</w:t>
            </w:r>
          </w:p>
        </w:tc>
      </w:tr>
      <w:tr>
        <w:trPr>
          <w:trHeight w:val="660" w:hRule="exact"/>
        </w:trPr>
        <w:tc>
          <w:tcPr>
            <w:tcW w:w="1759" w:type="dxa"/>
            <w:tcBorders>
              <w:top w:val="single" w:sz="6" w:space="0" w:color="000000"/>
              <w:left w:val="nil" w:sz="6" w:space="0" w:color="auto"/>
              <w:bottom w:val="single" w:sz="6" w:space="0" w:color="000000"/>
              <w:right w:val="nil" w:sz="6" w:space="0" w:color="auto"/>
            </w:tcBorders>
          </w:tcPr>
          <w:p>
            <w:pPr>
              <w:pStyle w:val="TableParagraph"/>
              <w:spacing w:line="256" w:lineRule="auto"/>
              <w:ind w:left="24" w:right="335"/>
              <w:jc w:val="left"/>
              <w:rPr>
                <w:rFonts w:ascii="宋体" w:hAnsi="宋体" w:cs="宋体" w:eastAsia="宋体" w:hint="default"/>
                <w:sz w:val="21"/>
                <w:szCs w:val="21"/>
              </w:rPr>
            </w:pPr>
            <w:r>
              <w:rPr>
                <w:rFonts w:ascii="宋体" w:hAnsi="宋体" w:cs="宋体" w:eastAsia="宋体" w:hint="default"/>
                <w:spacing w:val="4"/>
                <w:sz w:val="21"/>
                <w:szCs w:val="21"/>
              </w:rPr>
              <w:t>组合</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：应收保</w:t>
            </w:r>
            <w:r>
              <w:rPr>
                <w:rFonts w:ascii="宋体" w:hAnsi="宋体" w:cs="宋体" w:eastAsia="宋体" w:hint="default"/>
                <w:sz w:val="21"/>
                <w:szCs w:val="21"/>
              </w:rPr>
              <w:t> 证金</w:t>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271"/>
              <w:jc w:val="right"/>
              <w:rPr>
                <w:rFonts w:ascii="Times New Roman" w:hAnsi="Times New Roman" w:cs="Times New Roman" w:eastAsia="Times New Roman" w:hint="default"/>
                <w:sz w:val="21"/>
                <w:szCs w:val="21"/>
              </w:rPr>
            </w:pPr>
            <w:r>
              <w:rPr>
                <w:rFonts w:ascii="Times New Roman"/>
                <w:spacing w:val="-1"/>
                <w:sz w:val="21"/>
              </w:rPr>
              <w:t>2,517,126.10</w:t>
            </w:r>
          </w:p>
        </w:tc>
        <w:tc>
          <w:tcPr>
            <w:tcW w:w="1582" w:type="dxa"/>
            <w:tcBorders>
              <w:top w:val="single" w:sz="6" w:space="0" w:color="000000"/>
              <w:left w:val="nil" w:sz="6" w:space="0" w:color="auto"/>
              <w:bottom w:val="single" w:sz="6" w:space="0" w:color="000000"/>
              <w:right w:val="nil" w:sz="6" w:space="0" w:color="auto"/>
            </w:tcBorders>
          </w:tcPr>
          <w:p>
            <w:pPr/>
          </w:p>
        </w:tc>
        <w:tc>
          <w:tcPr>
            <w:tcW w:w="2232"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758" w:right="0"/>
              <w:jc w:val="left"/>
              <w:rPr>
                <w:rFonts w:ascii="Times New Roman" w:hAnsi="Times New Roman" w:cs="Times New Roman" w:eastAsia="Times New Roman" w:hint="default"/>
                <w:sz w:val="21"/>
                <w:szCs w:val="21"/>
              </w:rPr>
            </w:pPr>
            <w:r>
              <w:rPr>
                <w:rFonts w:ascii="Times New Roman"/>
                <w:sz w:val="21"/>
              </w:rPr>
              <w:t>2,517,126.10</w:t>
            </w:r>
          </w:p>
        </w:tc>
      </w:tr>
      <w:tr>
        <w:trPr>
          <w:trHeight w:val="347" w:hRule="exact"/>
        </w:trPr>
        <w:tc>
          <w:tcPr>
            <w:tcW w:w="1759"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7"/>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638"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69"/>
              <w:jc w:val="right"/>
              <w:rPr>
                <w:rFonts w:ascii="Times New Roman" w:hAnsi="Times New Roman" w:cs="Times New Roman" w:eastAsia="Times New Roman" w:hint="default"/>
                <w:sz w:val="21"/>
                <w:szCs w:val="21"/>
              </w:rPr>
            </w:pPr>
            <w:r>
              <w:rPr>
                <w:rFonts w:ascii="Times New Roman"/>
                <w:b/>
                <w:spacing w:val="-1"/>
                <w:sz w:val="21"/>
              </w:rPr>
              <w:t>115,983,003.56</w:t>
            </w:r>
            <w:r>
              <w:rPr>
                <w:rFonts w:ascii="Times New Roman"/>
                <w:spacing w:val="-1"/>
                <w:sz w:val="21"/>
              </w:rPr>
            </w:r>
          </w:p>
        </w:tc>
        <w:tc>
          <w:tcPr>
            <w:tcW w:w="1582" w:type="dxa"/>
            <w:tcBorders>
              <w:top w:val="single" w:sz="6" w:space="0" w:color="000000"/>
              <w:left w:val="nil" w:sz="6" w:space="0" w:color="auto"/>
              <w:bottom w:val="single" w:sz="6" w:space="0" w:color="000000"/>
              <w:right w:val="nil" w:sz="6" w:space="0" w:color="auto"/>
            </w:tcBorders>
          </w:tcPr>
          <w:p>
            <w:pPr/>
          </w:p>
        </w:tc>
        <w:tc>
          <w:tcPr>
            <w:tcW w:w="2232"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left="549" w:right="0"/>
              <w:jc w:val="left"/>
              <w:rPr>
                <w:rFonts w:ascii="Times New Roman" w:hAnsi="Times New Roman" w:cs="Times New Roman" w:eastAsia="Times New Roman" w:hint="default"/>
                <w:sz w:val="21"/>
                <w:szCs w:val="21"/>
              </w:rPr>
            </w:pPr>
            <w:r>
              <w:rPr>
                <w:rFonts w:ascii="Times New Roman"/>
                <w:b/>
                <w:sz w:val="21"/>
              </w:rPr>
              <w:t>115,983,003.56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979" w:top="1060" w:bottom="1160" w:left="980" w:right="0"/>
        </w:sectPr>
      </w:pPr>
    </w:p>
    <w:p>
      <w:pPr>
        <w:spacing w:before="44"/>
        <w:ind w:left="154"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424,751.88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81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113,133,431.11</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2,517,126.10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6,693,994.10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332,446.35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250,917.14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5,937,444.50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595,903.90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121,920,448.06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7,540,815.14</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卧龙电气银川变压器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合肥星波通信技术有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7,133,431.11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甘肃中天电力工程有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3,137,700.00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156,885.00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平顶山市创达工程管 理服务有限公司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广东电网物资有限公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117,446,131.11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188,885.00</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4"/>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spacing w:before="0"/>
        <w:ind w:left="154" w:right="817" w:firstLine="0"/>
        <w:jc w:val="left"/>
        <w:rPr>
          <w:rFonts w:ascii="宋体" w:hAnsi="宋体" w:cs="宋体" w:eastAsia="宋体" w:hint="default"/>
          <w:sz w:val="21"/>
          <w:szCs w:val="21"/>
        </w:rPr>
      </w:pPr>
      <w:bookmarkStart w:name="3、长期股权投资" w:id="426"/>
      <w:bookmarkEnd w:id="4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1,769,998,574.53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1,769,998,574.53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1,769,998,574.53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1,769,998,574.53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1,769,998,574.53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1,769,998,574.53</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1）对子公司投资"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3"/>
              <w:jc w:val="both"/>
              <w:rPr>
                <w:rFonts w:ascii="Times New Roman" w:hAnsi="Times New Roman" w:cs="Times New Roman" w:eastAsia="Times New Roman" w:hint="default"/>
                <w:sz w:val="18"/>
                <w:szCs w:val="18"/>
              </w:rPr>
            </w:pPr>
            <w:r>
              <w:rPr>
                <w:rFonts w:ascii="Times New Roman"/>
                <w:sz w:val="18"/>
              </w:rPr>
              <w:t>REDPHASEINST RUMENTSAUST </w:t>
            </w:r>
            <w:r>
              <w:rPr>
                <w:rFonts w:ascii="Times New Roman"/>
                <w:spacing w:val="-4"/>
                <w:sz w:val="18"/>
              </w:rPr>
              <w:t>RALIAPTY.LTD.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5,019,865.00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5,019,865.00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37"/>
              <w:jc w:val="center"/>
              <w:rPr>
                <w:rFonts w:ascii="宋体" w:hAnsi="宋体" w:cs="宋体" w:eastAsia="宋体" w:hint="default"/>
                <w:sz w:val="18"/>
                <w:szCs w:val="18"/>
              </w:rPr>
            </w:pPr>
            <w:r>
              <w:rPr>
                <w:rFonts w:ascii="宋体" w:hAnsi="宋体" w:cs="宋体" w:eastAsia="宋体" w:hint="default"/>
                <w:sz w:val="18"/>
                <w:szCs w:val="18"/>
              </w:rPr>
              <w:t>红相电力（上海）</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10,682,609.74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10,682,609.74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厦门红相软件有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厦门红相信息科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浙江涵普电力科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54,925,589.52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54,925,589.52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卧龙电气银川变 压器有限公司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合肥星波通信技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526,370,510.27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526,370,510.27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1,769,998,574.53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4、营业收入和营业成本" w:id="428"/>
      <w:bookmarkEnd w:id="42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385,160,610.60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218,823,694.38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231,204,542.69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144,143,705.30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1,625,617.74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944,981.64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1,854,866.23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944,981.64</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386,786,228.34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219,768,676.02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233,059,408.92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145,088,686.94</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817" w:firstLine="0"/>
        <w:jc w:val="left"/>
        <w:rPr>
          <w:rFonts w:ascii="宋体" w:hAnsi="宋体" w:cs="宋体" w:eastAsia="宋体" w:hint="default"/>
          <w:sz w:val="21"/>
          <w:szCs w:val="21"/>
        </w:rPr>
      </w:pPr>
      <w:bookmarkStart w:name="5、投资收益" w:id="429"/>
      <w:bookmarkEnd w:id="42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34,035,588.74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9,977,949.21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34,035,588.74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9,977,949.21</w:t>
            </w:r>
          </w:p>
        </w:tc>
      </w:tr>
    </w:tbl>
    <w:p>
      <w:pPr>
        <w:spacing w:line="240" w:lineRule="auto" w:before="2"/>
        <w:rPr>
          <w:rFonts w:ascii="宋体" w:hAnsi="宋体" w:cs="宋体" w:eastAsia="宋体" w:hint="default"/>
          <w:sz w:val="19"/>
          <w:szCs w:val="19"/>
        </w:rPr>
      </w:pPr>
    </w:p>
    <w:p>
      <w:pPr>
        <w:spacing w:before="35"/>
        <w:ind w:left="154" w:right="817" w:firstLine="0"/>
        <w:jc w:val="left"/>
        <w:rPr>
          <w:rFonts w:ascii="宋体" w:hAnsi="宋体" w:cs="宋体" w:eastAsia="宋体" w:hint="default"/>
          <w:sz w:val="21"/>
          <w:szCs w:val="21"/>
        </w:rPr>
      </w:pPr>
      <w:bookmarkStart w:name="6、其他" w:id="430"/>
      <w:bookmarkEnd w:id="43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right="817"/>
        <w:jc w:val="left"/>
        <w:rPr>
          <w:b w:val="0"/>
          <w:bCs w:val="0"/>
        </w:rPr>
      </w:pPr>
      <w:bookmarkStart w:name="十八、补充资料" w:id="431"/>
      <w:bookmarkEnd w:id="43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当期非经常性损益明细表" w:id="432"/>
      <w:bookmarkEnd w:id="4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-132,466.56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2,838,175.13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15,588,063.36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883,331.17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2,553,068.75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511,633.50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16,112,400.85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1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净资产收益率及每股收益" w:id="433"/>
      <w:bookmarkEnd w:id="4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r>
    </w:tbl>
    <w:p>
      <w:pPr>
        <w:spacing w:line="240" w:lineRule="auto" w:before="2"/>
        <w:rPr>
          <w:rFonts w:ascii="宋体" w:hAnsi="宋体" w:cs="宋体" w:eastAsia="宋体" w:hint="default"/>
          <w:b/>
          <w:bCs/>
          <w:sz w:val="19"/>
          <w:szCs w:val="19"/>
        </w:rPr>
      </w:pPr>
    </w:p>
    <w:p>
      <w:pPr>
        <w:spacing w:before="35"/>
        <w:ind w:left="154" w:right="817" w:firstLine="0"/>
        <w:jc w:val="left"/>
        <w:rPr>
          <w:rFonts w:ascii="宋体" w:hAnsi="宋体" w:cs="宋体" w:eastAsia="宋体" w:hint="default"/>
          <w:sz w:val="21"/>
          <w:szCs w:val="21"/>
        </w:rPr>
      </w:pPr>
      <w:bookmarkStart w:name="3、境内外会计准则下会计数据差异" w:id="434"/>
      <w:bookmarkEnd w:id="4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1）同时按照国际会计准则与按中国会计准则披露的财务报告中净利润和净资产差异情况" w:id="435"/>
      <w:bookmarkEnd w:id="4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817" w:firstLine="0"/>
        <w:jc w:val="left"/>
        <w:rPr>
          <w:rFonts w:ascii="宋体" w:hAnsi="宋体" w:cs="宋体" w:eastAsia="宋体" w:hint="default"/>
          <w:sz w:val="21"/>
          <w:szCs w:val="21"/>
        </w:rPr>
      </w:pPr>
      <w:bookmarkStart w:name="（2）同时按照境外会计准则与按中国会计准则披露的财务报告中净利润和净资产差异情况"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8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259" w:lineRule="auto" w:before="0"/>
        <w:ind w:left="154" w:right="817" w:firstLine="0"/>
        <w:jc w:val="left"/>
        <w:rPr>
          <w:rFonts w:ascii="宋体" w:hAnsi="宋体" w:cs="宋体" w:eastAsia="宋体" w:hint="default"/>
          <w:sz w:val="21"/>
          <w:szCs w:val="21"/>
        </w:rPr>
      </w:pPr>
      <w:bookmarkStart w:name="（3）境内外会计准则下会计数据差异原因说明，对已经境外审计机构审计的数据进行差异"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2"/>
          <w:sz w:val="21"/>
          <w:szCs w:val="21"/>
        </w:rPr>
        <w:t> </w:t>
      </w:r>
      <w:r>
        <w:rPr>
          <w:rFonts w:ascii="宋体" w:hAnsi="宋体" w:cs="宋体" w:eastAsia="宋体" w:hint="default"/>
          <w:b/>
          <w:bCs/>
          <w:spacing w:val="-72"/>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817" w:firstLine="0"/>
        <w:jc w:val="left"/>
        <w:rPr>
          <w:rFonts w:ascii="宋体" w:hAnsi="宋体" w:cs="宋体" w:eastAsia="宋体" w:hint="default"/>
          <w:sz w:val="21"/>
          <w:szCs w:val="21"/>
        </w:rPr>
      </w:pPr>
      <w:bookmarkStart w:name="4、其他" w:id="438"/>
      <w:bookmarkEnd w:id="4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817"/>
        <w:jc w:val="left"/>
        <w:rPr>
          <w:b w:val="0"/>
          <w:bCs w:val="0"/>
        </w:rPr>
      </w:pPr>
      <w:bookmarkStart w:name="第十二节 备查文件目录" w:id="439"/>
      <w:bookmarkEnd w:id="439"/>
      <w:r>
        <w:rPr>
          <w:b w:val="0"/>
          <w:bCs w:val="0"/>
        </w:rPr>
      </w:r>
      <w:bookmarkStart w:name="_bookmark11" w:id="440"/>
      <w:bookmarkEnd w:id="440"/>
      <w:r>
        <w:rPr>
          <w:b w:val="0"/>
          <w:bCs w:val="0"/>
        </w:rPr>
      </w:r>
      <w:r>
        <w:rPr/>
        <w:t>第十二节</w:t>
      </w:r>
      <w:r>
        <w:rPr>
          <w:spacing w:val="-8"/>
        </w:rPr>
        <w:t> </w:t>
      </w:r>
      <w:r>
        <w:rPr/>
        <w:t>备查文件目录</w:t>
      </w:r>
      <w:r>
        <w:rPr>
          <w:b w:val="0"/>
          <w:bCs w:val="0"/>
        </w:rPr>
      </w:r>
    </w:p>
    <w:p>
      <w:pPr>
        <w:spacing w:line="240" w:lineRule="auto" w:before="2"/>
        <w:rPr>
          <w:rFonts w:ascii="宋体" w:hAnsi="宋体" w:cs="宋体" w:eastAsia="宋体" w:hint="default"/>
          <w:b/>
          <w:bCs/>
          <w:sz w:val="39"/>
          <w:szCs w:val="39"/>
        </w:rPr>
      </w:pPr>
    </w:p>
    <w:p>
      <w:pPr>
        <w:pStyle w:val="BodyText"/>
        <w:spacing w:line="235" w:lineRule="auto"/>
        <w:ind w:right="998"/>
        <w:jc w:val="left"/>
      </w:pPr>
      <w:r>
        <w:rPr>
          <w:spacing w:val="-2"/>
        </w:rPr>
        <w:t>一、载有法定代表人、主管会计工作负责人、会计机构负责人签名并盖章的</w:t>
      </w:r>
      <w:r>
        <w:rPr>
          <w:rFonts w:ascii="Times New Roman" w:hAnsi="Times New Roman" w:cs="Times New Roman" w:eastAsia="Times New Roman" w:hint="default"/>
          <w:spacing w:val="-2"/>
        </w:rPr>
        <w:t>2018</w:t>
      </w:r>
      <w:r>
        <w:rPr>
          <w:spacing w:val="-2"/>
        </w:rPr>
        <w:t>年财务报表。</w:t>
      </w:r>
      <w:r>
        <w:rPr>
          <w:spacing w:val="-117"/>
        </w:rPr>
        <w:t> </w:t>
      </w:r>
      <w:r>
        <w:rPr/>
        <w:t>二、载有会计师事务所盖章、注册会计师签名并盖章的审计报告原件。 三、报告期内在中国证监会指定网站上公告披露过的所有公司文件的正本及公告原稿。 四、载有董事长签名的</w:t>
      </w:r>
      <w:r>
        <w:rPr>
          <w:rFonts w:ascii="Times New Roman" w:hAnsi="Times New Roman" w:cs="Times New Roman" w:eastAsia="Times New Roman" w:hint="default"/>
        </w:rPr>
        <w:t>2018</w:t>
      </w:r>
      <w:r>
        <w:rPr/>
        <w:t>年度报告文本原件。</w:t>
      </w:r>
    </w:p>
    <w:p>
      <w:pPr>
        <w:pStyle w:val="BodyText"/>
        <w:spacing w:line="312" w:lineRule="exact" w:before="11"/>
        <w:ind w:right="6432"/>
        <w:jc w:val="left"/>
      </w:pPr>
      <w:r>
        <w:rPr/>
        <w:t>五、其他备查文件。 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312" w:lineRule="exact"/>
        <w:ind w:left="6336" w:right="1130"/>
        <w:jc w:val="right"/>
      </w:pPr>
      <w:r>
        <w:rPr/>
        <w:t>红相股份有限公司 法定代表人：杨成 </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560" type="#_x0000_t75" stroked="false">
          <v:imagedata r:id="rId1" o:title=""/>
        </v:shape>
      </w:pict>
    </w:r>
    <w:r>
      <w:rPr/>
      <w:pict>
        <v:shape style="position:absolute;margin-left:533.179993pt;margin-top:795.517944pt;width:6.5pt;height:11pt;mso-position-horizontal-relative:page;mso-position-vertical-relative:page;z-index:-1265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512" type="#_x0000_t75" stroked="false">
          <v:imagedata r:id="rId1" o:title=""/>
        </v:shape>
      </w:pict>
    </w:r>
    <w:r>
      <w:rPr/>
      <w:pict>
        <v:shape style="position:absolute;margin-left:527.679993pt;margin-top:781.957947pt;width:13pt;height:11pt;mso-position-horizontal-relative:page;mso-position-vertical-relative:page;z-index:-1265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464" type="#_x0000_t75" stroked="false">
          <v:imagedata r:id="rId1" o:title=""/>
        </v:shape>
      </w:pict>
    </w:r>
    <w:r>
      <w:rPr/>
      <w:pict>
        <v:shape style="position:absolute;margin-left:524.179993pt;margin-top:781.957947pt;width:15.5pt;height:11pt;mso-position-horizontal-relative:page;mso-position-vertical-relative:page;z-index:-1265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416" type="#_x0000_t75" stroked="false">
          <v:imagedata r:id="rId1" o:title=""/>
        </v:shape>
      </w:pict>
    </w:r>
    <w:r>
      <w:rPr/>
      <w:pict>
        <v:shape style="position:absolute;margin-left:523.179993pt;margin-top:781.957947pt;width:17.5pt;height:11pt;mso-position-horizontal-relative:page;mso-position-vertical-relative:page;z-index:-1265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368" type="#_x0000_t75" stroked="false">
          <v:imagedata r:id="rId1" o:title=""/>
        </v:shape>
      </w:pict>
    </w:r>
    <w:r>
      <w:rPr/>
      <w:pict>
        <v:shape style="position:absolute;margin-left:523.179993pt;margin-top:781.957947pt;width:17.5pt;height:11pt;mso-position-horizontal-relative:page;mso-position-vertical-relative:page;z-index:-1265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320" type="#_x0000_t75" stroked="false">
          <v:imagedata r:id="rId1" o:title=""/>
        </v:shape>
      </w:pict>
    </w:r>
    <w:r>
      <w:rPr/>
      <w:pict>
        <v:shape style="position:absolute;margin-left:524.179993pt;margin-top:781.957947pt;width:15.5pt;height:11pt;mso-position-horizontal-relative:page;mso-position-vertical-relative:page;z-index:-1265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272" type="#_x0000_t75" stroked="false">
          <v:imagedata r:id="rId1" o:title=""/>
        </v:shape>
      </w:pict>
    </w:r>
    <w:r>
      <w:rPr/>
      <w:pict>
        <v:shape style="position:absolute;margin-left:523.179993pt;margin-top:781.957947pt;width:17.5pt;height:11pt;mso-position-horizontal-relative:page;mso-position-vertical-relative:page;z-index:-1265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224" type="#_x0000_t75" stroked="false">
          <v:imagedata r:id="rId1" o:title=""/>
        </v:shape>
      </w:pict>
    </w:r>
    <w:r>
      <w:rPr/>
      <w:pict>
        <v:shape style="position:absolute;margin-left:523.179993pt;margin-top:781.957947pt;width:17.5pt;height:11pt;mso-position-horizontal-relative:page;mso-position-vertical-relative:page;z-index:-1265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176" type="#_x0000_t75" stroked="false">
          <v:imagedata r:id="rId1" o:title=""/>
        </v:shape>
      </w:pict>
    </w:r>
    <w:r>
      <w:rPr/>
      <w:pict>
        <v:shape style="position:absolute;margin-left:523.179993pt;margin-top:781.957947pt;width:17.5pt;height:11pt;mso-position-horizontal-relative:page;mso-position-vertical-relative:page;z-index:-1265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265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红相股份有限公司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24"/>
      <w:szCs w:val="24"/>
    </w:rPr>
  </w:style>
  <w:style w:styleId="Heading1" w:type="paragraph">
    <w:name w:val="Heading 1"/>
    <w:basedOn w:val="Normal"/>
    <w:uiPriority w:val="1"/>
    <w:qFormat/>
    <w:pPr>
      <w:spacing w:before="1"/>
      <w:ind w:left="42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redphase.com.cn/" TargetMode="External"/><Relationship Id="rId10" Type="http://schemas.openxmlformats.org/officeDocument/2006/relationships/hyperlink" Target="mailto:securities@redphase.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hyperlink" Target="http://e.so.com/search/eclk?p=1ce4wxwoXaZvZbBHfosOfbUZNCQ4ZZTfXHbTEcgxC6F5Qr-rH090hwH0JXHptVPE5Fpvb_vQ38BMKmaTxbMDltJ953h1ARpCXb2qjtN8IdtKE1jRr4YZ17nCn7GexLxOlxLDfRDvA3cqGxkLPk7wH16qX_VD5btQTXlzAzfzCT67UvnP1BOKA7ZOXLcyNrP1FX1a5UhTG7CVKoKRlNW8_XahidcLnbK8CMxTHEnxyg8NtbwASbd4MVCeBh3ej4uXto2jIrOgOyido8wlcJ6PAeA6qGp9_nHEBRe5J9HWHrA1KgDxRK0sTLzHj0EcoYRP62FMmuF89izLWCwSt1730ESI58B0P4wgo-8tFcyXWwT_zl1au8c9hl3dKhRGmd5EJhYyQzWK7gf8by_SVQiBZ3Pp_AXhp09RxMYriH6yS1Me283C5XvhfQqyjpSude_UyZIt_VAHf0RBYXotPU0AKb7NJ_bv7MyDJqb9dtUVzvLNOKpbMK_-Lty_bQwc2UaZpyDG-9SK4R5sUFa9e9PVZvLpxgrG1SporCjWRNBuMaY1pOEr5wIGvEbh7HSG1Dppdba4L9ZG99hzgac65NB7An0VZD3R6_Tl5JSbevLlbQ3MD2X3RVSG1GihVQf0XPSUuK2pX-tzRCcLK5QLW1BUKxAFEGdlD1cPsJnm3017w-ANf50xrEWL74DN7Y8bHeo2DSA-ufPl5newPqIKaIJb5yt_5zOMvbxrjgi1kg8OBaVZAv2KEw&amp;amp;amp%3Bns=0&amp;amp;amp%3Bv=2&amp;amp;amp%3Bat=MjAxOeW5tAHkvIrliKnor7rkvIoC5aSn5a2mAemmmeann-WIhuagoQI&amp;amp;amp%3Baurl=aHR0cDovL3NvLml2eWdhdGUuaW5mby8_MzYwQi0zNjAtUEMtNTImMjYwMzUx&amp;amp;amp%3Bsig=cee9&amp;amp;amp%3Bbt=1&amp;amp;amp%3Bud=1548686295445"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红相股份有限公司</dc:creator>
  <dc:title>红相股份有限公司2018年年度报告全文</dc:title>
  <dcterms:created xsi:type="dcterms:W3CDTF">2020-05-05T02:25:43Z</dcterms:created>
  <dcterms:modified xsi:type="dcterms:W3CDTF">2020-05-05T02:25:43Z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