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2440" w:after="200" w:line="240" w:lineRule="auto"/>
        <w:ind w:left="0" w:right="0" w:firstLine="0"/>
        <w:jc w:val="center"/>
        <w:rPr>
          <w:sz w:val="68"/>
          <w:szCs w:val="68"/>
        </w:rPr>
      </w:pPr>
      <w:r>
        <w:rPr>
          <w:color w:val="E20B17"/>
          <w:spacing w:val="0"/>
          <w:w w:val="100"/>
          <w:position w:val="0"/>
          <w:sz w:val="68"/>
          <w:szCs w:val="68"/>
        </w:rPr>
        <w:t>红相股份</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红相股份有限公司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2022-019</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9"/>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1"/>
        <w:keepNext w:val="0"/>
        <w:keepLines w:val="0"/>
        <w:widowControl w:val="0"/>
        <w:shd w:val="clear" w:color="auto" w:fill="auto"/>
        <w:bidi w:val="0"/>
        <w:spacing w:before="0" w:after="100" w:line="466" w:lineRule="exact"/>
        <w:ind w:left="0" w:right="0" w:firstLine="500"/>
        <w:jc w:val="both"/>
        <w:rPr>
          <w:sz w:val="22"/>
          <w:szCs w:val="22"/>
        </w:rPr>
      </w:pPr>
      <w:bookmarkStart w:id="3" w:name="bookmark3"/>
      <w:r>
        <w:rPr>
          <w:b/>
          <w:bCs/>
          <w:color w:val="000000"/>
          <w:spacing w:val="0"/>
          <w:w w:val="100"/>
          <w:position w:val="0"/>
          <w:sz w:val="22"/>
          <w:szCs w:val="22"/>
        </w:rPr>
        <w:t>公司董事会、监事会及董事、监事、高级管理人员保证年度报告内容的真实、准确、完 整，不存在虚假记载、误导性陈述或者重大遗漏，并承担个别和连带的法律责任。</w:t>
      </w:r>
      <w:bookmarkEnd w:id="3"/>
    </w:p>
    <w:p>
      <w:pPr>
        <w:pStyle w:val="Style11"/>
        <w:keepNext w:val="0"/>
        <w:keepLines w:val="0"/>
        <w:widowControl w:val="0"/>
        <w:shd w:val="clear" w:color="auto" w:fill="auto"/>
        <w:bidi w:val="0"/>
        <w:spacing w:before="0" w:after="100" w:line="466" w:lineRule="exact"/>
        <w:ind w:left="0" w:right="0" w:firstLine="500"/>
        <w:jc w:val="both"/>
        <w:rPr>
          <w:sz w:val="22"/>
          <w:szCs w:val="22"/>
        </w:rPr>
      </w:pPr>
      <w:r>
        <w:rPr>
          <w:b/>
          <w:bCs/>
          <w:color w:val="000000"/>
          <w:spacing w:val="0"/>
          <w:w w:val="100"/>
          <w:position w:val="0"/>
          <w:sz w:val="22"/>
          <w:szCs w:val="22"/>
        </w:rPr>
        <w:t>公司负责人杨成、主管会计工作负责人廖雪林及会计机构负责人</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会计主管人员</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黄雅琼 声明：保证本年度报告中财务报告的真实、准确、完整。</w:t>
      </w:r>
    </w:p>
    <w:p>
      <w:pPr>
        <w:pStyle w:val="Style11"/>
        <w:keepNext w:val="0"/>
        <w:keepLines w:val="0"/>
        <w:widowControl w:val="0"/>
        <w:shd w:val="clear" w:color="auto" w:fill="auto"/>
        <w:bidi w:val="0"/>
        <w:spacing w:before="0" w:after="100" w:line="468" w:lineRule="exact"/>
        <w:ind w:left="0" w:right="0" w:firstLine="500"/>
        <w:jc w:val="both"/>
        <w:rPr>
          <w:sz w:val="22"/>
          <w:szCs w:val="22"/>
        </w:rPr>
      </w:pPr>
      <w:r>
        <w:rPr>
          <w:b/>
          <w:bCs/>
          <w:color w:val="000000"/>
          <w:spacing w:val="0"/>
          <w:w w:val="100"/>
          <w:position w:val="0"/>
          <w:sz w:val="22"/>
          <w:szCs w:val="22"/>
        </w:rPr>
        <w:t>所有董事均已出席了审议本报告的董事会会议。</w:t>
      </w:r>
    </w:p>
    <w:p>
      <w:pPr>
        <w:pStyle w:val="Style11"/>
        <w:keepNext w:val="0"/>
        <w:keepLines w:val="0"/>
        <w:widowControl w:val="0"/>
        <w:shd w:val="clear" w:color="auto" w:fill="auto"/>
        <w:bidi w:val="0"/>
        <w:spacing w:before="0" w:after="100" w:line="463" w:lineRule="exact"/>
        <w:ind w:left="0" w:right="0" w:firstLine="500"/>
        <w:jc w:val="both"/>
        <w:rPr>
          <w:sz w:val="22"/>
          <w:szCs w:val="22"/>
        </w:rPr>
      </w:pPr>
      <w:r>
        <w:rPr>
          <w:rFonts w:ascii="Times New Roman" w:eastAsia="Times New Roman" w:hAnsi="Times New Roman" w:cs="Times New Roman"/>
          <w:b/>
          <w:bCs/>
          <w:color w:val="000000"/>
          <w:spacing w:val="0"/>
          <w:w w:val="100"/>
          <w:position w:val="0"/>
          <w:sz w:val="24"/>
          <w:szCs w:val="24"/>
        </w:rPr>
        <w:t>2021</w:t>
      </w:r>
      <w:r>
        <w:rPr>
          <w:b/>
          <w:bCs/>
          <w:color w:val="000000"/>
          <w:spacing w:val="0"/>
          <w:w w:val="100"/>
          <w:position w:val="0"/>
          <w:sz w:val="22"/>
          <w:szCs w:val="22"/>
        </w:rPr>
        <w:t xml:space="preserve">年度受全球疫情持续、国内能耗双控、原材料价格上涨、市场竞争加剧等多方面因 素的影响，公司子公司银川卧龙经营业绩未达预期，公司计提了收购银川卧龙的商誉减值 </w:t>
      </w:r>
      <w:r>
        <w:rPr>
          <w:rFonts w:ascii="Times New Roman" w:eastAsia="Times New Roman" w:hAnsi="Times New Roman" w:cs="Times New Roman"/>
          <w:b/>
          <w:bCs/>
          <w:color w:val="000000"/>
          <w:spacing w:val="0"/>
          <w:w w:val="100"/>
          <w:position w:val="0"/>
          <w:sz w:val="24"/>
          <w:szCs w:val="24"/>
        </w:rPr>
        <w:t>67,099.45</w:t>
      </w:r>
      <w:r>
        <w:rPr>
          <w:b/>
          <w:bCs/>
          <w:color w:val="000000"/>
          <w:spacing w:val="0"/>
          <w:w w:val="100"/>
          <w:position w:val="0"/>
          <w:sz w:val="22"/>
          <w:szCs w:val="22"/>
        </w:rPr>
        <w:t>万元以及无形资产的资产减值</w:t>
      </w:r>
      <w:r>
        <w:rPr>
          <w:rFonts w:ascii="Times New Roman" w:eastAsia="Times New Roman" w:hAnsi="Times New Roman" w:cs="Times New Roman"/>
          <w:b/>
          <w:bCs/>
          <w:color w:val="000000"/>
          <w:spacing w:val="0"/>
          <w:w w:val="100"/>
          <w:position w:val="0"/>
          <w:sz w:val="24"/>
          <w:szCs w:val="24"/>
        </w:rPr>
        <w:t>3,615.90</w:t>
      </w:r>
      <w:r>
        <w:rPr>
          <w:b/>
          <w:bCs/>
          <w:color w:val="000000"/>
          <w:spacing w:val="0"/>
          <w:w w:val="100"/>
          <w:position w:val="0"/>
          <w:sz w:val="22"/>
          <w:szCs w:val="22"/>
        </w:rPr>
        <w:t>万元。</w:t>
      </w:r>
    </w:p>
    <w:p>
      <w:pPr>
        <w:pStyle w:val="Style11"/>
        <w:keepNext w:val="0"/>
        <w:keepLines w:val="0"/>
        <w:widowControl w:val="0"/>
        <w:shd w:val="clear" w:color="auto" w:fill="auto"/>
        <w:bidi w:val="0"/>
        <w:spacing w:before="0" w:after="100" w:line="456" w:lineRule="exact"/>
        <w:ind w:left="0" w:right="0" w:firstLine="500"/>
        <w:jc w:val="both"/>
        <w:rPr>
          <w:sz w:val="22"/>
          <w:szCs w:val="22"/>
        </w:rPr>
      </w:pPr>
      <w:r>
        <w:rPr>
          <w:b/>
          <w:bCs/>
          <w:color w:val="000000"/>
          <w:spacing w:val="0"/>
          <w:w w:val="100"/>
          <w:position w:val="0"/>
          <w:sz w:val="22"/>
          <w:szCs w:val="22"/>
        </w:rPr>
        <w:t>扣除银川卧龙的商誉减值及无形资产减值的影响，报告期内，受市场竞争加剧及铁路投 资放缓的影响，公司</w:t>
      </w:r>
      <w:r>
        <w:rPr>
          <w:rFonts w:ascii="Times New Roman" w:eastAsia="Times New Roman" w:hAnsi="Times New Roman" w:cs="Times New Roman"/>
          <w:b/>
          <w:bCs/>
          <w:color w:val="000000"/>
          <w:spacing w:val="0"/>
          <w:w w:val="100"/>
          <w:position w:val="0"/>
          <w:sz w:val="24"/>
          <w:szCs w:val="24"/>
        </w:rPr>
        <w:t>2021</w:t>
      </w:r>
      <w:r>
        <w:rPr>
          <w:b/>
          <w:bCs/>
          <w:color w:val="000000"/>
          <w:spacing w:val="0"/>
          <w:w w:val="100"/>
          <w:position w:val="0"/>
          <w:sz w:val="22"/>
          <w:szCs w:val="22"/>
        </w:rPr>
        <w:t>年度经营业绩较上年同期大幅下滑。</w:t>
      </w:r>
    </w:p>
    <w:p>
      <w:pPr>
        <w:pStyle w:val="Style11"/>
        <w:keepNext w:val="0"/>
        <w:keepLines w:val="0"/>
        <w:widowControl w:val="0"/>
        <w:shd w:val="clear" w:color="auto" w:fill="auto"/>
        <w:bidi w:val="0"/>
        <w:spacing w:before="0" w:after="100" w:line="469" w:lineRule="exact"/>
        <w:ind w:left="0" w:right="0" w:firstLine="500"/>
        <w:jc w:val="both"/>
        <w:rPr>
          <w:sz w:val="22"/>
          <w:szCs w:val="22"/>
        </w:rPr>
      </w:pPr>
      <w:r>
        <w:rPr>
          <w:b/>
          <w:bCs/>
          <w:color w:val="000000"/>
          <w:spacing w:val="0"/>
          <w:w w:val="100"/>
          <w:position w:val="0"/>
          <w:sz w:val="22"/>
          <w:szCs w:val="22"/>
        </w:rPr>
        <w:t>报告期内，公司实现营业收入为</w:t>
      </w:r>
      <w:r>
        <w:rPr>
          <w:rFonts w:ascii="Times New Roman" w:eastAsia="Times New Roman" w:hAnsi="Times New Roman" w:cs="Times New Roman"/>
          <w:b/>
          <w:bCs/>
          <w:color w:val="000000"/>
          <w:spacing w:val="0"/>
          <w:w w:val="100"/>
          <w:position w:val="0"/>
          <w:sz w:val="24"/>
          <w:szCs w:val="24"/>
        </w:rPr>
        <w:t>139,436.96</w:t>
      </w:r>
      <w:r>
        <w:rPr>
          <w:b/>
          <w:bCs/>
          <w:color w:val="000000"/>
          <w:spacing w:val="0"/>
          <w:w w:val="100"/>
          <w:position w:val="0"/>
          <w:sz w:val="22"/>
          <w:szCs w:val="22"/>
        </w:rPr>
        <w:t xml:space="preserve">万元，较上年同期下降了 </w:t>
      </w:r>
      <w:r>
        <w:rPr>
          <w:rFonts w:ascii="Times New Roman" w:eastAsia="Times New Roman" w:hAnsi="Times New Roman" w:cs="Times New Roman"/>
          <w:b/>
          <w:bCs/>
          <w:color w:val="000000"/>
          <w:spacing w:val="0"/>
          <w:w w:val="100"/>
          <w:position w:val="0"/>
          <w:sz w:val="24"/>
          <w:szCs w:val="24"/>
        </w:rPr>
        <w:t>8.02%</w:t>
      </w:r>
      <w:r>
        <w:rPr>
          <w:b/>
          <w:bCs/>
          <w:color w:val="000000"/>
          <w:spacing w:val="0"/>
          <w:w w:val="100"/>
          <w:position w:val="0"/>
          <w:sz w:val="22"/>
          <w:szCs w:val="22"/>
        </w:rPr>
        <w:t>；营业利润 为</w:t>
      </w:r>
      <w:r>
        <w:rPr>
          <w:rFonts w:ascii="Times New Roman" w:eastAsia="Times New Roman" w:hAnsi="Times New Roman" w:cs="Times New Roman"/>
          <w:b/>
          <w:bCs/>
          <w:color w:val="000000"/>
          <w:spacing w:val="0"/>
          <w:w w:val="100"/>
          <w:position w:val="0"/>
          <w:sz w:val="24"/>
          <w:szCs w:val="24"/>
        </w:rPr>
        <w:t>-63,831.09</w:t>
      </w:r>
      <w:r>
        <w:rPr>
          <w:b/>
          <w:bCs/>
          <w:color w:val="000000"/>
          <w:spacing w:val="0"/>
          <w:w w:val="100"/>
          <w:position w:val="0"/>
          <w:sz w:val="22"/>
          <w:szCs w:val="22"/>
        </w:rPr>
        <w:t>万元，较上年同期减少</w:t>
      </w:r>
      <w:r>
        <w:rPr>
          <w:rFonts w:ascii="Times New Roman" w:eastAsia="Times New Roman" w:hAnsi="Times New Roman" w:cs="Times New Roman"/>
          <w:b/>
          <w:bCs/>
          <w:color w:val="000000"/>
          <w:spacing w:val="0"/>
          <w:w w:val="100"/>
          <w:position w:val="0"/>
          <w:sz w:val="24"/>
          <w:szCs w:val="24"/>
        </w:rPr>
        <w:t>89,150.91</w:t>
      </w:r>
      <w:r>
        <w:rPr>
          <w:b/>
          <w:bCs/>
          <w:color w:val="000000"/>
          <w:spacing w:val="0"/>
          <w:w w:val="100"/>
          <w:position w:val="0"/>
          <w:sz w:val="22"/>
          <w:szCs w:val="22"/>
        </w:rPr>
        <w:t xml:space="preserve">万元，同比下降了 </w:t>
      </w:r>
      <w:r>
        <w:rPr>
          <w:rFonts w:ascii="Times New Roman" w:eastAsia="Times New Roman" w:hAnsi="Times New Roman" w:cs="Times New Roman"/>
          <w:b/>
          <w:bCs/>
          <w:color w:val="000000"/>
          <w:spacing w:val="0"/>
          <w:w w:val="100"/>
          <w:position w:val="0"/>
          <w:sz w:val="24"/>
          <w:szCs w:val="24"/>
        </w:rPr>
        <w:t>352.10%</w:t>
      </w:r>
      <w:r>
        <w:rPr>
          <w:b/>
          <w:bCs/>
          <w:color w:val="000000"/>
          <w:spacing w:val="0"/>
          <w:w w:val="100"/>
          <w:position w:val="0"/>
          <w:sz w:val="22"/>
          <w:szCs w:val="22"/>
        </w:rPr>
        <w:t>；归属于上市公司 股东的净利润为</w:t>
      </w:r>
      <w:r>
        <w:rPr>
          <w:rFonts w:ascii="Times New Roman" w:eastAsia="Times New Roman" w:hAnsi="Times New Roman" w:cs="Times New Roman"/>
          <w:b/>
          <w:bCs/>
          <w:color w:val="000000"/>
          <w:spacing w:val="0"/>
          <w:w w:val="100"/>
          <w:position w:val="0"/>
          <w:sz w:val="24"/>
          <w:szCs w:val="24"/>
        </w:rPr>
        <w:t>-63,584.95</w:t>
      </w:r>
      <w:r>
        <w:rPr>
          <w:b/>
          <w:bCs/>
          <w:color w:val="000000"/>
          <w:spacing w:val="0"/>
          <w:w w:val="100"/>
          <w:position w:val="0"/>
          <w:sz w:val="22"/>
          <w:szCs w:val="22"/>
        </w:rPr>
        <w:t xml:space="preserve">万元，较上年同期下降了 </w:t>
      </w:r>
      <w:r>
        <w:rPr>
          <w:rFonts w:ascii="Times New Roman" w:eastAsia="Times New Roman" w:hAnsi="Times New Roman" w:cs="Times New Roman"/>
          <w:b/>
          <w:bCs/>
          <w:color w:val="000000"/>
          <w:spacing w:val="0"/>
          <w:w w:val="100"/>
          <w:position w:val="0"/>
          <w:sz w:val="24"/>
          <w:szCs w:val="24"/>
        </w:rPr>
        <w:t>374.48%</w:t>
      </w:r>
      <w:r>
        <w:rPr>
          <w:b/>
          <w:bCs/>
          <w:color w:val="000000"/>
          <w:spacing w:val="0"/>
          <w:w w:val="100"/>
          <w:position w:val="0"/>
          <w:sz w:val="22"/>
          <w:szCs w:val="22"/>
        </w:rPr>
        <w:t>；归属于上市公司股东的扣除 非经常性损益的净利润为</w:t>
      </w:r>
      <w:r>
        <w:rPr>
          <w:rFonts w:ascii="Times New Roman" w:eastAsia="Times New Roman" w:hAnsi="Times New Roman" w:cs="Times New Roman"/>
          <w:b/>
          <w:bCs/>
          <w:color w:val="000000"/>
          <w:spacing w:val="0"/>
          <w:w w:val="100"/>
          <w:position w:val="0"/>
          <w:sz w:val="24"/>
          <w:szCs w:val="24"/>
        </w:rPr>
        <w:t>-68,016.68</w:t>
      </w:r>
      <w:r>
        <w:rPr>
          <w:b/>
          <w:bCs/>
          <w:color w:val="000000"/>
          <w:spacing w:val="0"/>
          <w:w w:val="100"/>
          <w:position w:val="0"/>
          <w:sz w:val="22"/>
          <w:szCs w:val="22"/>
        </w:rPr>
        <w:t xml:space="preserve">万元，较上年同期下降了 </w:t>
      </w:r>
      <w:r>
        <w:rPr>
          <w:rFonts w:ascii="Times New Roman" w:eastAsia="Times New Roman" w:hAnsi="Times New Roman" w:cs="Times New Roman"/>
          <w:b/>
          <w:bCs/>
          <w:color w:val="000000"/>
          <w:spacing w:val="0"/>
          <w:w w:val="100"/>
          <w:position w:val="0"/>
          <w:sz w:val="24"/>
          <w:szCs w:val="24"/>
        </w:rPr>
        <w:t>441.04%</w:t>
      </w:r>
      <w:r>
        <w:rPr>
          <w:b/>
          <w:bCs/>
          <w:color w:val="000000"/>
          <w:spacing w:val="0"/>
          <w:w w:val="100"/>
          <w:position w:val="0"/>
          <w:sz w:val="22"/>
          <w:szCs w:val="22"/>
        </w:rPr>
        <w:t>。</w:t>
      </w:r>
    </w:p>
    <w:p>
      <w:pPr>
        <w:pStyle w:val="Style11"/>
        <w:keepNext w:val="0"/>
        <w:keepLines w:val="0"/>
        <w:widowControl w:val="0"/>
        <w:shd w:val="clear" w:color="auto" w:fill="auto"/>
        <w:bidi w:val="0"/>
        <w:spacing w:before="0" w:after="100" w:line="470" w:lineRule="exact"/>
        <w:ind w:left="0" w:right="0" w:firstLine="500"/>
        <w:jc w:val="both"/>
        <w:rPr>
          <w:sz w:val="22"/>
          <w:szCs w:val="22"/>
        </w:rPr>
      </w:pPr>
      <w:r>
        <w:rPr>
          <w:b/>
          <w:bCs/>
          <w:color w:val="000000"/>
          <w:spacing w:val="0"/>
          <w:w w:val="100"/>
          <w:position w:val="0"/>
          <w:sz w:val="22"/>
          <w:szCs w:val="22"/>
        </w:rPr>
        <w:t>公司在本报告</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第三节管理层讨论与分析</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中</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一、报告期内公司所处行业情况</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四、 主营业务分析</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十一、公司未来发展的展望</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及</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第十一节商誉减值测试报告</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中</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七、年度 业绩曾下滑</w:t>
      </w:r>
      <w:r>
        <w:rPr>
          <w:rFonts w:ascii="Times New Roman" w:eastAsia="Times New Roman" w:hAnsi="Times New Roman" w:cs="Times New Roman"/>
          <w:b/>
          <w:bCs/>
          <w:color w:val="000000"/>
          <w:spacing w:val="0"/>
          <w:w w:val="100"/>
          <w:position w:val="0"/>
          <w:sz w:val="24"/>
          <w:szCs w:val="24"/>
        </w:rPr>
        <w:t>50%</w:t>
      </w:r>
      <w:r>
        <w:rPr>
          <w:b/>
          <w:bCs/>
          <w:color w:val="000000"/>
          <w:spacing w:val="0"/>
          <w:w w:val="100"/>
          <w:position w:val="0"/>
          <w:sz w:val="22"/>
          <w:szCs w:val="22"/>
        </w:rPr>
        <w:t>以上的标的的情况</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部分，详细描述了公司业绩大幅下滑的具体原因及应对 措施，敬请广大投资者注意相关内容。</w:t>
      </w:r>
    </w:p>
    <w:p>
      <w:pPr>
        <w:pStyle w:val="Style11"/>
        <w:keepNext w:val="0"/>
        <w:keepLines w:val="0"/>
        <w:widowControl w:val="0"/>
        <w:shd w:val="clear" w:color="auto" w:fill="auto"/>
        <w:bidi w:val="0"/>
        <w:spacing w:before="0" w:after="100" w:line="468" w:lineRule="exact"/>
        <w:ind w:left="0" w:right="0" w:firstLine="500"/>
        <w:jc w:val="both"/>
        <w:rPr>
          <w:sz w:val="22"/>
          <w:szCs w:val="22"/>
        </w:rPr>
      </w:pPr>
      <w:bookmarkStart w:id="4" w:name="bookmark4"/>
      <w:r>
        <w:rPr>
          <w:rFonts w:ascii="Times New Roman" w:eastAsia="Times New Roman" w:hAnsi="Times New Roman" w:cs="Times New Roman"/>
          <w:b/>
          <w:bCs/>
          <w:color w:val="000000"/>
          <w:spacing w:val="0"/>
          <w:w w:val="100"/>
          <w:position w:val="0"/>
          <w:sz w:val="24"/>
          <w:szCs w:val="24"/>
        </w:rPr>
        <w:t>1</w:t>
      </w:r>
      <w:bookmarkEnd w:id="4"/>
      <w:r>
        <w:rPr>
          <w:b/>
          <w:bCs/>
          <w:color w:val="000000"/>
          <w:spacing w:val="0"/>
          <w:w w:val="100"/>
          <w:position w:val="0"/>
          <w:sz w:val="22"/>
          <w:szCs w:val="22"/>
        </w:rPr>
        <w:t>、宏观经济及产业政策变动的风险</w:t>
      </w:r>
    </w:p>
    <w:p>
      <w:pPr>
        <w:pStyle w:val="Style11"/>
        <w:keepNext w:val="0"/>
        <w:keepLines w:val="0"/>
        <w:widowControl w:val="0"/>
        <w:shd w:val="clear" w:color="auto" w:fill="auto"/>
        <w:bidi w:val="0"/>
        <w:spacing w:before="0" w:after="100" w:line="468" w:lineRule="exact"/>
        <w:ind w:left="0" w:right="0" w:firstLine="500"/>
        <w:jc w:val="both"/>
        <w:rPr>
          <w:sz w:val="22"/>
          <w:szCs w:val="22"/>
        </w:rPr>
      </w:pPr>
      <w:r>
        <w:rPr>
          <w:b/>
          <w:bCs/>
          <w:color w:val="000000"/>
          <w:spacing w:val="0"/>
          <w:w w:val="100"/>
          <w:position w:val="0"/>
          <w:sz w:val="22"/>
          <w:szCs w:val="22"/>
        </w:rPr>
        <w:t>公司产品主要用于电力、轨道交通及军工领域，该三大领域属于国家战略性基础行业， 与国家宏观经济环境及产业政策导向关联性较高，宏观经济环境的变化及产业政策的调整将 对公司的经营产生影响。目前国家对上述领域均持积极支持态度，对上述领域的投入也保持 在较高水平，从而带动相关行业快速发展。但如果国内宏观经济形势出现较大的变化，相关 产业政策发生重大调整，则可能带来公司产品需求下降的风险，将对公司的生产经营产生不 利影响。</w:t>
      </w:r>
    </w:p>
    <w:p>
      <w:pPr>
        <w:pStyle w:val="Style11"/>
        <w:keepNext w:val="0"/>
        <w:keepLines w:val="0"/>
        <w:widowControl w:val="0"/>
        <w:shd w:val="clear" w:color="auto" w:fill="auto"/>
        <w:bidi w:val="0"/>
        <w:spacing w:before="0" w:after="100" w:line="240" w:lineRule="auto"/>
        <w:ind w:left="0" w:right="0" w:firstLine="500"/>
        <w:jc w:val="both"/>
        <w:rPr>
          <w:sz w:val="22"/>
          <w:szCs w:val="22"/>
        </w:rPr>
      </w:pPr>
      <w:bookmarkStart w:id="5" w:name="bookmark5"/>
      <w:r>
        <w:rPr>
          <w:rFonts w:ascii="Times New Roman" w:eastAsia="Times New Roman" w:hAnsi="Times New Roman" w:cs="Times New Roman"/>
          <w:b/>
          <w:bCs/>
          <w:color w:val="000000"/>
          <w:spacing w:val="0"/>
          <w:w w:val="100"/>
          <w:position w:val="0"/>
          <w:sz w:val="24"/>
          <w:szCs w:val="24"/>
        </w:rPr>
        <w:t>2</w:t>
      </w:r>
      <w:bookmarkEnd w:id="5"/>
      <w:r>
        <w:rPr>
          <w:b/>
          <w:bCs/>
          <w:color w:val="000000"/>
          <w:spacing w:val="0"/>
          <w:w w:val="100"/>
          <w:position w:val="0"/>
          <w:sz w:val="22"/>
          <w:szCs w:val="22"/>
        </w:rPr>
        <w:t>、应收账款无法及时收回的风险</w:t>
      </w:r>
    </w:p>
    <w:p>
      <w:pPr>
        <w:pStyle w:val="Style11"/>
        <w:keepNext w:val="0"/>
        <w:keepLines w:val="0"/>
        <w:widowControl w:val="0"/>
        <w:shd w:val="clear" w:color="auto" w:fill="auto"/>
        <w:bidi w:val="0"/>
        <w:spacing w:before="0" w:after="300" w:line="469" w:lineRule="exact"/>
        <w:ind w:left="0" w:right="0" w:firstLine="500"/>
        <w:jc w:val="both"/>
        <w:rPr>
          <w:sz w:val="22"/>
          <w:szCs w:val="22"/>
        </w:rPr>
      </w:pPr>
      <w:r>
        <w:rPr>
          <w:b/>
          <w:bCs/>
          <w:color w:val="000000"/>
          <w:spacing w:val="0"/>
          <w:w w:val="100"/>
          <w:position w:val="0"/>
          <w:sz w:val="22"/>
          <w:szCs w:val="22"/>
        </w:rPr>
        <w:t>公司主要客户来自电力、军工、铁路等国有大型企业和部分海外客户，受到其结算惯例 的影响，公司应收账款收款周期相对较长，导致期末应收账款相对较高。随着公司经营规模 的不断扩大，应收账款的规模可能会持续增长，如果国内外经济环境、客户信用状况等发生 变化，公司存在应收账款不能够及时回收，从而影响公司资金流动性和利用效率的风险。</w:t>
      </w:r>
    </w:p>
    <w:p>
      <w:pPr>
        <w:pStyle w:val="Style11"/>
        <w:keepNext w:val="0"/>
        <w:keepLines w:val="0"/>
        <w:widowControl w:val="0"/>
        <w:shd w:val="clear" w:color="auto" w:fill="auto"/>
        <w:tabs>
          <w:tab w:pos="862" w:val="left"/>
        </w:tabs>
        <w:bidi w:val="0"/>
        <w:spacing w:before="0" w:after="0" w:line="408" w:lineRule="auto"/>
        <w:ind w:left="0" w:right="0" w:firstLine="500"/>
        <w:jc w:val="both"/>
        <w:rPr>
          <w:sz w:val="22"/>
          <w:szCs w:val="22"/>
        </w:rPr>
      </w:pPr>
      <w:bookmarkStart w:id="6" w:name="bookmark6"/>
      <w:r>
        <w:rPr>
          <w:rFonts w:ascii="Times New Roman" w:eastAsia="Times New Roman" w:hAnsi="Times New Roman" w:cs="Times New Roman"/>
          <w:b/>
          <w:bCs/>
          <w:color w:val="000000"/>
          <w:spacing w:val="0"/>
          <w:w w:val="100"/>
          <w:position w:val="0"/>
          <w:sz w:val="24"/>
          <w:szCs w:val="24"/>
        </w:rPr>
        <w:t>3</w:t>
      </w:r>
      <w:bookmarkEnd w:id="6"/>
      <w:r>
        <w:rPr>
          <w:b/>
          <w:bCs/>
          <w:color w:val="000000"/>
          <w:spacing w:val="0"/>
          <w:w w:val="100"/>
          <w:position w:val="0"/>
          <w:sz w:val="22"/>
          <w:szCs w:val="22"/>
        </w:rPr>
        <w:t>、</w:t>
        <w:tab/>
        <w:t>行业竞争加剧的风险</w:t>
      </w:r>
    </w:p>
    <w:p>
      <w:pPr>
        <w:pStyle w:val="Style11"/>
        <w:keepNext w:val="0"/>
        <w:keepLines w:val="0"/>
        <w:widowControl w:val="0"/>
        <w:shd w:val="clear" w:color="auto" w:fill="auto"/>
        <w:bidi w:val="0"/>
        <w:spacing w:before="0" w:after="300" w:line="469" w:lineRule="exact"/>
        <w:ind w:left="0" w:right="0" w:firstLine="500"/>
        <w:jc w:val="both"/>
        <w:rPr>
          <w:sz w:val="22"/>
          <w:szCs w:val="22"/>
        </w:rPr>
      </w:pPr>
      <w:r>
        <w:rPr>
          <w:b/>
          <w:bCs/>
          <w:color w:val="000000"/>
          <w:spacing w:val="0"/>
          <w:w w:val="100"/>
          <w:position w:val="0"/>
          <w:sz w:val="22"/>
          <w:szCs w:val="22"/>
        </w:rPr>
        <w:t>公司产品主要用于电力、轨道交通及军工领域，该类领域进入壁垒相对较高，且公司通 过多年积累，竞争优势显著。随着国民经济的发展，相关领域未来仍将保持较大投资规模， 良好的增长预期可能吸引更多的竞争者进入，导致行业竞争的加剧。如果公司不能保持技术 和服务的创新，不能持续提高产品的技术水平和质量标准，不能充分适应行业竞争环境，则 将面临客户资源流失、市场份额下降的风险。</w:t>
      </w:r>
    </w:p>
    <w:p>
      <w:pPr>
        <w:pStyle w:val="Style11"/>
        <w:keepNext w:val="0"/>
        <w:keepLines w:val="0"/>
        <w:widowControl w:val="0"/>
        <w:shd w:val="clear" w:color="auto" w:fill="auto"/>
        <w:tabs>
          <w:tab w:pos="862" w:val="left"/>
        </w:tabs>
        <w:bidi w:val="0"/>
        <w:spacing w:before="0" w:after="0" w:line="408" w:lineRule="auto"/>
        <w:ind w:left="0" w:right="0" w:firstLine="500"/>
        <w:jc w:val="both"/>
        <w:rPr>
          <w:sz w:val="22"/>
          <w:szCs w:val="22"/>
        </w:rPr>
      </w:pPr>
      <w:bookmarkStart w:id="7" w:name="bookmark7"/>
      <w:r>
        <w:rPr>
          <w:rFonts w:ascii="Times New Roman" w:eastAsia="Times New Roman" w:hAnsi="Times New Roman" w:cs="Times New Roman"/>
          <w:b/>
          <w:bCs/>
          <w:color w:val="000000"/>
          <w:spacing w:val="0"/>
          <w:w w:val="100"/>
          <w:position w:val="0"/>
          <w:sz w:val="24"/>
          <w:szCs w:val="24"/>
        </w:rPr>
        <w:t>4</w:t>
      </w:r>
      <w:bookmarkEnd w:id="7"/>
      <w:r>
        <w:rPr>
          <w:b/>
          <w:bCs/>
          <w:color w:val="000000"/>
          <w:spacing w:val="0"/>
          <w:w w:val="100"/>
          <w:position w:val="0"/>
          <w:sz w:val="22"/>
          <w:szCs w:val="22"/>
        </w:rPr>
        <w:t>、</w:t>
        <w:tab/>
        <w:t>商誉减值的风险</w:t>
      </w:r>
    </w:p>
    <w:p>
      <w:pPr>
        <w:pStyle w:val="Style11"/>
        <w:keepNext w:val="0"/>
        <w:keepLines w:val="0"/>
        <w:widowControl w:val="0"/>
        <w:shd w:val="clear" w:color="auto" w:fill="auto"/>
        <w:bidi w:val="0"/>
        <w:spacing w:before="0" w:after="100" w:line="468" w:lineRule="exact"/>
        <w:ind w:left="0" w:right="0" w:firstLine="500"/>
        <w:jc w:val="both"/>
        <w:rPr>
          <w:sz w:val="22"/>
          <w:szCs w:val="22"/>
        </w:rPr>
      </w:pPr>
      <w:r>
        <w:rPr>
          <w:b/>
          <w:bCs/>
          <w:color w:val="000000"/>
          <w:spacing w:val="0"/>
          <w:w w:val="100"/>
          <w:position w:val="0"/>
          <w:sz w:val="22"/>
          <w:szCs w:val="22"/>
        </w:rPr>
        <w:t>公司于</w:t>
      </w:r>
      <w:r>
        <w:rPr>
          <w:rFonts w:ascii="Times New Roman" w:eastAsia="Times New Roman" w:hAnsi="Times New Roman" w:cs="Times New Roman"/>
          <w:b/>
          <w:bCs/>
          <w:color w:val="000000"/>
          <w:spacing w:val="0"/>
          <w:w w:val="100"/>
          <w:position w:val="0"/>
          <w:sz w:val="24"/>
          <w:szCs w:val="24"/>
        </w:rPr>
        <w:t>2017</w:t>
      </w:r>
      <w:r>
        <w:rPr>
          <w:b/>
          <w:bCs/>
          <w:color w:val="000000"/>
          <w:spacing w:val="0"/>
          <w:w w:val="100"/>
          <w:position w:val="0"/>
          <w:sz w:val="22"/>
          <w:szCs w:val="22"/>
        </w:rPr>
        <w:t>年</w:t>
      </w:r>
      <w:r>
        <w:rPr>
          <w:rFonts w:ascii="Times New Roman" w:eastAsia="Times New Roman" w:hAnsi="Times New Roman" w:cs="Times New Roman"/>
          <w:b/>
          <w:bCs/>
          <w:color w:val="000000"/>
          <w:spacing w:val="0"/>
          <w:w w:val="100"/>
          <w:position w:val="0"/>
          <w:sz w:val="24"/>
          <w:szCs w:val="24"/>
        </w:rPr>
        <w:t>9</w:t>
      </w:r>
      <w:r>
        <w:rPr>
          <w:b/>
          <w:bCs/>
          <w:color w:val="000000"/>
          <w:spacing w:val="0"/>
          <w:w w:val="100"/>
          <w:position w:val="0"/>
          <w:sz w:val="22"/>
          <w:szCs w:val="22"/>
        </w:rPr>
        <w:t>月，完成收购银川卧龙</w:t>
      </w:r>
      <w:r>
        <w:rPr>
          <w:rFonts w:ascii="Times New Roman" w:eastAsia="Times New Roman" w:hAnsi="Times New Roman" w:cs="Times New Roman"/>
          <w:b/>
          <w:bCs/>
          <w:color w:val="000000"/>
          <w:spacing w:val="0"/>
          <w:w w:val="100"/>
          <w:position w:val="0"/>
          <w:sz w:val="24"/>
          <w:szCs w:val="24"/>
        </w:rPr>
        <w:t>100%</w:t>
      </w:r>
      <w:r>
        <w:rPr>
          <w:b/>
          <w:bCs/>
          <w:color w:val="000000"/>
          <w:spacing w:val="0"/>
          <w:w w:val="100"/>
          <w:position w:val="0"/>
          <w:sz w:val="22"/>
          <w:szCs w:val="22"/>
        </w:rPr>
        <w:t>股权和星波通信</w:t>
      </w:r>
      <w:r>
        <w:rPr>
          <w:rFonts w:ascii="Times New Roman" w:eastAsia="Times New Roman" w:hAnsi="Times New Roman" w:cs="Times New Roman"/>
          <w:b/>
          <w:bCs/>
          <w:color w:val="000000"/>
          <w:spacing w:val="0"/>
          <w:w w:val="100"/>
          <w:position w:val="0"/>
          <w:sz w:val="24"/>
          <w:szCs w:val="24"/>
        </w:rPr>
        <w:t>67.54%</w:t>
      </w:r>
      <w:r>
        <w:rPr>
          <w:b/>
          <w:bCs/>
          <w:color w:val="000000"/>
          <w:spacing w:val="0"/>
          <w:w w:val="100"/>
          <w:position w:val="0"/>
          <w:sz w:val="22"/>
          <w:szCs w:val="22"/>
        </w:rPr>
        <w:t>股权，收购之后 公司形成了较大金额的商誉。</w:t>
      </w:r>
      <w:r>
        <w:rPr>
          <w:rFonts w:ascii="Times New Roman" w:eastAsia="Times New Roman" w:hAnsi="Times New Roman" w:cs="Times New Roman"/>
          <w:b/>
          <w:bCs/>
          <w:color w:val="000000"/>
          <w:spacing w:val="0"/>
          <w:w w:val="100"/>
          <w:position w:val="0"/>
          <w:sz w:val="24"/>
          <w:szCs w:val="24"/>
        </w:rPr>
        <w:t>2021</w:t>
      </w:r>
      <w:r>
        <w:rPr>
          <w:b/>
          <w:bCs/>
          <w:color w:val="000000"/>
          <w:spacing w:val="0"/>
          <w:w w:val="100"/>
          <w:position w:val="0"/>
          <w:sz w:val="22"/>
          <w:szCs w:val="22"/>
        </w:rPr>
        <w:t>年度受全球疫情持续、国内能耗双控、原材料价格上涨、 市场竞争加剧等多方面因素的影响，公司子公司银川卧龙经营业绩未达预期，公司全额计提 了收购银川卧龙的商誉减值。截止本报告期末，商誉账面净值为</w:t>
      </w:r>
      <w:r>
        <w:rPr>
          <w:rFonts w:ascii="Times New Roman" w:eastAsia="Times New Roman" w:hAnsi="Times New Roman" w:cs="Times New Roman"/>
          <w:b/>
          <w:bCs/>
          <w:color w:val="000000"/>
          <w:spacing w:val="0"/>
          <w:w w:val="100"/>
          <w:position w:val="0"/>
          <w:sz w:val="24"/>
          <w:szCs w:val="24"/>
        </w:rPr>
        <w:t>40,280.08</w:t>
      </w:r>
      <w:r>
        <w:rPr>
          <w:b/>
          <w:bCs/>
          <w:color w:val="000000"/>
          <w:spacing w:val="0"/>
          <w:w w:val="100"/>
          <w:position w:val="0"/>
          <w:sz w:val="22"/>
          <w:szCs w:val="22"/>
        </w:rPr>
        <w:t>万元，主要是收购 星波星波通信形成的商誉。根据《企业会计准则》规定，公司收购星波通信</w:t>
      </w:r>
      <w:r>
        <w:rPr>
          <w:rFonts w:ascii="Times New Roman" w:eastAsia="Times New Roman" w:hAnsi="Times New Roman" w:cs="Times New Roman"/>
          <w:b/>
          <w:bCs/>
          <w:color w:val="000000"/>
          <w:spacing w:val="0"/>
          <w:w w:val="100"/>
          <w:position w:val="0"/>
          <w:sz w:val="24"/>
          <w:szCs w:val="24"/>
        </w:rPr>
        <w:t>67.54%</w:t>
      </w:r>
      <w:r>
        <w:rPr>
          <w:b/>
          <w:bCs/>
          <w:color w:val="000000"/>
          <w:spacing w:val="0"/>
          <w:w w:val="100"/>
          <w:position w:val="0"/>
          <w:sz w:val="22"/>
          <w:szCs w:val="22"/>
        </w:rPr>
        <w:t>股权形成 的商誉本次不作摊销处理，但需在每年年末进行减值测试。若星波通信所处行业、金融政策、 宏观经济环境等发生重大不利变化，导致盈利不及预期，继而面临潜在的商誉减值风险，将 对公司未来的经营业绩造成不利影响。</w:t>
      </w:r>
    </w:p>
    <w:p>
      <w:pPr>
        <w:pStyle w:val="Style11"/>
        <w:keepNext w:val="0"/>
        <w:keepLines w:val="0"/>
        <w:widowControl w:val="0"/>
        <w:shd w:val="clear" w:color="auto" w:fill="auto"/>
        <w:bidi w:val="0"/>
        <w:spacing w:before="0" w:after="100" w:line="466" w:lineRule="exact"/>
        <w:ind w:left="0" w:right="0" w:firstLine="500"/>
        <w:jc w:val="both"/>
        <w:rPr>
          <w:sz w:val="22"/>
          <w:szCs w:val="22"/>
        </w:rPr>
      </w:pPr>
      <w:r>
        <w:rPr>
          <w:b/>
          <w:bCs/>
          <w:color w:val="000000"/>
          <w:spacing w:val="0"/>
          <w:w w:val="100"/>
          <w:position w:val="0"/>
          <w:sz w:val="22"/>
          <w:szCs w:val="22"/>
        </w:rPr>
        <w:t>此处为需提请投资者特别关注的重大风险，其余影响公司发展的主要风险及应对措施敬 请查阅</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第三节管理层讨论与分析</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中的</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十一、公司未来发展的展望</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w:t>
      </w:r>
    </w:p>
    <w:p>
      <w:pPr>
        <w:pStyle w:val="Style11"/>
        <w:keepNext w:val="0"/>
        <w:keepLines w:val="0"/>
        <w:widowControl w:val="0"/>
        <w:shd w:val="clear" w:color="auto" w:fill="auto"/>
        <w:bidi w:val="0"/>
        <w:spacing w:before="0" w:after="200" w:line="468" w:lineRule="exact"/>
        <w:ind w:left="0" w:right="0" w:firstLine="500"/>
        <w:jc w:val="both"/>
        <w:rPr>
          <w:sz w:val="22"/>
          <w:szCs w:val="22"/>
        </w:rPr>
        <w:sectPr>
          <w:footnotePr>
            <w:pos w:val="pageBottom"/>
            <w:numFmt w:val="decimal"/>
            <w:numRestart w:val="continuous"/>
          </w:footnotePr>
          <w:pgSz w:w="11900" w:h="16840"/>
          <w:pgMar w:top="1489" w:right="1036" w:bottom="1599" w:left="1068" w:header="0" w:footer="3" w:gutter="0"/>
          <w:cols w:space="720"/>
          <w:noEndnote/>
          <w:rtlGutter w:val="0"/>
          <w:docGrid w:linePitch="360"/>
        </w:sectPr>
      </w:pPr>
      <w:r>
        <w:rPr>
          <w:b/>
          <w:bCs/>
          <w:color w:val="000000"/>
          <w:spacing w:val="0"/>
          <w:w w:val="100"/>
          <w:position w:val="0"/>
          <w:sz w:val="22"/>
          <w:szCs w:val="22"/>
        </w:rPr>
        <w:t>公司计划不派发现金红利，不送红股，不以公积金转增股本。</w:t>
      </w:r>
    </w:p>
    <w:p>
      <w:pPr>
        <w:pStyle w:val="Style2"/>
        <w:keepNext w:val="0"/>
        <w:keepLines w:val="0"/>
        <w:widowControl w:val="0"/>
        <w:shd w:val="clear" w:color="auto" w:fill="auto"/>
        <w:bidi w:val="0"/>
        <w:spacing w:before="0" w:after="1540" w:line="240" w:lineRule="auto"/>
        <w:ind w:left="0" w:right="0" w:firstLine="0"/>
        <w:jc w:val="center"/>
        <w:rPr>
          <w:sz w:val="36"/>
          <w:szCs w:val="36"/>
        </w:rPr>
      </w:pPr>
      <w:r>
        <w:rPr>
          <w:b/>
          <w:bCs/>
          <w:color w:val="000000"/>
          <w:spacing w:val="0"/>
          <w:w w:val="100"/>
          <w:position w:val="0"/>
          <w:sz w:val="36"/>
          <w:szCs w:val="36"/>
        </w:rPr>
        <w:t>目录</w:t>
      </w:r>
    </w:p>
    <w:p>
      <w:pPr>
        <w:pStyle w:val="Style15"/>
        <w:keepNext w:val="0"/>
        <w:keepLines w:val="0"/>
        <w:widowControl w:val="0"/>
        <w:shd w:val="clear" w:color="auto" w:fill="auto"/>
        <w:tabs>
          <w:tab w:leader="dot" w:pos="9612"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14"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58" w:tooltip="Current Document">
        <w:r>
          <w:rPr>
            <w:color w:val="000000"/>
            <w:spacing w:val="0"/>
            <w:w w:val="100"/>
            <w:position w:val="0"/>
            <w:sz w:val="17"/>
            <w:szCs w:val="17"/>
          </w:rPr>
          <w:t>第三节管理层讨论与分析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12</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271" w:tooltip="Current Document">
        <w:r>
          <w:rPr>
            <w:color w:val="000000"/>
            <w:spacing w:val="0"/>
            <w:w w:val="100"/>
            <w:position w:val="0"/>
            <w:sz w:val="17"/>
            <w:szCs w:val="17"/>
          </w:rPr>
          <w:t>第四节公司治理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42</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428" w:tooltip="Current Document">
        <w:r>
          <w:rPr>
            <w:color w:val="000000"/>
            <w:spacing w:val="0"/>
            <w:w w:val="100"/>
            <w:position w:val="0"/>
            <w:sz w:val="17"/>
            <w:szCs w:val="17"/>
          </w:rPr>
          <w:t>第五节环境和社会责任</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63</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451" w:tooltip="Current Document">
        <w:r>
          <w:rPr>
            <w:color w:val="000000"/>
            <w:spacing w:val="0"/>
            <w:w w:val="100"/>
            <w:position w:val="0"/>
            <w:sz w:val="17"/>
            <w:szCs w:val="17"/>
          </w:rPr>
          <w:t>第六节重要事项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65</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596" w:tooltip="Current Document">
        <w:r>
          <w:rPr>
            <w:color w:val="000000"/>
            <w:spacing w:val="0"/>
            <w:w w:val="100"/>
            <w:position w:val="0"/>
            <w:sz w:val="17"/>
            <w:szCs w:val="17"/>
          </w:rPr>
          <w:t>第七节股份变动及股东情况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102</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664" w:tooltip="Current Document">
        <w:r>
          <w:rPr>
            <w:color w:val="000000"/>
            <w:spacing w:val="0"/>
            <w:w w:val="100"/>
            <w:position w:val="0"/>
            <w:sz w:val="17"/>
            <w:szCs w:val="17"/>
          </w:rPr>
          <w:t>第八节优先股相关情况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112</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668" w:tooltip="Current Document">
        <w:r>
          <w:rPr>
            <w:color w:val="000000"/>
            <w:spacing w:val="0"/>
            <w:w w:val="100"/>
            <w:position w:val="0"/>
            <w:sz w:val="17"/>
            <w:szCs w:val="17"/>
          </w:rPr>
          <w:t>第九节债券相关情况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113</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18"/>
          <w:szCs w:val="18"/>
        </w:rPr>
        <w:sectPr>
          <w:footnotePr>
            <w:pos w:val="pageBottom"/>
            <w:numFmt w:val="decimal"/>
            <w:numRestart w:val="continuous"/>
          </w:footnotePr>
          <w:pgSz w:w="11900" w:h="16840"/>
          <w:pgMar w:top="2862" w:right="1114" w:bottom="2862" w:left="1109" w:header="0" w:footer="3" w:gutter="0"/>
          <w:cols w:space="720"/>
          <w:noEndnote/>
          <w:rtlGutter w:val="0"/>
          <w:docGrid w:linePitch="360"/>
        </w:sectPr>
      </w:pPr>
      <w:hyperlink w:anchor="bookmark724" w:tooltip="Current Document">
        <w:r>
          <w:rPr>
            <w:color w:val="000000"/>
            <w:spacing w:val="0"/>
            <w:w w:val="100"/>
            <w:position w:val="0"/>
            <w:sz w:val="17"/>
            <w:szCs w:val="17"/>
          </w:rPr>
          <w:t>第十节财务报告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117</w:t>
        </w:r>
      </w:hyperlink>
      <w:r>
        <w:fldChar w:fldCharType="end"/>
      </w:r>
    </w:p>
    <w:p>
      <w:pPr>
        <w:pStyle w:val="Style2"/>
        <w:keepNext w:val="0"/>
        <w:keepLines w:val="0"/>
        <w:widowControl w:val="0"/>
        <w:shd w:val="clear" w:color="auto" w:fill="auto"/>
        <w:bidi w:val="0"/>
        <w:spacing w:before="640" w:after="860" w:line="240" w:lineRule="auto"/>
        <w:ind w:left="0" w:right="0" w:firstLine="0"/>
        <w:jc w:val="center"/>
        <w:rPr>
          <w:sz w:val="32"/>
          <w:szCs w:val="32"/>
        </w:rPr>
      </w:pPr>
      <w:r>
        <w:rPr>
          <w:b/>
          <w:bCs/>
          <w:color w:val="000000"/>
          <w:spacing w:val="0"/>
          <w:w w:val="100"/>
          <w:position w:val="0"/>
          <w:sz w:val="32"/>
          <w:szCs w:val="32"/>
        </w:rPr>
        <w:t>备查文件目录</w:t>
      </w:r>
    </w:p>
    <w:p>
      <w:pPr>
        <w:pStyle w:val="Style11"/>
        <w:keepNext w:val="0"/>
        <w:keepLines w:val="0"/>
        <w:widowControl w:val="0"/>
        <w:shd w:val="clear" w:color="auto" w:fill="auto"/>
        <w:tabs>
          <w:tab w:pos="469" w:val="left"/>
        </w:tabs>
        <w:bidi w:val="0"/>
        <w:spacing w:before="0" w:after="120" w:line="240" w:lineRule="auto"/>
        <w:ind w:left="0" w:right="0" w:firstLine="0"/>
        <w:jc w:val="left"/>
      </w:pPr>
      <w:bookmarkStart w:id="8" w:name="bookmark8"/>
      <w:r>
        <w:rPr>
          <w:color w:val="000000"/>
          <w:spacing w:val="0"/>
          <w:w w:val="100"/>
          <w:position w:val="0"/>
        </w:rPr>
        <w:t>一</w:t>
      </w:r>
      <w:bookmarkEnd w:id="8"/>
      <w:r>
        <w:rPr>
          <w:color w:val="000000"/>
          <w:spacing w:val="0"/>
          <w:w w:val="100"/>
          <w:position w:val="0"/>
        </w:rPr>
        <w:t>、</w:t>
        <w:tab/>
        <w:t>载有法定代表人、主管会计工作负责人、会计机构负责人签名并盖章的</w:t>
      </w:r>
      <w:r>
        <w:rPr>
          <w:rFonts w:ascii="Times New Roman" w:eastAsia="Times New Roman" w:hAnsi="Times New Roman" w:cs="Times New Roman"/>
          <w:color w:val="000000"/>
          <w:spacing w:val="0"/>
          <w:w w:val="100"/>
          <w:position w:val="0"/>
        </w:rPr>
        <w:t>2021</w:t>
      </w:r>
      <w:r>
        <w:rPr>
          <w:color w:val="000000"/>
          <w:spacing w:val="0"/>
          <w:w w:val="100"/>
          <w:position w:val="0"/>
        </w:rPr>
        <w:t>年财务报表。</w:t>
      </w:r>
    </w:p>
    <w:p>
      <w:pPr>
        <w:pStyle w:val="Style11"/>
        <w:keepNext w:val="0"/>
        <w:keepLines w:val="0"/>
        <w:widowControl w:val="0"/>
        <w:shd w:val="clear" w:color="auto" w:fill="auto"/>
        <w:tabs>
          <w:tab w:pos="469" w:val="left"/>
        </w:tabs>
        <w:bidi w:val="0"/>
        <w:spacing w:before="0" w:after="120" w:line="240" w:lineRule="auto"/>
        <w:ind w:left="0" w:right="0" w:firstLine="0"/>
        <w:jc w:val="left"/>
      </w:pPr>
      <w:bookmarkStart w:id="9" w:name="bookmark9"/>
      <w:r>
        <w:rPr>
          <w:color w:val="000000"/>
          <w:spacing w:val="0"/>
          <w:w w:val="100"/>
          <w:position w:val="0"/>
        </w:rPr>
        <w:t>二</w:t>
      </w:r>
      <w:bookmarkEnd w:id="9"/>
      <w:r>
        <w:rPr>
          <w:color w:val="000000"/>
          <w:spacing w:val="0"/>
          <w:w w:val="100"/>
          <w:position w:val="0"/>
        </w:rPr>
        <w:t>、</w:t>
        <w:tab/>
        <w:t>载有会计师事务所盖章、注册会计师签名并盖章的审计报告原件。</w:t>
      </w:r>
    </w:p>
    <w:p>
      <w:pPr>
        <w:pStyle w:val="Style11"/>
        <w:keepNext w:val="0"/>
        <w:keepLines w:val="0"/>
        <w:widowControl w:val="0"/>
        <w:shd w:val="clear" w:color="auto" w:fill="auto"/>
        <w:tabs>
          <w:tab w:pos="474" w:val="left"/>
        </w:tabs>
        <w:bidi w:val="0"/>
        <w:spacing w:before="0" w:after="120" w:line="240" w:lineRule="auto"/>
        <w:ind w:left="0" w:right="0" w:firstLine="0"/>
        <w:jc w:val="left"/>
      </w:pPr>
      <w:bookmarkStart w:id="10" w:name="bookmark10"/>
      <w:r>
        <w:rPr>
          <w:color w:val="000000"/>
          <w:spacing w:val="0"/>
          <w:w w:val="100"/>
          <w:position w:val="0"/>
        </w:rPr>
        <w:t>三</w:t>
      </w:r>
      <w:bookmarkEnd w:id="10"/>
      <w:r>
        <w:rPr>
          <w:color w:val="000000"/>
          <w:spacing w:val="0"/>
          <w:w w:val="100"/>
          <w:position w:val="0"/>
        </w:rPr>
        <w:t>、</w:t>
        <w:tab/>
        <w:t>报告期内在中国证监会指定网站上公告披露过的所有公司文件的正本及公告原稿。</w:t>
      </w:r>
    </w:p>
    <w:p>
      <w:pPr>
        <w:pStyle w:val="Style11"/>
        <w:keepNext w:val="0"/>
        <w:keepLines w:val="0"/>
        <w:widowControl w:val="0"/>
        <w:shd w:val="clear" w:color="auto" w:fill="auto"/>
        <w:tabs>
          <w:tab w:pos="474" w:val="left"/>
        </w:tabs>
        <w:bidi w:val="0"/>
        <w:spacing w:before="0" w:after="120" w:line="240" w:lineRule="auto"/>
        <w:ind w:left="0" w:right="0" w:firstLine="0"/>
        <w:jc w:val="left"/>
      </w:pPr>
      <w:bookmarkStart w:id="11" w:name="bookmark11"/>
      <w:r>
        <w:rPr>
          <w:color w:val="000000"/>
          <w:spacing w:val="0"/>
          <w:w w:val="100"/>
          <w:position w:val="0"/>
        </w:rPr>
        <w:t>四</w:t>
      </w:r>
      <w:bookmarkEnd w:id="11"/>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rPr>
        <w:t>2021</w:t>
      </w:r>
      <w:r>
        <w:rPr>
          <w:color w:val="000000"/>
          <w:spacing w:val="0"/>
          <w:w w:val="100"/>
          <w:position w:val="0"/>
        </w:rPr>
        <w:t>年度报告文本原件。</w:t>
      </w:r>
    </w:p>
    <w:p>
      <w:pPr>
        <w:pStyle w:val="Style11"/>
        <w:keepNext w:val="0"/>
        <w:keepLines w:val="0"/>
        <w:widowControl w:val="0"/>
        <w:shd w:val="clear" w:color="auto" w:fill="auto"/>
        <w:tabs>
          <w:tab w:pos="474" w:val="left"/>
        </w:tabs>
        <w:bidi w:val="0"/>
        <w:spacing w:before="0" w:after="120" w:line="240" w:lineRule="auto"/>
        <w:ind w:left="0" w:right="0" w:firstLine="0"/>
        <w:jc w:val="left"/>
      </w:pPr>
      <w:bookmarkStart w:id="12" w:name="bookmark12"/>
      <w:r>
        <w:rPr>
          <w:color w:val="000000"/>
          <w:spacing w:val="0"/>
          <w:w w:val="100"/>
          <w:position w:val="0"/>
        </w:rPr>
        <w:t>五</w:t>
      </w:r>
      <w:bookmarkEnd w:id="12"/>
      <w:r>
        <w:rPr>
          <w:color w:val="000000"/>
          <w:spacing w:val="0"/>
          <w:w w:val="100"/>
          <w:position w:val="0"/>
        </w:rPr>
        <w:t>、</w:t>
        <w:tab/>
        <w:t>其他备查文件。</w:t>
      </w:r>
    </w:p>
    <w:p>
      <w:pPr>
        <w:pStyle w:val="Style11"/>
        <w:keepNext w:val="0"/>
        <w:keepLines w:val="0"/>
        <w:widowControl w:val="0"/>
        <w:shd w:val="clear" w:color="auto" w:fill="auto"/>
        <w:bidi w:val="0"/>
        <w:spacing w:before="0" w:after="780" w:line="240" w:lineRule="auto"/>
        <w:ind w:left="0" w:right="0" w:firstLine="0"/>
        <w:jc w:val="left"/>
      </w:pPr>
      <w:r>
        <w:rPr>
          <w:color w:val="000000"/>
          <w:spacing w:val="0"/>
          <w:w w:val="100"/>
          <w:position w:val="0"/>
        </w:rPr>
        <w:t>以上备查文件的备置地点：公司证券投资中心。</w:t>
      </w:r>
    </w:p>
    <w:p>
      <w:pPr>
        <w:pStyle w:val="Style11"/>
        <w:keepNext w:val="0"/>
        <w:keepLines w:val="0"/>
        <w:widowControl w:val="0"/>
        <w:shd w:val="clear" w:color="auto" w:fill="auto"/>
        <w:bidi w:val="0"/>
        <w:spacing w:before="0" w:after="420" w:line="240" w:lineRule="auto"/>
        <w:ind w:left="0" w:right="0" w:firstLine="0"/>
        <w:jc w:val="right"/>
      </w:pPr>
      <w:r>
        <w:rPr>
          <w:color w:val="000000"/>
          <w:spacing w:val="0"/>
          <w:w w:val="100"/>
          <w:position w:val="0"/>
        </w:rPr>
        <w:t>红相股份有限公司</w:t>
      </w:r>
    </w:p>
    <w:p>
      <w:pPr>
        <w:pStyle w:val="Style11"/>
        <w:keepNext w:val="0"/>
        <w:keepLines w:val="0"/>
        <w:widowControl w:val="0"/>
        <w:shd w:val="clear" w:color="auto" w:fill="auto"/>
        <w:bidi w:val="0"/>
        <w:spacing w:before="0" w:after="420" w:line="240" w:lineRule="auto"/>
        <w:ind w:left="0" w:right="0" w:firstLine="0"/>
        <w:jc w:val="right"/>
      </w:pPr>
      <w:r>
        <w:rPr>
          <w:color w:val="000000"/>
          <w:spacing w:val="0"/>
          <w:w w:val="100"/>
          <w:position w:val="0"/>
        </w:rPr>
        <w:t>法定代表人：杨成</w:t>
      </w:r>
    </w:p>
    <w:p>
      <w:pPr>
        <w:pStyle w:val="Style2"/>
        <w:keepNext w:val="0"/>
        <w:keepLines w:val="0"/>
        <w:widowControl w:val="0"/>
        <w:shd w:val="clear" w:color="auto" w:fill="auto"/>
        <w:bidi w:val="0"/>
        <w:spacing w:before="0" w:after="2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厦门红相软件有限公司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红相有限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厦门红相电力设备进出口有限公司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红相智能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厦门红相智能科技有限公司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厦门红相信息科技有限公司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澳洲红相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Red Phase Instruments Australia Pty Ltd</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红相塑胶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厦门红相塑胶材料有限公司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上海红相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红相电力（上海）有限公司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涵普电力、浙江涵普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浙江涵普电力科技有限公司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涵普软件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浙江涵普软件信息工程有限公司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涵普三维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浙江涵普三维电力科技有限公司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星波通信、合肥星波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合肥星波通信技术有限公司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星波电子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合肥星波电子有限公司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银川卧龙、银川变压器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卧龙电气银川变压器有限公司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中宁新能源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中宁县银变新能源有限公司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涵普新能源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浙江涵普新能源科技有限公司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宁夏银相、银相工程（或宁夏银变、银变科 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宁夏银相电力工程技术有限公司或宁夏银变科技有限公司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成都鼎屹、鼎屹信息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成都鼎屹信息技术有限公司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杭州红辉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杭州红辉电子科技有限公司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盐池华秦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盐池县华秦太阳能有限公司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成都中昊英孚科技有限公司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翩翼信息、合肥翩翼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合肥翩翼信息科技有限公司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厄瓜多尔分公司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卧龙电气银川变压器有限公司厄瓜多尔分公司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WOTAL</w:t>
            </w:r>
            <w:r>
              <w:rPr>
                <w:color w:val="000000"/>
                <w:spacing w:val="0"/>
                <w:w w:val="100"/>
                <w:position w:val="0"/>
              </w:rPr>
              <w:t>联合体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CONSORCIOS WOTAL</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LONGFOR</w:t>
            </w:r>
            <w:r>
              <w:rPr>
                <w:color w:val="000000"/>
                <w:spacing w:val="0"/>
                <w:w w:val="100"/>
                <w:position w:val="0"/>
              </w:rPr>
              <w:t>联合体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CONSORCIOS LONGFOR</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上海志良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上海志良电子科技有限公司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状态检修（</w:t>
            </w:r>
            <w:r>
              <w:rPr>
                <w:rFonts w:ascii="Times New Roman" w:eastAsia="Times New Roman" w:hAnsi="Times New Roman" w:cs="Times New Roman"/>
                <w:color w:val="000000"/>
                <w:spacing w:val="0"/>
                <w:w w:val="100"/>
                <w:position w:val="0"/>
                <w:sz w:val="18"/>
                <w:szCs w:val="18"/>
              </w:rPr>
              <w:t>CBM</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Condition Based Maintenance</w:t>
            </w:r>
            <w:r>
              <w:rPr>
                <w:color w:val="000000"/>
                <w:spacing w:val="0"/>
                <w:w w:val="100"/>
                <w:position w:val="0"/>
              </w:rPr>
              <w:t>，一种以设备状态为基础的预防性检修， 它是企业以安全、可靠、环境、成本为基础，通过设备的状态评价、 风险评估、检修决策等手段开展设备检修工作，达到设备运行安全可 靠，检修成本合理的一种检修策略。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变压器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利用电磁感应原理能够将电力系统中一个电压等级下的电压和电流 转换为另一个电压等级下的电压和电流的电力设备。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铁路牵引变压器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牵引供电系统的关键设备，主要功能是将电力系统供给的高压交流电 变换成适合电力机车使用的单相交流电。</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互感器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Instrument Transformer</w:t>
            </w:r>
            <w:r>
              <w:rPr>
                <w:color w:val="000000"/>
                <w:spacing w:val="0"/>
                <w:w w:val="100"/>
                <w:position w:val="0"/>
              </w:rPr>
              <w:t>，是指按比例变换电压或电流的设备。其功能 主要是将高电压或大电流按比例变换成标准低电压或标准小电流，以 便实现测量仪表、保护设备及自动控制设备的标准化、小型化，同时 互感器还可用来隔开高电压系统，以保证人身和设备的安全。互感器 可分电流互感器（简称</w:t>
            </w:r>
            <w:r>
              <w:rPr>
                <w:rFonts w:ascii="Times New Roman" w:eastAsia="Times New Roman" w:hAnsi="Times New Roman" w:cs="Times New Roman"/>
                <w:color w:val="000000"/>
                <w:spacing w:val="0"/>
                <w:w w:val="100"/>
                <w:position w:val="0"/>
                <w:sz w:val="18"/>
                <w:szCs w:val="18"/>
              </w:rPr>
              <w:t>CT</w:t>
            </w:r>
            <w:r>
              <w:rPr>
                <w:color w:val="000000"/>
                <w:spacing w:val="0"/>
                <w:w w:val="100"/>
                <w:position w:val="0"/>
              </w:rPr>
              <w:t>）</w:t>
            </w:r>
            <w:r>
              <w:rPr>
                <w:color w:val="000000"/>
                <w:spacing w:val="0"/>
                <w:w w:val="100"/>
                <w:position w:val="0"/>
              </w:rPr>
              <w:t>和电压互感器（简称</w:t>
            </w:r>
            <w:r>
              <w:rPr>
                <w:rFonts w:ascii="Times New Roman" w:eastAsia="Times New Roman" w:hAnsi="Times New Roman" w:cs="Times New Roman"/>
                <w:color w:val="000000"/>
                <w:spacing w:val="0"/>
                <w:w w:val="100"/>
                <w:position w:val="0"/>
                <w:sz w:val="18"/>
                <w:szCs w:val="18"/>
              </w:rPr>
              <w:t>PT</w:t>
            </w:r>
            <w:r>
              <w:rPr>
                <w:color w:val="000000"/>
                <w:spacing w:val="0"/>
                <w:w w:val="100"/>
                <w:position w:val="0"/>
              </w:rPr>
              <w:t>）</w:t>
            </w:r>
            <w:r>
              <w:rPr>
                <w:color w:val="000000"/>
                <w:spacing w:val="0"/>
                <w:w w:val="100"/>
                <w:position w:val="0"/>
              </w:rPr>
              <w:t>两类。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一次设备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在电网中直接承担电力输送及电压转换的输配电设备，如发电机、变 压器、断路器、隔离开关、电压及电流互感器等。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南方电网公司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中国南方电网有限责任公司</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以物理电网为基础，将现代先进的传感测量技术、通讯技术、信息技 术、计算机技术和控制技术与物理电网高度集成而形成的具备智能判 断与自适应调节能力的多种能源兼容、分布式管理的安全、可靠、经 济、节能、环保、高效的互动式智能化网络。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射频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高频交流变化电磁波，频率范围在</w:t>
            </w:r>
            <w:r>
              <w:rPr>
                <w:rFonts w:ascii="Times New Roman" w:eastAsia="Times New Roman" w:hAnsi="Times New Roman" w:cs="Times New Roman"/>
                <w:color w:val="000000"/>
                <w:spacing w:val="0"/>
                <w:w w:val="100"/>
                <w:position w:val="0"/>
                <w:sz w:val="18"/>
                <w:szCs w:val="18"/>
              </w:rPr>
              <w:t>300KHz</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300GHz</w:t>
            </w:r>
            <w:r>
              <w:rPr>
                <w:color w:val="000000"/>
                <w:spacing w:val="0"/>
                <w:w w:val="100"/>
                <w:position w:val="0"/>
              </w:rPr>
              <w:t>之间。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频率为</w:t>
            </w:r>
            <w:r>
              <w:rPr>
                <w:rFonts w:ascii="Times New Roman" w:eastAsia="Times New Roman" w:hAnsi="Times New Roman" w:cs="Times New Roman"/>
                <w:color w:val="000000"/>
                <w:spacing w:val="0"/>
                <w:w w:val="100"/>
                <w:position w:val="0"/>
                <w:sz w:val="18"/>
                <w:szCs w:val="18"/>
              </w:rPr>
              <w:t>300MHz</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300GHz</w:t>
            </w:r>
            <w:r>
              <w:rPr>
                <w:color w:val="000000"/>
                <w:spacing w:val="0"/>
                <w:w w:val="100"/>
                <w:position w:val="0"/>
              </w:rPr>
              <w:t>的电磁波，是无线电波中一个有限频带的简 称，即波长在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毫米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米之间的电磁波。</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毫米波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波长为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毫米的电磁波。</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kV</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千伏（</w:t>
            </w:r>
            <w:r>
              <w:rPr>
                <w:rFonts w:ascii="Times New Roman" w:eastAsia="Times New Roman" w:hAnsi="Times New Roman" w:cs="Times New Roman"/>
                <w:color w:val="000000"/>
                <w:spacing w:val="0"/>
                <w:w w:val="100"/>
                <w:position w:val="0"/>
                <w:sz w:val="18"/>
                <w:szCs w:val="18"/>
              </w:rPr>
              <w:t>KiloV</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lt</w:t>
            </w:r>
            <w:r>
              <w:rPr>
                <w:color w:val="000000"/>
                <w:spacing w:val="0"/>
                <w:w w:val="100"/>
                <w:position w:val="0"/>
              </w:rPr>
              <w:t>的缩写），计量电压的单位。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kVA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千伏安（</w:t>
            </w:r>
            <w:r>
              <w:rPr>
                <w:rFonts w:ascii="Times New Roman" w:eastAsia="Times New Roman" w:hAnsi="Times New Roman" w:cs="Times New Roman"/>
                <w:color w:val="000000"/>
                <w:spacing w:val="0"/>
                <w:w w:val="100"/>
                <w:position w:val="0"/>
                <w:sz w:val="18"/>
                <w:szCs w:val="18"/>
              </w:rPr>
              <w:t>KiloWlt-Ampere</w:t>
            </w:r>
            <w:r>
              <w:rPr>
                <w:color w:val="000000"/>
                <w:spacing w:val="0"/>
                <w:w w:val="100"/>
                <w:position w:val="0"/>
              </w:rPr>
              <w:t>的缩写），变压器在额定状态下的输出能力 的保证值，即通常所指的变压器的容量。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红相股份有限公司及其子公司</w:t>
            </w:r>
          </w:p>
        </w:tc>
      </w:tr>
    </w:tbl>
    <w:p>
      <w:pPr>
        <w:spacing w:lineRule="exact" w:line="1"/>
        <w:rPr>
          <w:sz w:val="2"/>
          <w:szCs w:val="2"/>
        </w:rPr>
      </w:pPr>
      <w:r>
        <w:br w:type="page"/>
      </w:r>
    </w:p>
    <w:p>
      <w:pPr>
        <w:pStyle w:val="Style9"/>
        <w:keepNext/>
        <w:keepLines/>
        <w:widowControl w:val="0"/>
        <w:shd w:val="clear" w:color="auto" w:fill="auto"/>
        <w:bidi w:val="0"/>
        <w:spacing w:before="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p>
    <w:p>
      <w:pPr>
        <w:pStyle w:val="Style23"/>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bookmarkStart w:id="20" w:name="bookmark20"/>
      <w:r>
        <w:rPr>
          <w:color w:val="000000"/>
          <w:spacing w:val="0"/>
          <w:w w:val="100"/>
          <w:position w:val="0"/>
        </w:rPr>
        <w:t>一</w:t>
      </w:r>
      <w:bookmarkEnd w:id="19"/>
      <w:r>
        <w:rPr>
          <w:color w:val="000000"/>
          <w:spacing w:val="0"/>
          <w:w w:val="100"/>
          <w:position w:val="0"/>
        </w:rPr>
        <w:t>、公司信息</w:t>
      </w:r>
      <w:bookmarkEnd w:id="17"/>
      <w:bookmarkEnd w:id="18"/>
      <w:bookmarkEnd w:id="20"/>
      <w:bookmarkEnd w:id="16"/>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2"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红相股份</w:t>
              <w:tab/>
              <w:t>股票代码</w:t>
              <w:tab/>
            </w:r>
            <w:r>
              <w:rPr>
                <w:rFonts w:ascii="Times New Roman" w:eastAsia="Times New Roman" w:hAnsi="Times New Roman" w:cs="Times New Roman"/>
                <w:color w:val="000000"/>
                <w:spacing w:val="0"/>
                <w:w w:val="100"/>
                <w:position w:val="0"/>
                <w:sz w:val="18"/>
                <w:szCs w:val="18"/>
              </w:rPr>
              <w:t>300427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Red phase INC.</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Red phase INC.</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厦门市思明区南投路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1002</w:t>
            </w:r>
            <w:r>
              <w:rPr>
                <w:color w:val="000000"/>
                <w:spacing w:val="0"/>
                <w:w w:val="100"/>
                <w:position w:val="0"/>
              </w:rPr>
              <w:t>单元之一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361008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月公司注册地址由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厦门市思明区水仙路</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号海光大厦</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单元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厦门 市思明区南投路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1002</w:t>
            </w:r>
            <w:r>
              <w:rPr>
                <w:color w:val="000000"/>
                <w:spacing w:val="0"/>
                <w:w w:val="100"/>
                <w:position w:val="0"/>
                <w:sz w:val="17"/>
                <w:szCs w:val="17"/>
              </w:rPr>
              <w:t>单元之一</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厦门市思明区南投路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号观音山国际商务营运中心</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361008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t>
            </w:r>
            <w:r>
              <w:fldChar w:fldCharType="begin"/>
            </w:r>
            <w:r>
              <w:rPr/>
              <w:instrText> HYPERLINK "http://www.redphase" </w:instrText>
            </w:r>
            <w:r>
              <w:fldChar w:fldCharType="separate"/>
            </w:r>
            <w:r>
              <w:rPr>
                <w:rFonts w:ascii="Times New Roman" w:eastAsia="Times New Roman" w:hAnsi="Times New Roman" w:cs="Times New Roman"/>
                <w:color w:val="000000"/>
                <w:spacing w:val="0"/>
                <w:w w:val="100"/>
                <w:position w:val="0"/>
                <w:sz w:val="18"/>
                <w:szCs w:val="18"/>
              </w:rPr>
              <w:t>www.redphase</w:t>
            </w:r>
            <w:r>
              <w:fldChar w:fldCharType="end"/>
            </w:r>
            <w:r>
              <w:rPr>
                <w:rFonts w:ascii="Times New Roman" w:eastAsia="Times New Roman" w:hAnsi="Times New Roman" w:cs="Times New Roman"/>
                <w:color w:val="000000"/>
                <w:spacing w:val="0"/>
                <w:w w:val="100"/>
                <w:position w:val="0"/>
                <w:sz w:val="18"/>
                <w:szCs w:val="18"/>
              </w:rPr>
              <w:t xml:space="preserve">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"mailto:securities@redphase.com.cn" </w:instrText>
            </w:r>
            <w:r>
              <w:fldChar w:fldCharType="separate"/>
            </w:r>
            <w:r>
              <w:rPr>
                <w:rFonts w:ascii="Times New Roman" w:eastAsia="Times New Roman" w:hAnsi="Times New Roman" w:cs="Times New Roman"/>
                <w:color w:val="000000"/>
                <w:spacing w:val="0"/>
                <w:w w:val="100"/>
                <w:position w:val="0"/>
                <w:sz w:val="18"/>
                <w:szCs w:val="18"/>
              </w:rPr>
              <w:t>securities@redphase.com.cn</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二</w:t>
      </w:r>
      <w:bookmarkEnd w:id="23"/>
      <w:r>
        <w:rPr>
          <w:color w:val="000000"/>
          <w:spacing w:val="0"/>
          <w:w w:val="100"/>
          <w:position w:val="0"/>
        </w:rPr>
        <w:t>、联系人和联系方式</w:t>
      </w:r>
      <w:bookmarkEnd w:id="21"/>
      <w:bookmarkEnd w:id="22"/>
      <w:bookmarkEnd w:id="24"/>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李喜娇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林舒婷</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厦门市思明区南投路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号观音山国际商 务营运中心</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厦门市思明区南投路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号观音山国际商 务营运中心</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0592-8126108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0592-8126108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0592-2107581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0592-2107581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"mailto:securities@redphase.com.cn" </w:instrText>
            </w:r>
            <w:r>
              <w:fldChar w:fldCharType="separate"/>
            </w:r>
            <w:r>
              <w:rPr>
                <w:rFonts w:ascii="Times New Roman" w:eastAsia="Times New Roman" w:hAnsi="Times New Roman" w:cs="Times New Roman"/>
                <w:color w:val="000000"/>
                <w:spacing w:val="0"/>
                <w:w w:val="100"/>
                <w:position w:val="0"/>
                <w:sz w:val="18"/>
                <w:szCs w:val="18"/>
              </w:rPr>
              <w:t>securities@redphase.com.cn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"mailto:securities@redphase.com.cn" </w:instrText>
            </w:r>
            <w:r>
              <w:fldChar w:fldCharType="separate"/>
            </w:r>
            <w:r>
              <w:rPr>
                <w:rFonts w:ascii="Times New Roman" w:eastAsia="Times New Roman" w:hAnsi="Times New Roman" w:cs="Times New Roman"/>
                <w:color w:val="000000"/>
                <w:spacing w:val="0"/>
                <w:w w:val="100"/>
                <w:position w:val="0"/>
                <w:sz w:val="18"/>
                <w:szCs w:val="18"/>
              </w:rPr>
              <w:t>securities@redphase.com.cn</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三</w:t>
      </w:r>
      <w:bookmarkEnd w:id="27"/>
      <w:r>
        <w:rPr>
          <w:color w:val="000000"/>
          <w:spacing w:val="0"/>
          <w:w w:val="100"/>
          <w:position w:val="0"/>
        </w:rPr>
        <w:t>、信息披露及备置地点</w:t>
      </w:r>
      <w:bookmarkEnd w:id="25"/>
      <w:bookmarkEnd w:id="26"/>
      <w:bookmarkEnd w:id="28"/>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《证券时报》、《中国证券报》、《上海证券报》、《证券日报》、巨潮资讯 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证券投资中心</w:t>
            </w:r>
          </w:p>
        </w:tc>
      </w:tr>
    </w:tbl>
    <w:p>
      <w:pPr>
        <w:spacing w:lineRule="exact" w:line="1"/>
        <w:rPr>
          <w:sz w:val="2"/>
          <w:szCs w:val="2"/>
        </w:rPr>
      </w:pPr>
      <w:r>
        <w:br w:type="page"/>
      </w:r>
    </w:p>
    <w:p>
      <w:pPr>
        <w:pStyle w:val="Style23"/>
        <w:keepNext/>
        <w:keepLines/>
        <w:widowControl w:val="0"/>
        <w:shd w:val="clear" w:color="auto" w:fill="auto"/>
        <w:bidi w:val="0"/>
        <w:spacing w:before="0" w:after="38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四</w:t>
      </w:r>
      <w:bookmarkEnd w:id="31"/>
      <w:r>
        <w:rPr>
          <w:color w:val="000000"/>
          <w:spacing w:val="0"/>
          <w:w w:val="100"/>
          <w:position w:val="0"/>
        </w:rPr>
        <w:t>、其他有关资料</w:t>
      </w:r>
      <w:bookmarkEnd w:id="29"/>
      <w:bookmarkEnd w:id="30"/>
      <w:bookmarkEnd w:id="32"/>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北京市西城区阜成门外大街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幢外经贸大厦</w:t>
            </w:r>
            <w:r>
              <w:rPr>
                <w:rFonts w:ascii="Times New Roman" w:eastAsia="Times New Roman" w:hAnsi="Times New Roman" w:cs="Times New Roman"/>
                <w:color w:val="000000"/>
                <w:spacing w:val="0"/>
                <w:w w:val="100"/>
                <w:position w:val="0"/>
                <w:sz w:val="18"/>
                <w:szCs w:val="18"/>
              </w:rPr>
              <w:t>901-22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901-26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林炎临、周起予</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北京市东城区朝内大街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号凯 恒中心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王万里、罗贵均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北京市东城区朝内大街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号凯 恒中心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包桉泰、王万里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五</w:t>
      </w:r>
      <w:bookmarkEnd w:id="35"/>
      <w:r>
        <w:rPr>
          <w:color w:val="000000"/>
          <w:spacing w:val="0"/>
          <w:w w:val="100"/>
          <w:position w:val="0"/>
        </w:rPr>
        <w:t>、主要会计数据和财务指标</w:t>
      </w:r>
      <w:bookmarkEnd w:id="33"/>
      <w:bookmarkEnd w:id="34"/>
      <w:bookmarkEnd w:id="3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1,394,369,586.11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1,515,992,751.11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1,340,472,990.05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-635,849,527.03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231,654,648.29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234,717,959.20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-680,166,750.48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199,436,190.42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210,202,284.35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231,164,732.47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333,243,740.15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239,123,476.31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3,886,816,929.87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4,929,273,088.03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4,793,035,933.56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1,693,123,494.12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2,383,318,221.84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2,234,397,770.43</w:t>
            </w:r>
          </w:p>
        </w:tc>
      </w:tr>
    </w:tbl>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7"/>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扣除非经常损益前后的净利润孰低者为负值</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1,394,369,586.11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1,515,992,751.11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扣除其他业务收入，主要包括 材料销售收入和房租收入。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29,003,646.99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19,183,740.15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主要系材料销售收入、房租收 入，与主营业务无关。</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1,365,365,939.12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1,496,809,010.96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bl>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4531"/>
        <w:gridCol w:w="50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支付的永续债利息（元）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-1.7651</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rPr>
        <w:t>六</w:t>
      </w:r>
      <w:bookmarkEnd w:id="39"/>
      <w:r>
        <w:rPr>
          <w:color w:val="000000"/>
          <w:spacing w:val="0"/>
          <w:w w:val="100"/>
          <w:position w:val="0"/>
        </w:rPr>
        <w:t>、分季度主要财务指标</w:t>
      </w:r>
      <w:bookmarkEnd w:id="37"/>
      <w:bookmarkEnd w:id="38"/>
      <w:bookmarkEnd w:id="4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274,582,108.92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420,255,199.28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240,314,749.39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459,217,528.52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28,763,822.15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41,574,376.16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16,736,447.46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-722,924,172.80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25,678,394.66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40,956,662.12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-19,982,489.89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-726,819,317.37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40,170,795.73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-128,162,941.65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247,360,955.59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71,795,922.80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rPr>
        <w:t>七</w:t>
      </w:r>
      <w:bookmarkEnd w:id="43"/>
      <w:r>
        <w:rPr>
          <w:color w:val="000000"/>
          <w:spacing w:val="0"/>
          <w:w w:val="100"/>
          <w:position w:val="0"/>
        </w:rPr>
        <w:t>、境内外会计准则下会计数据差异</w:t>
      </w:r>
      <w:bookmarkEnd w:id="41"/>
      <w:bookmarkEnd w:id="42"/>
      <w:bookmarkEnd w:id="44"/>
    </w:p>
    <w:p>
      <w:pPr>
        <w:pStyle w:val="Style31"/>
        <w:keepNext/>
        <w:keepLines/>
        <w:widowControl w:val="0"/>
        <w:shd w:val="clear" w:color="auto" w:fill="auto"/>
        <w:tabs>
          <w:tab w:pos="368" w:val="left"/>
        </w:tabs>
        <w:bidi w:val="0"/>
        <w:spacing w:before="0" w:after="36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1</w:t>
      </w:r>
      <w:bookmarkEnd w:id="47"/>
      <w:r>
        <w:rPr>
          <w:color w:val="000000"/>
          <w:spacing w:val="0"/>
          <w:w w:val="100"/>
          <w:position w:val="0"/>
        </w:rPr>
        <w:t>、</w:t>
        <w:tab/>
        <w:t>同时按照国际会计准则与按照中国会计准则披露的财务报告中净利润和净资产差异情况</w:t>
      </w:r>
      <w:bookmarkEnd w:id="45"/>
      <w:bookmarkEnd w:id="46"/>
      <w:bookmarkEnd w:id="4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378" w:val="left"/>
        </w:tabs>
        <w:bidi w:val="0"/>
        <w:spacing w:before="0" w:after="360" w:line="240" w:lineRule="auto"/>
        <w:ind w:left="0" w:right="0" w:firstLine="0"/>
        <w:jc w:val="left"/>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2</w:t>
      </w:r>
      <w:bookmarkEnd w:id="51"/>
      <w:r>
        <w:rPr>
          <w:color w:val="000000"/>
          <w:spacing w:val="0"/>
          <w:w w:val="100"/>
          <w:position w:val="0"/>
        </w:rPr>
        <w:t>、</w:t>
        <w:tab/>
        <w:t>同时按照境外会计准则与按照中国会计准则披露的财务报告中净利润和净资产差异情况</w:t>
      </w:r>
      <w:bookmarkEnd w:id="49"/>
      <w:bookmarkEnd w:id="50"/>
      <w:bookmarkEnd w:id="52"/>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r>
        <w:br w:type="page"/>
      </w:r>
    </w:p>
    <w:p>
      <w:pPr>
        <w:pStyle w:val="Style23"/>
        <w:keepNext/>
        <w:keepLines/>
        <w:widowControl w:val="0"/>
        <w:shd w:val="clear" w:color="auto" w:fill="auto"/>
        <w:bidi w:val="0"/>
        <w:spacing w:before="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rPr>
        <w:t>八</w:t>
      </w:r>
      <w:bookmarkEnd w:id="55"/>
      <w:r>
        <w:rPr>
          <w:color w:val="000000"/>
          <w:spacing w:val="0"/>
          <w:w w:val="100"/>
          <w:position w:val="0"/>
        </w:rPr>
        <w:t>、非经常性损益项目及金额</w:t>
      </w:r>
      <w:bookmarkEnd w:id="53"/>
      <w:bookmarkEnd w:id="54"/>
      <w:bookmarkEnd w:id="56"/>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3,042,650.12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8,890,902.67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213,199.06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3,371,854.46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33,351,690.68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30,537,145.26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13,438,681.62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-291,153.69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-297,669.32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-234,302.04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17,326,523.22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412,278.46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-1,054,947.17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金融资产处置损益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13,289,136.55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7,387,677.09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6,164,605.64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3,859,899.48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1,724,809.79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1,159,593.56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648,048.15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44,317,223.45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32,218,457.87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24,515,674.85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其他符合非经常性损益定义的损益项目的具体情况：</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公司不存在其他符合非经常性损益定义的损益项目的具体情况。</w:t>
      </w:r>
    </w:p>
    <w:p>
      <w:pPr>
        <w:pStyle w:val="Style27"/>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12" w:lineRule="exact"/>
        <w:ind w:left="0" w:right="0" w:firstLine="0"/>
        <w:jc w:val="both"/>
        <w:sectPr>
          <w:footnotePr>
            <w:pos w:val="pageBottom"/>
            <w:numFmt w:val="decimal"/>
            <w:numRestart w:val="continuous"/>
          </w:footnotePr>
          <w:pgSz w:w="11900" w:h="16840"/>
          <w:pgMar w:top="1441" w:right="1127" w:bottom="1513" w:left="1092"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9"/>
        <w:keepNext/>
        <w:keepLines/>
        <w:widowControl w:val="0"/>
        <w:shd w:val="clear" w:color="auto" w:fill="auto"/>
        <w:bidi w:val="0"/>
        <w:spacing w:before="520" w:line="240" w:lineRule="auto"/>
        <w:ind w:left="0" w:right="0" w:firstLine="0"/>
        <w:jc w:val="center"/>
      </w:pPr>
      <w:bookmarkStart w:id="57" w:name="bookmark57"/>
      <w:bookmarkStart w:id="58" w:name="bookmark58"/>
      <w:bookmarkStart w:id="59" w:name="bookmark59"/>
      <w:r>
        <w:rPr>
          <w:color w:val="000000"/>
          <w:spacing w:val="0"/>
          <w:w w:val="100"/>
          <w:position w:val="0"/>
        </w:rPr>
        <w:t>第三节管理层讨论与分析</w:t>
      </w:r>
      <w:bookmarkEnd w:id="57"/>
      <w:bookmarkEnd w:id="58"/>
      <w:bookmarkEnd w:id="59"/>
    </w:p>
    <w:p>
      <w:pPr>
        <w:pStyle w:val="Style23"/>
        <w:keepNext/>
        <w:keepLines/>
        <w:widowControl w:val="0"/>
        <w:shd w:val="clear" w:color="auto" w:fill="auto"/>
        <w:bidi w:val="0"/>
        <w:spacing w:before="0" w:after="260" w:line="240" w:lineRule="auto"/>
        <w:ind w:left="0" w:right="0" w:firstLine="0"/>
        <w:jc w:val="left"/>
      </w:pPr>
      <w:bookmarkStart w:id="60" w:name="bookmark60"/>
      <w:bookmarkStart w:id="61" w:name="bookmark61"/>
      <w:bookmarkStart w:id="62" w:name="bookmark62"/>
      <w:bookmarkStart w:id="63" w:name="bookmark63"/>
      <w:bookmarkStart w:id="64" w:name="bookmark64"/>
      <w:r>
        <w:rPr>
          <w:color w:val="000000"/>
          <w:spacing w:val="0"/>
          <w:w w:val="100"/>
          <w:position w:val="0"/>
        </w:rPr>
        <w:t>一</w:t>
      </w:r>
      <w:bookmarkEnd w:id="63"/>
      <w:r>
        <w:rPr>
          <w:color w:val="000000"/>
          <w:spacing w:val="0"/>
          <w:w w:val="100"/>
          <w:position w:val="0"/>
        </w:rPr>
        <w:t>、报告期内公司所处行业情况</w:t>
      </w:r>
      <w:bookmarkEnd w:id="61"/>
      <w:bookmarkEnd w:id="62"/>
      <w:bookmarkEnd w:id="64"/>
      <w:bookmarkEnd w:id="60"/>
    </w:p>
    <w:p>
      <w:pPr>
        <w:pStyle w:val="Style11"/>
        <w:keepNext w:val="0"/>
        <w:keepLines w:val="0"/>
        <w:widowControl w:val="0"/>
        <w:shd w:val="clear" w:color="auto" w:fill="auto"/>
        <w:tabs>
          <w:tab w:pos="990" w:val="left"/>
        </w:tabs>
        <w:bidi w:val="0"/>
        <w:spacing w:before="0" w:after="0" w:line="314" w:lineRule="exact"/>
        <w:ind w:left="0" w:right="0" w:firstLine="440"/>
        <w:jc w:val="both"/>
      </w:pPr>
      <w:bookmarkStart w:id="65" w:name="bookmark65"/>
      <w:r>
        <w:rPr>
          <w:b/>
          <w:bCs/>
          <w:color w:val="000000"/>
          <w:spacing w:val="0"/>
          <w:w w:val="100"/>
          <w:position w:val="0"/>
        </w:rPr>
        <w:t>（</w:t>
      </w:r>
      <w:bookmarkEnd w:id="65"/>
      <w:r>
        <w:rPr>
          <w:b/>
          <w:bCs/>
          <w:color w:val="000000"/>
          <w:spacing w:val="0"/>
          <w:w w:val="100"/>
          <w:position w:val="0"/>
        </w:rPr>
        <w:t>一）</w:t>
        <w:tab/>
        <w:t>电力行业</w:t>
      </w:r>
    </w:p>
    <w:p>
      <w:pPr>
        <w:pStyle w:val="Style1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公司的电力状态检测、监测产品、智能配网等业务面向电力行业，电力行业是关系国民经济命脉和国 家能源安全的基础能源产业。随着社会经济的发展，各行业对电力的依赖性显著增强，对供电安全性、可 靠性和稳定性的要求日益提高。经过多年的高速发展和持续完善，当前我国电力资产保有量庞大、增长依 然迅速，不同电压等级、不同新旧程度、不同运行区域等因素孕育了对差异化检修策略的强烈需求。而开 展电力设备带电检测、在线监测和大数据分析是电力公司实施差异化和智能化检修策略的强有力技术支撑 手段。</w:t>
      </w:r>
    </w:p>
    <w:p>
      <w:pPr>
        <w:pStyle w:val="Style1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此外，当前我国电网输电环节的网架结构基本建成，电网投资进入与用电侧密切相关的配电网建设和 电网智能化建设阶段，电网的自动化、智能化体系建设正逐步推进。</w:t>
      </w:r>
    </w:p>
    <w:p>
      <w:pPr>
        <w:pStyle w:val="Style11"/>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日，国家主席习近平在第</w:t>
      </w:r>
      <w:r>
        <w:rPr>
          <w:rFonts w:ascii="Times New Roman" w:eastAsia="Times New Roman" w:hAnsi="Times New Roman" w:cs="Times New Roman"/>
          <w:color w:val="000000"/>
          <w:spacing w:val="0"/>
          <w:w w:val="100"/>
          <w:position w:val="0"/>
        </w:rPr>
        <w:t>75</w:t>
      </w:r>
      <w:r>
        <w:rPr>
          <w:color w:val="000000"/>
          <w:spacing w:val="0"/>
          <w:w w:val="100"/>
          <w:position w:val="0"/>
        </w:rPr>
        <w:t>届联合国大会上宣布，中国将提高国家自主贡献力度，采取 更加有力的政策和措施，二氧化碳排放力争于</w:t>
      </w:r>
      <w:r>
        <w:rPr>
          <w:rFonts w:ascii="Times New Roman" w:eastAsia="Times New Roman" w:hAnsi="Times New Roman" w:cs="Times New Roman"/>
          <w:color w:val="000000"/>
          <w:spacing w:val="0"/>
          <w:w w:val="100"/>
          <w:position w:val="0"/>
        </w:rPr>
        <w:t>2030</w:t>
      </w:r>
      <w:r>
        <w:rPr>
          <w:color w:val="000000"/>
          <w:spacing w:val="0"/>
          <w:w w:val="100"/>
          <w:position w:val="0"/>
        </w:rPr>
        <w:t>年前达到峰值，努力争取</w:t>
      </w:r>
      <w:r>
        <w:rPr>
          <w:rFonts w:ascii="Times New Roman" w:eastAsia="Times New Roman" w:hAnsi="Times New Roman" w:cs="Times New Roman"/>
          <w:color w:val="000000"/>
          <w:spacing w:val="0"/>
          <w:w w:val="100"/>
          <w:position w:val="0"/>
        </w:rPr>
        <w:t>2060</w:t>
      </w:r>
      <w:r>
        <w:rPr>
          <w:color w:val="000000"/>
          <w:spacing w:val="0"/>
          <w:w w:val="100"/>
          <w:position w:val="0"/>
        </w:rPr>
        <w:t>年前实现碳中和。十九大 报告提出</w:t>
      </w:r>
      <w:r>
        <w:rPr>
          <w:rFonts w:ascii="Times New Roman" w:eastAsia="Times New Roman" w:hAnsi="Times New Roman" w:cs="Times New Roman"/>
          <w:color w:val="000000"/>
          <w:spacing w:val="0"/>
          <w:w w:val="100"/>
          <w:position w:val="0"/>
        </w:rPr>
        <w:t>“</w:t>
      </w:r>
      <w:r>
        <w:rPr>
          <w:color w:val="000000"/>
          <w:spacing w:val="0"/>
          <w:w w:val="100"/>
          <w:position w:val="0"/>
        </w:rPr>
        <w:t>推进能源生产和消费革命，构建清洁低碳、安全高效的能源体系</w:t>
      </w:r>
      <w:r>
        <w:rPr>
          <w:rFonts w:ascii="Times New Roman" w:eastAsia="Times New Roman" w:hAnsi="Times New Roman" w:cs="Times New Roman"/>
          <w:color w:val="000000"/>
          <w:spacing w:val="0"/>
          <w:w w:val="100"/>
          <w:position w:val="0"/>
        </w:rPr>
        <w:t>”</w:t>
      </w:r>
      <w:r>
        <w:rPr>
          <w:color w:val="000000"/>
          <w:spacing w:val="0"/>
          <w:w w:val="100"/>
          <w:position w:val="0"/>
        </w:rPr>
        <w:t>。要实现上述目标，以电力能 源，特别是可再生能源发电为主的电力消费将逐步取代化石能源消费，这不单对电力能源的发电结构提出 了机遇和挑战，也为电力输送环节的灵活性、安全性、可靠性和智能化水平提出了机遇和挑战。</w:t>
      </w:r>
    </w:p>
    <w:p>
      <w:pPr>
        <w:pStyle w:val="Style11"/>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2021</w:t>
      </w:r>
      <w:r>
        <w:rPr>
          <w:color w:val="000000"/>
          <w:spacing w:val="0"/>
          <w:w w:val="100"/>
          <w:position w:val="0"/>
        </w:rPr>
        <w:t>年国务院政府工作报告》提出，扎实做好碳达峰、碳中和各项工作，制定</w:t>
      </w:r>
      <w:r>
        <w:rPr>
          <w:rFonts w:ascii="Times New Roman" w:eastAsia="Times New Roman" w:hAnsi="Times New Roman" w:cs="Times New Roman"/>
          <w:color w:val="000000"/>
          <w:spacing w:val="0"/>
          <w:w w:val="100"/>
          <w:position w:val="0"/>
        </w:rPr>
        <w:t>2030</w:t>
      </w:r>
      <w:r>
        <w:rPr>
          <w:color w:val="000000"/>
          <w:spacing w:val="0"/>
          <w:w w:val="100"/>
          <w:position w:val="0"/>
        </w:rPr>
        <w:t>年 前碳排放达峰行动方案。优化产业结构和能源结构；推动煤炭清洁高效利用，大力发展新能源，在确保安 全的前提下积极有序发展核电；增加停车场、充电桩、换电站等设施，加快建设动力电池回收利用体系。</w:t>
      </w:r>
    </w:p>
    <w:p>
      <w:pPr>
        <w:pStyle w:val="Style11"/>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月，国家电网发布</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行动方案，加快推进能源供给多元化清洁化低碳化、能源 消费高效化减量化电气化。国家电网将继续加快构建智能电网，推动电网向能源互联网升级，同时通过加 大跨区输送清洁能源力度、保障清洁能源及时同步并网等措施着力打造清洁能源优化配置平台，</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 xml:space="preserve">” </w:t>
      </w:r>
      <w:r>
        <w:rPr>
          <w:color w:val="000000"/>
          <w:spacing w:val="0"/>
          <w:w w:val="100"/>
          <w:position w:val="0"/>
        </w:rPr>
        <w:t>期间，国家电网规划建成七回特高压直流，新增输电能力</w:t>
      </w:r>
      <w:r>
        <w:rPr>
          <w:rFonts w:ascii="Times New Roman" w:eastAsia="Times New Roman" w:hAnsi="Times New Roman" w:cs="Times New Roman"/>
          <w:color w:val="000000"/>
          <w:spacing w:val="0"/>
          <w:w w:val="100"/>
          <w:position w:val="0"/>
        </w:rPr>
        <w:t>5600</w:t>
      </w:r>
      <w:r>
        <w:rPr>
          <w:color w:val="000000"/>
          <w:spacing w:val="0"/>
          <w:w w:val="100"/>
          <w:position w:val="0"/>
        </w:rPr>
        <w:t>万千瓦。</w:t>
      </w:r>
    </w:p>
    <w:p>
      <w:pPr>
        <w:pStyle w:val="Style11"/>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月，南方电网发布《数字电网推动构建以新能源为主体的新型电力系统白皮书》，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 发布《南方电网公司建设新型电力系统行动方案</w:t>
      </w:r>
      <w:r>
        <w:rPr>
          <w:color w:val="000000"/>
          <w:spacing w:val="0"/>
          <w:w w:val="100"/>
          <w:position w:val="0"/>
        </w:rPr>
        <w:t>（</w:t>
      </w:r>
      <w:r>
        <w:rPr>
          <w:rFonts w:ascii="Times New Roman" w:eastAsia="Times New Roman" w:hAnsi="Times New Roman" w:cs="Times New Roman"/>
          <w:color w:val="000000"/>
          <w:spacing w:val="0"/>
          <w:w w:val="100"/>
          <w:position w:val="0"/>
        </w:rPr>
        <w:t>2021—2030</w:t>
      </w:r>
      <w:r>
        <w:rPr>
          <w:color w:val="000000"/>
          <w:spacing w:val="0"/>
          <w:w w:val="100"/>
          <w:position w:val="0"/>
        </w:rPr>
        <w:t>）</w:t>
      </w:r>
      <w:r>
        <w:rPr>
          <w:color w:val="000000"/>
          <w:spacing w:val="0"/>
          <w:w w:val="100"/>
          <w:position w:val="0"/>
        </w:rPr>
        <w:t>白皮书》，提出了新型电力系统建设的总 体目标以及</w:t>
      </w:r>
      <w:r>
        <w:rPr>
          <w:rFonts w:ascii="Times New Roman" w:eastAsia="Times New Roman" w:hAnsi="Times New Roman" w:cs="Times New Roman"/>
          <w:color w:val="000000"/>
          <w:spacing w:val="0"/>
          <w:w w:val="100"/>
          <w:position w:val="0"/>
        </w:rPr>
        <w:t>8</w:t>
      </w:r>
      <w:r>
        <w:rPr>
          <w:color w:val="000000"/>
          <w:spacing w:val="0"/>
          <w:w w:val="100"/>
          <w:position w:val="0"/>
        </w:rPr>
        <w:t>大领域</w:t>
      </w:r>
      <w:r>
        <w:rPr>
          <w:rFonts w:ascii="Times New Roman" w:eastAsia="Times New Roman" w:hAnsi="Times New Roman" w:cs="Times New Roman"/>
          <w:color w:val="000000"/>
          <w:spacing w:val="0"/>
          <w:w w:val="100"/>
          <w:position w:val="0"/>
        </w:rPr>
        <w:t>24</w:t>
      </w:r>
      <w:r>
        <w:rPr>
          <w:color w:val="000000"/>
          <w:spacing w:val="0"/>
          <w:w w:val="100"/>
          <w:position w:val="0"/>
        </w:rPr>
        <w:t>项重点举措。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月，南方电网公司印发《南方电网</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 xml:space="preserve">电网发展规划》， </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期间，南方电网的电网建设将规划投资约</w:t>
      </w:r>
      <w:r>
        <w:rPr>
          <w:rFonts w:ascii="Times New Roman" w:eastAsia="Times New Roman" w:hAnsi="Times New Roman" w:cs="Times New Roman"/>
          <w:color w:val="000000"/>
          <w:spacing w:val="0"/>
          <w:w w:val="100"/>
          <w:position w:val="0"/>
        </w:rPr>
        <w:t>6700</w:t>
      </w:r>
      <w:r>
        <w:rPr>
          <w:color w:val="000000"/>
          <w:spacing w:val="0"/>
          <w:w w:val="100"/>
          <w:position w:val="0"/>
        </w:rPr>
        <w:t>亿元，投资额相比十三五期间同比提升</w:t>
      </w:r>
      <w:r>
        <w:rPr>
          <w:rFonts w:ascii="Times New Roman" w:eastAsia="Times New Roman" w:hAnsi="Times New Roman" w:cs="Times New Roman"/>
          <w:color w:val="000000"/>
          <w:spacing w:val="0"/>
          <w:w w:val="100"/>
          <w:position w:val="0"/>
        </w:rPr>
        <w:t>36%</w:t>
      </w:r>
      <w:r>
        <w:rPr>
          <w:color w:val="000000"/>
          <w:spacing w:val="0"/>
          <w:w w:val="100"/>
          <w:position w:val="0"/>
        </w:rPr>
        <w:t>。规划 将配电网建设列入</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工作重点，规划投资达到</w:t>
      </w:r>
      <w:r>
        <w:rPr>
          <w:rFonts w:ascii="Times New Roman" w:eastAsia="Times New Roman" w:hAnsi="Times New Roman" w:cs="Times New Roman"/>
          <w:color w:val="000000"/>
          <w:spacing w:val="0"/>
          <w:w w:val="100"/>
          <w:position w:val="0"/>
        </w:rPr>
        <w:t>3200</w:t>
      </w:r>
      <w:r>
        <w:rPr>
          <w:color w:val="000000"/>
          <w:spacing w:val="0"/>
          <w:w w:val="100"/>
          <w:position w:val="0"/>
        </w:rPr>
        <w:t>亿元，几乎占到了总投资的一半。</w:t>
      </w:r>
    </w:p>
    <w:p>
      <w:pPr>
        <w:pStyle w:val="Style11"/>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日，国家发改委、国家能源局发布《</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现代能源体系规划》，根据规划，将推动电 力系统向适应大规模高比例新能源方向演进，积极推动源网荷储一体化发展；创新电网结构形态和运行模 式，加快配电网改造升级，积极发展以消纳新能源为主的智能微电网，稳步推广柔性直流输电；加快新型 储能技术规模化应用，大力推进电源侧储能发展，支持分布式新能源合理配置储能系统。</w:t>
      </w:r>
    </w:p>
    <w:p>
      <w:pPr>
        <w:pStyle w:val="Style11"/>
        <w:keepNext w:val="0"/>
        <w:keepLines w:val="0"/>
        <w:widowControl w:val="0"/>
        <w:shd w:val="clear" w:color="auto" w:fill="auto"/>
        <w:tabs>
          <w:tab w:pos="990" w:val="left"/>
        </w:tabs>
        <w:bidi w:val="0"/>
        <w:spacing w:before="0" w:after="0" w:line="314" w:lineRule="exact"/>
        <w:ind w:left="0" w:right="0" w:firstLine="440"/>
        <w:jc w:val="both"/>
      </w:pPr>
      <w:bookmarkStart w:id="66" w:name="bookmark66"/>
      <w:r>
        <w:rPr>
          <w:b/>
          <w:bCs/>
          <w:color w:val="000000"/>
          <w:spacing w:val="0"/>
          <w:w w:val="100"/>
          <w:position w:val="0"/>
        </w:rPr>
        <w:t>（</w:t>
      </w:r>
      <w:bookmarkEnd w:id="66"/>
      <w:r>
        <w:rPr>
          <w:b/>
          <w:bCs/>
          <w:color w:val="000000"/>
          <w:spacing w:val="0"/>
          <w:w w:val="100"/>
          <w:position w:val="0"/>
        </w:rPr>
        <w:t>二）</w:t>
        <w:tab/>
        <w:t>军工行业</w:t>
      </w:r>
    </w:p>
    <w:p>
      <w:pPr>
        <w:pStyle w:val="Style11"/>
        <w:keepNext w:val="0"/>
        <w:keepLines w:val="0"/>
        <w:widowControl w:val="0"/>
        <w:shd w:val="clear" w:color="auto" w:fill="auto"/>
        <w:bidi w:val="0"/>
        <w:spacing w:before="0" w:after="0" w:line="314" w:lineRule="exact"/>
        <w:ind w:left="0" w:right="0" w:firstLine="440"/>
        <w:jc w:val="both"/>
      </w:pPr>
      <w:bookmarkStart w:id="67" w:name="bookmark67"/>
      <w:r>
        <w:rPr>
          <w:rFonts w:ascii="Times New Roman" w:eastAsia="Times New Roman" w:hAnsi="Times New Roman" w:cs="Times New Roman"/>
          <w:b/>
          <w:bCs/>
          <w:color w:val="000000"/>
          <w:spacing w:val="0"/>
          <w:w w:val="100"/>
          <w:position w:val="0"/>
        </w:rPr>
        <w:t>1</w:t>
      </w:r>
      <w:bookmarkEnd w:id="67"/>
      <w:r>
        <w:rPr>
          <w:b/>
          <w:bCs/>
          <w:color w:val="000000"/>
          <w:spacing w:val="0"/>
          <w:w w:val="100"/>
          <w:position w:val="0"/>
        </w:rPr>
        <w:t>、子公司星波通信所处行业情况</w:t>
      </w:r>
    </w:p>
    <w:p>
      <w:pPr>
        <w:pStyle w:val="Style1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微波混合集成电路相关技术作为新一代信息技术产业的重要组成部分，广泛应用于雷达、通信、制导、 电子对抗等国防军事领域，是国防信息化、数字化、现代化建设的重要基础。</w:t>
      </w:r>
    </w:p>
    <w:p>
      <w:pPr>
        <w:pStyle w:val="Style11"/>
        <w:keepNext w:val="0"/>
        <w:keepLines w:val="0"/>
        <w:widowControl w:val="0"/>
        <w:shd w:val="clear" w:color="auto" w:fill="auto"/>
        <w:bidi w:val="0"/>
        <w:spacing w:before="0" w:after="0" w:line="314" w:lineRule="exact"/>
        <w:ind w:left="0" w:right="0" w:firstLine="440"/>
        <w:jc w:val="both"/>
      </w:pPr>
      <w:bookmarkStart w:id="68" w:name="bookmark68"/>
      <w:r>
        <w:rPr>
          <w:b/>
          <w:bCs/>
          <w:color w:val="000000"/>
          <w:spacing w:val="0"/>
          <w:w w:val="100"/>
          <w:position w:val="0"/>
        </w:rPr>
        <w:t>（</w:t>
      </w:r>
      <w:bookmarkEnd w:id="68"/>
      <w:r>
        <w:rPr>
          <w:rFonts w:ascii="Times New Roman" w:eastAsia="Times New Roman" w:hAnsi="Times New Roman" w:cs="Times New Roman"/>
          <w:b/>
          <w:bCs/>
          <w:color w:val="000000"/>
          <w:spacing w:val="0"/>
          <w:w w:val="100"/>
          <w:position w:val="0"/>
        </w:rPr>
        <w:t>1</w:t>
      </w:r>
      <w:r>
        <w:rPr>
          <w:b/>
          <w:bCs/>
          <w:color w:val="000000"/>
          <w:spacing w:val="0"/>
          <w:w w:val="100"/>
          <w:position w:val="0"/>
        </w:rPr>
        <w:t>）国防建设持续升级，微波混合集成电路相关产品市场需求巨大</w:t>
      </w:r>
    </w:p>
    <w:p>
      <w:pPr>
        <w:pStyle w:val="Style1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长期以来，我国国防开支占</w:t>
      </w:r>
      <w:r>
        <w:rPr>
          <w:rFonts w:ascii="Times New Roman" w:eastAsia="Times New Roman" w:hAnsi="Times New Roman" w:cs="Times New Roman"/>
          <w:color w:val="000000"/>
          <w:spacing w:val="0"/>
          <w:w w:val="100"/>
          <w:position w:val="0"/>
        </w:rPr>
        <w:t>GDP</w:t>
      </w:r>
      <w:r>
        <w:rPr>
          <w:color w:val="000000"/>
          <w:spacing w:val="0"/>
          <w:w w:val="100"/>
          <w:position w:val="0"/>
        </w:rPr>
        <w:t>总量比重一直低于</w:t>
      </w:r>
      <w:r>
        <w:rPr>
          <w:rFonts w:ascii="Times New Roman" w:eastAsia="Times New Roman" w:hAnsi="Times New Roman" w:cs="Times New Roman"/>
          <w:color w:val="000000"/>
          <w:spacing w:val="0"/>
          <w:w w:val="100"/>
          <w:position w:val="0"/>
        </w:rPr>
        <w:t>1.3%</w:t>
      </w:r>
      <w:r>
        <w:rPr>
          <w:color w:val="000000"/>
          <w:spacing w:val="0"/>
          <w:w w:val="100"/>
          <w:position w:val="0"/>
        </w:rPr>
        <w:t>，大大低于世界平均水平。随着国际局势的变 化和我国经济总量的提高，为弥补过去在军事领域投入的不足和适应新形势战争的需要，近年来我国军费 开始恢复性持续增长。据十三届全国人大五次会议的消息，</w:t>
      </w:r>
      <w:r>
        <w:rPr>
          <w:rFonts w:ascii="Times New Roman" w:eastAsia="Times New Roman" w:hAnsi="Times New Roman" w:cs="Times New Roman"/>
          <w:color w:val="000000"/>
          <w:spacing w:val="0"/>
          <w:w w:val="100"/>
          <w:position w:val="0"/>
        </w:rPr>
        <w:t>2022</w:t>
      </w:r>
      <w:r>
        <w:rPr>
          <w:color w:val="000000"/>
          <w:spacing w:val="0"/>
          <w:w w:val="100"/>
          <w:position w:val="0"/>
        </w:rPr>
        <w:t>年我国国防支出预算为</w:t>
      </w:r>
      <w:r>
        <w:rPr>
          <w:rFonts w:ascii="Times New Roman" w:eastAsia="Times New Roman" w:hAnsi="Times New Roman" w:cs="Times New Roman"/>
          <w:color w:val="000000"/>
          <w:spacing w:val="0"/>
          <w:w w:val="100"/>
          <w:position w:val="0"/>
        </w:rPr>
        <w:t>14,504.5</w:t>
      </w:r>
      <w:r>
        <w:rPr>
          <w:color w:val="000000"/>
          <w:spacing w:val="0"/>
          <w:w w:val="100"/>
          <w:position w:val="0"/>
        </w:rPr>
        <w:t xml:space="preserve">亿元人民 </w:t>
      </w:r>
      <w:r>
        <w:rPr>
          <w:color w:val="000000"/>
          <w:spacing w:val="0"/>
          <w:w w:val="100"/>
          <w:position w:val="0"/>
        </w:rPr>
        <w:t>币，同比增长</w:t>
      </w:r>
      <w:r>
        <w:rPr>
          <w:rFonts w:ascii="Times New Roman" w:eastAsia="Times New Roman" w:hAnsi="Times New Roman" w:cs="Times New Roman"/>
          <w:color w:val="000000"/>
          <w:spacing w:val="0"/>
          <w:w w:val="100"/>
          <w:position w:val="0"/>
        </w:rPr>
        <w:t>7.1%</w:t>
      </w:r>
      <w:r>
        <w:rPr>
          <w:color w:val="000000"/>
          <w:spacing w:val="0"/>
          <w:w w:val="100"/>
          <w:position w:val="0"/>
        </w:rPr>
        <w:t>,增速再创新高。</w:t>
      </w:r>
    </w:p>
    <w:p>
      <w:pPr>
        <w:pStyle w:val="Style1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根据《强调制定国民经济和社会发展第十四个五年规划和二</w:t>
      </w:r>
      <w:r>
        <w:rPr>
          <w:rFonts w:ascii="Times New Roman" w:eastAsia="Times New Roman" w:hAnsi="Times New Roman" w:cs="Times New Roman"/>
          <w:color w:val="000000"/>
          <w:spacing w:val="0"/>
          <w:w w:val="100"/>
          <w:position w:val="0"/>
        </w:rPr>
        <w:t>O</w:t>
      </w:r>
      <w:r>
        <w:rPr>
          <w:color w:val="000000"/>
          <w:spacing w:val="0"/>
          <w:w w:val="100"/>
          <w:position w:val="0"/>
        </w:rPr>
        <w:t>三五年远景目标的建议》，在</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 xml:space="preserve">” </w:t>
      </w:r>
      <w:r>
        <w:rPr>
          <w:color w:val="000000"/>
          <w:spacing w:val="0"/>
          <w:w w:val="100"/>
          <w:position w:val="0"/>
        </w:rPr>
        <w:t>期间国防建设将迎来新一轮升级：一方面，加速武器装备现代化，意味着新型高精尖武器装备将加速列装， 应用新技术的武器装备越来越多；加强军事训练、加强练兵备战，意味着日常消耗型的军品需求将大幅度 提升。进入</w:t>
      </w:r>
      <w:r>
        <w:rPr>
          <w:rFonts w:ascii="Times New Roman" w:eastAsia="Times New Roman" w:hAnsi="Times New Roman" w:cs="Times New Roman"/>
          <w:color w:val="000000"/>
          <w:spacing w:val="0"/>
          <w:w w:val="100"/>
          <w:position w:val="0"/>
        </w:rPr>
        <w:t>“</w:t>
      </w:r>
      <w:r>
        <w:rPr>
          <w:color w:val="000000"/>
          <w:spacing w:val="0"/>
          <w:w w:val="100"/>
          <w:position w:val="0"/>
        </w:rPr>
        <w:t>十四五''以来，在军费稳定增长及加强实战化训练的背景下，整个军工行业需求端有所保证， 军工企业业务发展持续向好。未来两年将是国防军工行业提速的关键时期，行业复合增长有望超过</w:t>
      </w:r>
      <w:r>
        <w:rPr>
          <w:rFonts w:ascii="Times New Roman" w:eastAsia="Times New Roman" w:hAnsi="Times New Roman" w:cs="Times New Roman"/>
          <w:color w:val="000000"/>
          <w:spacing w:val="0"/>
          <w:w w:val="100"/>
          <w:position w:val="0"/>
        </w:rPr>
        <w:t>30%</w:t>
      </w:r>
      <w:r>
        <w:rPr>
          <w:color w:val="000000"/>
          <w:spacing w:val="0"/>
          <w:w w:val="100"/>
          <w:position w:val="0"/>
        </w:rPr>
        <w:t>。 微波混合集成电路广泛应用于军用通信系统、雷达系统、电子对抗系统中，是军队和国防信息化、数字化 建设的重要基础之一，随着国际形势的日益严峻及国防投入的逐年增加，市场空间巨大。</w:t>
      </w:r>
    </w:p>
    <w:p>
      <w:pPr>
        <w:pStyle w:val="Style1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另一方面，在大力发展新一代装备的同时，还需要对老装备提档升级。我国武器装备多数服役时间较 早，现代化程度不高，除少量装备必须退役之外，大部分均需进行现代化改造，提高其信息战能力。在</w:t>
      </w:r>
      <w:r>
        <w:rPr>
          <w:rFonts w:ascii="Times New Roman" w:eastAsia="Times New Roman" w:hAnsi="Times New Roman" w:cs="Times New Roman"/>
          <w:color w:val="000000"/>
          <w:spacing w:val="0"/>
          <w:w w:val="100"/>
          <w:position w:val="0"/>
        </w:rPr>
        <w:t>“</w:t>
      </w:r>
      <w:r>
        <w:rPr>
          <w:color w:val="000000"/>
          <w:spacing w:val="0"/>
          <w:w w:val="100"/>
          <w:position w:val="0"/>
        </w:rPr>
        <w:t>十 四五''开局之年，国防和军队现代化新</w:t>
      </w:r>
      <w:r>
        <w:rPr>
          <w:rFonts w:ascii="Times New Roman" w:eastAsia="Times New Roman" w:hAnsi="Times New Roman" w:cs="Times New Roman"/>
          <w:color w:val="000000"/>
          <w:spacing w:val="0"/>
          <w:w w:val="100"/>
          <w:position w:val="0"/>
        </w:rPr>
        <w:t>“</w:t>
      </w:r>
      <w:r>
        <w:rPr>
          <w:color w:val="000000"/>
          <w:spacing w:val="0"/>
          <w:w w:val="100"/>
          <w:position w:val="0"/>
        </w:rPr>
        <w:t>三步走</w:t>
      </w:r>
      <w:r>
        <w:rPr>
          <w:rFonts w:ascii="Times New Roman" w:eastAsia="Times New Roman" w:hAnsi="Times New Roman" w:cs="Times New Roman"/>
          <w:color w:val="000000"/>
          <w:spacing w:val="0"/>
          <w:w w:val="100"/>
          <w:position w:val="0"/>
        </w:rPr>
        <w:t>”</w:t>
      </w:r>
      <w:r>
        <w:rPr>
          <w:color w:val="000000"/>
          <w:spacing w:val="0"/>
          <w:w w:val="100"/>
          <w:position w:val="0"/>
        </w:rPr>
        <w:t>战略。当前，以信息化为主导、以海空军为重点的武器装备 升级换代已经大规模启动，老装备的升级换代将为军用微波混合集成电路相关产品带来巨大的发展机遇。</w:t>
      </w:r>
    </w:p>
    <w:p>
      <w:pPr>
        <w:pStyle w:val="Style11"/>
        <w:keepNext w:val="0"/>
        <w:keepLines w:val="0"/>
        <w:widowControl w:val="0"/>
        <w:shd w:val="clear" w:color="auto" w:fill="auto"/>
        <w:bidi w:val="0"/>
        <w:spacing w:before="0" w:after="0" w:line="313" w:lineRule="exact"/>
        <w:ind w:left="0" w:right="0" w:firstLine="420"/>
        <w:jc w:val="both"/>
      </w:pPr>
      <w:bookmarkStart w:id="69" w:name="bookmark69"/>
      <w:r>
        <w:rPr>
          <w:b/>
          <w:bCs/>
          <w:color w:val="000000"/>
          <w:spacing w:val="0"/>
          <w:w w:val="100"/>
          <w:position w:val="0"/>
        </w:rPr>
        <w:t>（</w:t>
      </w:r>
      <w:bookmarkEnd w:id="69"/>
      <w:r>
        <w:rPr>
          <w:rFonts w:ascii="Times New Roman" w:eastAsia="Times New Roman" w:hAnsi="Times New Roman" w:cs="Times New Roman"/>
          <w:b/>
          <w:bCs/>
          <w:color w:val="000000"/>
          <w:spacing w:val="0"/>
          <w:w w:val="100"/>
          <w:position w:val="0"/>
        </w:rPr>
        <w:t>2</w:t>
      </w:r>
      <w:r>
        <w:rPr>
          <w:b/>
          <w:bCs/>
          <w:color w:val="000000"/>
          <w:spacing w:val="0"/>
          <w:w w:val="100"/>
          <w:position w:val="0"/>
        </w:rPr>
        <w:t>）军民融合是国防军工改革的发展趋势，优秀的民营企业迎来巨大机遇</w:t>
      </w:r>
    </w:p>
    <w:p>
      <w:pPr>
        <w:pStyle w:val="Style1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随着科技产业革命和新军事变革的迅猛发展，国防经济与社会经济、军事技术与民用技术的界限趋于 模糊，军民融合式发展已成为顺应世界新军事变革发展的大趋势。军民融合是指把国防和军队现代化建设 融入经济社会发展体系之中，主要包括两个方向：一是军转民，即军工技术向民用生产领域转移；二是民 参军，即通过鼓励和引导非公有制经济参与到国防科技工业体系中来，提升军品研制效率。</w:t>
      </w:r>
    </w:p>
    <w:p>
      <w:pPr>
        <w:pStyle w:val="Style11"/>
        <w:keepNext w:val="0"/>
        <w:keepLines w:val="0"/>
        <w:widowControl w:val="0"/>
        <w:shd w:val="clear" w:color="auto" w:fill="auto"/>
        <w:bidi w:val="0"/>
        <w:spacing w:before="0" w:after="0" w:line="313" w:lineRule="exact"/>
        <w:ind w:left="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月，中共中央政治局会议审议通过《关于经济建设和国防建设融合发展的意见》，军民融合 正式上升为国家战略。自军民融合上升为国家战略以来，从中央到地方、从政策支持到资金配套，军民融 合格局初步显现。国家制定了</w:t>
      </w:r>
      <w:r>
        <w:rPr>
          <w:rFonts w:ascii="Times New Roman" w:eastAsia="Times New Roman" w:hAnsi="Times New Roman" w:cs="Times New Roman"/>
          <w:color w:val="000000"/>
          <w:spacing w:val="0"/>
          <w:w w:val="100"/>
          <w:position w:val="0"/>
        </w:rPr>
        <w:t>“</w:t>
      </w:r>
      <w:r>
        <w:rPr>
          <w:color w:val="000000"/>
          <w:spacing w:val="0"/>
          <w:w w:val="100"/>
          <w:position w:val="0"/>
        </w:rPr>
        <w:t>十三五''时期军民融合发展蓝图，</w:t>
      </w:r>
      <w:r>
        <w:rPr>
          <w:rFonts w:ascii="Times New Roman" w:eastAsia="Times New Roman" w:hAnsi="Times New Roman" w:cs="Times New Roman"/>
          <w:color w:val="000000"/>
          <w:spacing w:val="0"/>
          <w:w w:val="100"/>
          <w:position w:val="0"/>
        </w:rPr>
        <w:t>20</w:t>
      </w:r>
      <w:r>
        <w:rPr>
          <w:color w:val="000000"/>
          <w:spacing w:val="0"/>
          <w:w w:val="100"/>
          <w:position w:val="0"/>
        </w:rPr>
        <w:t>多个省出台了地方军民融合发展规划， 国内军民融合正向纵深发展，军民融合趋势将进一步加强。随着军民融资的深度推进，具有强大研发实力、 优秀管理团队、良好市场声誉的民营企业将迎来巨大的成长空间。</w:t>
      </w:r>
    </w:p>
    <w:p>
      <w:pPr>
        <w:pStyle w:val="Style11"/>
        <w:keepNext w:val="0"/>
        <w:keepLines w:val="0"/>
        <w:widowControl w:val="0"/>
        <w:shd w:val="clear" w:color="auto" w:fill="auto"/>
        <w:bidi w:val="0"/>
        <w:spacing w:before="0" w:after="0" w:line="313" w:lineRule="exact"/>
        <w:ind w:left="0" w:right="0" w:firstLine="420"/>
        <w:jc w:val="both"/>
      </w:pPr>
      <w:bookmarkStart w:id="70" w:name="bookmark70"/>
      <w:r>
        <w:rPr>
          <w:rFonts w:ascii="Times New Roman" w:eastAsia="Times New Roman" w:hAnsi="Times New Roman" w:cs="Times New Roman"/>
          <w:b/>
          <w:bCs/>
          <w:color w:val="000000"/>
          <w:spacing w:val="0"/>
          <w:w w:val="100"/>
          <w:position w:val="0"/>
        </w:rPr>
        <w:t>2</w:t>
      </w:r>
      <w:bookmarkEnd w:id="70"/>
      <w:r>
        <w:rPr>
          <w:b/>
          <w:bCs/>
          <w:color w:val="000000"/>
          <w:spacing w:val="0"/>
          <w:w w:val="100"/>
          <w:position w:val="0"/>
        </w:rPr>
        <w:t>、子公司成都鼎屹所处行业情况</w:t>
      </w:r>
    </w:p>
    <w:p>
      <w:pPr>
        <w:pStyle w:val="Style1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军工企业占据红外产业主要市场份额，红外产业链可以分为上游红外探测器，中游的机芯和下游的红 外整机三大部分。目前，国内参与红外产业链的企业可以分为军工企业、中科院下属单位和民营企业三大 类型。由于我国红外市场以军用红外应用为主导，因此军工企业占据着红外市场大部分市场份额，并且在 军事应用已相当广泛，如已广泛应用于制导、火控、瞄准、侦察和监视等。</w:t>
      </w:r>
    </w:p>
    <w:p>
      <w:pPr>
        <w:pStyle w:val="Style11"/>
        <w:keepNext w:val="0"/>
        <w:keepLines w:val="0"/>
        <w:widowControl w:val="0"/>
        <w:shd w:val="clear" w:color="auto" w:fill="auto"/>
        <w:tabs>
          <w:tab w:pos="853" w:val="left"/>
        </w:tabs>
        <w:bidi w:val="0"/>
        <w:spacing w:before="0" w:after="0" w:line="313" w:lineRule="exact"/>
        <w:ind w:left="0" w:right="0" w:firstLine="420"/>
        <w:jc w:val="both"/>
      </w:pPr>
      <w:bookmarkStart w:id="71" w:name="bookmark71"/>
      <w:r>
        <w:rPr>
          <w:b/>
          <w:bCs/>
          <w:color w:val="000000"/>
          <w:spacing w:val="0"/>
          <w:w w:val="100"/>
          <w:position w:val="0"/>
        </w:rPr>
        <w:t>（</w:t>
      </w:r>
      <w:bookmarkEnd w:id="7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外夜视设备将广泛应用于各军种</w:t>
      </w:r>
    </w:p>
    <w:p>
      <w:pPr>
        <w:pStyle w:val="Style1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随着红外热成像技术的发展和成熟，其在军事领域的应用越来越广泛。红外热成像技术利用了红外辐 射</w:t>
      </w:r>
      <w:r>
        <w:rPr>
          <w:rFonts w:ascii="Times New Roman" w:eastAsia="Times New Roman" w:hAnsi="Times New Roman" w:cs="Times New Roman"/>
          <w:color w:val="000000"/>
          <w:spacing w:val="0"/>
          <w:w w:val="100"/>
          <w:position w:val="0"/>
        </w:rPr>
        <w:t>“</w:t>
      </w:r>
      <w:r>
        <w:rPr>
          <w:color w:val="000000"/>
          <w:spacing w:val="0"/>
          <w:w w:val="100"/>
          <w:position w:val="0"/>
        </w:rPr>
        <w:t>大气窗口</w:t>
      </w:r>
      <w:r>
        <w:rPr>
          <w:rFonts w:ascii="Times New Roman" w:eastAsia="Times New Roman" w:hAnsi="Times New Roman" w:cs="Times New Roman"/>
          <w:color w:val="000000"/>
          <w:spacing w:val="0"/>
          <w:w w:val="100"/>
          <w:position w:val="0"/>
        </w:rPr>
        <w:t>”</w:t>
      </w:r>
      <w:r>
        <w:rPr>
          <w:color w:val="000000"/>
          <w:spacing w:val="0"/>
          <w:w w:val="100"/>
          <w:position w:val="0"/>
        </w:rPr>
        <w:t>和其不易被烟雾吸收的特点。将其应用到观测、引导及夜视监控等领域。具体领域包括武器 瞄准镜、精确制导、夜间行驶和飞机起飞与着落等，在我国，红外夜视设备已配置在陆军、空军、海军等 各个军种中。并且，红外夜视设备价格随着技术进步逐渐下降，在国防信息化建设的驱动下，各军种将大 量装备红外夜视相关设备，在未来军工行业存在巨大的发展机遇。</w:t>
      </w:r>
    </w:p>
    <w:p>
      <w:pPr>
        <w:pStyle w:val="Style11"/>
        <w:keepNext w:val="0"/>
        <w:keepLines w:val="0"/>
        <w:widowControl w:val="0"/>
        <w:shd w:val="clear" w:color="auto" w:fill="auto"/>
        <w:tabs>
          <w:tab w:pos="853" w:val="left"/>
        </w:tabs>
        <w:bidi w:val="0"/>
        <w:spacing w:before="0" w:after="0" w:line="313" w:lineRule="exact"/>
        <w:ind w:left="0" w:right="0" w:firstLine="420"/>
        <w:jc w:val="both"/>
      </w:pPr>
      <w:bookmarkStart w:id="72" w:name="bookmark72"/>
      <w:r>
        <w:rPr>
          <w:b/>
          <w:bCs/>
          <w:color w:val="000000"/>
          <w:spacing w:val="0"/>
          <w:w w:val="100"/>
          <w:position w:val="0"/>
        </w:rPr>
        <w:t>（</w:t>
      </w:r>
      <w:bookmarkEnd w:id="7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十四五夜视专项</w:t>
      </w:r>
      <w:r>
        <w:rPr>
          <w:rFonts w:ascii="Times New Roman" w:eastAsia="Times New Roman" w:hAnsi="Times New Roman" w:cs="Times New Roman"/>
          <w:b/>
          <w:bCs/>
          <w:color w:val="000000"/>
          <w:spacing w:val="0"/>
          <w:w w:val="100"/>
          <w:position w:val="0"/>
        </w:rPr>
        <w:t>”</w:t>
      </w:r>
      <w:r>
        <w:rPr>
          <w:b/>
          <w:bCs/>
          <w:color w:val="000000"/>
          <w:spacing w:val="0"/>
          <w:w w:val="100"/>
          <w:position w:val="0"/>
        </w:rPr>
        <w:t>政策将会持续利好行业发展</w:t>
      </w:r>
    </w:p>
    <w:p>
      <w:pPr>
        <w:pStyle w:val="Style1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政策是重要的驱动因素，国务院先后出台三项与红外夜视设备密切相关的政策文件，为红外夜视设备 行业发展奠定了重要政策基础，在夜视行业发挥了重要影响。在统一化进程加快、精细化管理需求的加持 下，红外夜视设备需求迎来快速释放；同时，军工智能化应用进入实质性落地阶段，创新业务愈加清晰、 格局优化使得红外相关行业优势更加明显。随着利好政策的加持，行业集中度不断提升，红外夜视行业前 景广阔。</w:t>
      </w:r>
    </w:p>
    <w:p>
      <w:pPr>
        <w:pStyle w:val="Style11"/>
        <w:keepNext w:val="0"/>
        <w:keepLines w:val="0"/>
        <w:widowControl w:val="0"/>
        <w:shd w:val="clear" w:color="auto" w:fill="auto"/>
        <w:bidi w:val="0"/>
        <w:spacing w:before="0" w:after="0" w:line="313" w:lineRule="exact"/>
        <w:ind w:left="0" w:right="0" w:firstLine="420"/>
        <w:jc w:val="both"/>
      </w:pPr>
      <w:bookmarkStart w:id="73" w:name="bookmark73"/>
      <w:r>
        <w:rPr>
          <w:b/>
          <w:bCs/>
          <w:color w:val="000000"/>
          <w:spacing w:val="0"/>
          <w:w w:val="100"/>
          <w:position w:val="0"/>
        </w:rPr>
        <w:t>（</w:t>
      </w:r>
      <w:bookmarkEnd w:id="73"/>
      <w:r>
        <w:rPr>
          <w:b/>
          <w:bCs/>
          <w:color w:val="000000"/>
          <w:spacing w:val="0"/>
          <w:w w:val="100"/>
          <w:position w:val="0"/>
        </w:rPr>
        <w:t>三）铁路与轨道交通行业</w:t>
      </w:r>
    </w:p>
    <w:p>
      <w:pPr>
        <w:pStyle w:val="Style1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铁路是关系国计民生的交通大动脉，对促进国民经济的发展和社会进步都起到了重要作用，是国家大 力扶植的产业。铁路牵引变压器是电气化铁路牵引供电系统的关键设备，铁路牵引变压器行业的发展与铁 路建设规划及投资直接相关。</w:t>
      </w:r>
    </w:p>
    <w:p>
      <w:pPr>
        <w:pStyle w:val="Style11"/>
        <w:keepNext w:val="0"/>
        <w:keepLines w:val="0"/>
        <w:widowControl w:val="0"/>
        <w:shd w:val="clear" w:color="auto" w:fill="auto"/>
        <w:bidi w:val="0"/>
        <w:spacing w:before="0" w:after="0" w:line="313" w:lineRule="exact"/>
        <w:ind w:left="0" w:right="0" w:firstLine="420"/>
        <w:jc w:val="both"/>
      </w:pPr>
      <w:bookmarkStart w:id="74" w:name="bookmark74"/>
      <w:r>
        <w:rPr>
          <w:b/>
          <w:bCs/>
          <w:color w:val="000000"/>
          <w:spacing w:val="0"/>
          <w:w w:val="100"/>
          <w:position w:val="0"/>
        </w:rPr>
        <w:t>（</w:t>
      </w:r>
      <w:bookmarkEnd w:id="74"/>
      <w:r>
        <w:rPr>
          <w:rFonts w:ascii="Times New Roman" w:eastAsia="Times New Roman" w:hAnsi="Times New Roman" w:cs="Times New Roman"/>
          <w:b/>
          <w:bCs/>
          <w:color w:val="000000"/>
          <w:spacing w:val="0"/>
          <w:w w:val="100"/>
          <w:position w:val="0"/>
        </w:rPr>
        <w:t>1</w:t>
      </w:r>
      <w:r>
        <w:rPr>
          <w:b/>
          <w:bCs/>
          <w:color w:val="000000"/>
          <w:spacing w:val="0"/>
          <w:w w:val="100"/>
          <w:position w:val="0"/>
        </w:rPr>
        <w:t>）铁路行业是我国战略性新兴产业，我国产业政策大力推动我国铁路行业快速发展</w:t>
      </w:r>
    </w:p>
    <w:p>
      <w:pPr>
        <w:pStyle w:val="Style11"/>
        <w:keepNext w:val="0"/>
        <w:keepLines w:val="0"/>
        <w:widowControl w:val="0"/>
        <w:shd w:val="clear" w:color="auto" w:fill="auto"/>
        <w:bidi w:val="0"/>
        <w:spacing w:before="0" w:after="0" w:line="311" w:lineRule="exact"/>
        <w:ind w:left="0" w:right="0" w:firstLine="420"/>
        <w:jc w:val="both"/>
      </w:pPr>
      <w:r>
        <w:rPr>
          <w:color w:val="000000"/>
          <w:spacing w:val="0"/>
          <w:w w:val="100"/>
          <w:position w:val="0"/>
        </w:rPr>
        <w:t>目前，我国建成了世界上最现代化的铁路网和最发达的高铁网，铁路运输安全持续稳定，杜绝了重大 及以上铁路交通事故，是我国铁路历史上安全最稳定的时期。铁路运输供给质量大幅提高，客货运量均创 历史最高纪录。运输密度等主要运输指标位居世界第一，运营规模、服务能力、运输效率达到世界先进水 平，为经济社会发展提供了可靠的铁路运输保障。铁路科技创新取得显著成就，高速铁路、重载铁路、高 原高寒铁路技术均达到世界领先水平，智能铁路科技创新实现重大突破，运营安全服务技术水平显著提升。</w:t>
      </w:r>
    </w:p>
    <w:p>
      <w:pPr>
        <w:pStyle w:val="Style11"/>
        <w:keepNext w:val="0"/>
        <w:keepLines w:val="0"/>
        <w:widowControl w:val="0"/>
        <w:shd w:val="clear" w:color="auto" w:fill="auto"/>
        <w:tabs>
          <w:tab w:pos="887" w:val="left"/>
        </w:tabs>
        <w:bidi w:val="0"/>
        <w:spacing w:before="0" w:after="0" w:line="311" w:lineRule="exact"/>
        <w:ind w:left="0" w:right="0" w:firstLine="420"/>
        <w:jc w:val="both"/>
      </w:pPr>
      <w:bookmarkStart w:id="75" w:name="bookmark75"/>
      <w:r>
        <w:rPr>
          <w:b/>
          <w:bCs/>
          <w:color w:val="000000"/>
          <w:spacing w:val="0"/>
          <w:w w:val="100"/>
          <w:position w:val="0"/>
        </w:rPr>
        <w:t>（</w:t>
      </w:r>
      <w:bookmarkEnd w:id="7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八横八纵</w:t>
      </w:r>
      <w:r>
        <w:rPr>
          <w:rFonts w:ascii="Times New Roman" w:eastAsia="Times New Roman" w:hAnsi="Times New Roman" w:cs="Times New Roman"/>
          <w:b/>
          <w:bCs/>
          <w:color w:val="000000"/>
          <w:spacing w:val="0"/>
          <w:w w:val="100"/>
          <w:position w:val="0"/>
        </w:rPr>
        <w:t>”</w:t>
      </w:r>
      <w:r>
        <w:rPr>
          <w:b/>
          <w:bCs/>
          <w:color w:val="000000"/>
          <w:spacing w:val="0"/>
          <w:w w:val="100"/>
          <w:position w:val="0"/>
        </w:rPr>
        <w:t>高铁规划加快高铁建设进度，产业保持长期景气</w:t>
      </w:r>
    </w:p>
    <w:p>
      <w:pPr>
        <w:pStyle w:val="Style11"/>
        <w:keepNext w:val="0"/>
        <w:keepLines w:val="0"/>
        <w:widowControl w:val="0"/>
        <w:shd w:val="clear" w:color="auto" w:fill="auto"/>
        <w:bidi w:val="0"/>
        <w:spacing w:before="0" w:after="0" w:line="311" w:lineRule="exact"/>
        <w:ind w:left="0" w:right="0" w:firstLine="420"/>
        <w:jc w:val="both"/>
      </w:pPr>
      <w:r>
        <w:rPr>
          <w:color w:val="000000"/>
          <w:spacing w:val="0"/>
          <w:w w:val="100"/>
          <w:position w:val="0"/>
        </w:rPr>
        <w:t>我国已基本建成</w:t>
      </w:r>
      <w:r>
        <w:rPr>
          <w:rFonts w:ascii="Times New Roman" w:eastAsia="Times New Roman" w:hAnsi="Times New Roman" w:cs="Times New Roman"/>
          <w:color w:val="000000"/>
          <w:spacing w:val="0"/>
          <w:w w:val="100"/>
          <w:position w:val="0"/>
        </w:rPr>
        <w:t>“</w:t>
      </w:r>
      <w:r>
        <w:rPr>
          <w:color w:val="000000"/>
          <w:spacing w:val="0"/>
          <w:w w:val="100"/>
          <w:position w:val="0"/>
        </w:rPr>
        <w:t>四纵四横</w:t>
      </w:r>
      <w:r>
        <w:rPr>
          <w:rFonts w:ascii="Times New Roman" w:eastAsia="Times New Roman" w:hAnsi="Times New Roman" w:cs="Times New Roman"/>
          <w:color w:val="000000"/>
          <w:spacing w:val="0"/>
          <w:w w:val="100"/>
          <w:position w:val="0"/>
        </w:rPr>
        <w:t>”</w:t>
      </w:r>
      <w:r>
        <w:rPr>
          <w:color w:val="000000"/>
          <w:spacing w:val="0"/>
          <w:w w:val="100"/>
          <w:position w:val="0"/>
        </w:rPr>
        <w:t>高速铁路网络。以</w:t>
      </w:r>
      <w:r>
        <w:rPr>
          <w:rFonts w:ascii="Times New Roman" w:eastAsia="Times New Roman" w:hAnsi="Times New Roman" w:cs="Times New Roman"/>
          <w:color w:val="000000"/>
          <w:spacing w:val="0"/>
          <w:w w:val="100"/>
          <w:position w:val="0"/>
        </w:rPr>
        <w:t>“</w:t>
      </w:r>
      <w:r>
        <w:rPr>
          <w:color w:val="000000"/>
          <w:spacing w:val="0"/>
          <w:w w:val="100"/>
          <w:position w:val="0"/>
        </w:rPr>
        <w:t>八纵八横''高速铁路主通道为主骨架，以高速铁路区域 连接线衔接，以部分兼顾干线功能的城际铁路为补充，主要采用</w:t>
      </w:r>
      <w:r>
        <w:rPr>
          <w:rFonts w:ascii="Times New Roman" w:eastAsia="Times New Roman" w:hAnsi="Times New Roman" w:cs="Times New Roman"/>
          <w:color w:val="000000"/>
          <w:spacing w:val="0"/>
          <w:w w:val="100"/>
          <w:position w:val="0"/>
        </w:rPr>
        <w:t>250</w:t>
      </w:r>
      <w:r>
        <w:rPr>
          <w:color w:val="000000"/>
          <w:spacing w:val="0"/>
          <w:w w:val="100"/>
          <w:position w:val="0"/>
        </w:rPr>
        <w:t xml:space="preserve">公里及以上时速标准的高速铁路网对 </w:t>
      </w:r>
      <w:r>
        <w:rPr>
          <w:rFonts w:ascii="Times New Roman" w:eastAsia="Times New Roman" w:hAnsi="Times New Roman" w:cs="Times New Roman"/>
          <w:color w:val="000000"/>
          <w:spacing w:val="0"/>
          <w:w w:val="100"/>
          <w:position w:val="0"/>
        </w:rPr>
        <w:t>50</w:t>
      </w:r>
      <w:r>
        <w:rPr>
          <w:color w:val="000000"/>
          <w:spacing w:val="0"/>
          <w:w w:val="100"/>
          <w:position w:val="0"/>
        </w:rPr>
        <w:t>万人口以上城市覆盖率达到</w:t>
      </w:r>
      <w:r>
        <w:rPr>
          <w:rFonts w:ascii="Times New Roman" w:eastAsia="Times New Roman" w:hAnsi="Times New Roman" w:cs="Times New Roman"/>
          <w:color w:val="000000"/>
          <w:spacing w:val="0"/>
          <w:w w:val="100"/>
          <w:position w:val="0"/>
        </w:rPr>
        <w:t>95%</w:t>
      </w:r>
      <w:r>
        <w:rPr>
          <w:color w:val="000000"/>
          <w:spacing w:val="0"/>
          <w:w w:val="100"/>
          <w:position w:val="0"/>
        </w:rPr>
        <w:t>以上，普速铁路瓶颈路段基本消除。</w:t>
      </w:r>
      <w:r>
        <w:rPr>
          <w:rFonts w:ascii="Times New Roman" w:eastAsia="Times New Roman" w:hAnsi="Times New Roman" w:cs="Times New Roman"/>
          <w:color w:val="000000"/>
          <w:spacing w:val="0"/>
          <w:w w:val="100"/>
          <w:position w:val="0"/>
        </w:rPr>
        <w:t>2021</w:t>
      </w:r>
      <w:r>
        <w:rPr>
          <w:color w:val="000000"/>
          <w:spacing w:val="0"/>
          <w:w w:val="100"/>
          <w:position w:val="0"/>
        </w:rPr>
        <w:t>年，全国铁路完成固定资产投 资</w:t>
      </w:r>
      <w:r>
        <w:rPr>
          <w:rFonts w:ascii="Times New Roman" w:eastAsia="Times New Roman" w:hAnsi="Times New Roman" w:cs="Times New Roman"/>
          <w:color w:val="000000"/>
          <w:spacing w:val="0"/>
          <w:w w:val="100"/>
          <w:position w:val="0"/>
        </w:rPr>
        <w:t>7489</w:t>
      </w:r>
      <w:r>
        <w:rPr>
          <w:color w:val="000000"/>
          <w:spacing w:val="0"/>
          <w:w w:val="100"/>
          <w:position w:val="0"/>
        </w:rPr>
        <w:t>亿元，一批国家重点工程如期开通运营，中国高铁运营里程突破</w:t>
      </w:r>
      <w:r>
        <w:rPr>
          <w:rFonts w:ascii="Times New Roman" w:eastAsia="Times New Roman" w:hAnsi="Times New Roman" w:cs="Times New Roman"/>
          <w:color w:val="000000"/>
          <w:spacing w:val="0"/>
          <w:w w:val="100"/>
          <w:position w:val="0"/>
        </w:rPr>
        <w:t>4</w:t>
      </w:r>
      <w:r>
        <w:rPr>
          <w:color w:val="000000"/>
          <w:spacing w:val="0"/>
          <w:w w:val="100"/>
          <w:position w:val="0"/>
        </w:rPr>
        <w:t>万公里。全国投产新线</w:t>
      </w:r>
      <w:r>
        <w:rPr>
          <w:rFonts w:ascii="Times New Roman" w:eastAsia="Times New Roman" w:hAnsi="Times New Roman" w:cs="Times New Roman"/>
          <w:color w:val="000000"/>
          <w:spacing w:val="0"/>
          <w:w w:val="100"/>
          <w:position w:val="0"/>
        </w:rPr>
        <w:t>4208</w:t>
      </w:r>
      <w:r>
        <w:rPr>
          <w:color w:val="000000"/>
          <w:spacing w:val="0"/>
          <w:w w:val="100"/>
          <w:position w:val="0"/>
        </w:rPr>
        <w:t>公里， 其中高铁</w:t>
      </w:r>
      <w:r>
        <w:rPr>
          <w:rFonts w:ascii="Times New Roman" w:eastAsia="Times New Roman" w:hAnsi="Times New Roman" w:cs="Times New Roman"/>
          <w:color w:val="000000"/>
          <w:spacing w:val="0"/>
          <w:w w:val="100"/>
          <w:position w:val="0"/>
        </w:rPr>
        <w:t>2168</w:t>
      </w:r>
      <w:r>
        <w:rPr>
          <w:color w:val="000000"/>
          <w:spacing w:val="0"/>
          <w:w w:val="100"/>
          <w:position w:val="0"/>
        </w:rPr>
        <w:t>公里，全面完成了年度铁路建设任务。截至</w:t>
      </w:r>
      <w:r>
        <w:rPr>
          <w:rFonts w:ascii="Times New Roman" w:eastAsia="Times New Roman" w:hAnsi="Times New Roman" w:cs="Times New Roman"/>
          <w:color w:val="000000"/>
          <w:spacing w:val="0"/>
          <w:w w:val="100"/>
          <w:position w:val="0"/>
        </w:rPr>
        <w:t>2021</w:t>
      </w:r>
      <w:r>
        <w:rPr>
          <w:color w:val="000000"/>
          <w:spacing w:val="0"/>
          <w:w w:val="100"/>
          <w:position w:val="0"/>
        </w:rPr>
        <w:t>年底，全国铁路营业里程突破</w:t>
      </w:r>
      <w:r>
        <w:rPr>
          <w:rFonts w:ascii="Times New Roman" w:eastAsia="Times New Roman" w:hAnsi="Times New Roman" w:cs="Times New Roman"/>
          <w:color w:val="000000"/>
          <w:spacing w:val="0"/>
          <w:w w:val="100"/>
          <w:position w:val="0"/>
        </w:rPr>
        <w:t>15</w:t>
      </w:r>
      <w:r>
        <w:rPr>
          <w:color w:val="000000"/>
          <w:spacing w:val="0"/>
          <w:w w:val="100"/>
          <w:position w:val="0"/>
        </w:rPr>
        <w:t>万公里，其 中高铁超过</w:t>
      </w:r>
      <w:r>
        <w:rPr>
          <w:rFonts w:ascii="Times New Roman" w:eastAsia="Times New Roman" w:hAnsi="Times New Roman" w:cs="Times New Roman"/>
          <w:color w:val="000000"/>
          <w:spacing w:val="0"/>
          <w:w w:val="100"/>
          <w:position w:val="0"/>
        </w:rPr>
        <w:t>4</w:t>
      </w:r>
      <w:r>
        <w:rPr>
          <w:color w:val="000000"/>
          <w:spacing w:val="0"/>
          <w:w w:val="100"/>
          <w:position w:val="0"/>
        </w:rPr>
        <w:t>万公里。全年完成投资</w:t>
      </w:r>
      <w:r>
        <w:rPr>
          <w:rFonts w:ascii="Times New Roman" w:eastAsia="Times New Roman" w:hAnsi="Times New Roman" w:cs="Times New Roman"/>
          <w:color w:val="000000"/>
          <w:spacing w:val="0"/>
          <w:w w:val="100"/>
          <w:position w:val="0"/>
        </w:rPr>
        <w:t>3728.8</w:t>
      </w:r>
      <w:r>
        <w:rPr>
          <w:color w:val="000000"/>
          <w:spacing w:val="0"/>
          <w:w w:val="100"/>
          <w:position w:val="0"/>
        </w:rPr>
        <w:t>亿元、占铁路基建投资的</w:t>
      </w:r>
      <w:r>
        <w:rPr>
          <w:rFonts w:ascii="Times New Roman" w:eastAsia="Times New Roman" w:hAnsi="Times New Roman" w:cs="Times New Roman"/>
          <w:color w:val="000000"/>
          <w:spacing w:val="0"/>
          <w:w w:val="100"/>
          <w:position w:val="0"/>
        </w:rPr>
        <w:t>74.9%</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期间预计每年高铁开 通新线约</w:t>
      </w:r>
      <w:r>
        <w:rPr>
          <w:rFonts w:ascii="Times New Roman" w:eastAsia="Times New Roman" w:hAnsi="Times New Roman" w:cs="Times New Roman"/>
          <w:color w:val="000000"/>
          <w:spacing w:val="0"/>
          <w:w w:val="100"/>
          <w:position w:val="0"/>
        </w:rPr>
        <w:t>3000</w:t>
      </w:r>
      <w:r>
        <w:rPr>
          <w:color w:val="000000"/>
          <w:spacing w:val="0"/>
          <w:w w:val="100"/>
          <w:position w:val="0"/>
        </w:rPr>
        <w:t>公里，</w:t>
      </w:r>
      <w:r>
        <w:rPr>
          <w:rFonts w:ascii="Times New Roman" w:eastAsia="Times New Roman" w:hAnsi="Times New Roman" w:cs="Times New Roman"/>
          <w:color w:val="000000"/>
          <w:spacing w:val="0"/>
          <w:w w:val="100"/>
          <w:position w:val="0"/>
        </w:rPr>
        <w:t>2025</w:t>
      </w:r>
      <w:r>
        <w:rPr>
          <w:color w:val="000000"/>
          <w:spacing w:val="0"/>
          <w:w w:val="100"/>
          <w:position w:val="0"/>
        </w:rPr>
        <w:t>年高铁由</w:t>
      </w:r>
      <w:r>
        <w:rPr>
          <w:rFonts w:ascii="Times New Roman" w:eastAsia="Times New Roman" w:hAnsi="Times New Roman" w:cs="Times New Roman"/>
          <w:color w:val="000000"/>
          <w:spacing w:val="0"/>
          <w:w w:val="100"/>
          <w:position w:val="0"/>
        </w:rPr>
        <w:t>3.79</w:t>
      </w:r>
      <w:r>
        <w:rPr>
          <w:color w:val="000000"/>
          <w:spacing w:val="0"/>
          <w:w w:val="100"/>
          <w:position w:val="0"/>
        </w:rPr>
        <w:t>万公里增加到</w:t>
      </w:r>
      <w:r>
        <w:rPr>
          <w:rFonts w:ascii="Times New Roman" w:eastAsia="Times New Roman" w:hAnsi="Times New Roman" w:cs="Times New Roman"/>
          <w:color w:val="000000"/>
          <w:spacing w:val="0"/>
          <w:w w:val="100"/>
          <w:position w:val="0"/>
        </w:rPr>
        <w:t>5.3</w:t>
      </w:r>
      <w:r>
        <w:rPr>
          <w:color w:val="000000"/>
          <w:spacing w:val="0"/>
          <w:w w:val="100"/>
          <w:position w:val="0"/>
        </w:rPr>
        <w:t>万公里。根据《中长期铁路网规划</w:t>
      </w:r>
      <w:r>
        <w:rPr>
          <w:color w:val="000000"/>
          <w:spacing w:val="0"/>
          <w:w w:val="100"/>
          <w:position w:val="0"/>
        </w:rPr>
        <w:t>（</w:t>
      </w:r>
      <w:r>
        <w:rPr>
          <w:rFonts w:ascii="Times New Roman" w:eastAsia="Times New Roman" w:hAnsi="Times New Roman" w:cs="Times New Roman"/>
          <w:color w:val="000000"/>
          <w:spacing w:val="0"/>
          <w:w w:val="100"/>
          <w:position w:val="0"/>
        </w:rPr>
        <w:t>2016-2030</w:t>
      </w:r>
      <w:r>
        <w:rPr>
          <w:color w:val="000000"/>
          <w:spacing w:val="0"/>
          <w:w w:val="100"/>
          <w:position w:val="0"/>
        </w:rPr>
        <w:t>）》， 到</w:t>
      </w:r>
      <w:r>
        <w:rPr>
          <w:rFonts w:ascii="Times New Roman" w:eastAsia="Times New Roman" w:hAnsi="Times New Roman" w:cs="Times New Roman"/>
          <w:color w:val="000000"/>
          <w:spacing w:val="0"/>
          <w:w w:val="100"/>
          <w:position w:val="0"/>
        </w:rPr>
        <w:t>2030</w:t>
      </w:r>
      <w:r>
        <w:rPr>
          <w:color w:val="000000"/>
          <w:spacing w:val="0"/>
          <w:w w:val="100"/>
          <w:position w:val="0"/>
        </w:rPr>
        <w:t>年，基本实现内外互联互通、区际多路畅通、省会高铁联通、地市快速通达、县域基本覆盖。</w:t>
      </w:r>
    </w:p>
    <w:p>
      <w:pPr>
        <w:pStyle w:val="Style11"/>
        <w:keepNext w:val="0"/>
        <w:keepLines w:val="0"/>
        <w:widowControl w:val="0"/>
        <w:shd w:val="clear" w:color="auto" w:fill="auto"/>
        <w:tabs>
          <w:tab w:pos="951" w:val="left"/>
        </w:tabs>
        <w:bidi w:val="0"/>
        <w:spacing w:before="0" w:after="0" w:line="311" w:lineRule="exact"/>
        <w:ind w:left="0" w:right="0" w:firstLine="420"/>
        <w:jc w:val="both"/>
      </w:pPr>
      <w:bookmarkStart w:id="76" w:name="bookmark76"/>
      <w:r>
        <w:rPr>
          <w:b/>
          <w:bCs/>
          <w:color w:val="000000"/>
          <w:spacing w:val="0"/>
          <w:w w:val="100"/>
          <w:position w:val="0"/>
        </w:rPr>
        <w:t>（</w:t>
      </w:r>
      <w:bookmarkEnd w:id="76"/>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城际高速铁路和城市轨迹交通等</w:t>
      </w:r>
      <w:r>
        <w:rPr>
          <w:rFonts w:ascii="Times New Roman" w:eastAsia="Times New Roman" w:hAnsi="Times New Roman" w:cs="Times New Roman"/>
          <w:b/>
          <w:bCs/>
          <w:color w:val="000000"/>
          <w:spacing w:val="0"/>
          <w:w w:val="100"/>
          <w:position w:val="0"/>
        </w:rPr>
        <w:t>“</w:t>
      </w:r>
      <w:r>
        <w:rPr>
          <w:b/>
          <w:bCs/>
          <w:color w:val="000000"/>
          <w:spacing w:val="0"/>
          <w:w w:val="100"/>
          <w:position w:val="0"/>
        </w:rPr>
        <w:t>新基建</w:t>
      </w:r>
      <w:r>
        <w:rPr>
          <w:rFonts w:ascii="Times New Roman" w:eastAsia="Times New Roman" w:hAnsi="Times New Roman" w:cs="Times New Roman"/>
          <w:b/>
          <w:bCs/>
          <w:color w:val="000000"/>
          <w:spacing w:val="0"/>
          <w:w w:val="100"/>
          <w:position w:val="0"/>
        </w:rPr>
        <w:t>”</w:t>
      </w:r>
      <w:r>
        <w:rPr>
          <w:b/>
          <w:bCs/>
          <w:color w:val="000000"/>
          <w:spacing w:val="0"/>
          <w:w w:val="100"/>
          <w:position w:val="0"/>
        </w:rPr>
        <w:t>投资领域成为拉动国内经济的主要手段之一，有望保 持长期高位投资</w:t>
      </w:r>
    </w:p>
    <w:p>
      <w:pPr>
        <w:pStyle w:val="Style11"/>
        <w:keepNext w:val="0"/>
        <w:keepLines w:val="0"/>
        <w:widowControl w:val="0"/>
        <w:shd w:val="clear" w:color="auto" w:fill="auto"/>
        <w:bidi w:val="0"/>
        <w:spacing w:before="0" w:after="360" w:line="311" w:lineRule="exact"/>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背景下，城际高速铁路和城市轨道交通的投资和建设力度将显著加大，铁路运营公交化趋势 明显。现代化、智能型的铁路和轨道交通网的建设和运营将有效带动包括供电系统、通信系统等在内的配 套产业。</w:t>
      </w:r>
    </w:p>
    <w:p>
      <w:pPr>
        <w:pStyle w:val="Style23"/>
        <w:keepNext/>
        <w:keepLines/>
        <w:widowControl w:val="0"/>
        <w:shd w:val="clear" w:color="auto" w:fill="auto"/>
        <w:bidi w:val="0"/>
        <w:spacing w:before="0" w:after="28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rPr>
        <w:t>二</w:t>
      </w:r>
      <w:bookmarkEnd w:id="79"/>
      <w:r>
        <w:rPr>
          <w:color w:val="000000"/>
          <w:spacing w:val="0"/>
          <w:w w:val="100"/>
          <w:position w:val="0"/>
        </w:rPr>
        <w:t>、报告期内公司从事的主要业务</w:t>
      </w:r>
      <w:bookmarkEnd w:id="77"/>
      <w:bookmarkEnd w:id="78"/>
      <w:bookmarkEnd w:id="80"/>
    </w:p>
    <w:p>
      <w:pPr>
        <w:pStyle w:val="Style11"/>
        <w:keepNext w:val="0"/>
        <w:keepLines w:val="0"/>
        <w:widowControl w:val="0"/>
        <w:shd w:val="clear" w:color="auto" w:fill="auto"/>
        <w:bidi w:val="0"/>
        <w:spacing w:before="0" w:after="0" w:line="313" w:lineRule="exact"/>
        <w:ind w:left="0" w:right="0" w:firstLine="420"/>
        <w:jc w:val="both"/>
      </w:pPr>
      <w:bookmarkStart w:id="81" w:name="bookmark81"/>
      <w:r>
        <w:rPr>
          <w:b/>
          <w:bCs/>
          <w:color w:val="000000"/>
          <w:spacing w:val="0"/>
          <w:w w:val="100"/>
          <w:position w:val="0"/>
        </w:rPr>
        <w:t>（</w:t>
      </w:r>
      <w:bookmarkEnd w:id="81"/>
      <w:r>
        <w:rPr>
          <w:b/>
          <w:bCs/>
          <w:color w:val="000000"/>
          <w:spacing w:val="0"/>
          <w:w w:val="100"/>
          <w:position w:val="0"/>
        </w:rPr>
        <w:t>一）公司主营业务、主要产品、服务及其用途</w:t>
      </w:r>
    </w:p>
    <w:p>
      <w:pPr>
        <w:pStyle w:val="Style1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公司主要从事电力检测及电力设备、铁路与轨道交通牵引供电装备、军工电子等产品的研发、生产、 销售以及相关技术服务，持有并运营新能源发电项目。公司电力、军工、铁路与轨道交通三大业务板块协 同发展。</w:t>
      </w:r>
    </w:p>
    <w:p>
      <w:pPr>
        <w:pStyle w:val="Style11"/>
        <w:keepNext w:val="0"/>
        <w:keepLines w:val="0"/>
        <w:widowControl w:val="0"/>
        <w:shd w:val="clear" w:color="auto" w:fill="auto"/>
        <w:bidi w:val="0"/>
        <w:spacing w:before="0" w:after="0" w:line="313" w:lineRule="exact"/>
        <w:ind w:left="0" w:right="0" w:firstLine="420"/>
        <w:jc w:val="both"/>
      </w:pPr>
      <w:r>
        <w:rPr>
          <w:b/>
          <w:bCs/>
          <w:color w:val="000000"/>
          <w:spacing w:val="0"/>
          <w:w w:val="100"/>
          <w:position w:val="0"/>
        </w:rPr>
        <w:t>电力领域</w:t>
      </w:r>
    </w:p>
    <w:p>
      <w:pPr>
        <w:pStyle w:val="Style1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公司在电力领域的主要业务包括电力状态检测、监测产品、电测产品、智能配网及其他电力设备等， 涵盖电力领域中发电、输电、变电、配电、用电的各个环节。公司是国内较早开展电力设备状态检修技术 研究、应用及推广的企业之一，经过多年的技术沉淀和市场积累，公司已经形成了基础学科覆盖较广、产 品形态相对齐全、业务种类相对完善的电力设备状态检修体系。在基础学科覆盖方面，公司建立了基于声 学、光学、电磁学、化学、电力电子等学科在电力设备安全检测方面的技术体系；在产品形态方面，公司 具备了电力检测传感器、手持式终端设备、便携式终端设备、在线安装式监测设备、电力分析软件、大数 据云平台等软硬件产品；在业务种类方面，公司提供了设备销售、检测技术服务、故障分析与诊断评估、 整站解决方案等多样化的业务类型。</w:t>
      </w:r>
    </w:p>
    <w:p>
      <w:pPr>
        <w:pStyle w:val="Style1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公司的电力状态检测、监测、电测产品是感知、分析和判断各类电力设备运行参数、健康状态的主要 设备，广泛应用于特高压、超高压、高压、中低压等各电压等级变电设备、输配电线路的安全检测和监测， 是保障电网安全、稳定、可靠运行，建设坚强智能电网和实施状态检修的重要设备。公司的智能配网产品 包括站所终端（</w:t>
      </w:r>
      <w:r>
        <w:rPr>
          <w:rFonts w:ascii="Times New Roman" w:eastAsia="Times New Roman" w:hAnsi="Times New Roman" w:cs="Times New Roman"/>
          <w:color w:val="000000"/>
          <w:spacing w:val="0"/>
          <w:w w:val="100"/>
          <w:position w:val="0"/>
        </w:rPr>
        <w:t>DTU</w:t>
      </w:r>
      <w:r>
        <w:rPr>
          <w:color w:val="000000"/>
          <w:spacing w:val="0"/>
          <w:w w:val="100"/>
          <w:position w:val="0"/>
        </w:rPr>
        <w:t>）、馈线终端（</w:t>
      </w:r>
      <w:r>
        <w:rPr>
          <w:rFonts w:ascii="Times New Roman" w:eastAsia="Times New Roman" w:hAnsi="Times New Roman" w:cs="Times New Roman"/>
          <w:color w:val="000000"/>
          <w:spacing w:val="0"/>
          <w:w w:val="100"/>
          <w:position w:val="0"/>
        </w:rPr>
        <w:t>FTU</w:t>
      </w:r>
      <w:r>
        <w:rPr>
          <w:color w:val="000000"/>
          <w:spacing w:val="0"/>
          <w:w w:val="100"/>
          <w:position w:val="0"/>
        </w:rPr>
        <w:t>）、</w:t>
      </w:r>
      <w:r>
        <w:rPr>
          <w:color w:val="000000"/>
          <w:spacing w:val="0"/>
          <w:w w:val="100"/>
          <w:position w:val="0"/>
        </w:rPr>
        <w:t>配变终端（</w:t>
      </w:r>
      <w:r>
        <w:rPr>
          <w:rFonts w:ascii="Times New Roman" w:eastAsia="Times New Roman" w:hAnsi="Times New Roman" w:cs="Times New Roman"/>
          <w:color w:val="000000"/>
          <w:spacing w:val="0"/>
          <w:w w:val="100"/>
          <w:position w:val="0"/>
        </w:rPr>
        <w:t>TTU</w:t>
      </w:r>
      <w:r>
        <w:rPr>
          <w:color w:val="000000"/>
          <w:spacing w:val="0"/>
          <w:w w:val="100"/>
          <w:position w:val="0"/>
        </w:rPr>
        <w:t>）、</w:t>
      </w:r>
      <w:r>
        <w:rPr>
          <w:color w:val="000000"/>
          <w:spacing w:val="0"/>
          <w:w w:val="100"/>
          <w:position w:val="0"/>
        </w:rPr>
        <w:t>一二次融合智能环网柜、一二次融合智 能开关等，主要用于配电网中开关设备和配电线路的数据采集、分析、控制，是建设自动化、智能化配电 网的重要组成设备。公司的其他电力设备指变压器等电力设备，其中变压器是电力生产和变送等各个环节 的必备和重要设备。目前，公司在电力领域的主要客户为国家电网公司及其下属公司、南方电网公司及其 下属公司、发电集团旗下企业、铁路供电系统、石油石化等大型电力用户。</w:t>
      </w:r>
    </w:p>
    <w:p>
      <w:pPr>
        <w:pStyle w:val="Style1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 xml:space="preserve">报告期内，公司为满足下游电力企业不断提升的设备监测物联网化、数据分析大数据化的运维和管理 </w:t>
      </w:r>
      <w:r>
        <w:rPr>
          <w:color w:val="000000"/>
          <w:spacing w:val="0"/>
          <w:w w:val="100"/>
          <w:position w:val="0"/>
        </w:rPr>
        <w:t>需求，加大了对变压器、</w:t>
      </w:r>
      <w:r>
        <w:rPr>
          <w:rFonts w:ascii="Times New Roman" w:eastAsia="Times New Roman" w:hAnsi="Times New Roman" w:cs="Times New Roman"/>
          <w:color w:val="000000"/>
          <w:spacing w:val="0"/>
          <w:w w:val="100"/>
          <w:position w:val="0"/>
        </w:rPr>
        <w:t>GIS</w:t>
      </w:r>
      <w:r>
        <w:rPr>
          <w:color w:val="000000"/>
          <w:spacing w:val="0"/>
          <w:w w:val="100"/>
          <w:position w:val="0"/>
        </w:rPr>
        <w:t>、</w:t>
      </w:r>
      <w:r>
        <w:rPr>
          <w:color w:val="000000"/>
          <w:spacing w:val="0"/>
          <w:w w:val="100"/>
          <w:position w:val="0"/>
        </w:rPr>
        <w:t>开关柜、电缆等电力设备局部放电监测产品、红外热成像监测产品的升级 和开发力度，同时有序推进了局部放电综合数据服务平台等大数据分析业务的推广和开发工作。公司电力 领域业务在践行电力设备智能化运维的发展路径上不断优化，电力板块业务已由早期的硬件设备销售为主 发展为硬件设备销售和检测技术服务、数据分析服务等软硬相结合的综合业务体系。</w:t>
      </w:r>
    </w:p>
    <w:p>
      <w:pPr>
        <w:pStyle w:val="Style1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报告期内，公司子公司涵普电力在配网智能化及配电网延伸领域进行了重点布局，具体包括：</w:t>
      </w:r>
    </w:p>
    <w:p>
      <w:pPr>
        <w:pStyle w:val="Style1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电测量标准装置：随着国网推出</w:t>
      </w:r>
      <w:r>
        <w:rPr>
          <w:rFonts w:ascii="Times New Roman" w:eastAsia="Times New Roman" w:hAnsi="Times New Roman" w:cs="Times New Roman"/>
          <w:color w:val="000000"/>
          <w:spacing w:val="0"/>
          <w:w w:val="100"/>
          <w:position w:val="0"/>
        </w:rPr>
        <w:t>R46</w:t>
      </w:r>
      <w:r>
        <w:rPr>
          <w:color w:val="000000"/>
          <w:spacing w:val="0"/>
          <w:w w:val="100"/>
          <w:position w:val="0"/>
        </w:rPr>
        <w:t>标准的智能高精度电能表，全国各大表厂和各省网计量中心将大 范围跟换、升级改造原有电测量标准装置及电能表检测流水线，未来三年该市场预计有</w:t>
      </w:r>
      <w:r>
        <w:rPr>
          <w:rFonts w:ascii="Times New Roman" w:eastAsia="Times New Roman" w:hAnsi="Times New Roman" w:cs="Times New Roman"/>
          <w:color w:val="000000"/>
          <w:spacing w:val="0"/>
          <w:w w:val="100"/>
          <w:position w:val="0"/>
        </w:rPr>
        <w:t>10</w:t>
      </w:r>
      <w:r>
        <w:rPr>
          <w:color w:val="000000"/>
          <w:spacing w:val="0"/>
          <w:w w:val="100"/>
          <w:position w:val="0"/>
        </w:rPr>
        <w:t>亿元的市场空间。 涵普电力作为该领域的领先企业，有望在未来三年的电测量标准装置领域获取较大的市场份额。该市场主 要是直销模式，电表厂以竞价谈判为主，各省网计量中心由省网统一招标采购。</w:t>
      </w:r>
    </w:p>
    <w:p>
      <w:pPr>
        <w:pStyle w:val="Style1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充电桩检测设备：随着我国新能源汽车的普及，全国充电桩市场蓬勃发展，涵普电力通过自主研发推 出了充电桩检测设备产品和充电桩检测服务业务。目前，涵普电力的充电桩检测业务已经在上海、福建、 浙江等多个省份取得实质销售，未来三年有望在全国铺开。</w:t>
      </w:r>
    </w:p>
    <w:p>
      <w:pPr>
        <w:pStyle w:val="Style11"/>
        <w:keepNext w:val="0"/>
        <w:keepLines w:val="0"/>
        <w:widowControl w:val="0"/>
        <w:shd w:val="clear" w:color="auto" w:fill="auto"/>
        <w:bidi w:val="0"/>
        <w:spacing w:before="0" w:after="0" w:line="307" w:lineRule="exact"/>
        <w:ind w:left="0" w:right="0" w:firstLine="440"/>
        <w:jc w:val="both"/>
      </w:pPr>
      <w:r>
        <w:rPr>
          <w:color w:val="000000"/>
          <w:spacing w:val="0"/>
          <w:w w:val="100"/>
          <w:position w:val="0"/>
        </w:rPr>
        <w:t>一二次融合电力设备（含配网终端设备）：涵普电力已经取得一二次融合电力设备销售所需的资质条 件，积极参与全国范围内的投标并取得一定的销售业绩。根据预测，国内一二次融合电力设备的市场空间 为预计每年</w:t>
      </w:r>
      <w:r>
        <w:rPr>
          <w:rFonts w:ascii="Times New Roman" w:eastAsia="Times New Roman" w:hAnsi="Times New Roman" w:cs="Times New Roman"/>
          <w:color w:val="000000"/>
          <w:spacing w:val="0"/>
          <w:w w:val="100"/>
          <w:position w:val="0"/>
        </w:rPr>
        <w:t>200-300</w:t>
      </w:r>
      <w:r>
        <w:rPr>
          <w:color w:val="000000"/>
          <w:spacing w:val="0"/>
          <w:w w:val="100"/>
          <w:position w:val="0"/>
        </w:rPr>
        <w:t>亿元，以省网集中招标采购为主。</w:t>
      </w:r>
    </w:p>
    <w:p>
      <w:pPr>
        <w:pStyle w:val="Style1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高低压成套开关控制设备：目前主要以省网集中招标采购、各地区电网公司集体企业招标、甲方业主 竞价谈判为主。涵普电力已取得部分产品国网招标入围资质，并在浙江嘉兴、浙江丽水、江苏苏州等地全 面铺开业务。</w:t>
      </w:r>
    </w:p>
    <w:p>
      <w:pPr>
        <w:pStyle w:val="Style11"/>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军工领域</w:t>
      </w:r>
    </w:p>
    <w:p>
      <w:pPr>
        <w:pStyle w:val="Style1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子公司星波通信专业从事射频</w:t>
      </w:r>
      <w:r>
        <w:rPr>
          <w:rFonts w:ascii="Times New Roman" w:eastAsia="Times New Roman" w:hAnsi="Times New Roman" w:cs="Times New Roman"/>
          <w:color w:val="000000"/>
          <w:spacing w:val="0"/>
          <w:w w:val="100"/>
          <w:position w:val="0"/>
        </w:rPr>
        <w:t>/</w:t>
      </w:r>
      <w:r>
        <w:rPr>
          <w:color w:val="000000"/>
          <w:spacing w:val="0"/>
          <w:w w:val="100"/>
          <w:position w:val="0"/>
        </w:rPr>
        <w:t>微波器件、组件、子系统及其混合集成电路模块的研发、生产、销售和 服务。微波混合集成电路广泛应用于军用通信、雷达、电子对抗系统中，是国防信息化、数字化、现代化 建设的重要基础。星波通信一直致力于微波混合集成电路相关技术在机载、弹载、舰载等多种武器平台上 的应用，产品主要为雷达、通信和电子对抗系统提供配套。经过十多年的技术沉淀，星波通信已经具备了 技术研发能力强、产品工艺可靠性高、客户需求响应快的综合实力，其微波产品频率范围覆盖了从</w:t>
      </w:r>
      <w:r>
        <w:rPr>
          <w:rFonts w:ascii="Times New Roman" w:eastAsia="Times New Roman" w:hAnsi="Times New Roman" w:cs="Times New Roman"/>
          <w:color w:val="000000"/>
          <w:spacing w:val="0"/>
          <w:w w:val="100"/>
          <w:position w:val="0"/>
        </w:rPr>
        <w:t>DC</w:t>
      </w:r>
      <w:r>
        <w:rPr>
          <w:color w:val="000000"/>
          <w:spacing w:val="0"/>
          <w:w w:val="100"/>
          <w:position w:val="0"/>
        </w:rPr>
        <w:t xml:space="preserve">至 </w:t>
      </w:r>
      <w:r>
        <w:rPr>
          <w:rFonts w:ascii="Times New Roman" w:eastAsia="Times New Roman" w:hAnsi="Times New Roman" w:cs="Times New Roman"/>
          <w:color w:val="000000"/>
          <w:spacing w:val="0"/>
          <w:w w:val="100"/>
          <w:position w:val="0"/>
        </w:rPr>
        <w:t>40GHz</w:t>
      </w:r>
      <w:r>
        <w:rPr>
          <w:color w:val="000000"/>
          <w:spacing w:val="0"/>
          <w:w w:val="100"/>
          <w:position w:val="0"/>
        </w:rPr>
        <w:t>的频段，是一家军工资质齐全，且为多种高、精、尖重点武器系统及军用通信系统进行定向研制和 配套生产的民营军工企业。目前，星波通信的主要客户为军工科研院所和军事装备生产企业。</w:t>
      </w:r>
    </w:p>
    <w:p>
      <w:pPr>
        <w:pStyle w:val="Style1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子公司鼎屹信息主要从事红外热成像系统的研发、生产及销售，其产品广泛应用于测温、安防监控、 侦查、制导等民用和军用领域，在军工领域，红外成像技术是多种现代化、信息化、智能化武器装备的重 要组成部分，鼎屹信息在军工领域的下游客户为国内军工科研院所、军工成套单位等。由于军、民领域产 品在业务模式上存在的明显差异，民用红外测温及红外成像产品的技术标准较为统一，产品开发、测试和 验证周期比较短，产品一经验证很快就能向市场进行推广和销售，而军用红外器件、组件产品往往需要经 过复杂的项目论证、立项、样机开发、项目评审、定型等环节，产品开发和销售周期比较长，因此，报告 期内，鼎屹信息的民用红外测温及红外成像产品已实现了产品的批量销售和供货，而军品业务大部分还在 跟进研发和评审过程当中，仅有少部分样机销售。</w:t>
      </w:r>
    </w:p>
    <w:p>
      <w:pPr>
        <w:pStyle w:val="Style11"/>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铁路与轨道交通领域</w:t>
      </w:r>
    </w:p>
    <w:p>
      <w:pPr>
        <w:pStyle w:val="Style1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子公司银川卧龙是国内最早承接铁路牵引变压器国产化项目的企业之一，也是原铁道部牵引变压器科 技创新的重要合作单位之一，在国内铁路牵引变压器市场拥有较高且稳定的市场份额。铁路牵引变压器是 一种安装于电气化铁路沿线，承担着从电网获取电能，并向铁路接触网进行供电的电力设备，是电气化铁 路的主要动力来源。铁路在新建、电气化改造、提速扩容、自然更换等方面均对牵引变压器有采购需求， 近年来我国在铁路基建领域每年均保持较大规模投资，整体市场需求量略有所下滑，但整体波动不大。</w:t>
      </w:r>
    </w:p>
    <w:p>
      <w:pPr>
        <w:pStyle w:val="Style1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 xml:space="preserve">由于铁路供电系统特有的技术特性和安全特性，铁路牵引变压器在技术指标、安全性和稳定性方面有 别于一般变压器，参与企业相对较少，竞争程度相对较小。近年来也有如常州太平洋、山东晨宇等新企业 进入铁路市场，市场竞争更为激烈，但做为最早承接铁路牵引变压器的厂家银川卧龙的铁路牵引变压器覆 </w:t>
      </w:r>
      <w:r>
        <w:rPr>
          <w:color w:val="000000"/>
          <w:spacing w:val="0"/>
          <w:w w:val="100"/>
          <w:position w:val="0"/>
        </w:rPr>
        <w:t>盖了我国电气化铁路上</w:t>
      </w:r>
      <w:r>
        <w:rPr>
          <w:rFonts w:ascii="Times New Roman" w:eastAsia="Times New Roman" w:hAnsi="Times New Roman" w:cs="Times New Roman"/>
          <w:color w:val="000000"/>
          <w:spacing w:val="0"/>
          <w:w w:val="100"/>
          <w:position w:val="0"/>
        </w:rPr>
        <w:t>27.5kV</w:t>
      </w:r>
      <w:r>
        <w:rPr>
          <w:color w:val="000000"/>
          <w:spacing w:val="0"/>
          <w:w w:val="100"/>
          <w:position w:val="0"/>
        </w:rPr>
        <w:t>至</w:t>
      </w:r>
      <w:r>
        <w:rPr>
          <w:rFonts w:ascii="Times New Roman" w:eastAsia="Times New Roman" w:hAnsi="Times New Roman" w:cs="Times New Roman"/>
          <w:color w:val="000000"/>
          <w:spacing w:val="0"/>
          <w:w w:val="100"/>
          <w:position w:val="0"/>
        </w:rPr>
        <w:t>330kV</w:t>
      </w:r>
      <w:r>
        <w:rPr>
          <w:color w:val="000000"/>
          <w:spacing w:val="0"/>
          <w:w w:val="100"/>
          <w:position w:val="0"/>
        </w:rPr>
        <w:t>的全部电压等级，不同接线方式的全部产品，运行业绩证明涵盖了 国内高原、寒温寒冷等全部特殊地区，在铁路总公司对投标运行业绩实行不同时速、不同接线方式、不同 特殊使用环境且</w:t>
      </w:r>
      <w:r>
        <w:rPr>
          <w:rFonts w:ascii="Times New Roman" w:eastAsia="Times New Roman" w:hAnsi="Times New Roman" w:cs="Times New Roman"/>
          <w:color w:val="000000"/>
          <w:spacing w:val="0"/>
          <w:w w:val="100"/>
          <w:position w:val="0"/>
        </w:rPr>
        <w:t>5</w:t>
      </w:r>
      <w:r>
        <w:rPr>
          <w:color w:val="000000"/>
          <w:spacing w:val="0"/>
          <w:w w:val="100"/>
          <w:position w:val="0"/>
        </w:rPr>
        <w:t>年动态管理的情况下，银川公司始终保持着一流的市场竞争力，客户也包括铁路总公司 及其下属的多个铁路局、中国铁建、中国中铁、阿尔斯通、中交集团等铁路建设单位。</w:t>
      </w:r>
    </w:p>
    <w:p>
      <w:pPr>
        <w:pStyle w:val="Style1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新能源领域</w:t>
      </w:r>
    </w:p>
    <w:p>
      <w:pPr>
        <w:pStyle w:val="Style1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子公司银川卧龙和涵普电力拥有电力工程总承包资质和电力设施承装修试资质。银川卧龙具备丰富的 新能源开发和建设经验，近年来积极参与光伏发电、风力发电等新能源发电项目的开发、建设和运维，在 宁夏、河北、浙江、河南等地区均有参与光伏和风电项目建设；同时积极参与国外电力工程的建设，迪拜 光伏项目和厄瓜多尔的电网工程。公司不断提升在新能源和电力工程领域的综合竞争力，与三峡新能源、 国家电投、中机国能等企业保持长期合作。</w:t>
      </w:r>
    </w:p>
    <w:p>
      <w:pPr>
        <w:pStyle w:val="Style11"/>
        <w:keepNext w:val="0"/>
        <w:keepLines w:val="0"/>
        <w:widowControl w:val="0"/>
        <w:shd w:val="clear" w:color="auto" w:fill="auto"/>
        <w:tabs>
          <w:tab w:pos="988" w:val="left"/>
        </w:tabs>
        <w:bidi w:val="0"/>
        <w:spacing w:before="0" w:after="80" w:line="313" w:lineRule="exact"/>
        <w:ind w:left="0" w:right="0" w:firstLine="440"/>
        <w:jc w:val="both"/>
      </w:pPr>
      <w:bookmarkStart w:id="82" w:name="bookmark82"/>
      <w:r>
        <w:rPr>
          <w:b/>
          <w:bCs/>
          <w:color w:val="000000"/>
          <w:spacing w:val="0"/>
          <w:w w:val="100"/>
          <w:position w:val="0"/>
        </w:rPr>
        <w:t>（</w:t>
      </w:r>
      <w:bookmarkEnd w:id="82"/>
      <w:r>
        <w:rPr>
          <w:b/>
          <w:bCs/>
          <w:color w:val="000000"/>
          <w:spacing w:val="0"/>
          <w:w w:val="100"/>
          <w:position w:val="0"/>
        </w:rPr>
        <w:t>二）</w:t>
        <w:tab/>
        <w:t>经营模式</w:t>
      </w:r>
    </w:p>
    <w:p>
      <w:pPr>
        <w:pStyle w:val="Style11"/>
        <w:keepNext w:val="0"/>
        <w:keepLines w:val="0"/>
        <w:widowControl w:val="0"/>
        <w:shd w:val="clear" w:color="auto" w:fill="auto"/>
        <w:tabs>
          <w:tab w:pos="758" w:val="left"/>
        </w:tabs>
        <w:bidi w:val="0"/>
        <w:spacing w:before="0" w:after="0" w:line="326" w:lineRule="auto"/>
        <w:ind w:left="0" w:right="0" w:firstLine="440"/>
        <w:jc w:val="both"/>
      </w:pPr>
      <w:bookmarkStart w:id="83" w:name="bookmark83"/>
      <w:r>
        <w:rPr>
          <w:rFonts w:ascii="Times New Roman" w:eastAsia="Times New Roman" w:hAnsi="Times New Roman" w:cs="Times New Roman"/>
          <w:color w:val="000000"/>
          <w:spacing w:val="0"/>
          <w:w w:val="100"/>
          <w:position w:val="0"/>
        </w:rPr>
        <w:t>1</w:t>
      </w:r>
      <w:bookmarkEnd w:id="83"/>
      <w:r>
        <w:rPr>
          <w:color w:val="000000"/>
          <w:spacing w:val="0"/>
          <w:w w:val="100"/>
          <w:position w:val="0"/>
        </w:rPr>
        <w:t>、</w:t>
        <w:tab/>
        <w:t>采购模式</w:t>
      </w:r>
    </w:p>
    <w:p>
      <w:pPr>
        <w:pStyle w:val="Style1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公司根据生产计划确定采购原材料的品名、规格、数量等，并进行供应商评估与选择，采取批量采购 和按需即时采购相结合的模式，进行定制化零部件采购和标准化零部件采购。为了有效控制产品质量和成 本，公司建立了一套严格的采购管理制度，以规范原材料采购环节的质量控制和审批流程。</w:t>
      </w:r>
    </w:p>
    <w:p>
      <w:pPr>
        <w:pStyle w:val="Style11"/>
        <w:keepNext w:val="0"/>
        <w:keepLines w:val="0"/>
        <w:widowControl w:val="0"/>
        <w:shd w:val="clear" w:color="auto" w:fill="auto"/>
        <w:tabs>
          <w:tab w:pos="762" w:val="left"/>
        </w:tabs>
        <w:bidi w:val="0"/>
        <w:spacing w:before="0" w:after="0" w:line="326" w:lineRule="auto"/>
        <w:ind w:left="0" w:right="0" w:firstLine="440"/>
        <w:jc w:val="both"/>
      </w:pPr>
      <w:bookmarkStart w:id="84" w:name="bookmark84"/>
      <w:r>
        <w:rPr>
          <w:rFonts w:ascii="Times New Roman" w:eastAsia="Times New Roman" w:hAnsi="Times New Roman" w:cs="Times New Roman"/>
          <w:color w:val="000000"/>
          <w:spacing w:val="0"/>
          <w:w w:val="100"/>
          <w:position w:val="0"/>
        </w:rPr>
        <w:t>2</w:t>
      </w:r>
      <w:bookmarkEnd w:id="84"/>
      <w:r>
        <w:rPr>
          <w:color w:val="000000"/>
          <w:spacing w:val="0"/>
          <w:w w:val="100"/>
          <w:position w:val="0"/>
        </w:rPr>
        <w:t>、</w:t>
        <w:tab/>
        <w:t>生产模式</w:t>
      </w:r>
    </w:p>
    <w:p>
      <w:pPr>
        <w:pStyle w:val="Style1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公司生产组织方式主要根据客户需求进行相应产品的生产，采取</w:t>
      </w:r>
      <w:r>
        <w:rPr>
          <w:rFonts w:ascii="Times New Roman" w:eastAsia="Times New Roman" w:hAnsi="Times New Roman" w:cs="Times New Roman"/>
          <w:color w:val="000000"/>
          <w:spacing w:val="0"/>
          <w:w w:val="100"/>
          <w:position w:val="0"/>
        </w:rPr>
        <w:t>“</w:t>
      </w:r>
      <w:r>
        <w:rPr>
          <w:color w:val="000000"/>
          <w:spacing w:val="0"/>
          <w:w w:val="100"/>
          <w:position w:val="0"/>
        </w:rPr>
        <w:t>以销定产''为主的生产模式，包括在 签订合同、获取客户中标通知书或备产通知书后才进行的订单生产；根据对客户的需求以及预期中标成功 率预测，提前安排销售把握程度较高的产品的备货生产等。</w:t>
      </w:r>
    </w:p>
    <w:p>
      <w:pPr>
        <w:pStyle w:val="Style11"/>
        <w:keepNext w:val="0"/>
        <w:keepLines w:val="0"/>
        <w:widowControl w:val="0"/>
        <w:shd w:val="clear" w:color="auto" w:fill="auto"/>
        <w:tabs>
          <w:tab w:pos="762" w:val="left"/>
        </w:tabs>
        <w:bidi w:val="0"/>
        <w:spacing w:before="0" w:after="0" w:line="326" w:lineRule="auto"/>
        <w:ind w:left="0" w:right="0" w:firstLine="440"/>
        <w:jc w:val="both"/>
      </w:pPr>
      <w:bookmarkStart w:id="85" w:name="bookmark85"/>
      <w:r>
        <w:rPr>
          <w:rFonts w:ascii="Times New Roman" w:eastAsia="Times New Roman" w:hAnsi="Times New Roman" w:cs="Times New Roman"/>
          <w:color w:val="000000"/>
          <w:spacing w:val="0"/>
          <w:w w:val="100"/>
          <w:position w:val="0"/>
        </w:rPr>
        <w:t>3</w:t>
      </w:r>
      <w:bookmarkEnd w:id="85"/>
      <w:r>
        <w:rPr>
          <w:color w:val="000000"/>
          <w:spacing w:val="0"/>
          <w:w w:val="100"/>
          <w:position w:val="0"/>
        </w:rPr>
        <w:t>、</w:t>
        <w:tab/>
        <w:t>销售模式</w:t>
      </w:r>
    </w:p>
    <w:p>
      <w:pPr>
        <w:pStyle w:val="Style1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公司客户以电力、军工、铁路与轨道交通行业中的国有大中型企业、海外企业为主。公司根据客户公 布的招标采购需求、定制化开发需求等为电力、军工、铁路与轨道交通客户提供商品和服务，公司的销售 订单主要通过投标方式获得，采用直销的方式销售。</w:t>
      </w:r>
    </w:p>
    <w:p>
      <w:pPr>
        <w:pStyle w:val="Style11"/>
        <w:keepNext w:val="0"/>
        <w:keepLines w:val="0"/>
        <w:widowControl w:val="0"/>
        <w:shd w:val="clear" w:color="auto" w:fill="auto"/>
        <w:tabs>
          <w:tab w:pos="762" w:val="left"/>
        </w:tabs>
        <w:bidi w:val="0"/>
        <w:spacing w:before="0" w:after="0" w:line="326" w:lineRule="auto"/>
        <w:ind w:left="0" w:right="0" w:firstLine="440"/>
        <w:jc w:val="both"/>
      </w:pPr>
      <w:bookmarkStart w:id="86" w:name="bookmark86"/>
      <w:r>
        <w:rPr>
          <w:rFonts w:ascii="Times New Roman" w:eastAsia="Times New Roman" w:hAnsi="Times New Roman" w:cs="Times New Roman"/>
          <w:color w:val="000000"/>
          <w:spacing w:val="0"/>
          <w:w w:val="100"/>
          <w:position w:val="0"/>
        </w:rPr>
        <w:t>4</w:t>
      </w:r>
      <w:bookmarkEnd w:id="86"/>
      <w:r>
        <w:rPr>
          <w:color w:val="000000"/>
          <w:spacing w:val="0"/>
          <w:w w:val="100"/>
          <w:position w:val="0"/>
        </w:rPr>
        <w:t>、</w:t>
        <w:tab/>
        <w:t>研发模式</w:t>
      </w:r>
    </w:p>
    <w:p>
      <w:pPr>
        <w:pStyle w:val="Style1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根据公司的既定发展战略，加强重点项目研发跟进，将公司的传统技术优势和高端智能技术有机地结 合起来，根据市场特点持续进行各个技术领域的创新和开发，满足细分技术领域的个性化产品需求。推进 产品平台化、数字化、智能化、信息化的升级改造，完善配套的电力设备智能化运维管理技术解决方案。 提升电力设备的智能化装配技术，建立电力变、牵引变等大型电力设备全寿命周期管理的服务体系。持续 进行射频</w:t>
      </w:r>
      <w:r>
        <w:rPr>
          <w:rFonts w:ascii="Times New Roman" w:eastAsia="Times New Roman" w:hAnsi="Times New Roman" w:cs="Times New Roman"/>
          <w:color w:val="000000"/>
          <w:spacing w:val="0"/>
          <w:w w:val="100"/>
          <w:position w:val="0"/>
        </w:rPr>
        <w:t>/</w:t>
      </w:r>
      <w:r>
        <w:rPr>
          <w:color w:val="000000"/>
          <w:spacing w:val="0"/>
          <w:w w:val="100"/>
          <w:position w:val="0"/>
        </w:rPr>
        <w:t>微波技术领域军品的技术开发。同时推进整合公司与子公司之间的研发技术资源，提升技术协同 效应，达成有效创新技术流转机制。</w:t>
      </w:r>
    </w:p>
    <w:p>
      <w:pPr>
        <w:pStyle w:val="Style11"/>
        <w:keepNext w:val="0"/>
        <w:keepLines w:val="0"/>
        <w:widowControl w:val="0"/>
        <w:shd w:val="clear" w:color="auto" w:fill="auto"/>
        <w:tabs>
          <w:tab w:pos="988" w:val="left"/>
        </w:tabs>
        <w:bidi w:val="0"/>
        <w:spacing w:before="0" w:after="0" w:line="313" w:lineRule="exact"/>
        <w:ind w:left="0" w:right="0" w:firstLine="440"/>
        <w:jc w:val="both"/>
      </w:pPr>
      <w:bookmarkStart w:id="87" w:name="bookmark87"/>
      <w:r>
        <w:rPr>
          <w:b/>
          <w:bCs/>
          <w:color w:val="000000"/>
          <w:spacing w:val="0"/>
          <w:w w:val="100"/>
          <w:position w:val="0"/>
        </w:rPr>
        <w:t>（</w:t>
      </w:r>
      <w:bookmarkEnd w:id="87"/>
      <w:r>
        <w:rPr>
          <w:b/>
          <w:bCs/>
          <w:color w:val="000000"/>
          <w:spacing w:val="0"/>
          <w:w w:val="100"/>
          <w:position w:val="0"/>
        </w:rPr>
        <w:t>三）</w:t>
        <w:tab/>
        <w:t>主要的业绩驱动因素</w:t>
      </w:r>
    </w:p>
    <w:p>
      <w:pPr>
        <w:pStyle w:val="Style1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公司主要的业绩驱动因素主要来自于：</w:t>
      </w:r>
    </w:p>
    <w:p>
      <w:pPr>
        <w:pStyle w:val="Style11"/>
        <w:keepNext w:val="0"/>
        <w:keepLines w:val="0"/>
        <w:widowControl w:val="0"/>
        <w:shd w:val="clear" w:color="auto" w:fill="auto"/>
        <w:tabs>
          <w:tab w:pos="970" w:val="left"/>
        </w:tabs>
        <w:bidi w:val="0"/>
        <w:spacing w:before="0" w:after="0" w:line="313" w:lineRule="exact"/>
        <w:ind w:left="0" w:right="0" w:firstLine="44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rPr>
        <w:t>1</w:t>
      </w:r>
      <w:r>
        <w:rPr>
          <w:color w:val="000000"/>
          <w:spacing w:val="0"/>
          <w:w w:val="100"/>
          <w:position w:val="0"/>
        </w:rPr>
        <w:t>）</w:t>
        <w:tab/>
        <w:t>在电力领域，母公司和子公司涵普电力多年来在电力计量、配网自动化、在线监测等领域积累 了丰富的技术经验。在国内电力领域有较高的知名度。公司长期以来的技术沉淀和市场积累，凭借着多元 化的业务结构和完善的产品体系，以电网自动化和智能化建设为契机，实现了公司电力板块业务的可持续 发展和持续盈利能力。随着国家</w:t>
      </w:r>
      <w:r>
        <w:rPr>
          <w:rFonts w:ascii="Times New Roman" w:eastAsia="Times New Roman" w:hAnsi="Times New Roman" w:cs="Times New Roman"/>
          <w:color w:val="000000"/>
          <w:spacing w:val="0"/>
          <w:w w:val="100"/>
          <w:position w:val="0"/>
        </w:rPr>
        <w:t>3060</w:t>
      </w:r>
      <w:r>
        <w:rPr>
          <w:color w:val="000000"/>
          <w:spacing w:val="0"/>
          <w:w w:val="100"/>
          <w:position w:val="0"/>
        </w:rPr>
        <w:t>战略的推进及智能电网建设需求的总量提升和叠加更新换代需求空间 增大，给公司带来了巨大的商机。</w:t>
      </w:r>
    </w:p>
    <w:p>
      <w:pPr>
        <w:pStyle w:val="Style11"/>
        <w:keepNext w:val="0"/>
        <w:keepLines w:val="0"/>
        <w:widowControl w:val="0"/>
        <w:shd w:val="clear" w:color="auto" w:fill="auto"/>
        <w:tabs>
          <w:tab w:pos="970" w:val="left"/>
        </w:tabs>
        <w:bidi w:val="0"/>
        <w:spacing w:before="0" w:after="0" w:line="313" w:lineRule="exact"/>
        <w:ind w:left="0" w:right="0" w:firstLine="440"/>
        <w:jc w:val="both"/>
      </w:pPr>
      <w:bookmarkStart w:id="89" w:name="bookmark89"/>
      <w:r>
        <w:rPr>
          <w:color w:val="000000"/>
          <w:spacing w:val="0"/>
          <w:w w:val="100"/>
          <w:position w:val="0"/>
        </w:rPr>
        <w:t>（</w:t>
      </w:r>
      <w:bookmarkEnd w:id="89"/>
      <w:r>
        <w:rPr>
          <w:rFonts w:ascii="Times New Roman" w:eastAsia="Times New Roman" w:hAnsi="Times New Roman" w:cs="Times New Roman"/>
          <w:color w:val="000000"/>
          <w:spacing w:val="0"/>
          <w:w w:val="100"/>
          <w:position w:val="0"/>
        </w:rPr>
        <w:t>2</w:t>
      </w:r>
      <w:r>
        <w:rPr>
          <w:color w:val="000000"/>
          <w:spacing w:val="0"/>
          <w:w w:val="100"/>
          <w:position w:val="0"/>
        </w:rPr>
        <w:t>）</w:t>
        <w:tab/>
        <w:t>在军工领域，子公司星波通信在我国推进建设国防现代化、信息化、数字化的背景下，多年来 在众多军工通信装备领域持续跟进、积累，专业从事射频、微波与毫米波器件、组件、子系统等微波混合 集成电路产品的研制、生产及相关技术服务，致力于相关技术在航天、航空、电子等领域的应用，在国内 微波领域具有较高的知名度。武器装备实战化训练需求的总量提升和叠加更新换代需求空间增大，给公司 业务带来了巨大商机。</w:t>
      </w:r>
    </w:p>
    <w:p>
      <w:pPr>
        <w:pStyle w:val="Style1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已经实现了多种类别、多个产品型号的研发定型，多个重点型号产品获得了批产订单，对公司在报告 期及未来的可持续盈利能力产生了积极的影响。在自身多年积累和母公司的支持下，星波通信逐步加强批 </w:t>
      </w:r>
      <w:r>
        <w:rPr>
          <w:color w:val="000000"/>
          <w:spacing w:val="0"/>
          <w:w w:val="100"/>
          <w:position w:val="0"/>
        </w:rPr>
        <w:t>产能力建设，搬迁至新厂区，购置包括自动测试系统在内的一系列设施设备，极大提高了产能，保证了生 产和交货的及时性，提高了市场认可度和顾客满意度，也为日后承接新订单，开展新业务，继续将企业做 大做强奠定了坚实的基础。</w:t>
      </w:r>
    </w:p>
    <w:p>
      <w:pPr>
        <w:pStyle w:val="Style11"/>
        <w:keepNext w:val="0"/>
        <w:keepLines w:val="0"/>
        <w:widowControl w:val="0"/>
        <w:shd w:val="clear" w:color="auto" w:fill="auto"/>
        <w:tabs>
          <w:tab w:pos="961" w:val="left"/>
        </w:tabs>
        <w:bidi w:val="0"/>
        <w:spacing w:before="0" w:after="0" w:line="314" w:lineRule="exact"/>
        <w:ind w:left="0" w:right="0" w:firstLine="440"/>
        <w:jc w:val="both"/>
      </w:pPr>
      <w:bookmarkStart w:id="90" w:name="bookmark90"/>
      <w:r>
        <w:rPr>
          <w:color w:val="000000"/>
          <w:spacing w:val="0"/>
          <w:w w:val="100"/>
          <w:position w:val="0"/>
        </w:rPr>
        <w:t>（</w:t>
      </w:r>
      <w:bookmarkEnd w:id="90"/>
      <w:r>
        <w:rPr>
          <w:rFonts w:ascii="Times New Roman" w:eastAsia="Times New Roman" w:hAnsi="Times New Roman" w:cs="Times New Roman"/>
          <w:color w:val="000000"/>
          <w:spacing w:val="0"/>
          <w:w w:val="100"/>
          <w:position w:val="0"/>
        </w:rPr>
        <w:t>3</w:t>
      </w:r>
      <w:r>
        <w:rPr>
          <w:color w:val="000000"/>
          <w:spacing w:val="0"/>
          <w:w w:val="100"/>
          <w:position w:val="0"/>
        </w:rPr>
        <w:t>）</w:t>
        <w:tab/>
        <w:t>在轨道与交通领域，子公司银川卧龙在稳固国内大中型铁路建设项目的基础上，积极把握国内 城市化建设加快的发展机遇，积极布局城市轨道交通市场，在成都、长沙、重庆、兰州等多个城市轨道交 通的主变领域取得突破。随着银川卧龙新厂房的投入使用，为公司开拓进入地铁动力变、整流变市场提供 了有力保证，对城市轨道交通变压器产品实现全覆盖，预计在未来</w:t>
      </w:r>
      <w:r>
        <w:rPr>
          <w:rFonts w:ascii="Times New Roman" w:eastAsia="Times New Roman" w:hAnsi="Times New Roman" w:cs="Times New Roman"/>
          <w:color w:val="000000"/>
          <w:spacing w:val="0"/>
          <w:w w:val="100"/>
          <w:position w:val="0"/>
        </w:rPr>
        <w:t>4-5</w:t>
      </w:r>
      <w:r>
        <w:rPr>
          <w:color w:val="000000"/>
          <w:spacing w:val="0"/>
          <w:w w:val="100"/>
          <w:position w:val="0"/>
        </w:rPr>
        <w:t>年内业绩有望达到现有高铁项目订单 量的</w:t>
      </w:r>
      <w:r>
        <w:rPr>
          <w:rFonts w:ascii="Times New Roman" w:eastAsia="Times New Roman" w:hAnsi="Times New Roman" w:cs="Times New Roman"/>
          <w:color w:val="000000"/>
          <w:spacing w:val="0"/>
          <w:w w:val="100"/>
          <w:position w:val="0"/>
        </w:rPr>
        <w:t>50%</w:t>
      </w:r>
      <w:r>
        <w:rPr>
          <w:color w:val="000000"/>
          <w:spacing w:val="0"/>
          <w:w w:val="100"/>
          <w:position w:val="0"/>
        </w:rPr>
        <w:t>，对公司经营业绩产生积极影响。</w:t>
      </w:r>
    </w:p>
    <w:p>
      <w:pPr>
        <w:pStyle w:val="Style11"/>
        <w:keepNext w:val="0"/>
        <w:keepLines w:val="0"/>
        <w:widowControl w:val="0"/>
        <w:shd w:val="clear" w:color="auto" w:fill="auto"/>
        <w:tabs>
          <w:tab w:pos="961" w:val="left"/>
        </w:tabs>
        <w:bidi w:val="0"/>
        <w:spacing w:before="0" w:after="360" w:line="314" w:lineRule="exact"/>
        <w:ind w:left="0" w:right="0" w:firstLine="440"/>
        <w:jc w:val="both"/>
      </w:pPr>
      <w:bookmarkStart w:id="91" w:name="bookmark91"/>
      <w:r>
        <w:rPr>
          <w:color w:val="000000"/>
          <w:spacing w:val="0"/>
          <w:w w:val="100"/>
          <w:position w:val="0"/>
        </w:rPr>
        <w:t>（</w:t>
      </w:r>
      <w:bookmarkEnd w:id="91"/>
      <w:r>
        <w:rPr>
          <w:rFonts w:ascii="Times New Roman" w:eastAsia="Times New Roman" w:hAnsi="Times New Roman" w:cs="Times New Roman"/>
          <w:color w:val="000000"/>
          <w:spacing w:val="0"/>
          <w:w w:val="100"/>
          <w:position w:val="0"/>
        </w:rPr>
        <w:t>4</w:t>
      </w:r>
      <w:r>
        <w:rPr>
          <w:color w:val="000000"/>
          <w:spacing w:val="0"/>
          <w:w w:val="100"/>
          <w:position w:val="0"/>
        </w:rPr>
        <w:t>）</w:t>
        <w:tab/>
        <w:t>在新能源领域，随着国家碳达峰与碳中和战略目标的推进，国内各省均发布了</w:t>
      </w:r>
      <w:r>
        <w:rPr>
          <w:rFonts w:ascii="Times New Roman" w:eastAsia="Times New Roman" w:hAnsi="Times New Roman" w:cs="Times New Roman"/>
          <w:color w:val="000000"/>
          <w:spacing w:val="0"/>
          <w:w w:val="100"/>
          <w:position w:val="0"/>
        </w:rPr>
        <w:t>“</w:t>
      </w:r>
      <w:r>
        <w:rPr>
          <w:color w:val="000000"/>
          <w:spacing w:val="0"/>
          <w:w w:val="100"/>
          <w:position w:val="0"/>
        </w:rPr>
        <w:t>十四五''新能源发 展规划，公司在稳固宁夏、内蒙、甘肃等原有优势地区新能源项目的同时，积极开拓江苏、江西、广东等 地区新能源领域市场。力争在新能源电力工程领域实现快速增长，逐步成为公司的主要业绩增长点。</w:t>
      </w:r>
    </w:p>
    <w:p>
      <w:pPr>
        <w:pStyle w:val="Style23"/>
        <w:keepNext/>
        <w:keepLines/>
        <w:widowControl w:val="0"/>
        <w:shd w:val="clear" w:color="auto" w:fill="auto"/>
        <w:bidi w:val="0"/>
        <w:spacing w:before="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rPr>
        <w:t>三</w:t>
      </w:r>
      <w:bookmarkEnd w:id="94"/>
      <w:r>
        <w:rPr>
          <w:color w:val="000000"/>
          <w:spacing w:val="0"/>
          <w:w w:val="100"/>
          <w:position w:val="0"/>
        </w:rPr>
        <w:t>、核心竞争力分析</w:t>
      </w:r>
      <w:bookmarkEnd w:id="92"/>
      <w:bookmarkEnd w:id="93"/>
      <w:bookmarkEnd w:id="95"/>
    </w:p>
    <w:p>
      <w:pPr>
        <w:pStyle w:val="Style11"/>
        <w:keepNext w:val="0"/>
        <w:keepLines w:val="0"/>
        <w:widowControl w:val="0"/>
        <w:shd w:val="clear" w:color="auto" w:fill="auto"/>
        <w:bidi w:val="0"/>
        <w:spacing w:before="0" w:after="0" w:line="326" w:lineRule="auto"/>
        <w:ind w:left="0" w:right="0" w:firstLine="440"/>
        <w:jc w:val="both"/>
      </w:pPr>
      <w:bookmarkStart w:id="96" w:name="bookmark96"/>
      <w:r>
        <w:rPr>
          <w:rFonts w:ascii="Times New Roman" w:eastAsia="Times New Roman" w:hAnsi="Times New Roman" w:cs="Times New Roman"/>
          <w:b/>
          <w:bCs/>
          <w:color w:val="000000"/>
          <w:spacing w:val="0"/>
          <w:w w:val="100"/>
          <w:position w:val="0"/>
        </w:rPr>
        <w:t>1</w:t>
      </w:r>
      <w:bookmarkEnd w:id="96"/>
      <w:r>
        <w:rPr>
          <w:b/>
          <w:bCs/>
          <w:color w:val="000000"/>
          <w:spacing w:val="0"/>
          <w:w w:val="100"/>
          <w:position w:val="0"/>
        </w:rPr>
        <w:t>、技术和研发优势</w:t>
      </w:r>
    </w:p>
    <w:p>
      <w:pPr>
        <w:pStyle w:val="Style1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作为国内最早推广电力设备状态检测、监测业务的少数几家企业之一，经过多年的技术沉淀和市场积 累，公司已经形成了基础学科覆盖较广、产品形态相对齐全、业务种类相对完善的电力设备状态检修体系， 拥有专业化的研发团队和相对完备的研发平台并形成了一系列的先进技术成果，拥有国家企业技术中心</w:t>
      </w:r>
      <w:r>
        <w:rPr>
          <w:rFonts w:ascii="Times New Roman" w:eastAsia="Times New Roman" w:hAnsi="Times New Roman" w:cs="Times New Roman"/>
          <w:color w:val="000000"/>
          <w:spacing w:val="0"/>
          <w:w w:val="100"/>
          <w:position w:val="0"/>
        </w:rPr>
        <w:t xml:space="preserve">, </w:t>
      </w:r>
      <w:r>
        <w:rPr>
          <w:color w:val="000000"/>
          <w:spacing w:val="0"/>
          <w:w w:val="100"/>
          <w:position w:val="0"/>
        </w:rPr>
        <w:t>国家级专精特新</w:t>
      </w:r>
      <w:r>
        <w:rPr>
          <w:rFonts w:ascii="Times New Roman" w:eastAsia="Times New Roman" w:hAnsi="Times New Roman" w:cs="Times New Roman"/>
          <w:color w:val="000000"/>
          <w:spacing w:val="0"/>
          <w:w w:val="100"/>
          <w:position w:val="0"/>
        </w:rPr>
        <w:t>“</w:t>
      </w:r>
      <w:r>
        <w:rPr>
          <w:color w:val="000000"/>
          <w:spacing w:val="0"/>
          <w:w w:val="100"/>
          <w:position w:val="0"/>
        </w:rPr>
        <w:t>小巨人</w:t>
      </w:r>
      <w:r>
        <w:rPr>
          <w:rFonts w:ascii="Times New Roman" w:eastAsia="Times New Roman" w:hAnsi="Times New Roman" w:cs="Times New Roman"/>
          <w:color w:val="000000"/>
          <w:spacing w:val="0"/>
          <w:w w:val="100"/>
          <w:position w:val="0"/>
        </w:rPr>
        <w:t>”,</w:t>
      </w:r>
      <w:r>
        <w:rPr>
          <w:color w:val="000000"/>
          <w:spacing w:val="0"/>
          <w:w w:val="100"/>
          <w:position w:val="0"/>
        </w:rPr>
        <w:t>福建省科技小巨人领军企业</w:t>
      </w:r>
      <w:r>
        <w:rPr>
          <w:color w:val="000000"/>
          <w:spacing w:val="0"/>
          <w:w w:val="100"/>
          <w:position w:val="0"/>
        </w:rPr>
        <w:t>，</w:t>
      </w:r>
      <w:r>
        <w:rPr>
          <w:color w:val="000000"/>
          <w:spacing w:val="0"/>
          <w:w w:val="100"/>
          <w:position w:val="0"/>
        </w:rPr>
        <w:t>省级新型研发机构等荣誉称号。在基础学科覆盖方 面，公司建立了基于声学、光学、电磁学、化学、电力电子等学科在电力设备安全检测方面的技术体系； 在产品形态方面，公司具备了电力检测传感器、手持式终端设备、便携式终端设备、在线安装式检测设备、 电力分析软件、大数据云平台等软硬件产品；在业务种类方面，公司提供了设备销售、检测技术服务、故 障分析与诊断评估、全系列解决方案等多样化的业务类型。因此，公司能够根据客户的不同需求进行灵活 的产品配置和快速的需求响应。</w:t>
      </w:r>
    </w:p>
    <w:p>
      <w:pPr>
        <w:pStyle w:val="Style1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子公司星波通信为国家级专精特新</w:t>
      </w:r>
      <w:r>
        <w:rPr>
          <w:rFonts w:ascii="Times New Roman" w:eastAsia="Times New Roman" w:hAnsi="Times New Roman" w:cs="Times New Roman"/>
          <w:color w:val="000000"/>
          <w:spacing w:val="0"/>
          <w:w w:val="100"/>
          <w:position w:val="0"/>
        </w:rPr>
        <w:t>“</w:t>
      </w:r>
      <w:r>
        <w:rPr>
          <w:color w:val="000000"/>
          <w:spacing w:val="0"/>
          <w:w w:val="100"/>
          <w:position w:val="0"/>
        </w:rPr>
        <w:t>小巨人</w:t>
      </w:r>
      <w:r>
        <w:rPr>
          <w:rFonts w:ascii="Times New Roman" w:eastAsia="Times New Roman" w:hAnsi="Times New Roman" w:cs="Times New Roman"/>
          <w:color w:val="000000"/>
          <w:spacing w:val="0"/>
          <w:w w:val="100"/>
          <w:position w:val="0"/>
        </w:rPr>
        <w:t>”</w:t>
      </w:r>
      <w:r>
        <w:rPr>
          <w:color w:val="000000"/>
          <w:spacing w:val="0"/>
          <w:w w:val="100"/>
          <w:position w:val="0"/>
        </w:rPr>
        <w:t>企业，其技术中心被认定为</w:t>
      </w:r>
      <w:r>
        <w:rPr>
          <w:rFonts w:ascii="Times New Roman" w:eastAsia="Times New Roman" w:hAnsi="Times New Roman" w:cs="Times New Roman"/>
          <w:color w:val="000000"/>
          <w:spacing w:val="0"/>
          <w:w w:val="100"/>
          <w:position w:val="0"/>
        </w:rPr>
        <w:t>2019</w:t>
      </w:r>
      <w:r>
        <w:rPr>
          <w:color w:val="000000"/>
          <w:spacing w:val="0"/>
          <w:w w:val="100"/>
          <w:position w:val="0"/>
        </w:rPr>
        <w:t>年度合肥市企业技术中心。 星波通信主要工程技术人员在射频</w:t>
      </w:r>
      <w:r>
        <w:rPr>
          <w:rFonts w:ascii="Times New Roman" w:eastAsia="Times New Roman" w:hAnsi="Times New Roman" w:cs="Times New Roman"/>
          <w:color w:val="000000"/>
          <w:spacing w:val="0"/>
          <w:w w:val="100"/>
          <w:position w:val="0"/>
        </w:rPr>
        <w:t>/</w:t>
      </w:r>
      <w:r>
        <w:rPr>
          <w:color w:val="000000"/>
          <w:spacing w:val="0"/>
          <w:w w:val="100"/>
          <w:position w:val="0"/>
        </w:rPr>
        <w:t>微波领域拥有十年以上设计开发经验，在射频滤波技术、频率综合技术、 多芯片微组装技术等方面积累了丰富的经验和知识，在微波电路与机械结构一体化设计方面具备优良的综 合能力。星波通信产品主要为机载、弹载、舰载、地面设备等多种武器平台覆盖的雷达、通信和电子对抗 系统提供配套，主要客户包括航天、航空、兵器、电子等二十多家整机装备厂所及众多的通信及军工配套 企业与高等院校，配套武器装备型号较多。同时，星波通信是国内少数为多个弹载武器平台提供组合级产 品的民营企业之一，配套层级较高。凭借十余年来的技术应用积累，星波通信具备了将研发技术成果转化 为产品并规模化生产的能力，产品受到客户的高度认可。</w:t>
      </w:r>
    </w:p>
    <w:p>
      <w:pPr>
        <w:pStyle w:val="Style1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子公司银川卧龙是国内最早承接铁路牵引变压器国产化项目的企业之一，国家级专精特新</w:t>
      </w:r>
      <w:r>
        <w:rPr>
          <w:rFonts w:ascii="Times New Roman" w:eastAsia="Times New Roman" w:hAnsi="Times New Roman" w:cs="Times New Roman"/>
          <w:color w:val="000000"/>
          <w:spacing w:val="0"/>
          <w:w w:val="100"/>
          <w:position w:val="0"/>
        </w:rPr>
        <w:t>“</w:t>
      </w:r>
      <w:r>
        <w:rPr>
          <w:color w:val="000000"/>
          <w:spacing w:val="0"/>
          <w:w w:val="100"/>
          <w:position w:val="0"/>
        </w:rPr>
        <w:t>小巨人</w:t>
      </w:r>
      <w:r>
        <w:rPr>
          <w:rFonts w:ascii="Times New Roman" w:eastAsia="Times New Roman" w:hAnsi="Times New Roman" w:cs="Times New Roman"/>
          <w:color w:val="000000"/>
          <w:spacing w:val="0"/>
          <w:w w:val="100"/>
          <w:position w:val="0"/>
        </w:rPr>
        <w:t>”</w:t>
      </w:r>
      <w:r>
        <w:rPr>
          <w:color w:val="000000"/>
          <w:spacing w:val="0"/>
          <w:w w:val="100"/>
          <w:position w:val="0"/>
        </w:rPr>
        <w:t>企 业，并拥有国家认定的企业技术中心荣誉称号，在铁路牵引变压器方面拥有丰富的研发设计经验，配备了 经验丰富且年龄结构层次合理的研发团队，掌握了多项铁路牵引变压器相关核心技术，研发、生产技术处 于行业内领先水平。银川卧龙注重新产品的研究和开发，长期同西南交大等院校和国内多名工程院院士进 行科技创新合作，也是原铁道部牵引变压器科技创新的重要合作单位之一，参与了原铁道部</w:t>
      </w:r>
      <w:r>
        <w:rPr>
          <w:rFonts w:ascii="Times New Roman" w:eastAsia="Times New Roman" w:hAnsi="Times New Roman" w:cs="Times New Roman"/>
          <w:color w:val="000000"/>
          <w:spacing w:val="0"/>
          <w:w w:val="100"/>
          <w:position w:val="0"/>
        </w:rPr>
        <w:t>110kV</w:t>
      </w:r>
      <w:r>
        <w:rPr>
          <w:color w:val="000000"/>
          <w:spacing w:val="0"/>
          <w:w w:val="100"/>
          <w:position w:val="0"/>
        </w:rPr>
        <w:t>平衡牵 引变压器项目、胶济线</w:t>
      </w:r>
      <w:r>
        <w:rPr>
          <w:rFonts w:ascii="Times New Roman" w:eastAsia="Times New Roman" w:hAnsi="Times New Roman" w:cs="Times New Roman"/>
          <w:color w:val="000000"/>
          <w:spacing w:val="0"/>
          <w:w w:val="100"/>
          <w:position w:val="0"/>
        </w:rPr>
        <w:t>220kV</w:t>
      </w:r>
      <w:r>
        <w:rPr>
          <w:color w:val="000000"/>
          <w:spacing w:val="0"/>
          <w:w w:val="100"/>
          <w:position w:val="0"/>
        </w:rPr>
        <w:t>单相牵引变压器项目、浙赣线</w:t>
      </w:r>
      <w:r>
        <w:rPr>
          <w:rFonts w:ascii="Times New Roman" w:eastAsia="Times New Roman" w:hAnsi="Times New Roman" w:cs="Times New Roman"/>
          <w:color w:val="000000"/>
          <w:spacing w:val="0"/>
          <w:w w:val="100"/>
          <w:position w:val="0"/>
        </w:rPr>
        <w:t>220kV</w:t>
      </w:r>
      <w:r>
        <w:rPr>
          <w:color w:val="000000"/>
          <w:spacing w:val="0"/>
          <w:w w:val="100"/>
          <w:position w:val="0"/>
        </w:rPr>
        <w:t>的</w:t>
      </w:r>
      <w:r>
        <w:rPr>
          <w:rFonts w:ascii="Times New Roman" w:eastAsia="Times New Roman" w:hAnsi="Times New Roman" w:cs="Times New Roman"/>
          <w:color w:val="000000"/>
          <w:spacing w:val="0"/>
          <w:w w:val="100"/>
          <w:position w:val="0"/>
        </w:rPr>
        <w:t>V/V</w:t>
      </w:r>
      <w:r>
        <w:rPr>
          <w:color w:val="000000"/>
          <w:spacing w:val="0"/>
          <w:w w:val="100"/>
          <w:position w:val="0"/>
        </w:rPr>
        <w:t>牵引变压器项目、移动式牵引变电 站项目、武广高铁牵引变压器项目等多项重点科技项目。</w:t>
      </w:r>
    </w:p>
    <w:p>
      <w:pPr>
        <w:pStyle w:val="Style11"/>
        <w:keepNext w:val="0"/>
        <w:keepLines w:val="0"/>
        <w:widowControl w:val="0"/>
        <w:shd w:val="clear" w:color="auto" w:fill="auto"/>
        <w:bidi w:val="0"/>
        <w:spacing w:before="0" w:after="160" w:line="326" w:lineRule="exact"/>
        <w:ind w:left="0" w:right="0" w:firstLine="440"/>
        <w:jc w:val="both"/>
      </w:pPr>
      <w:r>
        <w:rPr>
          <w:color w:val="000000"/>
          <w:spacing w:val="0"/>
          <w:w w:val="100"/>
          <w:position w:val="0"/>
        </w:rPr>
        <w:t>截至本报告期末，公司已获得</w:t>
      </w:r>
      <w:r>
        <w:rPr>
          <w:rFonts w:ascii="Times New Roman" w:eastAsia="Times New Roman" w:hAnsi="Times New Roman" w:cs="Times New Roman"/>
          <w:color w:val="000000"/>
          <w:spacing w:val="0"/>
          <w:w w:val="100"/>
          <w:position w:val="0"/>
        </w:rPr>
        <w:t>64</w:t>
      </w:r>
      <w:r>
        <w:rPr>
          <w:color w:val="000000"/>
          <w:spacing w:val="0"/>
          <w:w w:val="100"/>
          <w:position w:val="0"/>
        </w:rPr>
        <w:t>项发明专利</w:t>
      </w:r>
      <w:r>
        <w:rPr>
          <w:rFonts w:ascii="Times New Roman" w:eastAsia="Times New Roman" w:hAnsi="Times New Roman" w:cs="Times New Roman"/>
          <w:color w:val="000000"/>
          <w:spacing w:val="0"/>
          <w:w w:val="100"/>
          <w:position w:val="0"/>
        </w:rPr>
        <w:t>,170</w:t>
      </w:r>
      <w:r>
        <w:rPr>
          <w:color w:val="000000"/>
          <w:spacing w:val="0"/>
          <w:w w:val="100"/>
          <w:position w:val="0"/>
        </w:rPr>
        <w:t>项实用新型专利</w:t>
      </w:r>
      <w:r>
        <w:rPr>
          <w:rFonts w:ascii="Times New Roman" w:eastAsia="Times New Roman" w:hAnsi="Times New Roman" w:cs="Times New Roman"/>
          <w:color w:val="000000"/>
          <w:spacing w:val="0"/>
          <w:w w:val="100"/>
          <w:position w:val="0"/>
        </w:rPr>
        <w:t>,137</w:t>
      </w:r>
      <w:r>
        <w:rPr>
          <w:color w:val="000000"/>
          <w:spacing w:val="0"/>
          <w:w w:val="100"/>
          <w:position w:val="0"/>
        </w:rPr>
        <w:t>项软件著作权。公司及子公司星 波通信、银川卧龙、涵普电力、成都鼎屹均是高新技术企业。</w:t>
      </w:r>
    </w:p>
    <w:p>
      <w:pPr>
        <w:pStyle w:val="Style11"/>
        <w:keepNext w:val="0"/>
        <w:keepLines w:val="0"/>
        <w:widowControl w:val="0"/>
        <w:shd w:val="clear" w:color="auto" w:fill="auto"/>
        <w:bidi w:val="0"/>
        <w:spacing w:before="0" w:after="140" w:line="240" w:lineRule="auto"/>
        <w:ind w:left="0" w:right="0" w:firstLine="440"/>
        <w:jc w:val="both"/>
      </w:pPr>
      <w:bookmarkStart w:id="97" w:name="bookmark97"/>
      <w:r>
        <w:rPr>
          <w:rFonts w:ascii="Times New Roman" w:eastAsia="Times New Roman" w:hAnsi="Times New Roman" w:cs="Times New Roman"/>
          <w:b/>
          <w:bCs/>
          <w:color w:val="000000"/>
          <w:spacing w:val="0"/>
          <w:w w:val="100"/>
          <w:position w:val="0"/>
        </w:rPr>
        <w:t>2</w:t>
      </w:r>
      <w:bookmarkEnd w:id="97"/>
      <w:r>
        <w:rPr>
          <w:b/>
          <w:bCs/>
          <w:color w:val="000000"/>
          <w:spacing w:val="0"/>
          <w:w w:val="100"/>
          <w:position w:val="0"/>
        </w:rPr>
        <w:t>、品牌与营销优势</w:t>
      </w:r>
    </w:p>
    <w:p>
      <w:pPr>
        <w:pStyle w:val="Style1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公司拥有一支经验丰富、业务能力较强、忠诚度较高的营销团队，建立了完善、高效、灵活的营销管 理体系，设立了覆盖电力、军工、铁路与轨道交通行业内各级用户的营销服务网络。</w:t>
      </w:r>
    </w:p>
    <w:p>
      <w:pPr>
        <w:pStyle w:val="Style1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公司及各重要子公司均具有深厚的历史沉淀和良好的市场口碑，其中：</w:t>
      </w:r>
    </w:p>
    <w:p>
      <w:pPr>
        <w:pStyle w:val="Style11"/>
        <w:keepNext w:val="0"/>
        <w:keepLines w:val="0"/>
        <w:widowControl w:val="0"/>
        <w:shd w:val="clear" w:color="auto" w:fill="auto"/>
        <w:bidi w:val="0"/>
        <w:spacing w:before="0" w:after="100" w:line="314" w:lineRule="exact"/>
        <w:ind w:left="0" w:right="0" w:firstLine="440"/>
        <w:jc w:val="both"/>
      </w:pPr>
      <w:bookmarkStart w:id="98" w:name="bookmark98"/>
      <w:r>
        <w:rPr>
          <w:color w:val="000000"/>
          <w:spacing w:val="0"/>
          <w:w w:val="100"/>
          <w:position w:val="0"/>
        </w:rPr>
        <w:t>（</w:t>
      </w:r>
      <w:bookmarkEnd w:id="98"/>
      <w:r>
        <w:rPr>
          <w:rFonts w:ascii="Times New Roman" w:eastAsia="Times New Roman" w:hAnsi="Times New Roman" w:cs="Times New Roman"/>
          <w:color w:val="000000"/>
          <w:spacing w:val="0"/>
          <w:w w:val="100"/>
          <w:position w:val="0"/>
        </w:rPr>
        <w:t>1</w:t>
      </w:r>
      <w:r>
        <w:rPr>
          <w:color w:val="000000"/>
          <w:spacing w:val="0"/>
          <w:w w:val="100"/>
          <w:position w:val="0"/>
        </w:rPr>
        <w:t>） 作为国内最早推广电力设备状态检测、监测业务的少数几家企业之一，公司在国内电力行业对 状态检测、监测尚处于探索和萌芽阶段的时候，就进行了大量的技术宣贯和推广应用工作，为推动行业的 发展做出了贡献，并在用户中树立了良好的形象。公司受邀参与上海世博会、广州亚运会、博鳌亚洲论坛、 厦门金砖国家领导人会晤等国家重大事项的保供电任务，树立起了</w:t>
      </w:r>
      <w:r>
        <w:rPr>
          <w:rFonts w:ascii="Times New Roman" w:eastAsia="Times New Roman" w:hAnsi="Times New Roman" w:cs="Times New Roman"/>
          <w:color w:val="000000"/>
          <w:spacing w:val="0"/>
          <w:w w:val="100"/>
          <w:position w:val="0"/>
        </w:rPr>
        <w:t>“</w:t>
      </w:r>
      <w:r>
        <w:rPr>
          <w:color w:val="000000"/>
          <w:spacing w:val="0"/>
          <w:w w:val="100"/>
          <w:position w:val="0"/>
        </w:rPr>
        <w:t>红相</w:t>
      </w:r>
      <w:r>
        <w:rPr>
          <w:rFonts w:ascii="Times New Roman" w:eastAsia="Times New Roman" w:hAnsi="Times New Roman" w:cs="Times New Roman"/>
          <w:color w:val="000000"/>
          <w:spacing w:val="0"/>
          <w:w w:val="100"/>
          <w:position w:val="0"/>
        </w:rPr>
        <w:t>”</w:t>
      </w:r>
      <w:r>
        <w:rPr>
          <w:color w:val="000000"/>
          <w:spacing w:val="0"/>
          <w:w w:val="100"/>
          <w:position w:val="0"/>
        </w:rPr>
        <w:t>品牌的良好市场形象。</w:t>
      </w:r>
    </w:p>
    <w:p>
      <w:pPr>
        <w:pStyle w:val="Style11"/>
        <w:keepNext w:val="0"/>
        <w:keepLines w:val="0"/>
        <w:widowControl w:val="0"/>
        <w:shd w:val="clear" w:color="auto" w:fill="auto"/>
        <w:bidi w:val="0"/>
        <w:spacing w:before="0" w:after="100" w:line="331" w:lineRule="exact"/>
        <w:ind w:left="0" w:right="0" w:firstLine="440"/>
        <w:jc w:val="both"/>
      </w:pPr>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rPr>
        <w:t>2</w:t>
      </w:r>
      <w:r>
        <w:rPr>
          <w:color w:val="000000"/>
          <w:spacing w:val="0"/>
          <w:w w:val="100"/>
          <w:position w:val="0"/>
        </w:rPr>
        <w:t>） 涵普电力的品牌创办已有</w:t>
      </w:r>
      <w:r>
        <w:rPr>
          <w:rFonts w:ascii="Times New Roman" w:eastAsia="Times New Roman" w:hAnsi="Times New Roman" w:cs="Times New Roman"/>
          <w:color w:val="000000"/>
          <w:spacing w:val="0"/>
          <w:w w:val="100"/>
          <w:position w:val="0"/>
        </w:rPr>
        <w:t>20</w:t>
      </w:r>
      <w:r>
        <w:rPr>
          <w:color w:val="000000"/>
          <w:spacing w:val="0"/>
          <w:w w:val="100"/>
          <w:position w:val="0"/>
        </w:rPr>
        <w:t>多年的历史，其产品已广泛应用于国内三分之二的发电企业，其产 品在国内发电领域的细分市场具有较高的市场份额和优质的客户资源。</w:t>
      </w:r>
    </w:p>
    <w:p>
      <w:pPr>
        <w:pStyle w:val="Style11"/>
        <w:keepNext w:val="0"/>
        <w:keepLines w:val="0"/>
        <w:widowControl w:val="0"/>
        <w:shd w:val="clear" w:color="auto" w:fill="auto"/>
        <w:tabs>
          <w:tab w:pos="1016" w:val="left"/>
        </w:tabs>
        <w:bidi w:val="0"/>
        <w:spacing w:before="0" w:after="100" w:line="319" w:lineRule="exact"/>
        <w:ind w:left="0" w:right="0" w:firstLine="440"/>
        <w:jc w:val="both"/>
      </w:pPr>
      <w:bookmarkStart w:id="100" w:name="bookmark100"/>
      <w:r>
        <w:rPr>
          <w:color w:val="000000"/>
          <w:spacing w:val="0"/>
          <w:w w:val="100"/>
          <w:position w:val="0"/>
        </w:rPr>
        <w:t>（</w:t>
      </w:r>
      <w:bookmarkEnd w:id="100"/>
      <w:r>
        <w:rPr>
          <w:rFonts w:ascii="Times New Roman" w:eastAsia="Times New Roman" w:hAnsi="Times New Roman" w:cs="Times New Roman"/>
          <w:color w:val="000000"/>
          <w:spacing w:val="0"/>
          <w:w w:val="100"/>
          <w:position w:val="0"/>
        </w:rPr>
        <w:t>3</w:t>
      </w:r>
      <w:r>
        <w:rPr>
          <w:color w:val="000000"/>
          <w:spacing w:val="0"/>
          <w:w w:val="100"/>
          <w:position w:val="0"/>
        </w:rPr>
        <w:t>）</w:t>
        <w:tab/>
        <w:t>银川卧龙的牵引变压器是保障铁路运输的主要动力来源，多年来银川卧龙提供的产品一直保持 着较高的产品可靠性和稳定性，运行记录良好，且参与了多项牵引变压器的重点科技创新项目，在业内享 有较高的声誉。</w:t>
      </w:r>
    </w:p>
    <w:p>
      <w:pPr>
        <w:pStyle w:val="Style11"/>
        <w:keepNext w:val="0"/>
        <w:keepLines w:val="0"/>
        <w:widowControl w:val="0"/>
        <w:shd w:val="clear" w:color="auto" w:fill="auto"/>
        <w:bidi w:val="0"/>
        <w:spacing w:before="0" w:after="180" w:line="322" w:lineRule="exact"/>
        <w:ind w:left="0" w:right="0" w:firstLine="440"/>
        <w:jc w:val="both"/>
      </w:pPr>
      <w:bookmarkStart w:id="101" w:name="bookmark101"/>
      <w:r>
        <w:rPr>
          <w:color w:val="000000"/>
          <w:spacing w:val="0"/>
          <w:w w:val="100"/>
          <w:position w:val="0"/>
        </w:rPr>
        <w:t>（</w:t>
      </w:r>
      <w:bookmarkEnd w:id="101"/>
      <w:r>
        <w:rPr>
          <w:rFonts w:ascii="Times New Roman" w:eastAsia="Times New Roman" w:hAnsi="Times New Roman" w:cs="Times New Roman"/>
          <w:color w:val="000000"/>
          <w:spacing w:val="0"/>
          <w:w w:val="100"/>
          <w:position w:val="0"/>
        </w:rPr>
        <w:t>4</w:t>
      </w:r>
      <w:r>
        <w:rPr>
          <w:color w:val="000000"/>
          <w:spacing w:val="0"/>
          <w:w w:val="100"/>
          <w:position w:val="0"/>
        </w:rPr>
        <w:t>） 星波通信是国内民营军工企业中从事射频</w:t>
      </w:r>
      <w:r>
        <w:rPr>
          <w:rFonts w:ascii="Times New Roman" w:eastAsia="Times New Roman" w:hAnsi="Times New Roman" w:cs="Times New Roman"/>
          <w:color w:val="000000"/>
          <w:spacing w:val="0"/>
          <w:w w:val="100"/>
          <w:position w:val="0"/>
        </w:rPr>
        <w:t>/</w:t>
      </w:r>
      <w:r>
        <w:rPr>
          <w:color w:val="000000"/>
          <w:spacing w:val="0"/>
          <w:w w:val="100"/>
          <w:position w:val="0"/>
        </w:rPr>
        <w:t>微波专业的知名企业，其射频</w:t>
      </w:r>
      <w:r>
        <w:rPr>
          <w:rFonts w:ascii="Times New Roman" w:eastAsia="Times New Roman" w:hAnsi="Times New Roman" w:cs="Times New Roman"/>
          <w:color w:val="000000"/>
          <w:spacing w:val="0"/>
          <w:w w:val="100"/>
          <w:position w:val="0"/>
        </w:rPr>
        <w:t>/</w:t>
      </w:r>
      <w:r>
        <w:rPr>
          <w:color w:val="000000"/>
          <w:spacing w:val="0"/>
          <w:w w:val="100"/>
          <w:position w:val="0"/>
        </w:rPr>
        <w:t>微波产品自交付部队以 来一直保持着优秀的历史运行业绩和良好的品牌效应，在客户中树立了良好的市场知名度和美誉度。</w:t>
      </w:r>
    </w:p>
    <w:p>
      <w:pPr>
        <w:pStyle w:val="Style11"/>
        <w:keepNext w:val="0"/>
        <w:keepLines w:val="0"/>
        <w:widowControl w:val="0"/>
        <w:shd w:val="clear" w:color="auto" w:fill="auto"/>
        <w:bidi w:val="0"/>
        <w:spacing w:before="0" w:after="0" w:line="326" w:lineRule="auto"/>
        <w:ind w:left="0" w:right="0" w:firstLine="440"/>
        <w:jc w:val="both"/>
      </w:pPr>
      <w:bookmarkStart w:id="102" w:name="bookmark102"/>
      <w:r>
        <w:rPr>
          <w:rFonts w:ascii="Times New Roman" w:eastAsia="Times New Roman" w:hAnsi="Times New Roman" w:cs="Times New Roman"/>
          <w:b/>
          <w:bCs/>
          <w:color w:val="000000"/>
          <w:spacing w:val="0"/>
          <w:w w:val="100"/>
          <w:position w:val="0"/>
        </w:rPr>
        <w:t>3</w:t>
      </w:r>
      <w:bookmarkEnd w:id="102"/>
      <w:r>
        <w:rPr>
          <w:b/>
          <w:bCs/>
          <w:color w:val="000000"/>
          <w:spacing w:val="0"/>
          <w:w w:val="100"/>
          <w:position w:val="0"/>
        </w:rPr>
        <w:t>、人才优势</w:t>
      </w:r>
    </w:p>
    <w:p>
      <w:pPr>
        <w:pStyle w:val="Style11"/>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人才是企业发展的基石，公司一直以来都非常重视人才队伍的建设。经过多年的发展，公司已建立起 一支稳定且富有创新精神的人才队伍。公司的经营管理层除依托自身敏锐的市场洞察力外，还不断的寻求 和建立外部决策咨询机制，与众多高校、行业专家保持着密切的沟通和交流机制，及时获取行业前沿资讯 和人才信息，从而确保公司实时跟进市场发展动向和源源不断的人才输入。</w:t>
      </w:r>
    </w:p>
    <w:p>
      <w:pPr>
        <w:pStyle w:val="Style23"/>
        <w:keepNext/>
        <w:keepLines/>
        <w:widowControl w:val="0"/>
        <w:shd w:val="clear" w:color="auto" w:fill="auto"/>
        <w:bidi w:val="0"/>
        <w:spacing w:before="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四</w:t>
      </w:r>
      <w:bookmarkEnd w:id="105"/>
      <w:r>
        <w:rPr>
          <w:color w:val="000000"/>
          <w:spacing w:val="0"/>
          <w:w w:val="100"/>
          <w:position w:val="0"/>
        </w:rPr>
        <w:t>、主营业务分析</w:t>
      </w:r>
      <w:bookmarkEnd w:id="103"/>
      <w:bookmarkEnd w:id="104"/>
      <w:bookmarkEnd w:id="106"/>
    </w:p>
    <w:p>
      <w:pPr>
        <w:pStyle w:val="Style31"/>
        <w:keepNext/>
        <w:keepLines/>
        <w:widowControl w:val="0"/>
        <w:shd w:val="clear" w:color="auto" w:fill="auto"/>
        <w:bidi w:val="0"/>
        <w:spacing w:before="0" w:after="180" w:line="326" w:lineRule="auto"/>
        <w:ind w:left="0" w:right="0" w:firstLine="0"/>
        <w:jc w:val="left"/>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1</w:t>
      </w:r>
      <w:bookmarkEnd w:id="109"/>
      <w:r>
        <w:rPr>
          <w:color w:val="000000"/>
          <w:spacing w:val="0"/>
          <w:w w:val="100"/>
          <w:position w:val="0"/>
        </w:rPr>
        <w:t>、概述</w:t>
      </w:r>
      <w:bookmarkEnd w:id="107"/>
      <w:bookmarkEnd w:id="108"/>
      <w:bookmarkEnd w:id="110"/>
    </w:p>
    <w:p>
      <w:pPr>
        <w:pStyle w:val="Style1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公司经营业务参见</w:t>
      </w:r>
      <w:r>
        <w:rPr>
          <w:rFonts w:ascii="Times New Roman" w:eastAsia="Times New Roman" w:hAnsi="Times New Roman" w:cs="Times New Roman"/>
          <w:color w:val="000000"/>
          <w:spacing w:val="0"/>
          <w:w w:val="100"/>
          <w:position w:val="0"/>
        </w:rPr>
        <w:t>“</w:t>
      </w:r>
      <w:r>
        <w:rPr>
          <w:color w:val="000000"/>
          <w:spacing w:val="0"/>
          <w:w w:val="100"/>
          <w:position w:val="0"/>
        </w:rPr>
        <w:t>第三节管理层讨论与分析''之</w:t>
      </w:r>
      <w:r>
        <w:rPr>
          <w:rFonts w:ascii="Times New Roman" w:eastAsia="Times New Roman" w:hAnsi="Times New Roman" w:cs="Times New Roman"/>
          <w:color w:val="000000"/>
          <w:spacing w:val="0"/>
          <w:w w:val="100"/>
          <w:position w:val="0"/>
        </w:rPr>
        <w:t>“</w:t>
      </w:r>
      <w:r>
        <w:rPr>
          <w:color w:val="000000"/>
          <w:spacing w:val="0"/>
          <w:w w:val="100"/>
          <w:position w:val="0"/>
        </w:rPr>
        <w:t>二、报告期内公司从事的主要业务''相关内容。</w:t>
      </w:r>
    </w:p>
    <w:p>
      <w:pPr>
        <w:pStyle w:val="Style11"/>
        <w:keepNext w:val="0"/>
        <w:keepLines w:val="0"/>
        <w:widowControl w:val="0"/>
        <w:shd w:val="clear" w:color="auto" w:fill="auto"/>
        <w:bidi w:val="0"/>
        <w:spacing w:before="0" w:after="0" w:line="30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年度受全球疫情持续、国内能耗双控、原材料价格上涨、市场竞争加剧等多方面因素的影响，公 司子公司银川卧龙经营业绩未达预期，公司计提了收购银川卧龙的商誉减值</w:t>
      </w:r>
      <w:r>
        <w:rPr>
          <w:rFonts w:ascii="Times New Roman" w:eastAsia="Times New Roman" w:hAnsi="Times New Roman" w:cs="Times New Roman"/>
          <w:color w:val="000000"/>
          <w:spacing w:val="0"/>
          <w:w w:val="100"/>
          <w:position w:val="0"/>
        </w:rPr>
        <w:t>67,099.45</w:t>
      </w:r>
      <w:r>
        <w:rPr>
          <w:color w:val="000000"/>
          <w:spacing w:val="0"/>
          <w:w w:val="100"/>
          <w:position w:val="0"/>
        </w:rPr>
        <w:t>万元以及无形资产的 资产减值</w:t>
      </w:r>
      <w:r>
        <w:rPr>
          <w:rFonts w:ascii="Times New Roman" w:eastAsia="Times New Roman" w:hAnsi="Times New Roman" w:cs="Times New Roman"/>
          <w:color w:val="000000"/>
          <w:spacing w:val="0"/>
          <w:w w:val="100"/>
          <w:position w:val="0"/>
        </w:rPr>
        <w:t>3,615.90</w:t>
      </w:r>
      <w:r>
        <w:rPr>
          <w:color w:val="000000"/>
          <w:spacing w:val="0"/>
          <w:w w:val="100"/>
          <w:position w:val="0"/>
        </w:rPr>
        <w:t>万元。</w:t>
      </w:r>
    </w:p>
    <w:p>
      <w:pPr>
        <w:pStyle w:val="Style11"/>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扣除银川卧龙的商誉减值及无形资产减值的影响，报告期内，受市场竞争及铁路投资放缓的影响，公 司</w:t>
      </w:r>
      <w:r>
        <w:rPr>
          <w:rFonts w:ascii="Times New Roman" w:eastAsia="Times New Roman" w:hAnsi="Times New Roman" w:cs="Times New Roman"/>
          <w:color w:val="000000"/>
          <w:spacing w:val="0"/>
          <w:w w:val="100"/>
          <w:position w:val="0"/>
        </w:rPr>
        <w:t>2021</w:t>
      </w:r>
      <w:r>
        <w:rPr>
          <w:color w:val="000000"/>
          <w:spacing w:val="0"/>
          <w:w w:val="100"/>
          <w:position w:val="0"/>
        </w:rPr>
        <w:t>年度经营业绩较上年同期大幅下滑。</w:t>
      </w:r>
    </w:p>
    <w:p>
      <w:pPr>
        <w:pStyle w:val="Style11"/>
        <w:keepNext w:val="0"/>
        <w:keepLines w:val="0"/>
        <w:widowControl w:val="0"/>
        <w:shd w:val="clear" w:color="auto" w:fill="auto"/>
        <w:bidi w:val="0"/>
        <w:spacing w:before="0" w:after="0" w:line="307" w:lineRule="exact"/>
        <w:ind w:left="0" w:right="0" w:firstLine="440"/>
        <w:jc w:val="both"/>
      </w:pPr>
      <w:r>
        <w:rPr>
          <w:color w:val="000000"/>
          <w:spacing w:val="0"/>
          <w:w w:val="100"/>
          <w:position w:val="0"/>
        </w:rPr>
        <w:t>主要经营成果如下：</w:t>
      </w:r>
    </w:p>
    <w:p>
      <w:pPr>
        <w:pStyle w:val="Style25"/>
        <w:keepNext w:val="0"/>
        <w:keepLines w:val="0"/>
        <w:widowControl w:val="0"/>
        <w:shd w:val="clear" w:color="auto" w:fill="auto"/>
        <w:bidi w:val="0"/>
        <w:spacing w:before="0" w:after="0" w:line="240" w:lineRule="auto"/>
        <w:ind w:left="8357" w:right="0" w:firstLine="0"/>
        <w:jc w:val="left"/>
        <w:rPr>
          <w:sz w:val="20"/>
          <w:szCs w:val="20"/>
        </w:rPr>
      </w:pPr>
      <w:r>
        <w:rPr>
          <w:color w:val="000000"/>
          <w:spacing w:val="0"/>
          <w:w w:val="100"/>
          <w:position w:val="0"/>
          <w:sz w:val="20"/>
          <w:szCs w:val="20"/>
        </w:rPr>
        <w:t>单元：万元</w:t>
      </w:r>
    </w:p>
    <w:tbl>
      <w:tblPr>
        <w:tblOverlap w:val="never"/>
        <w:jc w:val="center"/>
        <w:tblLayout w:type="fixed"/>
      </w:tblPr>
      <w:tblGrid>
        <w:gridCol w:w="2654"/>
        <w:gridCol w:w="2026"/>
        <w:gridCol w:w="1867"/>
        <w:gridCol w:w="1714"/>
        <w:gridCol w:w="1416"/>
      </w:tblGrid>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b/>
                <w:bCs/>
                <w:color w:val="000000"/>
                <w:spacing w:val="0"/>
                <w:w w:val="100"/>
                <w:position w:val="0"/>
                <w:sz w:val="20"/>
                <w:szCs w:val="20"/>
              </w:rPr>
              <w:t>增减额</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280" w:firstLine="0"/>
              <w:jc w:val="right"/>
              <w:rPr>
                <w:sz w:val="20"/>
                <w:szCs w:val="20"/>
              </w:rPr>
            </w:pPr>
            <w:r>
              <w:rPr>
                <w:b/>
                <w:bCs/>
                <w:color w:val="000000"/>
                <w:spacing w:val="0"/>
                <w:w w:val="100"/>
                <w:position w:val="0"/>
                <w:sz w:val="20"/>
                <w:szCs w:val="20"/>
              </w:rPr>
              <w:t>增减变动</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b/>
                <w:bCs/>
                <w:color w:val="000000"/>
                <w:spacing w:val="0"/>
                <w:w w:val="100"/>
                <w:position w:val="0"/>
                <w:sz w:val="20"/>
                <w:szCs w:val="20"/>
              </w:rPr>
              <w:t>139,436.96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151,599.28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-12,162.32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b/>
                <w:bCs/>
                <w:color w:val="000000"/>
                <w:spacing w:val="0"/>
                <w:w w:val="100"/>
                <w:position w:val="0"/>
                <w:sz w:val="20"/>
                <w:szCs w:val="20"/>
              </w:rPr>
              <w:t>-8.02%</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b/>
                <w:bCs/>
                <w:color w:val="000000"/>
                <w:spacing w:val="0"/>
                <w:w w:val="100"/>
                <w:position w:val="0"/>
                <w:sz w:val="20"/>
                <w:szCs w:val="20"/>
              </w:rPr>
              <w:t>139,052.36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129,994.10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9,058.26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6.97%</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93,240.52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87,819.34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5,421.18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6.17%</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748.45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-25.07%</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13,159.15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10,135.57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3,023.58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29.83%</w:t>
            </w:r>
          </w:p>
        </w:tc>
      </w:tr>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10,707.87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9,467.59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13.10%</w:t>
            </w:r>
          </w:p>
        </w:tc>
      </w:tr>
    </w:tbl>
    <w:tbl>
      <w:tblPr>
        <w:tblOverlap w:val="never"/>
        <w:jc w:val="center"/>
        <w:tblLayout w:type="fixed"/>
      </w:tblPr>
      <w:tblGrid>
        <w:gridCol w:w="2654"/>
        <w:gridCol w:w="2026"/>
        <w:gridCol w:w="1867"/>
        <w:gridCol w:w="1714"/>
        <w:gridCol w:w="1416"/>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10,269.05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9,800.49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4.78%</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10,927.33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11,772.28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-7.18%</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3,731.29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4,062.91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-8.16%</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1,732.65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1,691.42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4102.40%</w:t>
            </w:r>
          </w:p>
        </w:tc>
      </w:tr>
      <w:tr>
        <w:trPr>
          <w:trHeight w:val="66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40"/>
              <w:jc w:val="left"/>
              <w:rPr>
                <w:sz w:val="20"/>
                <w:szCs w:val="20"/>
              </w:rPr>
            </w:pPr>
            <w:r>
              <w:rPr>
                <w:color w:val="000000"/>
                <w:spacing w:val="0"/>
                <w:w w:val="100"/>
                <w:position w:val="0"/>
                <w:sz w:val="20"/>
                <w:szCs w:val="20"/>
              </w:rPr>
              <w:t>信用减值损失（损失以</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号列示）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1,979.96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-677.76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-2,657.72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-392.13%</w:t>
            </w:r>
          </w:p>
        </w:tc>
      </w:tr>
      <w:tr>
        <w:trPr>
          <w:trHeight w:val="6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40"/>
              <w:jc w:val="left"/>
              <w:rPr>
                <w:sz w:val="20"/>
                <w:szCs w:val="20"/>
              </w:rPr>
            </w:pPr>
            <w:r>
              <w:rPr>
                <w:color w:val="000000"/>
                <w:spacing w:val="0"/>
                <w:w w:val="100"/>
                <w:position w:val="0"/>
                <w:sz w:val="20"/>
                <w:szCs w:val="20"/>
              </w:rPr>
              <w:t>资产减值损失（损失以</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号列示）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-71,957.10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71,356.27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11876.28%</w:t>
            </w:r>
          </w:p>
        </w:tc>
      </w:tr>
      <w:tr>
        <w:trPr>
          <w:trHeight w:val="6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40"/>
              <w:jc w:val="left"/>
              <w:rPr>
                <w:sz w:val="20"/>
                <w:szCs w:val="20"/>
              </w:rPr>
            </w:pPr>
            <w:r>
              <w:rPr>
                <w:color w:val="000000"/>
                <w:spacing w:val="0"/>
                <w:w w:val="100"/>
                <w:position w:val="0"/>
                <w:sz w:val="20"/>
                <w:szCs w:val="20"/>
              </w:rPr>
              <w:t>资产处置收益（损失以</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号列示）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297.51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889.09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-591.58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-66.54%</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营业利润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b/>
                <w:bCs/>
                <w:color w:val="000000"/>
                <w:spacing w:val="0"/>
                <w:w w:val="100"/>
                <w:position w:val="0"/>
                <w:sz w:val="20"/>
                <w:szCs w:val="20"/>
              </w:rPr>
              <w:t>-63,831.09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25,319.82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b/>
                <w:bCs/>
                <w:color w:val="000000"/>
                <w:spacing w:val="0"/>
                <w:w w:val="100"/>
                <w:position w:val="0"/>
                <w:sz w:val="20"/>
                <w:szCs w:val="20"/>
              </w:rPr>
              <w:t>-89,150.91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-352.10%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118.59%</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113.41%</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b/>
                <w:bCs/>
                <w:color w:val="000000"/>
                <w:spacing w:val="0"/>
                <w:w w:val="100"/>
                <w:position w:val="0"/>
                <w:sz w:val="20"/>
                <w:szCs w:val="20"/>
              </w:rPr>
              <w:t>-63,853.45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25,308.84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b/>
                <w:bCs/>
                <w:color w:val="000000"/>
                <w:spacing w:val="0"/>
                <w:w w:val="100"/>
                <w:position w:val="0"/>
                <w:sz w:val="20"/>
                <w:szCs w:val="20"/>
              </w:rPr>
              <w:t>-89,162.29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-352.30%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3,341.45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-3,730.99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-111.66%</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b/>
                <w:bCs/>
                <w:color w:val="000000"/>
                <w:spacing w:val="0"/>
                <w:w w:val="100"/>
                <w:position w:val="0"/>
                <w:sz w:val="20"/>
                <w:szCs w:val="20"/>
              </w:rPr>
              <w:t>-63,463.91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21,967.39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b/>
                <w:bCs/>
                <w:color w:val="000000"/>
                <w:spacing w:val="0"/>
                <w:w w:val="100"/>
                <w:position w:val="0"/>
                <w:sz w:val="20"/>
                <w:szCs w:val="20"/>
              </w:rPr>
              <w:t>-85,431.30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-388.90%</w:t>
            </w:r>
          </w:p>
        </w:tc>
      </w:tr>
      <w:tr>
        <w:trPr>
          <w:trHeight w:val="66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40"/>
              <w:jc w:val="left"/>
              <w:rPr>
                <w:sz w:val="20"/>
                <w:szCs w:val="20"/>
              </w:rPr>
            </w:pPr>
            <w:r>
              <w:rPr>
                <w:color w:val="000000"/>
                <w:spacing w:val="0"/>
                <w:w w:val="100"/>
                <w:position w:val="0"/>
                <w:sz w:val="20"/>
                <w:szCs w:val="20"/>
              </w:rPr>
              <w:t>归属于上市公司股东的净 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-63,584.95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23,165.46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-86,750.41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-374.48%</w:t>
            </w:r>
          </w:p>
        </w:tc>
      </w:tr>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1,319.11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-110.10%</w:t>
            </w:r>
          </w:p>
        </w:tc>
      </w:tr>
    </w:tbl>
    <w:p>
      <w:pPr>
        <w:pStyle w:val="Style25"/>
        <w:keepNext w:val="0"/>
        <w:keepLines w:val="0"/>
        <w:widowControl w:val="0"/>
        <w:shd w:val="clear" w:color="auto" w:fill="auto"/>
        <w:bidi w:val="0"/>
        <w:spacing w:before="0" w:after="0" w:line="240" w:lineRule="auto"/>
        <w:ind w:left="86" w:right="0" w:firstLine="0"/>
        <w:jc w:val="left"/>
        <w:rPr>
          <w:sz w:val="20"/>
          <w:szCs w:val="20"/>
        </w:rPr>
      </w:pPr>
      <w:r>
        <w:rPr>
          <w:color w:val="000000"/>
          <w:spacing w:val="0"/>
          <w:w w:val="100"/>
          <w:position w:val="0"/>
          <w:sz w:val="20"/>
          <w:szCs w:val="20"/>
        </w:rPr>
        <w:t>具体变动分析如下:</w:t>
      </w:r>
    </w:p>
    <w:p>
      <w:pPr>
        <w:widowControl w:val="0"/>
        <w:spacing w:after="79" w:line="1" w:lineRule="exact"/>
      </w:pPr>
    </w:p>
    <w:p>
      <w:pPr>
        <w:pStyle w:val="Style11"/>
        <w:keepNext w:val="0"/>
        <w:keepLines w:val="0"/>
        <w:widowControl w:val="0"/>
        <w:shd w:val="clear" w:color="auto" w:fill="auto"/>
        <w:tabs>
          <w:tab w:pos="466" w:val="left"/>
        </w:tabs>
        <w:bidi w:val="0"/>
        <w:spacing w:before="0" w:after="0" w:line="311" w:lineRule="exact"/>
        <w:ind w:left="0" w:right="0" w:firstLine="0"/>
        <w:jc w:val="both"/>
      </w:pPr>
      <w:bookmarkStart w:id="111" w:name="bookmark111"/>
      <w:r>
        <w:rPr>
          <w:color w:val="000000"/>
          <w:spacing w:val="0"/>
          <w:w w:val="100"/>
          <w:position w:val="0"/>
        </w:rPr>
        <w:t>（</w:t>
      </w:r>
      <w:bookmarkEnd w:id="111"/>
      <w:r>
        <w:rPr>
          <w:rFonts w:ascii="Times New Roman" w:eastAsia="Times New Roman" w:hAnsi="Times New Roman" w:cs="Times New Roman"/>
          <w:color w:val="000000"/>
          <w:spacing w:val="0"/>
          <w:w w:val="100"/>
          <w:position w:val="0"/>
        </w:rPr>
        <w:t>1</w:t>
      </w:r>
      <w:r>
        <w:rPr>
          <w:color w:val="000000"/>
          <w:spacing w:val="0"/>
          <w:w w:val="100"/>
          <w:position w:val="0"/>
        </w:rPr>
        <w:t>）</w:t>
        <w:tab/>
        <w:t>报告期内，营业收入较上年同期减少</w:t>
      </w:r>
      <w:r>
        <w:rPr>
          <w:rFonts w:ascii="Times New Roman" w:eastAsia="Times New Roman" w:hAnsi="Times New Roman" w:cs="Times New Roman"/>
          <w:color w:val="000000"/>
          <w:spacing w:val="0"/>
          <w:w w:val="100"/>
          <w:position w:val="0"/>
        </w:rPr>
        <w:t>12,162.32</w:t>
      </w:r>
      <w:r>
        <w:rPr>
          <w:color w:val="000000"/>
          <w:spacing w:val="0"/>
          <w:w w:val="100"/>
          <w:position w:val="0"/>
        </w:rPr>
        <w:t>万元，下降</w:t>
      </w:r>
      <w:r>
        <w:rPr>
          <w:rFonts w:ascii="Times New Roman" w:eastAsia="Times New Roman" w:hAnsi="Times New Roman" w:cs="Times New Roman"/>
          <w:color w:val="000000"/>
          <w:spacing w:val="0"/>
          <w:w w:val="100"/>
          <w:position w:val="0"/>
        </w:rPr>
        <w:t>8.02%</w:t>
      </w:r>
      <w:r>
        <w:rPr>
          <w:color w:val="000000"/>
          <w:spacing w:val="0"/>
          <w:w w:val="100"/>
          <w:position w:val="0"/>
        </w:rPr>
        <w:t>，具体产品变化情况如下：</w:t>
      </w:r>
      <w:r>
        <w:rPr>
          <w:rFonts w:ascii="Times New Roman" w:eastAsia="Times New Roman" w:hAnsi="Times New Roman" w:cs="Times New Roman"/>
          <w:color w:val="000000"/>
          <w:spacing w:val="0"/>
          <w:w w:val="100"/>
          <w:position w:val="0"/>
        </w:rPr>
        <w:t>1</w:t>
      </w:r>
      <w:r>
        <w:rPr>
          <w:color w:val="000000"/>
          <w:spacing w:val="0"/>
          <w:w w:val="100"/>
          <w:position w:val="0"/>
        </w:rPr>
        <w:t>）电力</w:t>
      </w:r>
    </w:p>
    <w:p>
      <w:pPr>
        <w:pStyle w:val="Style11"/>
        <w:keepNext w:val="0"/>
        <w:keepLines w:val="0"/>
        <w:widowControl w:val="0"/>
        <w:shd w:val="clear" w:color="auto" w:fill="auto"/>
        <w:tabs>
          <w:tab w:pos="7829" w:val="left"/>
        </w:tabs>
        <w:bidi w:val="0"/>
        <w:spacing w:before="0" w:after="0" w:line="311" w:lineRule="exact"/>
        <w:ind w:left="0" w:right="0" w:firstLine="0"/>
        <w:jc w:val="both"/>
      </w:pPr>
      <w:r>
        <w:rPr>
          <w:color w:val="000000"/>
          <w:spacing w:val="0"/>
          <w:w w:val="100"/>
          <w:position w:val="0"/>
        </w:rPr>
        <w:t xml:space="preserve">检测及电力设备产品较上年同期减少了 </w:t>
      </w:r>
      <w:r>
        <w:rPr>
          <w:rFonts w:ascii="Times New Roman" w:eastAsia="Times New Roman" w:hAnsi="Times New Roman" w:cs="Times New Roman"/>
          <w:color w:val="000000"/>
          <w:spacing w:val="0"/>
          <w:w w:val="100"/>
          <w:position w:val="0"/>
        </w:rPr>
        <w:t>10,905.03</w:t>
      </w:r>
      <w:r>
        <w:rPr>
          <w:color w:val="000000"/>
          <w:spacing w:val="0"/>
          <w:w w:val="100"/>
          <w:position w:val="0"/>
        </w:rPr>
        <w:t xml:space="preserve">万元。受整体电力市场竞争加剧的影响，母公司销售的电 力检测、监测产品的营业收入较上年同期减少了 </w:t>
      </w:r>
      <w:r>
        <w:rPr>
          <w:rFonts w:ascii="Times New Roman" w:eastAsia="Times New Roman" w:hAnsi="Times New Roman" w:cs="Times New Roman"/>
          <w:color w:val="000000"/>
          <w:spacing w:val="0"/>
          <w:w w:val="100"/>
          <w:position w:val="0"/>
        </w:rPr>
        <w:t>19,603.16</w:t>
      </w:r>
      <w:r>
        <w:rPr>
          <w:color w:val="000000"/>
          <w:spacing w:val="0"/>
          <w:w w:val="100"/>
          <w:position w:val="0"/>
        </w:rPr>
        <w:t>万元，下降了</w:t>
      </w:r>
      <w:r>
        <w:rPr>
          <w:rFonts w:ascii="Times New Roman" w:eastAsia="Times New Roman" w:hAnsi="Times New Roman" w:cs="Times New Roman"/>
          <w:color w:val="000000"/>
          <w:spacing w:val="0"/>
          <w:w w:val="100"/>
          <w:position w:val="0"/>
        </w:rPr>
        <w:t>37.16%</w:t>
      </w:r>
      <w:r>
        <w:rPr>
          <w:color w:val="000000"/>
          <w:spacing w:val="0"/>
          <w:w w:val="100"/>
          <w:position w:val="0"/>
        </w:rPr>
        <w:t>；随着子公司浙江涵普的新 厂及设备的投入使用，产能不断提高，其生产销售的电测产品及智能配网产品的营业收入较上年同期增加 了</w:t>
      </w:r>
      <w:r>
        <w:rPr>
          <w:rFonts w:ascii="Times New Roman" w:eastAsia="Times New Roman" w:hAnsi="Times New Roman" w:cs="Times New Roman"/>
          <w:color w:val="000000"/>
          <w:spacing w:val="0"/>
          <w:w w:val="100"/>
          <w:position w:val="0"/>
        </w:rPr>
        <w:t>6,618.72</w:t>
      </w:r>
      <w:r>
        <w:rPr>
          <w:color w:val="000000"/>
          <w:spacing w:val="0"/>
          <w:w w:val="100"/>
          <w:position w:val="0"/>
        </w:rPr>
        <w:t>万元，增了</w:t>
      </w:r>
      <w:r>
        <w:rPr>
          <w:rFonts w:ascii="Times New Roman" w:eastAsia="Times New Roman" w:hAnsi="Times New Roman" w:cs="Times New Roman"/>
          <w:color w:val="000000"/>
          <w:spacing w:val="0"/>
          <w:w w:val="100"/>
          <w:position w:val="0"/>
        </w:rPr>
        <w:t>31.27%</w:t>
      </w:r>
      <w:r>
        <w:rPr>
          <w:color w:val="000000"/>
          <w:spacing w:val="0"/>
          <w:w w:val="100"/>
          <w:position w:val="0"/>
        </w:rPr>
        <w:t>；在碳达峰、碳中和国家战略和上述国家新能源领域的利好政策支持下，子 公司银川卧龙抓住新能源发电项目建设的契机，发挥公司的地区优势和客户优势，在电力变压器的激烈竞 争环境下，</w:t>
      </w:r>
      <w:r>
        <w:rPr>
          <w:rFonts w:ascii="Times New Roman" w:eastAsia="Times New Roman" w:hAnsi="Times New Roman" w:cs="Times New Roman"/>
          <w:color w:val="000000"/>
          <w:spacing w:val="0"/>
          <w:w w:val="100"/>
          <w:position w:val="0"/>
        </w:rPr>
        <w:t>2021</w:t>
      </w:r>
      <w:r>
        <w:rPr>
          <w:color w:val="000000"/>
          <w:spacing w:val="0"/>
          <w:w w:val="100"/>
          <w:position w:val="0"/>
        </w:rPr>
        <w:t>年电力变压器的营业收入较上年同期增加</w:t>
      </w:r>
      <w:r>
        <w:rPr>
          <w:rFonts w:ascii="Times New Roman" w:eastAsia="Times New Roman" w:hAnsi="Times New Roman" w:cs="Times New Roman"/>
          <w:color w:val="000000"/>
          <w:spacing w:val="0"/>
          <w:w w:val="100"/>
          <w:position w:val="0"/>
        </w:rPr>
        <w:t>1,198.10</w:t>
      </w:r>
      <w:r>
        <w:rPr>
          <w:color w:val="000000"/>
          <w:spacing w:val="0"/>
          <w:w w:val="100"/>
          <w:position w:val="0"/>
        </w:rPr>
        <w:t>万元，增长</w:t>
      </w:r>
      <w:r>
        <w:rPr>
          <w:rFonts w:ascii="Times New Roman" w:eastAsia="Times New Roman" w:hAnsi="Times New Roman" w:cs="Times New Roman"/>
          <w:color w:val="000000"/>
          <w:spacing w:val="0"/>
          <w:w w:val="100"/>
          <w:position w:val="0"/>
        </w:rPr>
        <w:t>4.41%</w:t>
      </w:r>
      <w:r>
        <w:rPr>
          <w:color w:val="000000"/>
          <w:spacing w:val="0"/>
          <w:w w:val="100"/>
          <w:position w:val="0"/>
        </w:rPr>
        <w:t>；</w:t>
        <w:tab/>
      </w:r>
      <w:r>
        <w:rPr>
          <w:rFonts w:ascii="Times New Roman" w:eastAsia="Times New Roman" w:hAnsi="Times New Roman" w:cs="Times New Roman"/>
          <w:color w:val="000000"/>
          <w:spacing w:val="0"/>
          <w:w w:val="100"/>
          <w:position w:val="0"/>
        </w:rPr>
        <w:t>2</w:t>
      </w:r>
      <w:r>
        <w:rPr>
          <w:color w:val="000000"/>
          <w:spacing w:val="0"/>
          <w:w w:val="100"/>
          <w:position w:val="0"/>
        </w:rPr>
        <w:t>）受铁路投资放缓</w:t>
      </w:r>
    </w:p>
    <w:p>
      <w:pPr>
        <w:pStyle w:val="Style11"/>
        <w:keepNext w:val="0"/>
        <w:keepLines w:val="0"/>
        <w:widowControl w:val="0"/>
        <w:shd w:val="clear" w:color="auto" w:fill="auto"/>
        <w:bidi w:val="0"/>
        <w:spacing w:before="0" w:after="80" w:line="311" w:lineRule="exact"/>
        <w:ind w:left="0" w:right="0" w:firstLine="0"/>
        <w:jc w:val="both"/>
      </w:pPr>
      <w:r>
        <w:rPr>
          <w:color w:val="000000"/>
          <w:spacing w:val="0"/>
          <w:w w:val="100"/>
          <w:position w:val="0"/>
        </w:rPr>
        <w:t>及市场竞争的影响，</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年度公司铁路与轨道交通牵引供电装备的营业收入较上年同期减少了 </w:t>
      </w:r>
      <w:r>
        <w:rPr>
          <w:rFonts w:ascii="Times New Roman" w:eastAsia="Times New Roman" w:hAnsi="Times New Roman" w:cs="Times New Roman"/>
          <w:color w:val="000000"/>
          <w:spacing w:val="0"/>
          <w:w w:val="100"/>
          <w:position w:val="0"/>
        </w:rPr>
        <w:t>11,847.63</w:t>
      </w:r>
      <w:r>
        <w:rPr>
          <w:color w:val="000000"/>
          <w:spacing w:val="0"/>
          <w:w w:val="100"/>
          <w:position w:val="0"/>
        </w:rPr>
        <w:t>万 元，下降了</w:t>
      </w:r>
      <w:r>
        <w:rPr>
          <w:rFonts w:ascii="Times New Roman" w:eastAsia="Times New Roman" w:hAnsi="Times New Roman" w:cs="Times New Roman"/>
          <w:color w:val="000000"/>
          <w:spacing w:val="0"/>
          <w:w w:val="100"/>
          <w:position w:val="0"/>
        </w:rPr>
        <w:t>57.19%</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）电力工程及服务的营业收入较上年同期增加了</w:t>
      </w:r>
      <w:r>
        <w:rPr>
          <w:rFonts w:ascii="Times New Roman" w:eastAsia="Times New Roman" w:hAnsi="Times New Roman" w:cs="Times New Roman"/>
          <w:color w:val="000000"/>
          <w:spacing w:val="0"/>
          <w:w w:val="100"/>
          <w:position w:val="0"/>
        </w:rPr>
        <w:t>3,716.39</w:t>
      </w:r>
      <w:r>
        <w:rPr>
          <w:color w:val="000000"/>
          <w:spacing w:val="0"/>
          <w:w w:val="100"/>
          <w:position w:val="0"/>
        </w:rPr>
        <w:t>万元，增加的主要是子公司 银川卧龙的迪拜光伏项目；</w:t>
      </w:r>
      <w:r>
        <w:rPr>
          <w:rFonts w:ascii="Times New Roman" w:eastAsia="Times New Roman" w:hAnsi="Times New Roman" w:cs="Times New Roman"/>
          <w:color w:val="000000"/>
          <w:spacing w:val="0"/>
          <w:w w:val="100"/>
          <w:position w:val="0"/>
        </w:rPr>
        <w:t>4</w:t>
      </w:r>
      <w:r>
        <w:rPr>
          <w:color w:val="000000"/>
          <w:spacing w:val="0"/>
          <w:w w:val="100"/>
          <w:position w:val="0"/>
        </w:rPr>
        <w:t>）随着星波新厂及设备的投入，产能不断提高，军工电子的营业收入较上年 同期增加了</w:t>
      </w:r>
      <w:r>
        <w:rPr>
          <w:rFonts w:ascii="Times New Roman" w:eastAsia="Times New Roman" w:hAnsi="Times New Roman" w:cs="Times New Roman"/>
          <w:color w:val="000000"/>
          <w:spacing w:val="0"/>
          <w:w w:val="100"/>
          <w:position w:val="0"/>
        </w:rPr>
        <w:t>6,522.56</w:t>
      </w:r>
      <w:r>
        <w:rPr>
          <w:color w:val="000000"/>
          <w:spacing w:val="0"/>
          <w:w w:val="100"/>
          <w:position w:val="0"/>
        </w:rPr>
        <w:t>万元，增长</w:t>
      </w:r>
      <w:r>
        <w:rPr>
          <w:rFonts w:ascii="Times New Roman" w:eastAsia="Times New Roman" w:hAnsi="Times New Roman" w:cs="Times New Roman"/>
          <w:color w:val="000000"/>
          <w:spacing w:val="0"/>
          <w:w w:val="100"/>
          <w:position w:val="0"/>
        </w:rPr>
        <w:t>43.00%</w:t>
      </w:r>
      <w:r>
        <w:rPr>
          <w:color w:val="000000"/>
          <w:spacing w:val="0"/>
          <w:w w:val="100"/>
          <w:position w:val="0"/>
        </w:rPr>
        <w:t>。</w:t>
      </w:r>
    </w:p>
    <w:p>
      <w:pPr>
        <w:pStyle w:val="Style11"/>
        <w:keepNext w:val="0"/>
        <w:keepLines w:val="0"/>
        <w:widowControl w:val="0"/>
        <w:shd w:val="clear" w:color="auto" w:fill="auto"/>
        <w:bidi w:val="0"/>
        <w:spacing w:before="0" w:after="80" w:line="312" w:lineRule="exact"/>
        <w:ind w:left="0" w:right="0" w:firstLine="0"/>
        <w:jc w:val="both"/>
      </w:pPr>
      <w:bookmarkStart w:id="112" w:name="bookmark112"/>
      <w:r>
        <w:rPr>
          <w:color w:val="000000"/>
          <w:spacing w:val="0"/>
          <w:w w:val="100"/>
          <w:position w:val="0"/>
        </w:rPr>
        <w:t>（</w:t>
      </w:r>
      <w:bookmarkEnd w:id="112"/>
      <w:r>
        <w:rPr>
          <w:rFonts w:ascii="Times New Roman" w:eastAsia="Times New Roman" w:hAnsi="Times New Roman" w:cs="Times New Roman"/>
          <w:color w:val="000000"/>
          <w:spacing w:val="0"/>
          <w:w w:val="100"/>
          <w:position w:val="0"/>
        </w:rPr>
        <w:t>2</w:t>
      </w:r>
      <w:r>
        <w:rPr>
          <w:color w:val="000000"/>
          <w:spacing w:val="0"/>
          <w:w w:val="100"/>
          <w:position w:val="0"/>
        </w:rPr>
        <w:t>） 报告期内，受原材料价格上涨、人工成本上升、市场竞争以及产品结构变化等因素的影响，营业成 本较上年同期增加</w:t>
      </w:r>
      <w:r>
        <w:rPr>
          <w:rFonts w:ascii="Times New Roman" w:eastAsia="Times New Roman" w:hAnsi="Times New Roman" w:cs="Times New Roman"/>
          <w:color w:val="000000"/>
          <w:spacing w:val="0"/>
          <w:w w:val="100"/>
          <w:position w:val="0"/>
        </w:rPr>
        <w:t>5,421.18</w:t>
      </w:r>
      <w:r>
        <w:rPr>
          <w:color w:val="000000"/>
          <w:spacing w:val="0"/>
          <w:w w:val="100"/>
          <w:position w:val="0"/>
        </w:rPr>
        <w:t>万元，增长</w:t>
      </w:r>
      <w:r>
        <w:rPr>
          <w:rFonts w:ascii="Times New Roman" w:eastAsia="Times New Roman" w:hAnsi="Times New Roman" w:cs="Times New Roman"/>
          <w:color w:val="000000"/>
          <w:spacing w:val="0"/>
          <w:w w:val="100"/>
          <w:position w:val="0"/>
        </w:rPr>
        <w:t>6.17%</w:t>
      </w:r>
      <w:r>
        <w:rPr>
          <w:color w:val="000000"/>
          <w:spacing w:val="0"/>
          <w:w w:val="100"/>
          <w:position w:val="0"/>
        </w:rPr>
        <w:t>。</w:t>
      </w:r>
    </w:p>
    <w:p>
      <w:pPr>
        <w:pStyle w:val="Style11"/>
        <w:keepNext w:val="0"/>
        <w:keepLines w:val="0"/>
        <w:widowControl w:val="0"/>
        <w:shd w:val="clear" w:color="auto" w:fill="auto"/>
        <w:tabs>
          <w:tab w:pos="538" w:val="left"/>
        </w:tabs>
        <w:bidi w:val="0"/>
        <w:spacing w:before="0" w:after="0" w:line="319" w:lineRule="exact"/>
        <w:ind w:left="0" w:right="0" w:firstLine="0"/>
        <w:jc w:val="both"/>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rPr>
        <w:t>3</w:t>
      </w:r>
      <w:r>
        <w:rPr>
          <w:color w:val="000000"/>
          <w:spacing w:val="0"/>
          <w:w w:val="100"/>
          <w:position w:val="0"/>
        </w:rPr>
        <w:t>）</w:t>
        <w:tab/>
        <w:t>报告期内，销售费用较上年同期增加</w:t>
      </w:r>
      <w:r>
        <w:rPr>
          <w:rFonts w:ascii="Times New Roman" w:eastAsia="Times New Roman" w:hAnsi="Times New Roman" w:cs="Times New Roman"/>
          <w:color w:val="000000"/>
          <w:spacing w:val="0"/>
          <w:w w:val="100"/>
          <w:position w:val="0"/>
        </w:rPr>
        <w:t>3,023.58</w:t>
      </w:r>
      <w:r>
        <w:rPr>
          <w:color w:val="000000"/>
          <w:spacing w:val="0"/>
          <w:w w:val="100"/>
          <w:position w:val="0"/>
        </w:rPr>
        <w:t>万元，增长</w:t>
      </w:r>
      <w:r>
        <w:rPr>
          <w:rFonts w:ascii="Times New Roman" w:eastAsia="Times New Roman" w:hAnsi="Times New Roman" w:cs="Times New Roman"/>
          <w:color w:val="000000"/>
          <w:spacing w:val="0"/>
          <w:w w:val="100"/>
          <w:position w:val="0"/>
        </w:rPr>
        <w:t>29.83%</w:t>
      </w:r>
      <w:r>
        <w:rPr>
          <w:color w:val="000000"/>
          <w:spacing w:val="0"/>
          <w:w w:val="100"/>
          <w:position w:val="0"/>
        </w:rPr>
        <w:t>。主要公司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年下半年调薪及奖金 的增长导致报告期的职工薪酬较上年同期增加了 </w:t>
      </w:r>
      <w:r>
        <w:rPr>
          <w:rFonts w:ascii="Times New Roman" w:eastAsia="Times New Roman" w:hAnsi="Times New Roman" w:cs="Times New Roman"/>
          <w:color w:val="000000"/>
          <w:spacing w:val="0"/>
          <w:w w:val="100"/>
          <w:position w:val="0"/>
        </w:rPr>
        <w:t>1,304.86</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年，公司加大了部分区域的业务推广 活动，报告期的差旅费、业务招待费及市场推广费较上年同期增加了 </w:t>
      </w:r>
      <w:r>
        <w:rPr>
          <w:rFonts w:ascii="Times New Roman" w:eastAsia="Times New Roman" w:hAnsi="Times New Roman" w:cs="Times New Roman"/>
          <w:color w:val="000000"/>
          <w:spacing w:val="0"/>
          <w:w w:val="100"/>
          <w:position w:val="0"/>
        </w:rPr>
        <w:t>1,534.4</w:t>
      </w:r>
      <w:r>
        <w:rPr>
          <w:rFonts w:ascii="Times New Roman" w:eastAsia="Times New Roman" w:hAnsi="Times New Roman" w:cs="Times New Roman"/>
          <w:color w:val="000000"/>
          <w:spacing w:val="0"/>
          <w:w w:val="100"/>
          <w:position w:val="0"/>
        </w:rPr>
        <w:t>1</w:t>
      </w:r>
      <w:r>
        <w:rPr>
          <w:color w:val="000000"/>
          <w:spacing w:val="0"/>
          <w:w w:val="100"/>
          <w:position w:val="0"/>
        </w:rPr>
        <w:t>万元。</w:t>
      </w:r>
    </w:p>
    <w:p>
      <w:pPr>
        <w:pStyle w:val="Style11"/>
        <w:keepNext w:val="0"/>
        <w:keepLines w:val="0"/>
        <w:widowControl w:val="0"/>
        <w:shd w:val="clear" w:color="auto" w:fill="auto"/>
        <w:tabs>
          <w:tab w:pos="543" w:val="left"/>
        </w:tabs>
        <w:bidi w:val="0"/>
        <w:spacing w:before="0" w:after="80" w:line="315" w:lineRule="exact"/>
        <w:ind w:left="0" w:right="0" w:firstLine="0"/>
        <w:jc w:val="both"/>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rPr>
        <w:t>4</w:t>
      </w:r>
      <w:r>
        <w:rPr>
          <w:color w:val="000000"/>
          <w:spacing w:val="0"/>
          <w:w w:val="100"/>
          <w:position w:val="0"/>
        </w:rPr>
        <w:t>）</w:t>
        <w:tab/>
        <w:t>报告期，管理费用较上年同期增加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,240.28</w:t>
      </w:r>
      <w:r>
        <w:rPr>
          <w:color w:val="000000"/>
          <w:spacing w:val="0"/>
          <w:w w:val="100"/>
          <w:position w:val="0"/>
        </w:rPr>
        <w:t>万元，受</w:t>
      </w:r>
      <w:r>
        <w:rPr>
          <w:rFonts w:ascii="Times New Roman" w:eastAsia="Times New Roman" w:hAnsi="Times New Roman" w:cs="Times New Roman"/>
          <w:color w:val="000000"/>
          <w:spacing w:val="0"/>
          <w:w w:val="100"/>
          <w:position w:val="0"/>
        </w:rPr>
        <w:t>2020</w:t>
      </w:r>
      <w:r>
        <w:rPr>
          <w:color w:val="000000"/>
          <w:spacing w:val="0"/>
          <w:w w:val="100"/>
          <w:position w:val="0"/>
        </w:rPr>
        <w:t>年下半年度调薪的影响，报告期职工薪酬较 上年同期增加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,303.84</w:t>
      </w:r>
      <w:r>
        <w:rPr>
          <w:color w:val="000000"/>
          <w:spacing w:val="0"/>
          <w:w w:val="100"/>
          <w:position w:val="0"/>
        </w:rPr>
        <w:t>万元；报告期内，第三方服务费较上年同期减少了</w:t>
      </w:r>
      <w:r>
        <w:rPr>
          <w:rFonts w:ascii="Times New Roman" w:eastAsia="Times New Roman" w:hAnsi="Times New Roman" w:cs="Times New Roman"/>
          <w:color w:val="000000"/>
          <w:spacing w:val="0"/>
          <w:w w:val="100"/>
          <w:position w:val="0"/>
        </w:rPr>
        <w:t>842.83</w:t>
      </w:r>
      <w:r>
        <w:rPr>
          <w:color w:val="000000"/>
          <w:spacing w:val="0"/>
          <w:w w:val="100"/>
          <w:position w:val="0"/>
        </w:rPr>
        <w:t>万元，减少的主要是</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年收购上海志良事项的聘请中介机构的费用；随着子公司星波通信及浙江涵普的新厂投入使用，</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 折旧与摊销较上年同期增加了 </w:t>
      </w:r>
      <w:r>
        <w:rPr>
          <w:rFonts w:ascii="Times New Roman" w:eastAsia="Times New Roman" w:hAnsi="Times New Roman" w:cs="Times New Roman"/>
          <w:color w:val="000000"/>
          <w:spacing w:val="0"/>
          <w:w w:val="100"/>
          <w:position w:val="0"/>
        </w:rPr>
        <w:t>675.44</w:t>
      </w:r>
      <w:r>
        <w:rPr>
          <w:color w:val="000000"/>
          <w:spacing w:val="0"/>
          <w:w w:val="100"/>
          <w:position w:val="0"/>
        </w:rPr>
        <w:t>万元。</w:t>
      </w:r>
    </w:p>
    <w:p>
      <w:pPr>
        <w:pStyle w:val="Style11"/>
        <w:keepNext w:val="0"/>
        <w:keepLines w:val="0"/>
        <w:widowControl w:val="0"/>
        <w:shd w:val="clear" w:color="auto" w:fill="auto"/>
        <w:tabs>
          <w:tab w:pos="466" w:val="left"/>
        </w:tabs>
        <w:bidi w:val="0"/>
        <w:spacing w:before="0" w:after="0" w:line="311" w:lineRule="exact"/>
        <w:ind w:left="0" w:right="0" w:firstLine="0"/>
        <w:jc w:val="both"/>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rPr>
        <w:t>5</w:t>
      </w:r>
      <w:r>
        <w:rPr>
          <w:color w:val="000000"/>
          <w:spacing w:val="0"/>
          <w:w w:val="100"/>
          <w:position w:val="0"/>
        </w:rPr>
        <w:t>）</w:t>
        <w:tab/>
        <w:t>报告期，投资收益较上年同期增加</w:t>
      </w:r>
      <w:r>
        <w:rPr>
          <w:rFonts w:ascii="Times New Roman" w:eastAsia="Times New Roman" w:hAnsi="Times New Roman" w:cs="Times New Roman"/>
          <w:color w:val="000000"/>
          <w:spacing w:val="0"/>
          <w:w w:val="100"/>
          <w:position w:val="0"/>
        </w:rPr>
        <w:t>1,691.4</w:t>
      </w:r>
      <w:r>
        <w:rPr>
          <w:rFonts w:ascii="Times New Roman" w:eastAsia="Times New Roman" w:hAnsi="Times New Roman" w:cs="Times New Roman"/>
          <w:color w:val="000000"/>
          <w:spacing w:val="0"/>
          <w:w w:val="100"/>
          <w:position w:val="0"/>
        </w:rPr>
        <w:t>2</w:t>
      </w:r>
      <w:r>
        <w:rPr>
          <w:color w:val="000000"/>
          <w:spacing w:val="0"/>
          <w:w w:val="100"/>
          <w:position w:val="0"/>
        </w:rPr>
        <w:t>万元，主要是出售孙公司中宁新能源的投资收益</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238.38 </w:t>
      </w:r>
      <w:r>
        <w:rPr>
          <w:color w:val="000000"/>
          <w:spacing w:val="0"/>
          <w:w w:val="100"/>
          <w:position w:val="0"/>
        </w:rPr>
        <w:t>万元以及收到的其他权益工具投资中铁金租的分红</w:t>
      </w:r>
      <w:r>
        <w:rPr>
          <w:rFonts w:ascii="Times New Roman" w:eastAsia="Times New Roman" w:hAnsi="Times New Roman" w:cs="Times New Roman"/>
          <w:color w:val="000000"/>
          <w:spacing w:val="0"/>
          <w:w w:val="100"/>
          <w:position w:val="0"/>
        </w:rPr>
        <w:t>494.27</w:t>
      </w:r>
      <w:r>
        <w:rPr>
          <w:color w:val="000000"/>
          <w:spacing w:val="0"/>
          <w:w w:val="100"/>
          <w:position w:val="0"/>
        </w:rPr>
        <w:t>万元。</w:t>
      </w:r>
    </w:p>
    <w:p>
      <w:pPr>
        <w:pStyle w:val="Style11"/>
        <w:keepNext w:val="0"/>
        <w:keepLines w:val="0"/>
        <w:widowControl w:val="0"/>
        <w:shd w:val="clear" w:color="auto" w:fill="auto"/>
        <w:tabs>
          <w:tab w:pos="589" w:val="left"/>
        </w:tabs>
        <w:bidi w:val="0"/>
        <w:spacing w:before="0" w:after="0" w:line="326" w:lineRule="exact"/>
        <w:ind w:left="0" w:right="0" w:firstLine="0"/>
        <w:jc w:val="left"/>
      </w:pPr>
      <w:bookmarkStart w:id="116" w:name="bookmark116"/>
      <w:r>
        <w:rPr>
          <w:color w:val="000000"/>
          <w:spacing w:val="0"/>
          <w:w w:val="100"/>
          <w:position w:val="0"/>
        </w:rPr>
        <w:t>（</w:t>
      </w:r>
      <w:bookmarkEnd w:id="116"/>
      <w:r>
        <w:rPr>
          <w:rFonts w:ascii="Times New Roman" w:eastAsia="Times New Roman" w:hAnsi="Times New Roman" w:cs="Times New Roman"/>
          <w:color w:val="000000"/>
          <w:spacing w:val="0"/>
          <w:w w:val="100"/>
          <w:position w:val="0"/>
        </w:rPr>
        <w:t>6</w:t>
      </w:r>
      <w:r>
        <w:rPr>
          <w:color w:val="000000"/>
          <w:spacing w:val="0"/>
          <w:w w:val="100"/>
          <w:position w:val="0"/>
        </w:rPr>
        <w:t>）</w:t>
        <w:tab/>
        <w:t>报告期，信用减值损失较上年同期减少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,657.7</w:t>
      </w:r>
      <w:r>
        <w:rPr>
          <w:rFonts w:ascii="Times New Roman" w:eastAsia="Times New Roman" w:hAnsi="Times New Roman" w:cs="Times New Roman"/>
          <w:color w:val="000000"/>
          <w:spacing w:val="0"/>
          <w:w w:val="100"/>
          <w:position w:val="0"/>
        </w:rPr>
        <w:t>2</w:t>
      </w:r>
      <w:r>
        <w:rPr>
          <w:color w:val="000000"/>
          <w:spacing w:val="0"/>
          <w:w w:val="100"/>
          <w:position w:val="0"/>
        </w:rPr>
        <w:t>万元，其主要是受公司回款增加以及营业收入下滑影 响，报告期末应收账款较期初减少，因此应收账款按账龄计提的坏账准备较上年同期减少。</w:t>
      </w:r>
    </w:p>
    <w:p>
      <w:pPr>
        <w:pStyle w:val="Style11"/>
        <w:keepNext w:val="0"/>
        <w:keepLines w:val="0"/>
        <w:widowControl w:val="0"/>
        <w:shd w:val="clear" w:color="auto" w:fill="auto"/>
        <w:tabs>
          <w:tab w:pos="598" w:val="left"/>
        </w:tabs>
        <w:bidi w:val="0"/>
        <w:spacing w:before="0" w:after="80" w:line="331" w:lineRule="exact"/>
        <w:ind w:left="0" w:right="0" w:firstLine="0"/>
        <w:jc w:val="left"/>
      </w:pPr>
      <w:bookmarkStart w:id="117" w:name="bookmark117"/>
      <w:r>
        <w:rPr>
          <w:color w:val="000000"/>
          <w:spacing w:val="0"/>
          <w:w w:val="100"/>
          <w:position w:val="0"/>
        </w:rPr>
        <w:t>（</w:t>
      </w:r>
      <w:bookmarkEnd w:id="117"/>
      <w:r>
        <w:rPr>
          <w:rFonts w:ascii="Times New Roman" w:eastAsia="Times New Roman" w:hAnsi="Times New Roman" w:cs="Times New Roman"/>
          <w:color w:val="000000"/>
          <w:spacing w:val="0"/>
          <w:w w:val="100"/>
          <w:position w:val="0"/>
        </w:rPr>
        <w:t>7）</w:t>
        <w:tab/>
      </w:r>
      <w:r>
        <w:rPr>
          <w:color w:val="000000"/>
          <w:spacing w:val="0"/>
          <w:w w:val="100"/>
          <w:position w:val="0"/>
        </w:rPr>
        <w:t>报告期，资产减值损失较上年同期增加</w:t>
      </w:r>
      <w:r>
        <w:rPr>
          <w:rFonts w:ascii="Times New Roman" w:eastAsia="Times New Roman" w:hAnsi="Times New Roman" w:cs="Times New Roman"/>
          <w:color w:val="000000"/>
          <w:spacing w:val="0"/>
          <w:w w:val="100"/>
          <w:position w:val="0"/>
        </w:rPr>
        <w:t>71,356.27</w:t>
      </w:r>
      <w:r>
        <w:rPr>
          <w:color w:val="000000"/>
          <w:spacing w:val="0"/>
          <w:w w:val="100"/>
          <w:position w:val="0"/>
        </w:rPr>
        <w:t>万元，其主要是计提的子公司银川卧龙的商誉减值及 无形资产减值损失。</w:t>
      </w:r>
    </w:p>
    <w:p>
      <w:pPr>
        <w:pStyle w:val="Style11"/>
        <w:keepNext w:val="0"/>
        <w:keepLines w:val="0"/>
        <w:widowControl w:val="0"/>
        <w:shd w:val="clear" w:color="auto" w:fill="auto"/>
        <w:tabs>
          <w:tab w:pos="488" w:val="left"/>
        </w:tabs>
        <w:bidi w:val="0"/>
        <w:spacing w:before="0" w:after="80" w:line="326" w:lineRule="exact"/>
        <w:ind w:left="0" w:right="0" w:firstLine="0"/>
        <w:jc w:val="left"/>
      </w:pPr>
      <w:bookmarkStart w:id="118" w:name="bookmark118"/>
      <w:r>
        <w:rPr>
          <w:color w:val="000000"/>
          <w:spacing w:val="0"/>
          <w:w w:val="100"/>
          <w:position w:val="0"/>
        </w:rPr>
        <w:t>（</w:t>
      </w:r>
      <w:bookmarkEnd w:id="118"/>
      <w:r>
        <w:rPr>
          <w:rFonts w:ascii="Times New Roman" w:eastAsia="Times New Roman" w:hAnsi="Times New Roman" w:cs="Times New Roman"/>
          <w:color w:val="000000"/>
          <w:spacing w:val="0"/>
          <w:w w:val="100"/>
          <w:position w:val="0"/>
        </w:rPr>
        <w:t>8</w:t>
      </w:r>
      <w:r>
        <w:rPr>
          <w:color w:val="000000"/>
          <w:spacing w:val="0"/>
          <w:w w:val="100"/>
          <w:position w:val="0"/>
        </w:rPr>
        <w:t>）</w:t>
        <w:tab/>
        <w:t>报告期，资产处置收益较上年同期减少</w:t>
      </w:r>
      <w:r>
        <w:rPr>
          <w:rFonts w:ascii="Times New Roman" w:eastAsia="Times New Roman" w:hAnsi="Times New Roman" w:cs="Times New Roman"/>
          <w:color w:val="000000"/>
          <w:spacing w:val="0"/>
          <w:w w:val="100"/>
          <w:position w:val="0"/>
        </w:rPr>
        <w:t>591.58</w:t>
      </w:r>
      <w:r>
        <w:rPr>
          <w:color w:val="000000"/>
          <w:spacing w:val="0"/>
          <w:w w:val="100"/>
          <w:position w:val="0"/>
        </w:rPr>
        <w:t>万元，减少的主要是子公司浙江涵普处置旧厂房的收益。</w:t>
      </w:r>
    </w:p>
    <w:p>
      <w:pPr>
        <w:pStyle w:val="Style11"/>
        <w:keepNext w:val="0"/>
        <w:keepLines w:val="0"/>
        <w:widowControl w:val="0"/>
        <w:shd w:val="clear" w:color="auto" w:fill="auto"/>
        <w:tabs>
          <w:tab w:pos="589" w:val="left"/>
        </w:tabs>
        <w:bidi w:val="0"/>
        <w:spacing w:before="0" w:after="380" w:line="322" w:lineRule="exact"/>
        <w:ind w:left="0" w:right="0" w:firstLine="0"/>
        <w:jc w:val="left"/>
      </w:pPr>
      <w:bookmarkStart w:id="119" w:name="bookmark119"/>
      <w:r>
        <w:rPr>
          <w:color w:val="000000"/>
          <w:spacing w:val="0"/>
          <w:w w:val="100"/>
          <w:position w:val="0"/>
        </w:rPr>
        <w:t>（</w:t>
      </w:r>
      <w:bookmarkEnd w:id="119"/>
      <w:r>
        <w:rPr>
          <w:rFonts w:ascii="Times New Roman" w:eastAsia="Times New Roman" w:hAnsi="Times New Roman" w:cs="Times New Roman"/>
          <w:color w:val="000000"/>
          <w:spacing w:val="0"/>
          <w:w w:val="100"/>
          <w:position w:val="0"/>
        </w:rPr>
        <w:t>9</w:t>
      </w:r>
      <w:r>
        <w:rPr>
          <w:color w:val="000000"/>
          <w:spacing w:val="0"/>
          <w:w w:val="100"/>
          <w:position w:val="0"/>
        </w:rPr>
        <w:t>）</w:t>
        <w:tab/>
        <w:t>报告期，所得税费用较上年同期减少</w:t>
      </w:r>
      <w:r>
        <w:rPr>
          <w:rFonts w:ascii="Times New Roman" w:eastAsia="Times New Roman" w:hAnsi="Times New Roman" w:cs="Times New Roman"/>
          <w:color w:val="000000"/>
          <w:spacing w:val="0"/>
          <w:w w:val="100"/>
          <w:position w:val="0"/>
        </w:rPr>
        <w:t>3,730.99</w:t>
      </w:r>
      <w:r>
        <w:rPr>
          <w:color w:val="000000"/>
          <w:spacing w:val="0"/>
          <w:w w:val="100"/>
          <w:position w:val="0"/>
        </w:rPr>
        <w:t>万元，主要是随着公司</w:t>
      </w:r>
      <w:r>
        <w:rPr>
          <w:rFonts w:ascii="Times New Roman" w:eastAsia="Times New Roman" w:hAnsi="Times New Roman" w:cs="Times New Roman"/>
          <w:color w:val="000000"/>
          <w:spacing w:val="0"/>
          <w:w w:val="100"/>
          <w:position w:val="0"/>
        </w:rPr>
        <w:t>2021</w:t>
      </w:r>
      <w:r>
        <w:rPr>
          <w:color w:val="000000"/>
          <w:spacing w:val="0"/>
          <w:w w:val="100"/>
          <w:position w:val="0"/>
        </w:rPr>
        <w:t>年度经营业绩下滑，所得税 费用相应减少。</w:t>
      </w:r>
    </w:p>
    <w:p>
      <w:pPr>
        <w:pStyle w:val="Style31"/>
        <w:keepNext/>
        <w:keepLines/>
        <w:widowControl w:val="0"/>
        <w:shd w:val="clear" w:color="auto" w:fill="auto"/>
        <w:bidi w:val="0"/>
        <w:spacing w:before="0" w:after="160" w:line="341" w:lineRule="auto"/>
        <w:ind w:left="0" w:right="0" w:firstLine="0"/>
        <w:jc w:val="left"/>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2</w:t>
      </w:r>
      <w:bookmarkEnd w:id="122"/>
      <w:r>
        <w:rPr>
          <w:color w:val="000000"/>
          <w:spacing w:val="0"/>
          <w:w w:val="100"/>
          <w:position w:val="0"/>
        </w:rPr>
        <w:t>、收入与成本</w:t>
      </w:r>
      <w:bookmarkEnd w:id="120"/>
      <w:bookmarkEnd w:id="121"/>
      <w:bookmarkEnd w:id="123"/>
    </w:p>
    <w:p>
      <w:pPr>
        <w:pStyle w:val="Style40"/>
        <w:keepNext/>
        <w:keepLines/>
        <w:widowControl w:val="0"/>
        <w:shd w:val="clear" w:color="auto" w:fill="auto"/>
        <w:bidi w:val="0"/>
        <w:spacing w:before="0" w:line="326" w:lineRule="exact"/>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4"/>
      <w:bookmarkEnd w:id="125"/>
      <w:bookmarkEnd w:id="127"/>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营业收入整体情况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1,394,369,586.11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1,515,992,751.11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600,564,128.55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653,271,352.31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铁路与轨道交通板 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464,423,806.60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592,384,831.74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110,583,145.80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116,932,985.39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218,798,505.16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153,403,581.67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电力检测及电力设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902,062,610.62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1,011,112,923.51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铁路与轨道交通牵 引供电装备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88,699,956.28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207,176,374.14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电力工程及服务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47,107,126.19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9,943,191.75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售电收入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110,583,145.80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116,888,975.95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216,913,100.23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151,687,545.61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其他业收入收入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29,003,646.99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19,183,740.15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1,371,538,399.08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1,504,101,417.31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22,831,187.03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11,891,333.80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w:t>
            </w:r>
          </w:p>
        </w:tc>
      </w:tr>
      <w:tr>
        <w:trPr>
          <w:trHeight w:val="413" w:hRule="exact"/>
        </w:trPr>
        <w:tc>
          <w:tcPr>
            <w:gridSpan w:val="6"/>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1,394,369,586.11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1,515,992,751.11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r>
    </w:tbl>
    <w:p>
      <w:pPr>
        <w:widowControl w:val="0"/>
        <w:spacing w:after="319" w:line="1" w:lineRule="exact"/>
      </w:pPr>
    </w:p>
    <w:p>
      <w:pPr>
        <w:pStyle w:val="Style40"/>
        <w:keepNext/>
        <w:keepLines/>
        <w:widowControl w:val="0"/>
        <w:shd w:val="clear" w:color="auto" w:fill="auto"/>
        <w:bidi w:val="0"/>
        <w:spacing w:before="0" w:line="240" w:lineRule="auto"/>
        <w:ind w:left="0" w:right="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28"/>
      <w:bookmarkEnd w:id="129"/>
      <w:bookmarkEnd w:id="131"/>
    </w:p>
    <w:p>
      <w:pPr>
        <w:pStyle w:val="Style27"/>
        <w:keepNext w:val="0"/>
        <w:keepLines w:val="0"/>
        <w:widowControl w:val="0"/>
        <w:shd w:val="clear" w:color="auto" w:fill="auto"/>
        <w:bidi w:val="0"/>
        <w:spacing w:before="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600,564,128.55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396,093,586.93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铁路与轨道交通 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464,423,806.60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395,497,354.07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218,798,505.16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102,846,468.89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电力检测及电力 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902,062,610.62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649,891,574.83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216,913,100.23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102,275,276.37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277,994,291.69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184,860,745.10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352,101,600.10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223,742,181.72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171,531,796.26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137,032,516.97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373,972,376.73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233,295,021.36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42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7"/>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32"/>
      <w:bookmarkEnd w:id="133"/>
      <w:bookmarkEnd w:id="135"/>
    </w:p>
    <w:p>
      <w:pPr>
        <w:pStyle w:val="Style27"/>
        <w:keepNext w:val="0"/>
        <w:keepLines w:val="0"/>
        <w:widowControl w:val="0"/>
        <w:shd w:val="clear" w:color="auto" w:fill="auto"/>
        <w:bidi w:val="0"/>
        <w:spacing w:before="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电力板块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25,572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25,609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19,271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铁路与轨道交通板 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KVA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KVA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KVA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新能源板块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kkw*h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指发电量</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230,660.19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kkw*h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指发电量</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230,660.19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r>
      <w:tr>
        <w:trPr>
          <w:trHeight w:val="40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军工板块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413"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w:t>
            </w:r>
          </w:p>
        </w:tc>
      </w:tr>
    </w:tbl>
    <w:p>
      <w:pPr>
        <w:widowControl w:val="0"/>
        <w:spacing w:after="59" w:line="1" w:lineRule="exact"/>
      </w:pPr>
    </w:p>
    <w:p>
      <w:pPr>
        <w:pStyle w:val="Style27"/>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7"/>
        <w:keepNext w:val="0"/>
        <w:keepLines w:val="0"/>
        <w:widowControl w:val="0"/>
        <w:shd w:val="clear" w:color="auto" w:fill="auto"/>
        <w:bidi w:val="0"/>
        <w:spacing w:before="0" w:after="6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after="260" w:line="312" w:lineRule="exact"/>
        <w:ind w:left="420" w:right="0" w:firstLine="340"/>
        <w:jc w:val="left"/>
      </w:pPr>
      <w:r>
        <w:rPr>
          <w:color w:val="000000"/>
          <w:spacing w:val="0"/>
          <w:w w:val="100"/>
          <w:position w:val="0"/>
        </w:rPr>
        <w:t>铁路与轨道交通板块</w:t>
      </w:r>
      <w:r>
        <w:rPr>
          <w:rFonts w:ascii="Times New Roman" w:eastAsia="Times New Roman" w:hAnsi="Times New Roman" w:cs="Times New Roman"/>
          <w:color w:val="000000"/>
          <w:spacing w:val="0"/>
          <w:w w:val="100"/>
          <w:position w:val="0"/>
        </w:rPr>
        <w:t>2021</w:t>
      </w:r>
      <w:r>
        <w:rPr>
          <w:color w:val="000000"/>
          <w:spacing w:val="0"/>
          <w:w w:val="100"/>
          <w:position w:val="0"/>
        </w:rPr>
        <w:t>年的销售量和生产量较上年同期下降</w:t>
      </w:r>
      <w:r>
        <w:rPr>
          <w:rFonts w:ascii="Times New Roman" w:eastAsia="Times New Roman" w:hAnsi="Times New Roman" w:cs="Times New Roman"/>
          <w:color w:val="000000"/>
          <w:spacing w:val="0"/>
          <w:w w:val="100"/>
          <w:position w:val="0"/>
        </w:rPr>
        <w:t>42.63%</w:t>
      </w:r>
      <w:r>
        <w:rPr>
          <w:color w:val="000000"/>
          <w:spacing w:val="0"/>
          <w:w w:val="100"/>
          <w:position w:val="0"/>
        </w:rPr>
        <w:t>和</w:t>
      </w:r>
      <w:r>
        <w:rPr>
          <w:rFonts w:ascii="Times New Roman" w:eastAsia="Times New Roman" w:hAnsi="Times New Roman" w:cs="Times New Roman"/>
          <w:color w:val="000000"/>
          <w:spacing w:val="0"/>
          <w:w w:val="100"/>
          <w:position w:val="0"/>
        </w:rPr>
        <w:t>38.02%</w:t>
      </w:r>
      <w:r>
        <w:rPr>
          <w:color w:val="000000"/>
          <w:spacing w:val="0"/>
          <w:w w:val="100"/>
          <w:position w:val="0"/>
        </w:rPr>
        <w:t>，主要是受铁路投资放 缓及市场竞争的影响，</w:t>
      </w:r>
      <w:r>
        <w:rPr>
          <w:rFonts w:ascii="Times New Roman" w:eastAsia="Times New Roman" w:hAnsi="Times New Roman" w:cs="Times New Roman"/>
          <w:color w:val="000000"/>
          <w:spacing w:val="0"/>
          <w:w w:val="100"/>
          <w:position w:val="0"/>
        </w:rPr>
        <w:t>2021</w:t>
      </w:r>
      <w:r>
        <w:rPr>
          <w:color w:val="000000"/>
          <w:spacing w:val="0"/>
          <w:w w:val="100"/>
          <w:position w:val="0"/>
        </w:rPr>
        <w:t>年度公司铁路与轨道交通牵引供电装备的营业收入较上年同期减少。</w:t>
      </w:r>
    </w:p>
    <w:p>
      <w:pPr>
        <w:pStyle w:val="Style40"/>
        <w:keepNext/>
        <w:keepLines/>
        <w:widowControl w:val="0"/>
        <w:shd w:val="clear" w:color="auto" w:fill="auto"/>
        <w:bidi w:val="0"/>
        <w:spacing w:before="0" w:after="400"/>
        <w:ind w:left="0" w:right="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）公司已签订的重大销售合同、重大采购合同截至本报告期的履行情况</w:t>
      </w:r>
      <w:bookmarkEnd w:id="136"/>
      <w:bookmarkEnd w:id="137"/>
      <w:bookmarkEnd w:id="139"/>
    </w:p>
    <w:p>
      <w:pPr>
        <w:pStyle w:val="Style27"/>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已签订的重大销售合同截至本报告期的履行情况</w:t>
      </w:r>
    </w:p>
    <w:p>
      <w:pPr>
        <w:pStyle w:val="Style27"/>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9163" w:right="0" w:firstLine="0"/>
        <w:jc w:val="left"/>
      </w:pPr>
      <w:r>
        <w:rPr>
          <w:color w:val="000000"/>
          <w:spacing w:val="0"/>
          <w:w w:val="100"/>
          <w:position w:val="0"/>
        </w:rPr>
        <w:t>单位：万元</w:t>
      </w:r>
    </w:p>
    <w:tbl>
      <w:tblPr>
        <w:tblOverlap w:val="never"/>
        <w:jc w:val="center"/>
        <w:tblLayout w:type="fixed"/>
      </w:tblPr>
      <w:tblGrid>
        <w:gridCol w:w="1171"/>
        <w:gridCol w:w="1248"/>
        <w:gridCol w:w="850"/>
        <w:gridCol w:w="710"/>
        <w:gridCol w:w="850"/>
        <w:gridCol w:w="710"/>
        <w:gridCol w:w="850"/>
        <w:gridCol w:w="850"/>
        <w:gridCol w:w="710"/>
        <w:gridCol w:w="710"/>
        <w:gridCol w:w="706"/>
        <w:gridCol w:w="710"/>
        <w:gridCol w:w="576"/>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合同标的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对方当事人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合同总金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合计已 履行金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待履行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本期确认 的销售收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累计确认 的销售收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款回款</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常履行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影响重 大合同 履行的 各项条 件是否 发生重 大变化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是否存 在合同 无法履 行的重</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大风险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 未正 常履 行的 说明</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厄瓜多尔国家 电力公司</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230/138/69 </w:t>
            </w:r>
            <w:r>
              <w:rPr>
                <w:color w:val="000000"/>
                <w:spacing w:val="0"/>
                <w:w w:val="100"/>
                <w:position w:val="0"/>
                <w:sz w:val="17"/>
                <w:szCs w:val="17"/>
              </w:rPr>
              <w:t xml:space="preserve">千 伏输电系统和 </w:t>
            </w:r>
            <w:r>
              <w:rPr>
                <w:rFonts w:ascii="Times New Roman" w:eastAsia="Times New Roman" w:hAnsi="Times New Roman" w:cs="Times New Roman"/>
                <w:color w:val="000000"/>
                <w:spacing w:val="0"/>
                <w:w w:val="100"/>
                <w:position w:val="0"/>
                <w:sz w:val="18"/>
                <w:szCs w:val="18"/>
              </w:rPr>
              <w:t>138/69</w:t>
            </w:r>
            <w:r>
              <w:rPr>
                <w:color w:val="000000"/>
                <w:spacing w:val="0"/>
                <w:w w:val="100"/>
                <w:position w:val="0"/>
                <w:sz w:val="17"/>
                <w:szCs w:val="17"/>
              </w:rPr>
              <w:t xml:space="preserve">千伏变 电站扩建工程 的相关设备购 置和服务采购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四</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个标段 </w:t>
            </w:r>
            <w:r>
              <w:rPr>
                <w:rFonts w:ascii="Times New Roman" w:eastAsia="Times New Roman" w:hAnsi="Times New Roman" w:cs="Times New Roman"/>
                <w:color w:val="000000"/>
                <w:spacing w:val="0"/>
                <w:w w:val="100"/>
                <w:position w:val="0"/>
                <w:sz w:val="18"/>
                <w:szCs w:val="18"/>
              </w:rPr>
              <w:t>-LOTE1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厄瓜多尔国家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电力公司</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CELEC EP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厄瓜多尔国家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电力公司</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230/138/69 </w:t>
            </w:r>
            <w:r>
              <w:rPr>
                <w:color w:val="000000"/>
                <w:spacing w:val="0"/>
                <w:w w:val="100"/>
                <w:position w:val="0"/>
              </w:rPr>
              <w:t>千</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伏输电系统和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厄瓜多尔国家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138/69</w:t>
            </w:r>
            <w:r>
              <w:rPr>
                <w:color w:val="000000"/>
                <w:spacing w:val="0"/>
                <w:w w:val="100"/>
                <w:position w:val="0"/>
              </w:rPr>
              <w:t>千伏变</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7,957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272"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电站扩建工程 的相关设备购 置和服务采购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个标段</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CELEC EP</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1"/>
        <w:gridCol w:w="1248"/>
        <w:gridCol w:w="850"/>
        <w:gridCol w:w="710"/>
        <w:gridCol w:w="850"/>
        <w:gridCol w:w="710"/>
        <w:gridCol w:w="850"/>
        <w:gridCol w:w="850"/>
        <w:gridCol w:w="710"/>
        <w:gridCol w:w="710"/>
        <w:gridCol w:w="706"/>
        <w:gridCol w:w="710"/>
        <w:gridCol w:w="57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-LOTE2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特殊机构客户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23,925.8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7441.40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特殊机构客户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11"/>
        <w:keepNext w:val="0"/>
        <w:keepLines w:val="0"/>
        <w:widowControl w:val="0"/>
        <w:shd w:val="clear" w:color="auto" w:fill="auto"/>
        <w:bidi w:val="0"/>
        <w:spacing w:before="0" w:after="140" w:line="312" w:lineRule="exact"/>
        <w:ind w:left="420" w:right="0" w:firstLine="420"/>
        <w:jc w:val="both"/>
        <w:rPr>
          <w:sz w:val="19"/>
          <w:szCs w:val="19"/>
        </w:rPr>
      </w:pPr>
      <w:r>
        <w:rPr>
          <w:color w:val="000000"/>
          <w:spacing w:val="0"/>
          <w:w w:val="100"/>
          <w:position w:val="0"/>
          <w:sz w:val="19"/>
          <w:szCs w:val="19"/>
        </w:rPr>
        <w:t>注：公司孙公司</w:t>
      </w:r>
      <w:r>
        <w:rPr>
          <w:rFonts w:ascii="Times New Roman" w:eastAsia="Times New Roman" w:hAnsi="Times New Roman" w:cs="Times New Roman"/>
          <w:color w:val="000000"/>
          <w:spacing w:val="0"/>
          <w:w w:val="100"/>
          <w:position w:val="0"/>
          <w:sz w:val="20"/>
          <w:szCs w:val="20"/>
        </w:rPr>
        <w:t>WOTAL</w:t>
      </w:r>
      <w:r>
        <w:rPr>
          <w:color w:val="000000"/>
          <w:spacing w:val="0"/>
          <w:w w:val="100"/>
          <w:position w:val="0"/>
          <w:sz w:val="19"/>
          <w:szCs w:val="19"/>
        </w:rPr>
        <w:t>联合体以及</w:t>
      </w:r>
      <w:r>
        <w:rPr>
          <w:rFonts w:ascii="Times New Roman" w:eastAsia="Times New Roman" w:hAnsi="Times New Roman" w:cs="Times New Roman"/>
          <w:color w:val="000000"/>
          <w:spacing w:val="0"/>
          <w:w w:val="100"/>
          <w:position w:val="0"/>
          <w:sz w:val="20"/>
          <w:szCs w:val="20"/>
        </w:rPr>
        <w:t>LONGFOR</w:t>
      </w:r>
      <w:r>
        <w:rPr>
          <w:color w:val="000000"/>
          <w:spacing w:val="0"/>
          <w:w w:val="100"/>
          <w:position w:val="0"/>
          <w:sz w:val="19"/>
          <w:szCs w:val="19"/>
        </w:rPr>
        <w:t>联合体分别与厄瓜多尔国家电力公司</w:t>
      </w:r>
      <w:r>
        <w:rPr>
          <w:rFonts w:ascii="Times New Roman" w:eastAsia="Times New Roman" w:hAnsi="Times New Roman" w:cs="Times New Roman"/>
          <w:color w:val="000000"/>
          <w:spacing w:val="0"/>
          <w:w w:val="100"/>
          <w:position w:val="0"/>
          <w:sz w:val="20"/>
          <w:szCs w:val="20"/>
        </w:rPr>
        <w:t>CELEC EP</w:t>
      </w:r>
      <w:r>
        <w:rPr>
          <w:color w:val="000000"/>
          <w:spacing w:val="0"/>
          <w:w w:val="100"/>
          <w:position w:val="0"/>
          <w:sz w:val="19"/>
          <w:szCs w:val="19"/>
        </w:rPr>
        <w:t>签署的合 同金额为</w:t>
      </w:r>
      <w:r>
        <w:rPr>
          <w:rFonts w:ascii="Times New Roman" w:eastAsia="Times New Roman" w:hAnsi="Times New Roman" w:cs="Times New Roman"/>
          <w:color w:val="000000"/>
          <w:spacing w:val="0"/>
          <w:w w:val="100"/>
          <w:position w:val="0"/>
          <w:sz w:val="20"/>
          <w:szCs w:val="20"/>
        </w:rPr>
        <w:t>25,718,549</w:t>
      </w:r>
      <w:r>
        <w:rPr>
          <w:color w:val="000000"/>
          <w:spacing w:val="0"/>
          <w:w w:val="100"/>
          <w:position w:val="0"/>
          <w:sz w:val="19"/>
          <w:szCs w:val="19"/>
        </w:rPr>
        <w:t>美元和</w:t>
      </w:r>
      <w:r>
        <w:rPr>
          <w:rFonts w:ascii="Times New Roman" w:eastAsia="Times New Roman" w:hAnsi="Times New Roman" w:cs="Times New Roman"/>
          <w:color w:val="000000"/>
          <w:spacing w:val="0"/>
          <w:w w:val="100"/>
          <w:position w:val="0"/>
          <w:sz w:val="20"/>
          <w:szCs w:val="20"/>
        </w:rPr>
        <w:t>12,306,226</w:t>
      </w:r>
      <w:r>
        <w:rPr>
          <w:color w:val="000000"/>
          <w:spacing w:val="0"/>
          <w:w w:val="100"/>
          <w:position w:val="0"/>
          <w:sz w:val="19"/>
          <w:szCs w:val="19"/>
        </w:rPr>
        <w:t>美元。表格中的合同金额是以</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19"/>
          <w:szCs w:val="19"/>
        </w:rPr>
        <w:t>日汇率折算成人民币的金 额。具体内容详见公司于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19"/>
          <w:szCs w:val="19"/>
        </w:rPr>
        <w:t>日在巨潮资讯网上披露的《关于全资子公司中标项目签署合同的进展 公告》（公告编号：</w:t>
      </w:r>
      <w:r>
        <w:rPr>
          <w:rFonts w:ascii="Times New Roman" w:eastAsia="Times New Roman" w:hAnsi="Times New Roman" w:cs="Times New Roman"/>
          <w:color w:val="000000"/>
          <w:spacing w:val="0"/>
          <w:w w:val="100"/>
          <w:position w:val="0"/>
          <w:sz w:val="20"/>
          <w:szCs w:val="20"/>
        </w:rPr>
        <w:t>2021-070</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WOTAL</w:t>
      </w:r>
      <w:r>
        <w:rPr>
          <w:color w:val="000000"/>
          <w:spacing w:val="0"/>
          <w:w w:val="100"/>
          <w:position w:val="0"/>
          <w:sz w:val="19"/>
          <w:szCs w:val="19"/>
        </w:rPr>
        <w:t>联合体以及</w:t>
      </w:r>
      <w:r>
        <w:rPr>
          <w:rFonts w:ascii="Times New Roman" w:eastAsia="Times New Roman" w:hAnsi="Times New Roman" w:cs="Times New Roman"/>
          <w:color w:val="000000"/>
          <w:spacing w:val="0"/>
          <w:w w:val="100"/>
          <w:position w:val="0"/>
          <w:sz w:val="20"/>
          <w:szCs w:val="20"/>
        </w:rPr>
        <w:t>LONGFOR</w:t>
      </w:r>
      <w:r>
        <w:rPr>
          <w:color w:val="000000"/>
          <w:spacing w:val="0"/>
          <w:w w:val="100"/>
          <w:position w:val="0"/>
          <w:sz w:val="19"/>
          <w:szCs w:val="19"/>
        </w:rPr>
        <w:t>联合体分别收到厄瓜多尔国家电 力公司</w:t>
      </w:r>
      <w:r>
        <w:rPr>
          <w:rFonts w:ascii="Times New Roman" w:eastAsia="Times New Roman" w:hAnsi="Times New Roman" w:cs="Times New Roman"/>
          <w:color w:val="000000"/>
          <w:spacing w:val="0"/>
          <w:w w:val="100"/>
          <w:position w:val="0"/>
          <w:sz w:val="20"/>
          <w:szCs w:val="20"/>
        </w:rPr>
        <w:t>CELEC EP</w:t>
      </w:r>
      <w:r>
        <w:rPr>
          <w:color w:val="000000"/>
          <w:spacing w:val="0"/>
          <w:w w:val="100"/>
          <w:position w:val="0"/>
          <w:sz w:val="19"/>
          <w:szCs w:val="19"/>
        </w:rPr>
        <w:t>支付的预付款金额为</w:t>
      </w:r>
      <w:r>
        <w:rPr>
          <w:rFonts w:ascii="Times New Roman" w:eastAsia="Times New Roman" w:hAnsi="Times New Roman" w:cs="Times New Roman"/>
          <w:color w:val="000000"/>
          <w:spacing w:val="0"/>
          <w:w w:val="100"/>
          <w:position w:val="0"/>
          <w:sz w:val="20"/>
          <w:szCs w:val="20"/>
        </w:rPr>
        <w:t>1,2859,274.5</w:t>
      </w:r>
      <w:r>
        <w:rPr>
          <w:color w:val="000000"/>
          <w:spacing w:val="0"/>
          <w:w w:val="100"/>
          <w:position w:val="0"/>
          <w:sz w:val="19"/>
          <w:szCs w:val="19"/>
        </w:rPr>
        <w:t>美元（折算成人民币为</w:t>
      </w:r>
      <w:r>
        <w:rPr>
          <w:rFonts w:ascii="Times New Roman" w:eastAsia="Times New Roman" w:hAnsi="Times New Roman" w:cs="Times New Roman"/>
          <w:color w:val="000000"/>
          <w:spacing w:val="0"/>
          <w:w w:val="100"/>
          <w:position w:val="0"/>
          <w:sz w:val="20"/>
          <w:szCs w:val="20"/>
        </w:rPr>
        <w:t>8,198.69</w:t>
      </w:r>
      <w:r>
        <w:rPr>
          <w:color w:val="000000"/>
          <w:spacing w:val="0"/>
          <w:w w:val="100"/>
          <w:position w:val="0"/>
          <w:sz w:val="19"/>
          <w:szCs w:val="19"/>
        </w:rPr>
        <w:t>万元）、</w:t>
      </w:r>
      <w:r>
        <w:rPr>
          <w:rFonts w:ascii="Times New Roman" w:eastAsia="Times New Roman" w:hAnsi="Times New Roman" w:cs="Times New Roman"/>
          <w:color w:val="000000"/>
          <w:spacing w:val="0"/>
          <w:w w:val="100"/>
          <w:position w:val="0"/>
          <w:sz w:val="20"/>
          <w:szCs w:val="20"/>
        </w:rPr>
        <w:t>6,153,113.00</w:t>
      </w:r>
      <w:r>
        <w:rPr>
          <w:color w:val="000000"/>
          <w:spacing w:val="0"/>
          <w:w w:val="100"/>
          <w:position w:val="0"/>
          <w:sz w:val="19"/>
          <w:szCs w:val="19"/>
        </w:rPr>
        <w:t>美元 （折算成人民币为</w:t>
      </w:r>
      <w:r>
        <w:rPr>
          <w:rFonts w:ascii="Times New Roman" w:eastAsia="Times New Roman" w:hAnsi="Times New Roman" w:cs="Times New Roman"/>
          <w:color w:val="000000"/>
          <w:spacing w:val="0"/>
          <w:w w:val="100"/>
          <w:position w:val="0"/>
          <w:sz w:val="20"/>
          <w:szCs w:val="20"/>
        </w:rPr>
        <w:t>3,923.04</w:t>
      </w:r>
      <w:r>
        <w:rPr>
          <w:color w:val="000000"/>
          <w:spacing w:val="0"/>
          <w:w w:val="100"/>
          <w:position w:val="0"/>
          <w:sz w:val="19"/>
          <w:szCs w:val="19"/>
        </w:rPr>
        <w:t>万元）</w:t>
      </w:r>
    </w:p>
    <w:p>
      <w:pPr>
        <w:pStyle w:val="Style27"/>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已签订的重大采购合同截至本报告期的履行情况</w:t>
      </w:r>
    </w:p>
    <w:p>
      <w:pPr>
        <w:pStyle w:val="Style27"/>
        <w:keepNext w:val="0"/>
        <w:keepLines w:val="0"/>
        <w:widowControl w:val="0"/>
        <w:shd w:val="clear" w:color="auto" w:fill="auto"/>
        <w:bidi w:val="0"/>
        <w:spacing w:before="0" w:after="2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ind w:left="0" w:right="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40"/>
      <w:bookmarkEnd w:id="141"/>
      <w:bookmarkEnd w:id="143"/>
    </w:p>
    <w:p>
      <w:pPr>
        <w:pStyle w:val="Style27"/>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行业分类</w:t>
      </w:r>
    </w:p>
    <w:p>
      <w:pPr>
        <w:pStyle w:val="Style27"/>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行业分类</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314,416,524.35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304,656,207.77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人工及制造费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73,749,220.63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64,866,059.61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铁路与轨道交通 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341,542,863.52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361,285,466.23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铁路与轨道交通 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人工及制造费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53,954,490.55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44,435,173.96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新能源发电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人工及制造费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37,810,562.23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49,308,262.74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64,532,890.49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31,833,702.38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军工板块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人工及制造费 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38,313,578.40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21,808,521.43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说明</w:t>
      </w:r>
    </w:p>
    <w:p>
      <w:pPr>
        <w:pStyle w:val="Style27"/>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44"/>
      <w:bookmarkEnd w:id="145"/>
      <w:bookmarkEnd w:id="147"/>
    </w:p>
    <w:p>
      <w:pPr>
        <w:pStyle w:val="Style27"/>
        <w:keepNext w:val="0"/>
        <w:keepLines w:val="0"/>
        <w:widowControl w:val="0"/>
        <w:shd w:val="clear" w:color="auto" w:fill="auto"/>
        <w:bidi w:val="0"/>
        <w:spacing w:before="0" w:after="20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1"/>
        <w:keepNext w:val="0"/>
        <w:keepLines w:val="0"/>
        <w:widowControl w:val="0"/>
        <w:shd w:val="clear" w:color="auto" w:fill="auto"/>
        <w:bidi w:val="0"/>
        <w:spacing w:before="0" w:after="140" w:line="240" w:lineRule="auto"/>
        <w:ind w:left="0" w:right="0" w:firstLine="900"/>
        <w:jc w:val="left"/>
      </w:pPr>
      <w:bookmarkStart w:id="148" w:name="bookmark148"/>
      <w:r>
        <w:rPr>
          <w:rFonts w:ascii="Times New Roman" w:eastAsia="Times New Roman" w:hAnsi="Times New Roman" w:cs="Times New Roman"/>
          <w:color w:val="000000"/>
          <w:spacing w:val="0"/>
          <w:w w:val="100"/>
          <w:position w:val="0"/>
        </w:rPr>
        <w:t>1</w:t>
      </w:r>
      <w:bookmarkEnd w:id="148"/>
      <w:r>
        <w:rPr>
          <w:color w:val="000000"/>
          <w:spacing w:val="0"/>
          <w:w w:val="100"/>
          <w:position w:val="0"/>
        </w:rPr>
        <w:t>、新设子公司</w:t>
      </w:r>
    </w:p>
    <w:p>
      <w:pPr>
        <w:pStyle w:val="Style11"/>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日成立非全资子公司合肥翩翼，纳入本年度合并范围。</w:t>
      </w:r>
    </w:p>
    <w:p>
      <w:pPr>
        <w:pStyle w:val="Style11"/>
        <w:keepNext w:val="0"/>
        <w:keepLines w:val="0"/>
        <w:widowControl w:val="0"/>
        <w:shd w:val="clear" w:color="auto" w:fill="auto"/>
        <w:bidi w:val="0"/>
        <w:spacing w:before="0" w:after="80" w:line="317" w:lineRule="exact"/>
        <w:ind w:left="420" w:right="0" w:firstLine="480"/>
        <w:jc w:val="left"/>
      </w:pPr>
      <w:r>
        <w:rPr>
          <w:color w:val="000000"/>
          <w:spacing w:val="0"/>
          <w:w w:val="100"/>
          <w:position w:val="0"/>
        </w:rPr>
        <w:t>子公司银川卧龙于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日与道达尔国际商业股份有限公司成立控股联合体公司</w:t>
      </w:r>
      <w:r>
        <w:rPr>
          <w:rFonts w:ascii="Times New Roman" w:eastAsia="Times New Roman" w:hAnsi="Times New Roman" w:cs="Times New Roman"/>
          <w:color w:val="000000"/>
          <w:spacing w:val="0"/>
          <w:w w:val="100"/>
          <w:position w:val="0"/>
        </w:rPr>
        <w:t>WOTAL</w:t>
      </w:r>
      <w:r>
        <w:rPr>
          <w:color w:val="000000"/>
          <w:spacing w:val="0"/>
          <w:w w:val="100"/>
          <w:position w:val="0"/>
        </w:rPr>
        <w:t xml:space="preserve">、 </w:t>
      </w:r>
      <w:r>
        <w:rPr>
          <w:rFonts w:ascii="Times New Roman" w:eastAsia="Times New Roman" w:hAnsi="Times New Roman" w:cs="Times New Roman"/>
          <w:color w:val="000000"/>
          <w:spacing w:val="0"/>
          <w:w w:val="100"/>
          <w:position w:val="0"/>
        </w:rPr>
        <w:t>LONGFOR</w:t>
      </w:r>
      <w:r>
        <w:rPr>
          <w:color w:val="000000"/>
          <w:spacing w:val="0"/>
          <w:w w:val="100"/>
          <w:position w:val="0"/>
        </w:rPr>
        <w:t>,</w:t>
      </w:r>
      <w:r>
        <w:rPr>
          <w:color w:val="000000"/>
          <w:spacing w:val="0"/>
          <w:w w:val="100"/>
          <w:position w:val="0"/>
        </w:rPr>
        <w:t>纳入本年度合并范围。</w:t>
      </w:r>
    </w:p>
    <w:p>
      <w:pPr>
        <w:pStyle w:val="Style11"/>
        <w:keepNext w:val="0"/>
        <w:keepLines w:val="0"/>
        <w:widowControl w:val="0"/>
        <w:shd w:val="clear" w:color="auto" w:fill="auto"/>
        <w:bidi w:val="0"/>
        <w:spacing w:before="0" w:after="80" w:line="317" w:lineRule="exact"/>
        <w:ind w:left="0" w:right="0" w:firstLine="840"/>
        <w:jc w:val="left"/>
      </w:pPr>
      <w:bookmarkStart w:id="149" w:name="bookmark149"/>
      <w:r>
        <w:rPr>
          <w:rFonts w:ascii="Times New Roman" w:eastAsia="Times New Roman" w:hAnsi="Times New Roman" w:cs="Times New Roman"/>
          <w:color w:val="000000"/>
          <w:spacing w:val="0"/>
          <w:w w:val="100"/>
          <w:position w:val="0"/>
        </w:rPr>
        <w:t>2</w:t>
      </w:r>
      <w:bookmarkEnd w:id="149"/>
      <w:r>
        <w:rPr>
          <w:color w:val="000000"/>
          <w:spacing w:val="0"/>
          <w:w w:val="100"/>
          <w:position w:val="0"/>
        </w:rPr>
        <w:t>、转让或注销子公司</w:t>
      </w:r>
    </w:p>
    <w:p>
      <w:pPr>
        <w:pStyle w:val="Style11"/>
        <w:keepNext w:val="0"/>
        <w:keepLines w:val="0"/>
        <w:widowControl w:val="0"/>
        <w:shd w:val="clear" w:color="auto" w:fill="auto"/>
        <w:bidi w:val="0"/>
        <w:spacing w:before="0" w:after="280" w:line="317" w:lineRule="exact"/>
        <w:ind w:left="420" w:right="0" w:firstLine="480"/>
        <w:jc w:val="left"/>
      </w:pPr>
      <w:r>
        <w:rPr>
          <w:color w:val="000000"/>
          <w:spacing w:val="0"/>
          <w:w w:val="100"/>
          <w:position w:val="0"/>
        </w:rPr>
        <w:t>子公司银川卧龙于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日将全资子公司中宁新能源转让出售，并于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日办理完工商 手续。从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日起，中宁新能源不再纳入合并范围。</w:t>
      </w:r>
    </w:p>
    <w:p>
      <w:pPr>
        <w:pStyle w:val="Style40"/>
        <w:keepNext/>
        <w:keepLines/>
        <w:widowControl w:val="0"/>
        <w:shd w:val="clear" w:color="auto" w:fill="auto"/>
        <w:tabs>
          <w:tab w:pos="913" w:val="left"/>
        </w:tabs>
        <w:bidi w:val="0"/>
        <w:spacing w:before="0" w:after="400" w:line="317" w:lineRule="exact"/>
        <w:ind w:left="0" w:right="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0"/>
      <w:bookmarkEnd w:id="151"/>
      <w:bookmarkEnd w:id="153"/>
    </w:p>
    <w:p>
      <w:pPr>
        <w:pStyle w:val="Style27"/>
        <w:keepNext w:val="0"/>
        <w:keepLines w:val="0"/>
        <w:widowControl w:val="0"/>
        <w:shd w:val="clear" w:color="auto" w:fill="auto"/>
        <w:bidi w:val="0"/>
        <w:spacing w:before="0" w:after="2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913" w:val="left"/>
        </w:tabs>
        <w:bidi w:val="0"/>
        <w:spacing w:before="0" w:after="400" w:line="317" w:lineRule="exact"/>
        <w:ind w:left="0" w:right="0"/>
        <w:jc w:val="left"/>
      </w:pPr>
      <w:bookmarkStart w:id="154" w:name="bookmark154"/>
      <w:bookmarkStart w:id="155" w:name="bookmark155"/>
      <w:bookmarkStart w:id="156" w:name="bookmark156"/>
      <w:bookmarkStart w:id="157" w:name="bookmark157"/>
      <w:r>
        <w:rPr>
          <w:color w:val="000000"/>
          <w:spacing w:val="0"/>
          <w:w w:val="100"/>
          <w:position w:val="0"/>
        </w:rPr>
        <w:t>（</w:t>
      </w:r>
      <w:bookmarkEnd w:id="15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4"/>
      <w:bookmarkEnd w:id="155"/>
      <w:bookmarkEnd w:id="157"/>
    </w:p>
    <w:p>
      <w:pPr>
        <w:pStyle w:val="Style27"/>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361,907,920.15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111,046,795.36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90,734,513.23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71,401,769.92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47,290,135.03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41,434,706.61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361,907,920.15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主要客户其他情况说明</w:t>
      </w:r>
    </w:p>
    <w:p>
      <w:pPr>
        <w:pStyle w:val="Style27"/>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after="440" w:line="312" w:lineRule="exact"/>
        <w:ind w:left="420" w:right="0" w:firstLine="480"/>
        <w:jc w:val="left"/>
      </w:pPr>
      <w:r>
        <w:rPr>
          <w:color w:val="000000"/>
          <w:spacing w:val="0"/>
          <w:w w:val="100"/>
          <w:position w:val="0"/>
        </w:rPr>
        <w:t>公司前五名客户与公司不存在关联关系；公司董事、监事、高级管理人员、核心技术人员以及持股</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以上股东、实际控制人和其他关联方在主要客户中未直接或间接拥有权益。</w:t>
      </w:r>
    </w:p>
    <w:p>
      <w:pPr>
        <w:pStyle w:val="Style27"/>
        <w:keepNext w:val="0"/>
        <w:keepLines w:val="0"/>
        <w:widowControl w:val="0"/>
        <w:shd w:val="clear" w:color="auto" w:fill="auto"/>
        <w:bidi w:val="0"/>
        <w:spacing w:before="0" w:after="80" w:line="240" w:lineRule="auto"/>
        <w:ind w:left="0" w:right="0" w:firstLine="420"/>
        <w:jc w:val="both"/>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194,247,526.41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55,946,902.66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r>
    </w:tbl>
    <w:p>
      <w:pPr>
        <w:spacing w:lineRule="exact" w:line="1"/>
        <w:rPr>
          <w:sz w:val="2"/>
          <w:szCs w:val="2"/>
        </w:rPr>
      </w:pP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42,701,597.44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41,148,515.22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30,647,411.96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23,803,099.13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194,247,526.41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80" w:line="240" w:lineRule="auto"/>
        <w:ind w:left="0" w:right="0" w:firstLine="4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after="380" w:line="298" w:lineRule="exact"/>
        <w:ind w:left="400" w:right="0" w:firstLine="440"/>
        <w:jc w:val="left"/>
      </w:pPr>
      <w:r>
        <w:rPr>
          <w:color w:val="000000"/>
          <w:spacing w:val="0"/>
          <w:w w:val="100"/>
          <w:position w:val="0"/>
        </w:rPr>
        <w:t xml:space="preserve">公司前五名供应商与公司不存在关联关系；公司董事、监事、高级管理人员、核心技术人员以及持股 </w:t>
      </w:r>
      <w:r>
        <w:rPr>
          <w:rFonts w:ascii="Times New Roman" w:eastAsia="Times New Roman" w:hAnsi="Times New Roman" w:cs="Times New Roman"/>
          <w:color w:val="000000"/>
          <w:spacing w:val="0"/>
          <w:w w:val="100"/>
          <w:position w:val="0"/>
        </w:rPr>
        <w:t>5%</w:t>
      </w:r>
      <w:r>
        <w:rPr>
          <w:color w:val="000000"/>
          <w:spacing w:val="0"/>
          <w:w w:val="100"/>
          <w:position w:val="0"/>
        </w:rPr>
        <w:t>以上股东、实际控制人和其他关联方在主要供应商中未直接或间接拥有权益。</w:t>
      </w:r>
    </w:p>
    <w:p>
      <w:pPr>
        <w:pStyle w:val="Style31"/>
        <w:keepNext/>
        <w:keepLines/>
        <w:widowControl w:val="0"/>
        <w:shd w:val="clear" w:color="auto" w:fill="auto"/>
        <w:bidi w:val="0"/>
        <w:spacing w:before="0" w:after="320" w:line="312" w:lineRule="auto"/>
        <w:ind w:left="0" w:right="0" w:firstLine="40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3</w:t>
      </w:r>
      <w:bookmarkEnd w:id="160"/>
      <w:r>
        <w:rPr>
          <w:color w:val="000000"/>
          <w:spacing w:val="0"/>
          <w:w w:val="100"/>
          <w:position w:val="0"/>
        </w:rPr>
        <w:t>、费用</w:t>
      </w:r>
      <w:bookmarkEnd w:id="158"/>
      <w:bookmarkEnd w:id="159"/>
      <w:bookmarkEnd w:id="161"/>
    </w:p>
    <w:p>
      <w:pPr>
        <w:pStyle w:val="Style27"/>
        <w:keepNext w:val="0"/>
        <w:keepLines w:val="0"/>
        <w:widowControl w:val="0"/>
        <w:shd w:val="clear" w:color="auto" w:fill="auto"/>
        <w:bidi w:val="0"/>
        <w:spacing w:before="0" w:after="80" w:line="240" w:lineRule="auto"/>
        <w:ind w:left="0" w:right="56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28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131,591,477.14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101,355,665.99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报告期内，销售费用较上年同期增加 </w:t>
            </w:r>
            <w:r>
              <w:rPr>
                <w:rFonts w:ascii="Times New Roman" w:eastAsia="Times New Roman" w:hAnsi="Times New Roman" w:cs="Times New Roman"/>
                <w:color w:val="000000"/>
                <w:spacing w:val="0"/>
                <w:w w:val="100"/>
                <w:position w:val="0"/>
                <w:sz w:val="18"/>
                <w:szCs w:val="18"/>
              </w:rPr>
              <w:t>3,023.58</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29.83%</w:t>
            </w:r>
            <w:r>
              <w:rPr>
                <w:color w:val="000000"/>
                <w:spacing w:val="0"/>
                <w:w w:val="100"/>
                <w:position w:val="0"/>
              </w:rPr>
              <w:t>。主要受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年下半年调薪及奖金增长 的影响，报告期的职工薪酬较上年同 期增加了 </w:t>
            </w:r>
            <w:r>
              <w:rPr>
                <w:rFonts w:ascii="Times New Roman" w:eastAsia="Times New Roman" w:hAnsi="Times New Roman" w:cs="Times New Roman"/>
                <w:color w:val="000000"/>
                <w:spacing w:val="0"/>
                <w:w w:val="100"/>
                <w:position w:val="0"/>
                <w:sz w:val="18"/>
                <w:szCs w:val="18"/>
              </w:rPr>
              <w:t>1,304.86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年，公 司加大了部分区域的业务推广活动， 报告期的差旅费、业务招待费及市场 推广费较上年同期增加了 </w:t>
            </w:r>
            <w:r>
              <w:rPr>
                <w:rFonts w:ascii="Times New Roman" w:eastAsia="Times New Roman" w:hAnsi="Times New Roman" w:cs="Times New Roman"/>
                <w:color w:val="000000"/>
                <w:spacing w:val="0"/>
                <w:w w:val="100"/>
                <w:position w:val="0"/>
                <w:sz w:val="18"/>
                <w:szCs w:val="18"/>
              </w:rPr>
              <w:t>1,534.41</w:t>
            </w:r>
            <w:r>
              <w:rPr>
                <w:color w:val="000000"/>
                <w:spacing w:val="0"/>
                <w:w w:val="100"/>
                <w:position w:val="0"/>
              </w:rPr>
              <w:t>万 元。</w:t>
            </w:r>
          </w:p>
        </w:tc>
      </w:tr>
      <w:tr>
        <w:trPr>
          <w:trHeight w:val="32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107,078,668.37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94,675,867.75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报告期，管理费用较上年同期增加 </w:t>
            </w:r>
            <w:r>
              <w:rPr>
                <w:rFonts w:ascii="Times New Roman" w:eastAsia="Times New Roman" w:hAnsi="Times New Roman" w:cs="Times New Roman"/>
                <w:color w:val="000000"/>
                <w:spacing w:val="0"/>
                <w:w w:val="100"/>
                <w:position w:val="0"/>
                <w:sz w:val="18"/>
                <w:szCs w:val="18"/>
              </w:rPr>
              <w:t>1,240.28</w:t>
            </w:r>
            <w:r>
              <w:rPr>
                <w:color w:val="000000"/>
                <w:spacing w:val="0"/>
                <w:w w:val="100"/>
                <w:position w:val="0"/>
              </w:rPr>
              <w:t>万元，受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年下半年度调 薪的影响，报告期职工薪酬较上年同 期增加</w:t>
            </w:r>
            <w:r>
              <w:rPr>
                <w:rFonts w:ascii="Times New Roman" w:eastAsia="Times New Roman" w:hAnsi="Times New Roman" w:cs="Times New Roman"/>
                <w:color w:val="000000"/>
                <w:spacing w:val="0"/>
                <w:w w:val="100"/>
                <w:position w:val="0"/>
                <w:sz w:val="18"/>
                <w:szCs w:val="18"/>
              </w:rPr>
              <w:t>1,303.84</w:t>
            </w:r>
            <w:r>
              <w:rPr>
                <w:color w:val="000000"/>
                <w:spacing w:val="0"/>
                <w:w w:val="100"/>
                <w:position w:val="0"/>
              </w:rPr>
              <w:t xml:space="preserve">万元；报告期内，第 三方服务费较上年同期减少了 </w:t>
            </w:r>
            <w:r>
              <w:rPr>
                <w:rFonts w:ascii="Times New Roman" w:eastAsia="Times New Roman" w:hAnsi="Times New Roman" w:cs="Times New Roman"/>
                <w:color w:val="000000"/>
                <w:spacing w:val="0"/>
                <w:w w:val="100"/>
                <w:position w:val="0"/>
                <w:sz w:val="18"/>
                <w:szCs w:val="18"/>
              </w:rPr>
              <w:t xml:space="preserve">842.83 </w:t>
            </w:r>
            <w:r>
              <w:rPr>
                <w:color w:val="000000"/>
                <w:spacing w:val="0"/>
                <w:w w:val="100"/>
                <w:position w:val="0"/>
              </w:rPr>
              <w:t>万元，减少的主要是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年收购上 海志良事项的聘请中介机构的费用； 随着子公司星波通信及浙江涵普的 新厂投入使用，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年度折旧与摊销 较上年同期增加了 </w:t>
            </w:r>
            <w:r>
              <w:rPr>
                <w:rFonts w:ascii="Times New Roman" w:eastAsia="Times New Roman" w:hAnsi="Times New Roman" w:cs="Times New Roman"/>
                <w:color w:val="000000"/>
                <w:spacing w:val="0"/>
                <w:w w:val="100"/>
                <w:position w:val="0"/>
                <w:sz w:val="18"/>
                <w:szCs w:val="18"/>
              </w:rPr>
              <w:t>675.44</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109,273,314.90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117,722,816.75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102,690,461.81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98,004,876.14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400"/>
        <w:jc w:val="both"/>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4</w:t>
      </w:r>
      <w:bookmarkEnd w:id="164"/>
      <w:r>
        <w:rPr>
          <w:color w:val="000000"/>
          <w:spacing w:val="0"/>
          <w:w w:val="100"/>
          <w:position w:val="0"/>
        </w:rPr>
        <w:t>、研发投入</w:t>
      </w:r>
      <w:bookmarkEnd w:id="162"/>
      <w:bookmarkEnd w:id="163"/>
      <w:bookmarkEnd w:id="165"/>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UHF</w:t>
            </w:r>
            <w:r>
              <w:rPr>
                <w:color w:val="000000"/>
                <w:spacing w:val="0"/>
                <w:w w:val="100"/>
                <w:position w:val="0"/>
              </w:rPr>
              <w:t>传感器的开发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旨在解决局部放电检测 产品中的技术难点，取 得在局部放电检测领域 中的技术突破，降低产 品生产成本，同时为基 于泛在电力物联网的智 能化便携化产品提供有 力的基础技术支撑。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完成噪声传感器和 信号传感器的建模 仿真工作，完成对激 励源辐射场分布的 仿真研究，制备信号 传感器小批量试制 样品，并完成性能测 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研制出高性能高品质的</w:t>
            </w:r>
            <w:r>
              <w:rPr>
                <w:rFonts w:ascii="Times New Roman" w:eastAsia="Times New Roman" w:hAnsi="Times New Roman" w:cs="Times New Roman"/>
                <w:color w:val="000000"/>
                <w:spacing w:val="0"/>
                <w:w w:val="100"/>
                <w:position w:val="0"/>
                <w:sz w:val="18"/>
                <w:szCs w:val="18"/>
              </w:rPr>
              <w:t xml:space="preserve">UHF </w:t>
            </w:r>
            <w:r>
              <w:rPr>
                <w:color w:val="000000"/>
                <w:spacing w:val="0"/>
                <w:w w:val="100"/>
                <w:position w:val="0"/>
              </w:rPr>
              <w:t>传感器，提升</w:t>
            </w:r>
            <w:r>
              <w:rPr>
                <w:rFonts w:ascii="Times New Roman" w:eastAsia="Times New Roman" w:hAnsi="Times New Roman" w:cs="Times New Roman"/>
                <w:color w:val="000000"/>
                <w:spacing w:val="0"/>
                <w:w w:val="100"/>
                <w:position w:val="0"/>
                <w:sz w:val="18"/>
                <w:szCs w:val="18"/>
              </w:rPr>
              <w:t>UHF</w:t>
            </w:r>
            <w:r>
              <w:rPr>
                <w:color w:val="000000"/>
                <w:spacing w:val="0"/>
                <w:w w:val="100"/>
                <w:position w:val="0"/>
              </w:rPr>
              <w:t>传感器性 能水平，大大降低传感器的 生产成本，同时提高产品一 致性。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为消除</w:t>
            </w:r>
            <w:r>
              <w:rPr>
                <w:rFonts w:ascii="Times New Roman" w:eastAsia="Times New Roman" w:hAnsi="Times New Roman" w:cs="Times New Roman"/>
                <w:color w:val="000000"/>
                <w:spacing w:val="0"/>
                <w:w w:val="100"/>
                <w:position w:val="0"/>
                <w:sz w:val="18"/>
                <w:szCs w:val="18"/>
              </w:rPr>
              <w:t>UHF</w:t>
            </w:r>
            <w:r>
              <w:rPr>
                <w:color w:val="000000"/>
                <w:spacing w:val="0"/>
                <w:w w:val="100"/>
                <w:position w:val="0"/>
              </w:rPr>
              <w:t>传感器的技术 壁垒，降低生产成本，提高 公司局部放电产品的技术水 平，同时此技术也用于不断 开展的智能传感器、泛在电 力物联网等场景，为公司长 期发展的产品线做好技术储 备。</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OLTC</w:t>
            </w:r>
            <w:r>
              <w:rPr>
                <w:color w:val="000000"/>
                <w:spacing w:val="0"/>
                <w:w w:val="100"/>
                <w:position w:val="0"/>
              </w:rPr>
              <w:t>检测分析新 技术研究及应用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为进一步适应现场工况 和</w:t>
            </w:r>
            <w:r>
              <w:rPr>
                <w:rFonts w:ascii="Times New Roman" w:eastAsia="Times New Roman" w:hAnsi="Times New Roman" w:cs="Times New Roman"/>
                <w:color w:val="000000"/>
                <w:spacing w:val="0"/>
                <w:w w:val="100"/>
                <w:position w:val="0"/>
                <w:sz w:val="18"/>
                <w:szCs w:val="18"/>
              </w:rPr>
              <w:t>OLTC</w:t>
            </w:r>
            <w:r>
              <w:rPr>
                <w:color w:val="000000"/>
                <w:spacing w:val="0"/>
                <w:w w:val="100"/>
                <w:position w:val="0"/>
              </w:rPr>
              <w:t xml:space="preserve">设备类型应用 需求的多样化，更好匹 配不断发展的市场需 求，进行轻量化、智能 档位感知、时频域多元 分析、关联报警策略等 研究，全面提升公司在 </w:t>
            </w:r>
            <w:r>
              <w:rPr>
                <w:rFonts w:ascii="Times New Roman" w:eastAsia="Times New Roman" w:hAnsi="Times New Roman" w:cs="Times New Roman"/>
                <w:color w:val="000000"/>
                <w:spacing w:val="0"/>
                <w:w w:val="100"/>
                <w:position w:val="0"/>
                <w:sz w:val="18"/>
                <w:szCs w:val="18"/>
              </w:rPr>
              <w:t>OLTC</w:t>
            </w:r>
            <w:r>
              <w:rPr>
                <w:color w:val="000000"/>
                <w:spacing w:val="0"/>
                <w:w w:val="100"/>
                <w:position w:val="0"/>
              </w:rPr>
              <w:t>检测领域技术领 先性。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完成系统轻量化集 成化的研究与开发， 完成状态信号数据 的分析算法研究并 开发出配套算法应 用程序，完成关联报 警策略的实现。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系统可准确掌握</w:t>
            </w:r>
            <w:r>
              <w:rPr>
                <w:rFonts w:ascii="Times New Roman" w:eastAsia="Times New Roman" w:hAnsi="Times New Roman" w:cs="Times New Roman"/>
                <w:color w:val="000000"/>
                <w:spacing w:val="0"/>
                <w:w w:val="100"/>
                <w:position w:val="0"/>
                <w:sz w:val="18"/>
                <w:szCs w:val="18"/>
              </w:rPr>
              <w:t>OLTC</w:t>
            </w:r>
            <w:r>
              <w:rPr>
                <w:color w:val="000000"/>
                <w:spacing w:val="0"/>
                <w:w w:val="100"/>
                <w:position w:val="0"/>
              </w:rPr>
              <w:t>设备 的运行状态，及时发现故障 隐患，为科学、规范、合理 安排</w:t>
            </w:r>
            <w:r>
              <w:rPr>
                <w:rFonts w:ascii="Times New Roman" w:eastAsia="Times New Roman" w:hAnsi="Times New Roman" w:cs="Times New Roman"/>
                <w:color w:val="000000"/>
                <w:spacing w:val="0"/>
                <w:w w:val="100"/>
                <w:position w:val="0"/>
                <w:sz w:val="18"/>
                <w:szCs w:val="18"/>
              </w:rPr>
              <w:t>OLTC</w:t>
            </w:r>
            <w:r>
              <w:rPr>
                <w:color w:val="000000"/>
                <w:spacing w:val="0"/>
                <w:w w:val="100"/>
                <w:position w:val="0"/>
              </w:rPr>
              <w:t>设备检修工作提 供依据，节约维护费用，减 少人员投入，提高电网供电 可靠性。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通过不断研究，持续提升产 品的技术性能，进一步巩固 市场竞争优势，以现场应用 和用户需求为导向，不断拓 展该领域系列产品的市场前 景。</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电力设备声波定位 仪系统开发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为了解决常规检测方法 很难发现异常声源的位 置和声场分布情况，需 要开发一款多功能新型 定位检测分析诊断系 统，同时进行多参量状 态测试，及时发现故障 隐患，降低事故的发生 率，减少检修人员工作 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完成麦克风阵列布 局和仿真，完成多路 信号的采集和处理， 完成整个硬件架构 和工业设计，并初步 完成配套应用软件 的开发。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完成项目开发方案的内容， 包括麦克风阵列布局及仿 真、信号调理电路、</w:t>
            </w:r>
            <w:r>
              <w:rPr>
                <w:rFonts w:ascii="Times New Roman" w:eastAsia="Times New Roman" w:hAnsi="Times New Roman" w:cs="Times New Roman"/>
                <w:color w:val="000000"/>
                <w:spacing w:val="0"/>
                <w:w w:val="100"/>
                <w:position w:val="0"/>
                <w:sz w:val="18"/>
                <w:szCs w:val="18"/>
              </w:rPr>
              <w:t xml:space="preserve">FPGA </w:t>
            </w:r>
            <w:r>
              <w:rPr>
                <w:color w:val="000000"/>
                <w:spacing w:val="0"/>
                <w:w w:val="100"/>
                <w:position w:val="0"/>
              </w:rPr>
              <w:t>数据采集电路、核心板、测 温模块软件融合，应用软件 及后台数据管理软件等开发 和应用。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该产品是一款多功能的新型 电力声波定位设备，功能丰 富，性能优良，操作简单， 能有效解决电力系统遇到复 杂问题，进一步提高产品核 心竞争力，市场前景广阔。</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高分辨率高精度测 温设备关键技术开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提升系统平台，满足设 备可拓展智能化需求， 实现高分辨率不同像素 红外可兼容使用的平 台。优化测温模型，满 足各种运用场景下高精 度、高稳定测温，同时 优化结构、外观设计， 更适应现场的操作使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完成电路图、结构 图、软件源代码的输 出，按照开发指标完 成产品的测试验证， 满足性能要求并进 入投产阶段。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建立高精度高稳定性的红外 测温模型，达到低功耗，低 噪声，符合用户体验的多功 能软件平台和结构。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一方面有利于公司在高精</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度、智能化等方面趋势技术 的储备，占领行业的领先地 位，另一方面可以继续为公 司创造可观的经济效益。</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电蓄热调峰及集中</w:t>
            </w:r>
          </w:p>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供热应急热源</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330KV</w:t>
            </w:r>
            <w:r>
              <w:rPr>
                <w:color w:val="000000"/>
                <w:spacing w:val="0"/>
                <w:w w:val="100"/>
                <w:position w:val="0"/>
              </w:rPr>
              <w:t>供热用大容</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量分裂变压器，型 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拓展电厂用超高压产品 类型，在大容量分裂变 压器积极突破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产品设计完成，样机 生产完成送至用户 进行送电试运行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取得超高压大容量电力变业 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西北具备独特的</w:t>
            </w:r>
            <w:r>
              <w:rPr>
                <w:rFonts w:ascii="Times New Roman" w:eastAsia="Times New Roman" w:hAnsi="Times New Roman" w:cs="Times New Roman"/>
                <w:color w:val="000000"/>
                <w:spacing w:val="0"/>
                <w:w w:val="100"/>
                <w:position w:val="0"/>
                <w:sz w:val="18"/>
                <w:szCs w:val="18"/>
              </w:rPr>
              <w:t>330KV</w:t>
            </w:r>
            <w:r>
              <w:rPr>
                <w:color w:val="000000"/>
                <w:spacing w:val="0"/>
                <w:w w:val="100"/>
                <w:position w:val="0"/>
              </w:rPr>
              <w:t>输电 网，此类超高压大容量产品 的研制可提升整体高压产品 的研发制作水平，为拓展超 高压电力市场提供基础储</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SFPFZ11-310000/3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29" w:lineRule="exact"/>
              <w:ind w:left="0" w:right="0" w:firstLine="0"/>
              <w:jc w:val="left"/>
            </w:pPr>
            <w:r>
              <w:rPr>
                <w:color w:val="000000"/>
                <w:spacing w:val="0"/>
                <w:w w:val="100"/>
                <w:position w:val="0"/>
              </w:rPr>
              <w:t>大容量车载移动变 电站用主变压器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型号</w:t>
            </w:r>
          </w:p>
          <w:p>
            <w:pPr>
              <w:pStyle w:val="Style2"/>
              <w:keepNext w:val="0"/>
              <w:keepLines w:val="0"/>
              <w:widowControl w:val="0"/>
              <w:shd w:val="clear" w:color="auto" w:fill="auto"/>
              <w:bidi w:val="0"/>
              <w:spacing w:before="0" w:after="0" w:line="382"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SFSZ11-40000/110</w:t>
            </w:r>
          </w:p>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3536</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拓展应急车载移动变电 站用主变压器份额，对 移动变压器的特殊设计 进行技术储备与研究。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产品已供货，待一年 后运行报告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取得大容量车载移动变电站 用主变压器业绩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大容量车载变电站用主变压 器受运输车辆尺寸限制，内 部结构均与常规不同，研发 此类产品可有效争取车载移 动变电站用主变压器市场份 额。</w:t>
            </w:r>
          </w:p>
        </w:tc>
      </w:tr>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调相机用变压器</w:t>
            </w:r>
            <w:r>
              <w:rPr>
                <w:color w:val="000000"/>
                <w:spacing w:val="0"/>
                <w:w w:val="100"/>
                <w:position w:val="0"/>
                <w:sz w:val="18"/>
                <w:szCs w:val="18"/>
              </w:rPr>
              <w:t>，</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 xml:space="preserve">型号 </w:t>
            </w:r>
            <w:r>
              <w:rPr>
                <w:rFonts w:ascii="Times New Roman" w:eastAsia="Times New Roman" w:hAnsi="Times New Roman" w:cs="Times New Roman"/>
                <w:color w:val="000000"/>
                <w:spacing w:val="0"/>
                <w:w w:val="100"/>
                <w:position w:val="0"/>
                <w:sz w:val="18"/>
                <w:szCs w:val="18"/>
              </w:rPr>
              <w:t>S11-60000/35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990B</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电网中直流大规模有功 输送，必须匹配大规模 动态无功，随着电网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强 直弱交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问题的日渐突 出，加快推进大型调相 机在特高压直流工程送 端和受端电网的部署进 程，对改善特高压交直 流混联电网的电压稳定 和动态无功支撑能力具 有重要意义。而直接用 于这种调相机的变压器 也将随着这种动态无功 的调相机而被广泛应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产品已出厂，待运行 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完成合同产品的生产取得相 关业绩证明材料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填补了公司在调相机用变压 器方面的空白，随着这种动 态无功的调相机在电力系统 的兴起，今后公司在超大型 发电领域调相机变压器将被 广泛应用。</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瓜州北大桥</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SFSZ18-240000/33</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4002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拓展超高压电力产品类 型，在大容量三绕组变 压器的研发、制造突破。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产品已送电试运行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完成合同产品的生产取得相 关业绩证明材料。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产品为</w:t>
            </w:r>
            <w:r>
              <w:rPr>
                <w:rFonts w:ascii="Times New Roman" w:eastAsia="Times New Roman" w:hAnsi="Times New Roman" w:cs="Times New Roman"/>
                <w:color w:val="000000"/>
                <w:spacing w:val="0"/>
                <w:w w:val="100"/>
                <w:position w:val="0"/>
                <w:sz w:val="18"/>
                <w:szCs w:val="18"/>
              </w:rPr>
              <w:t>330KV</w:t>
            </w:r>
            <w:r>
              <w:rPr>
                <w:color w:val="000000"/>
                <w:spacing w:val="0"/>
                <w:w w:val="100"/>
                <w:position w:val="0"/>
              </w:rPr>
              <w:t>电力变压器， 补充高电压等级大容量业 绩。</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新型节能立体卷铁 芯系列产品（新型 能效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级、</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新能效等级标准</w:t>
            </w:r>
          </w:p>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GB20052-2020 </w:t>
            </w:r>
            <w:r>
              <w:rPr>
                <w:color w:val="000000"/>
                <w:spacing w:val="0"/>
                <w:w w:val="100"/>
                <w:position w:val="0"/>
              </w:rPr>
              <w:t>已颁布， 积极响应国家政策大力 推广节能输配电产品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油变</w:t>
            </w:r>
            <w:r>
              <w:rPr>
                <w:rFonts w:ascii="Times New Roman" w:eastAsia="Times New Roman" w:hAnsi="Times New Roman" w:cs="Times New Roman"/>
                <w:color w:val="000000"/>
                <w:spacing w:val="0"/>
                <w:w w:val="100"/>
                <w:position w:val="0"/>
                <w:sz w:val="18"/>
                <w:szCs w:val="18"/>
              </w:rPr>
              <w:t>10KV</w:t>
            </w:r>
            <w:r>
              <w:rPr>
                <w:color w:val="000000"/>
                <w:spacing w:val="0"/>
                <w:w w:val="100"/>
                <w:position w:val="0"/>
              </w:rPr>
              <w:t>立体卷铁 芯配电变压器</w:t>
            </w:r>
            <w:r>
              <w:rPr>
                <w:rFonts w:ascii="Times New Roman" w:eastAsia="Times New Roman" w:hAnsi="Times New Roman" w:cs="Times New Roman"/>
                <w:color w:val="000000"/>
                <w:spacing w:val="0"/>
                <w:w w:val="100"/>
                <w:position w:val="0"/>
                <w:sz w:val="18"/>
                <w:szCs w:val="18"/>
              </w:rPr>
              <w:t xml:space="preserve">NX2 </w:t>
            </w:r>
            <w:r>
              <w:rPr>
                <w:color w:val="000000"/>
                <w:spacing w:val="0"/>
                <w:w w:val="100"/>
                <w:position w:val="0"/>
              </w:rPr>
              <w:t xml:space="preserve">级已设计完成；干变 </w:t>
            </w:r>
            <w:r>
              <w:rPr>
                <w:rFonts w:ascii="Times New Roman" w:eastAsia="Times New Roman" w:hAnsi="Times New Roman" w:cs="Times New Roman"/>
                <w:color w:val="000000"/>
                <w:spacing w:val="0"/>
                <w:w w:val="100"/>
                <w:position w:val="0"/>
                <w:sz w:val="18"/>
                <w:szCs w:val="18"/>
              </w:rPr>
              <w:t>10KV</w:t>
            </w:r>
            <w:r>
              <w:rPr>
                <w:color w:val="000000"/>
                <w:spacing w:val="0"/>
                <w:w w:val="100"/>
                <w:position w:val="0"/>
              </w:rPr>
              <w:t xml:space="preserve">立体卷铁芯 </w:t>
            </w:r>
            <w:r>
              <w:rPr>
                <w:rFonts w:ascii="Times New Roman" w:eastAsia="Times New Roman" w:hAnsi="Times New Roman" w:cs="Times New Roman"/>
                <w:color w:val="000000"/>
                <w:spacing w:val="0"/>
                <w:w w:val="100"/>
                <w:position w:val="0"/>
                <w:sz w:val="18"/>
                <w:szCs w:val="18"/>
              </w:rPr>
              <w:t>NX2</w:t>
            </w:r>
            <w:r>
              <w:rPr>
                <w:color w:val="000000"/>
                <w:spacing w:val="0"/>
                <w:w w:val="100"/>
                <w:position w:val="0"/>
              </w:rPr>
              <w:t>级产品研发已 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系列产品设计完，积极推广 </w:t>
            </w:r>
            <w:r>
              <w:rPr>
                <w:rFonts w:ascii="Times New Roman" w:eastAsia="Times New Roman" w:hAnsi="Times New Roman" w:cs="Times New Roman"/>
                <w:color w:val="000000"/>
                <w:spacing w:val="0"/>
                <w:w w:val="100"/>
                <w:position w:val="0"/>
                <w:sz w:val="18"/>
                <w:szCs w:val="18"/>
              </w:rPr>
              <w:t>NX1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NX2</w:t>
            </w:r>
            <w:r>
              <w:rPr>
                <w:color w:val="000000"/>
                <w:spacing w:val="0"/>
                <w:w w:val="100"/>
                <w:position w:val="0"/>
              </w:rPr>
              <w:t>两个能效等级配 电产品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GB 20052-2020 </w:t>
            </w:r>
            <w:r>
              <w:rPr>
                <w:color w:val="000000"/>
                <w:spacing w:val="0"/>
                <w:w w:val="100"/>
                <w:position w:val="0"/>
              </w:rPr>
              <w:t xml:space="preserve">标准在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号以后全面强制执 行，产品更新换代为新能效 标准等级，原有的旧型号产 品设计制造已不能满足政 策，提前布局研发可适应新 的市场机遇。</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牵引变压器全寿命 周期绿色制造技术 开发中课题二牵引 变压器天然脂绝缘 油应用技术研究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响应国家绿色节能号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召，扩展牵引变新市场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产品样机已完成，以 完成第三方试验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完成第三方试验，进行鉴定 后可进入节能绿色牵引变市 场领域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铁路市场对节能卷铁芯牵引 变需求越来越多，此产品研 发可有效增加牵引变类型及 针对节能环保牵引市场的开 拓。</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耦牵引变压器研制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针对自耦牵引变压器损 耗和污染问题，开展符 合国家产业政策的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 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牵引变压器新产品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完成样机结构设计 开发，正在进行样机 试制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完成第三方试验，进行鉴定 后可进入节能绿色牵引变市 场领域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结合国家工信部及发改委对 铁路牵引变电设备发展规 划，开展植物油自耦牵引变 压器新产品，保持公司牵引</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变压器市场核心竞争力，把 握市场机遇。</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RD001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台区智能融合终端</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2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项目结案</w:t>
            </w:r>
          </w:p>
          <w:p>
            <w:pPr>
              <w:pStyle w:val="Style2"/>
              <w:keepNext w:val="0"/>
              <w:keepLines w:val="0"/>
              <w:widowControl w:val="0"/>
              <w:shd w:val="clear" w:color="auto" w:fill="auto"/>
              <w:tabs>
                <w:tab w:pos="298"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已经获得国网电 科院和中国电科院 测试报告</w:t>
            </w:r>
          </w:p>
          <w:p>
            <w:pPr>
              <w:pStyle w:val="Style2"/>
              <w:keepNext w:val="0"/>
              <w:keepLines w:val="0"/>
              <w:widowControl w:val="0"/>
              <w:shd w:val="clear" w:color="auto" w:fill="auto"/>
              <w:tabs>
                <w:tab w:pos="259"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 标重庆公司项目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完善配网产品线，拓展市场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紧跟市场需求，完善自动化 终端的产品线。争取在各地 区投标中能取得一定的市场 份额。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RD002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智能环网柜</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项目结案</w:t>
            </w:r>
          </w:p>
          <w:p>
            <w:pPr>
              <w:pStyle w:val="Style2"/>
              <w:keepNext w:val="0"/>
              <w:keepLines w:val="0"/>
              <w:widowControl w:val="0"/>
              <w:shd w:val="clear" w:color="auto" w:fill="auto"/>
              <w:tabs>
                <w:tab w:pos="298"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已经获得国网电 科院样机测试报告</w:t>
            </w:r>
          </w:p>
          <w:p>
            <w:pPr>
              <w:pStyle w:val="Style2"/>
              <w:keepNext w:val="0"/>
              <w:keepLines w:val="0"/>
              <w:widowControl w:val="0"/>
              <w:shd w:val="clear" w:color="auto" w:fill="auto"/>
              <w:tabs>
                <w:tab w:pos="254"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月中标</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江苏省网招标合同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完善配网产品线，满足国网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南网配网客户对一二次融合 产品的需求。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发挥公司在配网自动化产品 优势，延伸至配网成套产品， 支持公司的持续发展。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RD003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智能柱上开关</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项目结案</w:t>
            </w:r>
          </w:p>
          <w:p>
            <w:pPr>
              <w:pStyle w:val="Style2"/>
              <w:keepNext w:val="0"/>
              <w:keepLines w:val="0"/>
              <w:widowControl w:val="0"/>
              <w:shd w:val="clear" w:color="auto" w:fill="auto"/>
              <w:tabs>
                <w:tab w:pos="298"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已经获得国网电 科院样机测试报告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完善配网产品线，满足国网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南网配网客户对一二次融合 产品的需求。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发挥公司在配网自动化产品 的基础，延伸至一次成套产 品，支持公司的持续发展。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RD004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高精度标准电能表</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项目结案</w:t>
            </w:r>
          </w:p>
          <w:p>
            <w:pPr>
              <w:pStyle w:val="Style2"/>
              <w:keepNext w:val="0"/>
              <w:keepLines w:val="0"/>
              <w:widowControl w:val="0"/>
              <w:shd w:val="clear" w:color="auto" w:fill="auto"/>
              <w:tabs>
                <w:tab w:pos="298"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已经通过浙江省 计量科学院测试报 告</w:t>
            </w:r>
          </w:p>
          <w:p>
            <w:pPr>
              <w:pStyle w:val="Style2"/>
              <w:keepNext w:val="0"/>
              <w:keepLines w:val="0"/>
              <w:widowControl w:val="0"/>
              <w:shd w:val="clear" w:color="auto" w:fill="auto"/>
              <w:tabs>
                <w:tab w:pos="269"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产品已经小批量 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研发一款高精度标准表电能 表，以满足后续新标准下高 等级检定装置标准表配置需 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提升测量准确度，提高测量 稳定性，各项性能达到</w:t>
            </w:r>
            <w:r>
              <w:rPr>
                <w:rFonts w:ascii="Times New Roman" w:eastAsia="Times New Roman" w:hAnsi="Times New Roman" w:cs="Times New Roman"/>
                <w:color w:val="000000"/>
                <w:spacing w:val="0"/>
                <w:w w:val="100"/>
                <w:position w:val="0"/>
                <w:sz w:val="18"/>
                <w:szCs w:val="18"/>
              </w:rPr>
              <w:t xml:space="preserve">0.01 </w:t>
            </w:r>
            <w:r>
              <w:rPr>
                <w:color w:val="000000"/>
                <w:spacing w:val="0"/>
                <w:w w:val="100"/>
                <w:position w:val="0"/>
              </w:rPr>
              <w:t>级标准表指标要求，满足后 续新标准下高等级检定装置 标准表配置需求。</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RD005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智能变送装置测试系统</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项目结案</w:t>
            </w:r>
          </w:p>
          <w:p>
            <w:pPr>
              <w:pStyle w:val="Style2"/>
              <w:keepNext w:val="0"/>
              <w:keepLines w:val="0"/>
              <w:widowControl w:val="0"/>
              <w:shd w:val="clear" w:color="auto" w:fill="auto"/>
              <w:tabs>
                <w:tab w:pos="254"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样机已经完成测 试</w:t>
            </w:r>
          </w:p>
          <w:p>
            <w:pPr>
              <w:pStyle w:val="Style2"/>
              <w:keepNext w:val="0"/>
              <w:keepLines w:val="0"/>
              <w:widowControl w:val="0"/>
              <w:shd w:val="clear" w:color="auto" w:fill="auto"/>
              <w:tabs>
                <w:tab w:pos="250"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样机已经转设备 在公司内部使用</w:t>
            </w:r>
          </w:p>
          <w:p>
            <w:pPr>
              <w:pStyle w:val="Style2"/>
              <w:keepNext w:val="0"/>
              <w:keepLines w:val="0"/>
              <w:widowControl w:val="0"/>
              <w:shd w:val="clear" w:color="auto" w:fill="auto"/>
              <w:tabs>
                <w:tab w:pos="288"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因为市场变化， 此项目后续不再进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研发一款智能变送装置测试 系统，满足客户对传统模拟 式变送器和智能数字式变送 装置的稳态和暂态性能测 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可满足智能变送器工频输入 量基本误差试验、多路输出 的模拟量性能试验，功能测 试包括</w:t>
            </w:r>
            <w:r>
              <w:rPr>
                <w:rFonts w:ascii="Times New Roman" w:eastAsia="Times New Roman" w:hAnsi="Times New Roman" w:cs="Times New Roman"/>
                <w:color w:val="000000"/>
                <w:spacing w:val="0"/>
                <w:w w:val="100"/>
                <w:position w:val="0"/>
                <w:sz w:val="18"/>
                <w:szCs w:val="18"/>
              </w:rPr>
              <w:t>PT</w:t>
            </w:r>
            <w:r>
              <w:rPr>
                <w:color w:val="000000"/>
                <w:spacing w:val="0"/>
                <w:w w:val="100"/>
                <w:position w:val="0"/>
              </w:rPr>
              <w:t xml:space="preserve">断线告警及切换、 </w:t>
            </w:r>
            <w:r>
              <w:rPr>
                <w:rFonts w:ascii="Times New Roman" w:eastAsia="Times New Roman" w:hAnsi="Times New Roman" w:cs="Times New Roman"/>
                <w:color w:val="000000"/>
                <w:spacing w:val="0"/>
                <w:w w:val="100"/>
                <w:position w:val="0"/>
                <w:sz w:val="18"/>
                <w:szCs w:val="18"/>
              </w:rPr>
              <w:t>CT</w:t>
            </w:r>
            <w:r>
              <w:rPr>
                <w:color w:val="000000"/>
                <w:spacing w:val="0"/>
                <w:w w:val="100"/>
                <w:position w:val="0"/>
              </w:rPr>
              <w:t>断线告警及切换、故障录 波等，系统整合试验方案、 提高测试效率。</w:t>
            </w:r>
          </w:p>
        </w:tc>
      </w:tr>
      <w:tr>
        <w:trPr>
          <w:trHeight w:val="384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RD006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满足</w:t>
            </w:r>
            <w:r>
              <w:rPr>
                <w:rFonts w:ascii="Times New Roman" w:eastAsia="Times New Roman" w:hAnsi="Times New Roman" w:cs="Times New Roman"/>
                <w:color w:val="000000"/>
                <w:spacing w:val="0"/>
                <w:w w:val="100"/>
                <w:position w:val="0"/>
                <w:sz w:val="18"/>
                <w:szCs w:val="18"/>
              </w:rPr>
              <w:t>R46</w:t>
            </w:r>
            <w:r>
              <w:rPr>
                <w:color w:val="000000"/>
                <w:spacing w:val="0"/>
                <w:w w:val="100"/>
                <w:position w:val="0"/>
              </w:rPr>
              <w:t>标准的智能高 精度电能表检定系统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项目在继续进行 中</w:t>
            </w:r>
          </w:p>
          <w:p>
            <w:pPr>
              <w:pStyle w:val="Style2"/>
              <w:keepNext w:val="0"/>
              <w:keepLines w:val="0"/>
              <w:widowControl w:val="0"/>
              <w:shd w:val="clear" w:color="auto" w:fill="auto"/>
              <w:tabs>
                <w:tab w:pos="283"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单三相样机已经 活动浙江省计量院 测试报告</w:t>
            </w:r>
          </w:p>
          <w:p>
            <w:pPr>
              <w:pStyle w:val="Style2"/>
              <w:keepNext w:val="0"/>
              <w:keepLines w:val="0"/>
              <w:widowControl w:val="0"/>
              <w:shd w:val="clear" w:color="auto" w:fill="auto"/>
              <w:tabs>
                <w:tab w:pos="264" w:val="left"/>
              </w:tabs>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等级三相标 准表已经活动中国 计量院测试报告</w:t>
            </w:r>
          </w:p>
          <w:p>
            <w:pPr>
              <w:pStyle w:val="Style2"/>
              <w:keepNext w:val="0"/>
              <w:keepLines w:val="0"/>
              <w:widowControl w:val="0"/>
              <w:shd w:val="clear" w:color="auto" w:fill="auto"/>
              <w:tabs>
                <w:tab w:pos="278" w:val="left"/>
              </w:tabs>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项目论文和专利 在进行中</w:t>
            </w:r>
          </w:p>
          <w:p>
            <w:pPr>
              <w:pStyle w:val="Style2"/>
              <w:keepNext w:val="0"/>
              <w:keepLines w:val="0"/>
              <w:widowControl w:val="0"/>
              <w:shd w:val="clear" w:color="auto" w:fill="auto"/>
              <w:tabs>
                <w:tab w:pos="269" w:val="left"/>
              </w:tabs>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后续要继续完善 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实现对新标准的电能表进行 初始固有误差实现对新标准 的电能表进行初始固有误差 试验、潜动试验、起动试验 等，特别是电能表小电流和 谐波试验项目测试等，满足 客户新版标准下的电能表检 测要求。</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满足国网电力公司对新的多 芯</w:t>
            </w:r>
            <w:r>
              <w:rPr>
                <w:rFonts w:ascii="Times New Roman" w:eastAsia="Times New Roman" w:hAnsi="Times New Roman" w:cs="Times New Roman"/>
                <w:color w:val="000000"/>
                <w:spacing w:val="0"/>
                <w:w w:val="100"/>
                <w:position w:val="0"/>
                <w:sz w:val="18"/>
                <w:szCs w:val="18"/>
              </w:rPr>
              <w:t>R46</w:t>
            </w:r>
            <w:r>
              <w:rPr>
                <w:color w:val="000000"/>
                <w:spacing w:val="0"/>
                <w:w w:val="100"/>
                <w:position w:val="0"/>
              </w:rPr>
              <w:t>电能表规范下对性能 测试和试验要求，扩展公司 电测装置的业务范围，支持 公司发展。</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RD007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模组化培训装置</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项目结案</w:t>
            </w:r>
          </w:p>
          <w:p>
            <w:pPr>
              <w:pStyle w:val="Style2"/>
              <w:keepNext w:val="0"/>
              <w:keepLines w:val="0"/>
              <w:widowControl w:val="0"/>
              <w:shd w:val="clear" w:color="auto" w:fill="auto"/>
              <w:tabs>
                <w:tab w:pos="288"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因为市场变化， 此项目不再继续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实现客户对培训装置的多种 需求，研发一套集合多种用 电技术业务实训功能且组合 方便的模组化实训装置。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完成客户对模组化培训装置 的需求，开拓模组化培训装 置的新领域。</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RD008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能源控制器测试装置</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项目结案</w:t>
            </w:r>
          </w:p>
          <w:p>
            <w:pPr>
              <w:pStyle w:val="Style2"/>
              <w:keepNext w:val="0"/>
              <w:keepLines w:val="0"/>
              <w:widowControl w:val="0"/>
              <w:shd w:val="clear" w:color="auto" w:fill="auto"/>
              <w:tabs>
                <w:tab w:pos="278"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样机完成</w:t>
            </w:r>
          </w:p>
          <w:p>
            <w:pPr>
              <w:pStyle w:val="Style2"/>
              <w:keepNext w:val="0"/>
              <w:keepLines w:val="0"/>
              <w:widowControl w:val="0"/>
              <w:shd w:val="clear" w:color="auto" w:fill="auto"/>
              <w:tabs>
                <w:tab w:pos="26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后续因为市场产 品的技术规范变化， 此项目不再继续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研发一款能源控制器专用测 试装置，满足客户对能源控 制器的检测要求。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实现对能源控制器的整机功 能测试、回路巡检测试和</w:t>
            </w:r>
            <w:r>
              <w:rPr>
                <w:rFonts w:ascii="Times New Roman" w:eastAsia="Times New Roman" w:hAnsi="Times New Roman" w:cs="Times New Roman"/>
                <w:color w:val="000000"/>
                <w:spacing w:val="0"/>
                <w:w w:val="100"/>
                <w:position w:val="0"/>
                <w:sz w:val="18"/>
                <w:szCs w:val="18"/>
              </w:rPr>
              <w:t xml:space="preserve">C </w:t>
            </w:r>
            <w:r>
              <w:rPr>
                <w:color w:val="000000"/>
                <w:spacing w:val="0"/>
                <w:w w:val="100"/>
                <w:position w:val="0"/>
              </w:rPr>
              <w:t>级计量性能测试。满足客户 对能源控制器的检测要求。</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S640I/S384I </w:t>
            </w:r>
            <w:r>
              <w:rPr>
                <w:color w:val="000000"/>
                <w:spacing w:val="0"/>
                <w:w w:val="100"/>
                <w:position w:val="0"/>
              </w:rPr>
              <w:t>工业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在线式测温热像仪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基于市场需求与产品发 展方向，开发在线应用 测温热像仪产品。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完成初样机研制，以 及功能、性能测试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开发出功能完善、技术成熟 稳定的在线应用测温热像仪 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完善产品线，充分满足市场 需求，增加收入与利润增长 点。</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D380</w:t>
            </w:r>
            <w:r>
              <w:rPr>
                <w:color w:val="000000"/>
                <w:spacing w:val="0"/>
                <w:w w:val="100"/>
                <w:position w:val="0"/>
              </w:rPr>
              <w:t>工具式测温 热像仪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基于市场需求与产品发 展方向，开发工具式测 温热像仪产品。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完成样机试制与测 试，目前正在客户试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开发出功能完善、技术成熟 稳定的工具式测温热像仪产 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完善产品线，充分满足市场 需求，增加收入与利润增长 点。</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D660</w:t>
            </w:r>
            <w:r>
              <w:rPr>
                <w:color w:val="000000"/>
                <w:spacing w:val="0"/>
                <w:w w:val="100"/>
                <w:position w:val="0"/>
              </w:rPr>
              <w:t>便携式测温 热像仪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基于市场需求与产品发 展方向，开发高端测温 热像仪产品。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开模版，目前完成初 样机组装并调试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开发出功能完善、技术成熟 稳定的高端测温热像仪产品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完善产品线，充分满足市场 需求，增加收入与利润增长 点。</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D1060</w:t>
            </w:r>
            <w:r>
              <w:rPr>
                <w:color w:val="000000"/>
                <w:spacing w:val="0"/>
                <w:w w:val="100"/>
                <w:position w:val="0"/>
              </w:rPr>
              <w:t>便携式测温 热像仪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基于市场需求与产品发 展方向，开发高端测温 热像仪产品。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开模版，目前完成初 样机组装并调试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开发出功能完善、技术成熟 稳定的高端测温热像仪产品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完善产品线，充分满足市场 需求，增加收入与利润增长 点</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军品一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基于未来军品发展的需 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完成样机试制，待客 户验收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完成产品型号或外贸鉴定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完善产品线，充分满足市场 需求，增加收入与利润增长 点</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军品二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基于未来军品发展的需 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已完成</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套小批量 生产，并已交付客户 验收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完成产品型号或外贸鉴定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完善产品线，充分满足市场 需求，增加收入与利润增长 点</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军品三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基于未来军品发展的需 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完成样机组装，目前 正在调试、试验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完成产品型号或外贸鉴定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完善产品线，充分满足市场 需求，增加收入与利润增长 点</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军品四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基于未来军品发展的需 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已通过客户鉴定，正 式批产，已完成</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套产品交付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完成产品型号或外贸鉴定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完善产品线，充分满足市场 需求，增加收入与利润增长 点</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军品五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基于未来军品发展的需 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完成样机组装，目前 正在调试、试验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完成产品型号或外贸鉴定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完善产品线，充分满足市场 需求，增加收入与利润增长 点</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激励组件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技术能力提升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取得阶段成果，部分 项目已陆续应用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应用于公司项目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提升公司产品的系统集成度 及综合技术指标。</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基于某型号机载平 台的微波收发信道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用户需求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产品已交付用户，与 整机联试中。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完成产品交付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预研项目，预计后续可能有 订单。</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微波宽带直接合成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频率源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用户需求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产品已交付用户，与 整机联试中。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完成产品交付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预研项目，后续订单较多。</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SHGR145</w:t>
            </w:r>
            <w:r>
              <w:rPr>
                <w:color w:val="000000"/>
                <w:spacing w:val="0"/>
                <w:w w:val="100"/>
                <w:position w:val="0"/>
              </w:rPr>
              <w:t>型下混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频模块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技术能力提升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技术研发中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应用于公司项目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提升公司产品的系统集成度 及综合技术指标。</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7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102,690,461.81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98,004,876.14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70,364,673.91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1,069,743.31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7"/>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40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5</w:t>
      </w:r>
      <w:bookmarkEnd w:id="168"/>
      <w:r>
        <w:rPr>
          <w:color w:val="000000"/>
          <w:spacing w:val="0"/>
          <w:w w:val="100"/>
          <w:position w:val="0"/>
        </w:rPr>
        <w:t>、现金流</w:t>
      </w:r>
      <w:bookmarkEnd w:id="166"/>
      <w:bookmarkEnd w:id="167"/>
      <w:bookmarkEnd w:id="16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1,785,545,753.38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1,497,243,794.76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w:t>
            </w:r>
          </w:p>
        </w:tc>
      </w:tr>
    </w:tbl>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1,554,381,020.91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1,164,000,054.61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231,164,732.47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333,243,740.15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357,467,361.55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8,666,981.00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132,109,566.71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171,065,948.33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225,357,794.84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-162,398,967.33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633,018,885.43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1,672,888,101.61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928,912,592.85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1,785,490,746.93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-295,893,707.42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-112,602,645.32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160,143,954.14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58,412,890.38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174.16%</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298" w:val="left"/>
        </w:tabs>
        <w:bidi w:val="0"/>
        <w:spacing w:before="0" w:after="0" w:line="314" w:lineRule="exact"/>
        <w:ind w:left="0" w:right="0" w:firstLine="0"/>
        <w:jc w:val="both"/>
      </w:pPr>
      <w:bookmarkStart w:id="170" w:name="bookmark170"/>
      <w:r>
        <w:rPr>
          <w:rFonts w:ascii="Times New Roman" w:eastAsia="Times New Roman" w:hAnsi="Times New Roman" w:cs="Times New Roman"/>
          <w:color w:val="000000"/>
          <w:spacing w:val="0"/>
          <w:w w:val="100"/>
          <w:position w:val="0"/>
          <w:sz w:val="18"/>
          <w:szCs w:val="18"/>
        </w:rPr>
        <w:t>1</w:t>
      </w:r>
      <w:bookmarkEnd w:id="170"/>
      <w:r>
        <w:rPr>
          <w:color w:val="000000"/>
          <w:spacing w:val="0"/>
          <w:w w:val="100"/>
          <w:position w:val="0"/>
        </w:rPr>
        <w:t>）</w:t>
        <w:tab/>
        <w:t>报告期内，经营活动现金流入较上年同期增加</w:t>
      </w:r>
      <w:r>
        <w:rPr>
          <w:rFonts w:ascii="Times New Roman" w:eastAsia="Times New Roman" w:hAnsi="Times New Roman" w:cs="Times New Roman"/>
          <w:color w:val="000000"/>
          <w:spacing w:val="0"/>
          <w:w w:val="100"/>
          <w:position w:val="0"/>
          <w:sz w:val="18"/>
          <w:szCs w:val="18"/>
        </w:rPr>
        <w:t>28,830.20</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19.26%</w:t>
      </w:r>
      <w:r>
        <w:rPr>
          <w:color w:val="000000"/>
          <w:spacing w:val="0"/>
          <w:w w:val="100"/>
          <w:position w:val="0"/>
        </w:rPr>
        <w:t>。报告期内，销售商品、提供劳务收到的现金 较上年同期增加</w:t>
      </w:r>
      <w:r>
        <w:rPr>
          <w:rFonts w:ascii="Times New Roman" w:eastAsia="Times New Roman" w:hAnsi="Times New Roman" w:cs="Times New Roman"/>
          <w:color w:val="000000"/>
          <w:spacing w:val="0"/>
          <w:w w:val="100"/>
          <w:position w:val="0"/>
          <w:sz w:val="18"/>
          <w:szCs w:val="18"/>
        </w:rPr>
        <w:t>28,072.76</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20.59%</w:t>
      </w:r>
      <w:r>
        <w:rPr>
          <w:color w:val="000000"/>
          <w:spacing w:val="0"/>
          <w:w w:val="100"/>
          <w:position w:val="0"/>
        </w:rPr>
        <w:t>，增加的主要是子公司星波通信、浙江涵普及银川卧龙的回款。子公司星波通 信回款增加主要由于加大了客户的催收力度；银川卧龙回款增加主要由于报告期收到厄瓜多尔项目的回款；子公司浙江涵普 的回款增加主要随着销售额的增加回款相应增加。</w:t>
      </w:r>
    </w:p>
    <w:p>
      <w:pPr>
        <w:pStyle w:val="Style27"/>
        <w:keepNext w:val="0"/>
        <w:keepLines w:val="0"/>
        <w:widowControl w:val="0"/>
        <w:shd w:val="clear" w:color="auto" w:fill="auto"/>
        <w:tabs>
          <w:tab w:pos="308" w:val="left"/>
        </w:tabs>
        <w:bidi w:val="0"/>
        <w:spacing w:before="0" w:after="0" w:line="314" w:lineRule="exact"/>
        <w:ind w:left="0" w:right="0" w:firstLine="0"/>
        <w:jc w:val="both"/>
      </w:pPr>
      <w:bookmarkStart w:id="171" w:name="bookmark171"/>
      <w:r>
        <w:rPr>
          <w:rFonts w:ascii="Times New Roman" w:eastAsia="Times New Roman" w:hAnsi="Times New Roman" w:cs="Times New Roman"/>
          <w:color w:val="000000"/>
          <w:spacing w:val="0"/>
          <w:w w:val="100"/>
          <w:position w:val="0"/>
          <w:sz w:val="18"/>
          <w:szCs w:val="18"/>
        </w:rPr>
        <w:t>2</w:t>
      </w:r>
      <w:bookmarkEnd w:id="171"/>
      <w:r>
        <w:rPr>
          <w:color w:val="000000"/>
          <w:spacing w:val="0"/>
          <w:w w:val="100"/>
          <w:position w:val="0"/>
        </w:rPr>
        <w:t>）</w:t>
        <w:tab/>
        <w:t>报告期内，经营活动现金流出较上年同期增加</w:t>
      </w:r>
      <w:r>
        <w:rPr>
          <w:rFonts w:ascii="Times New Roman" w:eastAsia="Times New Roman" w:hAnsi="Times New Roman" w:cs="Times New Roman"/>
          <w:color w:val="000000"/>
          <w:spacing w:val="0"/>
          <w:w w:val="100"/>
          <w:position w:val="0"/>
          <w:sz w:val="18"/>
          <w:szCs w:val="18"/>
        </w:rPr>
        <w:t>39,038.10</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33.54%</w:t>
      </w:r>
      <w:r>
        <w:rPr>
          <w:color w:val="000000"/>
          <w:spacing w:val="0"/>
          <w:w w:val="100"/>
          <w:position w:val="0"/>
        </w:rPr>
        <w:t>。主要是由于：①购买商品、接受劳务支付的 现金较上年同期增加</w:t>
      </w:r>
      <w:r>
        <w:rPr>
          <w:rFonts w:ascii="Times New Roman" w:eastAsia="Times New Roman" w:hAnsi="Times New Roman" w:cs="Times New Roman"/>
          <w:color w:val="000000"/>
          <w:spacing w:val="0"/>
          <w:w w:val="100"/>
          <w:position w:val="0"/>
          <w:sz w:val="18"/>
          <w:szCs w:val="18"/>
        </w:rPr>
        <w:t>24,645.57</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34.76%</w:t>
      </w:r>
      <w:r>
        <w:rPr>
          <w:color w:val="000000"/>
          <w:spacing w:val="0"/>
          <w:w w:val="100"/>
          <w:position w:val="0"/>
        </w:rPr>
        <w:t>。报告期内公司以应收票据背书支付的货款较上年同减少，同时预付了部 分厄瓜多尔项目的采购。②报告期内支付给职工以及为职工支付的现金较上年同期增加了</w:t>
      </w:r>
      <w:r>
        <w:rPr>
          <w:rFonts w:ascii="Times New Roman" w:eastAsia="Times New Roman" w:hAnsi="Times New Roman" w:cs="Times New Roman"/>
          <w:color w:val="000000"/>
          <w:spacing w:val="0"/>
          <w:w w:val="100"/>
          <w:position w:val="0"/>
          <w:sz w:val="18"/>
          <w:szCs w:val="18"/>
        </w:rPr>
        <w:t>4,761.9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26.38%</w:t>
      </w:r>
      <w:r>
        <w:rPr>
          <w:color w:val="000000"/>
          <w:spacing w:val="0"/>
          <w:w w:val="100"/>
          <w:position w:val="0"/>
        </w:rPr>
        <w:t>，随着 调薪及人员的增加，支付给职工以及为职工支付的现金增加。③报告期内，支付的各项税费较上年同期减少</w:t>
      </w:r>
      <w:r>
        <w:rPr>
          <w:rFonts w:ascii="Times New Roman" w:eastAsia="Times New Roman" w:hAnsi="Times New Roman" w:cs="Times New Roman"/>
          <w:color w:val="000000"/>
          <w:spacing w:val="0"/>
          <w:w w:val="100"/>
          <w:position w:val="0"/>
          <w:sz w:val="18"/>
          <w:szCs w:val="18"/>
        </w:rPr>
        <w:t>5,213.48</w:t>
      </w:r>
      <w:r>
        <w:rPr>
          <w:color w:val="000000"/>
          <w:spacing w:val="0"/>
          <w:w w:val="100"/>
          <w:position w:val="0"/>
        </w:rPr>
        <w:t>万元， 减少的主要是缴纳的增值税和所得税。缴纳的增值税减少主要是由于营业收入以及综合毛利率的下降所致；缴纳的所得税较 上年同期减少主要是经营业绩下滑所致。④报告期，支付其他与经营活动有关的现金较上年同期增加</w:t>
      </w:r>
      <w:r>
        <w:rPr>
          <w:rFonts w:ascii="Times New Roman" w:eastAsia="Times New Roman" w:hAnsi="Times New Roman" w:cs="Times New Roman"/>
          <w:color w:val="000000"/>
          <w:spacing w:val="0"/>
          <w:w w:val="100"/>
          <w:position w:val="0"/>
          <w:sz w:val="18"/>
          <w:szCs w:val="18"/>
        </w:rPr>
        <w:t>14,844.10</w:t>
      </w:r>
      <w:r>
        <w:rPr>
          <w:color w:val="000000"/>
          <w:spacing w:val="0"/>
          <w:w w:val="100"/>
          <w:position w:val="0"/>
        </w:rPr>
        <w:t>万元，增加的 主要是付现费用及为厄瓜多尔项目支付的保函保证金。</w:t>
      </w:r>
    </w:p>
    <w:p>
      <w:pPr>
        <w:pStyle w:val="Style27"/>
        <w:keepNext w:val="0"/>
        <w:keepLines w:val="0"/>
        <w:widowControl w:val="0"/>
        <w:shd w:val="clear" w:color="auto" w:fill="auto"/>
        <w:tabs>
          <w:tab w:pos="308" w:val="left"/>
        </w:tabs>
        <w:bidi w:val="0"/>
        <w:spacing w:before="0" w:after="0" w:line="314" w:lineRule="exact"/>
        <w:ind w:left="0" w:right="0" w:firstLine="0"/>
        <w:jc w:val="both"/>
      </w:pPr>
      <w:bookmarkStart w:id="172" w:name="bookmark172"/>
      <w:r>
        <w:rPr>
          <w:rFonts w:ascii="Times New Roman" w:eastAsia="Times New Roman" w:hAnsi="Times New Roman" w:cs="Times New Roman"/>
          <w:color w:val="000000"/>
          <w:spacing w:val="0"/>
          <w:w w:val="100"/>
          <w:position w:val="0"/>
          <w:sz w:val="18"/>
          <w:szCs w:val="18"/>
        </w:rPr>
        <w:t>3</w:t>
      </w:r>
      <w:bookmarkEnd w:id="17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报告期内，投资活动现金流入较上年同期增加</w:t>
      </w:r>
      <w:r>
        <w:rPr>
          <w:rFonts w:ascii="Times New Roman" w:eastAsia="Times New Roman" w:hAnsi="Times New Roman" w:cs="Times New Roman"/>
          <w:color w:val="000000"/>
          <w:spacing w:val="0"/>
          <w:w w:val="100"/>
          <w:position w:val="0"/>
          <w:sz w:val="18"/>
          <w:szCs w:val="18"/>
        </w:rPr>
        <w:t>34,880.04</w:t>
      </w:r>
      <w:r>
        <w:rPr>
          <w:color w:val="000000"/>
          <w:spacing w:val="0"/>
          <w:w w:val="100"/>
          <w:position w:val="0"/>
        </w:rPr>
        <w:t>万元，增加的主要是出售孙公司中宁新能源收回股权转让款及建设 投资借款。</w:t>
      </w:r>
    </w:p>
    <w:p>
      <w:pPr>
        <w:pStyle w:val="Style27"/>
        <w:keepNext w:val="0"/>
        <w:keepLines w:val="0"/>
        <w:widowControl w:val="0"/>
        <w:shd w:val="clear" w:color="auto" w:fill="auto"/>
        <w:tabs>
          <w:tab w:pos="289" w:val="left"/>
        </w:tabs>
        <w:bidi w:val="0"/>
        <w:spacing w:before="0" w:after="0" w:line="314" w:lineRule="exact"/>
        <w:ind w:left="0" w:right="0" w:firstLine="0"/>
        <w:jc w:val="both"/>
      </w:pPr>
      <w:bookmarkStart w:id="173" w:name="bookmark173"/>
      <w:r>
        <w:rPr>
          <w:rFonts w:ascii="Times New Roman" w:eastAsia="Times New Roman" w:hAnsi="Times New Roman" w:cs="Times New Roman"/>
          <w:color w:val="000000"/>
          <w:spacing w:val="0"/>
          <w:w w:val="100"/>
          <w:position w:val="0"/>
          <w:sz w:val="18"/>
          <w:szCs w:val="18"/>
        </w:rPr>
        <w:t>4</w:t>
      </w:r>
      <w:bookmarkEnd w:id="17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报告期内，筹资活动的现金流入较上年同期减少</w:t>
      </w:r>
      <w:r>
        <w:rPr>
          <w:rFonts w:ascii="Times New Roman" w:eastAsia="Times New Roman" w:hAnsi="Times New Roman" w:cs="Times New Roman"/>
          <w:color w:val="000000"/>
          <w:spacing w:val="0"/>
          <w:w w:val="100"/>
          <w:position w:val="0"/>
          <w:sz w:val="18"/>
          <w:szCs w:val="18"/>
        </w:rPr>
        <w:t>103,986.92</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62.16%</w:t>
      </w:r>
      <w:r>
        <w:rPr>
          <w:color w:val="000000"/>
          <w:spacing w:val="0"/>
          <w:w w:val="100"/>
          <w:position w:val="0"/>
        </w:rPr>
        <w:t>。主要是取得借款收到的现金较上年同期减 少，减少的主要是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年公开发行可转换公司债券</w:t>
      </w:r>
      <w:r>
        <w:rPr>
          <w:rFonts w:ascii="Times New Roman" w:eastAsia="Times New Roman" w:hAnsi="Times New Roman" w:cs="Times New Roman"/>
          <w:color w:val="000000"/>
          <w:spacing w:val="0"/>
          <w:w w:val="100"/>
          <w:position w:val="0"/>
          <w:sz w:val="18"/>
          <w:szCs w:val="18"/>
        </w:rPr>
        <w:t>57,330.00</w:t>
      </w:r>
      <w:r>
        <w:rPr>
          <w:color w:val="000000"/>
          <w:spacing w:val="0"/>
          <w:w w:val="100"/>
          <w:position w:val="0"/>
        </w:rPr>
        <w:t>万元。</w:t>
      </w:r>
    </w:p>
    <w:p>
      <w:pPr>
        <w:pStyle w:val="Style27"/>
        <w:keepNext w:val="0"/>
        <w:keepLines w:val="0"/>
        <w:widowControl w:val="0"/>
        <w:shd w:val="clear" w:color="auto" w:fill="auto"/>
        <w:tabs>
          <w:tab w:pos="294" w:val="left"/>
        </w:tabs>
        <w:bidi w:val="0"/>
        <w:spacing w:before="0" w:after="0" w:line="314" w:lineRule="exact"/>
        <w:ind w:left="0" w:right="0" w:firstLine="0"/>
        <w:jc w:val="both"/>
      </w:pPr>
      <w:bookmarkStart w:id="174" w:name="bookmark174"/>
      <w:r>
        <w:rPr>
          <w:rFonts w:ascii="Times New Roman" w:eastAsia="Times New Roman" w:hAnsi="Times New Roman" w:cs="Times New Roman"/>
          <w:color w:val="000000"/>
          <w:spacing w:val="0"/>
          <w:w w:val="100"/>
          <w:position w:val="0"/>
          <w:sz w:val="18"/>
          <w:szCs w:val="18"/>
        </w:rPr>
        <w:t>5</w:t>
      </w:r>
      <w:bookmarkEnd w:id="17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报告期内，筹资活动现金流出较上年同期减少</w:t>
      </w:r>
      <w:r>
        <w:rPr>
          <w:rFonts w:ascii="Times New Roman" w:eastAsia="Times New Roman" w:hAnsi="Times New Roman" w:cs="Times New Roman"/>
          <w:color w:val="000000"/>
          <w:spacing w:val="0"/>
          <w:w w:val="100"/>
          <w:position w:val="0"/>
          <w:sz w:val="18"/>
          <w:szCs w:val="18"/>
        </w:rPr>
        <w:t>85,657.8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47.97%</w:t>
      </w:r>
      <w:r>
        <w:rPr>
          <w:color w:val="000000"/>
          <w:spacing w:val="0"/>
          <w:w w:val="100"/>
          <w:position w:val="0"/>
        </w:rPr>
        <w:t>。主要是报告期内支付其他与筹资活动有关的现 金较上年同期减少</w:t>
      </w:r>
      <w:r>
        <w:rPr>
          <w:rFonts w:ascii="Times New Roman" w:eastAsia="Times New Roman" w:hAnsi="Times New Roman" w:cs="Times New Roman"/>
          <w:color w:val="000000"/>
          <w:spacing w:val="0"/>
          <w:w w:val="100"/>
          <w:position w:val="0"/>
          <w:sz w:val="18"/>
          <w:szCs w:val="18"/>
        </w:rPr>
        <w:t>35,300.27</w:t>
      </w:r>
      <w:r>
        <w:rPr>
          <w:color w:val="000000"/>
          <w:spacing w:val="0"/>
          <w:w w:val="100"/>
          <w:position w:val="0"/>
        </w:rPr>
        <w:t>万元。上年同期，支付其他与筹资活动有关的现金主要是收购星波通信的现金对价款以及浙江涵 普少数股权的剩余现金对价款。</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报告期内公司经营活动产生的现金净流量与本年度净利润存在差异的主要原因是非付现费用（信用或资产减值损失、折旧与 摊销）、处置固定资产、无形资产和其他长期资产的损失或收益、非经营活动费用（财务费用）、递延所得税资产和递延所 得税负债的增加、存货增加、经营性应收项目的减少和经营性应付项目的增加。报告期内，公司计提的资产减值损失为 </w:t>
      </w:r>
      <w:r>
        <w:rPr>
          <w:rFonts w:ascii="Times New Roman" w:eastAsia="Times New Roman" w:hAnsi="Times New Roman" w:cs="Times New Roman"/>
          <w:color w:val="000000"/>
          <w:spacing w:val="0"/>
          <w:w w:val="100"/>
          <w:position w:val="0"/>
          <w:sz w:val="18"/>
          <w:szCs w:val="18"/>
        </w:rPr>
        <w:t>71,957.10</w:t>
      </w:r>
      <w:r>
        <w:rPr>
          <w:color w:val="000000"/>
          <w:spacing w:val="0"/>
          <w:w w:val="100"/>
          <w:position w:val="0"/>
        </w:rPr>
        <w:t>万元；冲回的信用减值损失为</w:t>
      </w:r>
      <w:r>
        <w:rPr>
          <w:rFonts w:ascii="Times New Roman" w:eastAsia="Times New Roman" w:hAnsi="Times New Roman" w:cs="Times New Roman"/>
          <w:color w:val="000000"/>
          <w:spacing w:val="0"/>
          <w:w w:val="100"/>
          <w:position w:val="0"/>
          <w:sz w:val="18"/>
          <w:szCs w:val="18"/>
        </w:rPr>
        <w:t>1,979.96</w:t>
      </w:r>
      <w:r>
        <w:rPr>
          <w:color w:val="000000"/>
          <w:spacing w:val="0"/>
          <w:w w:val="100"/>
          <w:position w:val="0"/>
        </w:rPr>
        <w:t>万元；计提的折旧为</w:t>
      </w:r>
      <w:r>
        <w:rPr>
          <w:rFonts w:ascii="Times New Roman" w:eastAsia="Times New Roman" w:hAnsi="Times New Roman" w:cs="Times New Roman"/>
          <w:color w:val="000000"/>
          <w:spacing w:val="0"/>
          <w:w w:val="100"/>
          <w:position w:val="0"/>
          <w:sz w:val="18"/>
          <w:szCs w:val="18"/>
        </w:rPr>
        <w:t>10,185.18</w:t>
      </w:r>
      <w:r>
        <w:rPr>
          <w:color w:val="000000"/>
          <w:spacing w:val="0"/>
          <w:w w:val="100"/>
          <w:position w:val="0"/>
        </w:rPr>
        <w:t>万元；计提的无形资产摊销为</w:t>
      </w:r>
      <w:r>
        <w:rPr>
          <w:rFonts w:ascii="Times New Roman" w:eastAsia="Times New Roman" w:hAnsi="Times New Roman" w:cs="Times New Roman"/>
          <w:color w:val="000000"/>
          <w:spacing w:val="0"/>
          <w:w w:val="100"/>
          <w:position w:val="0"/>
          <w:sz w:val="18"/>
          <w:szCs w:val="18"/>
        </w:rPr>
        <w:t>1,121.76</w:t>
      </w:r>
      <w:r>
        <w:rPr>
          <w:color w:val="000000"/>
          <w:spacing w:val="0"/>
          <w:w w:val="100"/>
          <w:position w:val="0"/>
        </w:rPr>
        <w:t>万元；处 置固定资产收益为</w:t>
      </w:r>
      <w:r>
        <w:rPr>
          <w:rFonts w:ascii="Times New Roman" w:eastAsia="Times New Roman" w:hAnsi="Times New Roman" w:cs="Times New Roman"/>
          <w:color w:val="000000"/>
          <w:spacing w:val="0"/>
          <w:w w:val="100"/>
          <w:position w:val="0"/>
          <w:sz w:val="18"/>
          <w:szCs w:val="18"/>
        </w:rPr>
        <w:t>297.5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万元；财务费用为</w:t>
      </w:r>
      <w:r>
        <w:rPr>
          <w:rFonts w:ascii="Times New Roman" w:eastAsia="Times New Roman" w:hAnsi="Times New Roman" w:cs="Times New Roman"/>
          <w:color w:val="000000"/>
          <w:spacing w:val="0"/>
          <w:w w:val="100"/>
          <w:position w:val="0"/>
          <w:sz w:val="18"/>
          <w:szCs w:val="18"/>
        </w:rPr>
        <w:t>10,386.4</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万元；递延所得税资产增加</w:t>
      </w:r>
      <w:r>
        <w:rPr>
          <w:rFonts w:ascii="Times New Roman" w:eastAsia="Times New Roman" w:hAnsi="Times New Roman" w:cs="Times New Roman"/>
          <w:color w:val="000000"/>
          <w:spacing w:val="0"/>
          <w:w w:val="100"/>
          <w:position w:val="0"/>
          <w:sz w:val="18"/>
          <w:szCs w:val="18"/>
        </w:rPr>
        <w:t>2,105.56</w:t>
      </w:r>
      <w:r>
        <w:rPr>
          <w:color w:val="000000"/>
          <w:spacing w:val="0"/>
          <w:w w:val="100"/>
          <w:position w:val="0"/>
        </w:rPr>
        <w:t>万元；递延所得税负债增加</w:t>
      </w:r>
      <w:r>
        <w:rPr>
          <w:rFonts w:ascii="Times New Roman" w:eastAsia="Times New Roman" w:hAnsi="Times New Roman" w:cs="Times New Roman"/>
          <w:color w:val="000000"/>
          <w:spacing w:val="0"/>
          <w:w w:val="100"/>
          <w:position w:val="0"/>
          <w:sz w:val="18"/>
          <w:szCs w:val="18"/>
        </w:rPr>
        <w:t xml:space="preserve">1,167.65 </w:t>
      </w:r>
      <w:r>
        <w:rPr>
          <w:color w:val="000000"/>
          <w:spacing w:val="0"/>
          <w:w w:val="100"/>
          <w:position w:val="0"/>
        </w:rPr>
        <w:t>万元；存货增加</w:t>
      </w:r>
      <w:r>
        <w:rPr>
          <w:rFonts w:ascii="Times New Roman" w:eastAsia="Times New Roman" w:hAnsi="Times New Roman" w:cs="Times New Roman"/>
          <w:color w:val="000000"/>
          <w:spacing w:val="0"/>
          <w:w w:val="100"/>
          <w:position w:val="0"/>
          <w:sz w:val="18"/>
          <w:szCs w:val="18"/>
        </w:rPr>
        <w:t>21,352.22</w:t>
      </w:r>
      <w:r>
        <w:rPr>
          <w:color w:val="000000"/>
          <w:spacing w:val="0"/>
          <w:w w:val="100"/>
          <w:position w:val="0"/>
        </w:rPr>
        <w:t>万元；经营性应收项目减少</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,873.47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经营性应付项目增加</w:t>
      </w:r>
      <w:r>
        <w:rPr>
          <w:rFonts w:ascii="Times New Roman" w:eastAsia="Times New Roman" w:hAnsi="Times New Roman" w:cs="Times New Roman"/>
          <w:color w:val="000000"/>
          <w:spacing w:val="0"/>
          <w:w w:val="100"/>
          <w:position w:val="0"/>
          <w:sz w:val="18"/>
          <w:szCs w:val="18"/>
        </w:rPr>
        <w:t>11,310.86</w:t>
      </w:r>
      <w:r>
        <w:rPr>
          <w:color w:val="000000"/>
          <w:spacing w:val="0"/>
          <w:w w:val="100"/>
          <w:position w:val="0"/>
        </w:rPr>
        <w:t>万元。</w:t>
      </w:r>
      <w:r>
        <w:br w:type="page"/>
      </w:r>
    </w:p>
    <w:p>
      <w:pPr>
        <w:pStyle w:val="Style23"/>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rPr>
        <w:t>五</w:t>
      </w:r>
      <w:bookmarkEnd w:id="177"/>
      <w:r>
        <w:rPr>
          <w:color w:val="000000"/>
          <w:spacing w:val="0"/>
          <w:w w:val="100"/>
          <w:position w:val="0"/>
        </w:rPr>
        <w:t>、非主营业务情况</w:t>
      </w:r>
      <w:bookmarkEnd w:id="175"/>
      <w:bookmarkEnd w:id="176"/>
      <w:bookmarkEnd w:id="17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17,326,523.22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中铁金租的分红和处置中 宁新能源的收益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452,697.02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676,250.74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资产减值损失（损 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-719,571,035.74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主要是商誉减值准备和无 形资产减值准备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信用减值损失（损 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号表示）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19,799,612.13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主要是应收账款、应收票 据、其他应收款坏账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资产处置收益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损 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2,975,050.15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37,312,927.16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主要是政府补助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六</w:t>
      </w:r>
      <w:bookmarkEnd w:id="181"/>
      <w:r>
        <w:rPr>
          <w:color w:val="000000"/>
          <w:spacing w:val="0"/>
          <w:w w:val="100"/>
          <w:position w:val="0"/>
        </w:rPr>
        <w:t>、资产及负债状况分析</w:t>
      </w:r>
      <w:bookmarkEnd w:id="179"/>
      <w:bookmarkEnd w:id="180"/>
      <w:bookmarkEnd w:id="182"/>
    </w:p>
    <w:p>
      <w:pPr>
        <w:pStyle w:val="Style31"/>
        <w:keepNext/>
        <w:keepLines/>
        <w:widowControl w:val="0"/>
        <w:shd w:val="clear" w:color="auto" w:fill="auto"/>
        <w:bidi w:val="0"/>
        <w:spacing w:before="0" w:after="36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1</w:t>
      </w:r>
      <w:bookmarkEnd w:id="185"/>
      <w:r>
        <w:rPr>
          <w:color w:val="000000"/>
          <w:spacing w:val="0"/>
          <w:w w:val="100"/>
          <w:position w:val="0"/>
        </w:rPr>
        <w:t>、资产构成重大变动情况</w:t>
      </w:r>
      <w:bookmarkEnd w:id="183"/>
      <w:bookmarkEnd w:id="184"/>
      <w:bookmarkEnd w:id="186"/>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735,782,837.2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498,750,220.82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736,138,015.0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929,259,904.04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562,923,193.5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361,818,479.72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19,776,977.57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22,869,569.29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698,735,020.8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1,302,130,087.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减少的主要是出售孙公司中宁新能 源的固定资产。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49,968,084.21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69,157,255.23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7,963,281.01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4,787,106.98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499,117,392.2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677,643,509.06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256,716,903.3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53,916,044.56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169,610,340.5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720,631,014.07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减少的主要是出售孙公司中宁新能 源的融资租赁借款。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6,767,263.28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4,787,106.98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192,836,032.8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186,252,088.41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402,800,815.3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1,073,795,341.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2</w:t>
      </w:r>
      <w:bookmarkEnd w:id="189"/>
      <w:r>
        <w:rPr>
          <w:color w:val="000000"/>
          <w:spacing w:val="0"/>
          <w:w w:val="100"/>
          <w:position w:val="0"/>
        </w:rPr>
        <w:t>、以公允价值计量的资产和负债</w:t>
      </w:r>
      <w:bookmarkEnd w:id="187"/>
      <w:bookmarkEnd w:id="188"/>
      <w:bookmarkEnd w:id="190"/>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计入权益的累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计公允价值变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186,252,088.</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6,583,944.43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192,836,032.84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186,252,088.</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6,583,944.43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192,836,032.84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应收款项融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80,156,424.7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47,716,741.60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266,408,513.</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6,583,944.43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240,552,774.44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38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3</w:t>
      </w:r>
      <w:bookmarkEnd w:id="193"/>
      <w:r>
        <w:rPr>
          <w:color w:val="000000"/>
          <w:spacing w:val="0"/>
          <w:w w:val="100"/>
          <w:position w:val="0"/>
        </w:rPr>
        <w:t>、截至报告期末的资产权利受限情况</w:t>
      </w:r>
      <w:bookmarkEnd w:id="191"/>
      <w:bookmarkEnd w:id="192"/>
      <w:bookmarkEnd w:id="194"/>
    </w:p>
    <w:p>
      <w:pPr>
        <w:pStyle w:val="Style11"/>
        <w:keepNext w:val="0"/>
        <w:keepLines w:val="0"/>
        <w:widowControl w:val="0"/>
        <w:shd w:val="clear" w:color="auto" w:fill="auto"/>
        <w:bidi w:val="0"/>
        <w:spacing w:before="0" w:after="0" w:line="240" w:lineRule="auto"/>
        <w:ind w:left="0" w:right="0" w:firstLine="480"/>
        <w:jc w:val="left"/>
      </w:pPr>
      <w:bookmarkStart w:id="195" w:name="bookmark195"/>
      <w:r>
        <w:rPr>
          <w:color w:val="000000"/>
          <w:spacing w:val="0"/>
          <w:w w:val="100"/>
          <w:position w:val="0"/>
        </w:rPr>
        <w:t>（</w:t>
      </w:r>
      <w:bookmarkEnd w:id="195"/>
      <w:r>
        <w:rPr>
          <w:rFonts w:ascii="Times New Roman" w:eastAsia="Times New Roman" w:hAnsi="Times New Roman" w:cs="Times New Roman"/>
          <w:color w:val="000000"/>
          <w:spacing w:val="0"/>
          <w:w w:val="100"/>
          <w:position w:val="0"/>
        </w:rPr>
        <w:t>1</w:t>
      </w:r>
      <w:r>
        <w:rPr>
          <w:color w:val="000000"/>
          <w:spacing w:val="0"/>
          <w:w w:val="100"/>
          <w:position w:val="0"/>
        </w:rPr>
        <w:t>）质押资产账面价值</w:t>
      </w:r>
    </w:p>
    <w:tbl>
      <w:tblPr>
        <w:tblOverlap w:val="never"/>
        <w:jc w:val="center"/>
        <w:tblLayout w:type="fixed"/>
      </w:tblPr>
      <w:tblGrid>
        <w:gridCol w:w="2438"/>
        <w:gridCol w:w="2861"/>
        <w:gridCol w:w="437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106,182,453.79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保函、票据保证金、政府补助专用款</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22,571,065.00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票据质押</w:t>
            </w:r>
          </w:p>
        </w:tc>
      </w:tr>
    </w:tbl>
    <w:tbl>
      <w:tblPr>
        <w:tblOverlap w:val="never"/>
        <w:jc w:val="center"/>
        <w:tblLayout w:type="fixed"/>
      </w:tblPr>
      <w:tblGrid>
        <w:gridCol w:w="2438"/>
        <w:gridCol w:w="2861"/>
        <w:gridCol w:w="437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150,781,757.00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金融机构借款抵押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32,308,274.98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金融机构借款抵押</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311,843,550.77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1"/>
        <w:keepNext w:val="0"/>
        <w:keepLines w:val="0"/>
        <w:widowControl w:val="0"/>
        <w:shd w:val="clear" w:color="auto" w:fill="auto"/>
        <w:bidi w:val="0"/>
        <w:spacing w:before="0" w:after="80" w:line="240" w:lineRule="auto"/>
        <w:ind w:left="0" w:right="0" w:firstLine="500"/>
        <w:jc w:val="left"/>
      </w:pPr>
      <w:bookmarkStart w:id="196" w:name="bookmark196"/>
      <w:r>
        <w:rPr>
          <w:color w:val="000000"/>
          <w:spacing w:val="0"/>
          <w:w w:val="100"/>
          <w:position w:val="0"/>
        </w:rPr>
        <w:t>（</w:t>
      </w:r>
      <w:bookmarkEnd w:id="196"/>
      <w:r>
        <w:rPr>
          <w:rFonts w:ascii="Times New Roman" w:eastAsia="Times New Roman" w:hAnsi="Times New Roman" w:cs="Times New Roman"/>
          <w:color w:val="000000"/>
          <w:spacing w:val="0"/>
          <w:w w:val="100"/>
          <w:position w:val="0"/>
        </w:rPr>
        <w:t>2</w:t>
      </w:r>
      <w:r>
        <w:rPr>
          <w:color w:val="000000"/>
          <w:spacing w:val="0"/>
          <w:w w:val="100"/>
          <w:position w:val="0"/>
        </w:rPr>
        <w:t>）质押子公司股权</w:t>
      </w:r>
    </w:p>
    <w:p>
      <w:pPr>
        <w:pStyle w:val="Style11"/>
        <w:keepNext w:val="0"/>
        <w:keepLines w:val="0"/>
        <w:widowControl w:val="0"/>
        <w:shd w:val="clear" w:color="auto" w:fill="auto"/>
        <w:bidi w:val="0"/>
        <w:spacing w:before="0" w:after="80" w:line="312" w:lineRule="exact"/>
        <w:ind w:left="0" w:right="0" w:firstLine="500"/>
        <w:jc w:val="left"/>
      </w:pPr>
      <w:r>
        <w:rPr>
          <w:color w:val="000000"/>
          <w:spacing w:val="0"/>
          <w:w w:val="100"/>
          <w:position w:val="0"/>
        </w:rPr>
        <w:t>本公司质押借款由以下并购贷构成：</w:t>
      </w:r>
    </w:p>
    <w:p>
      <w:pPr>
        <w:pStyle w:val="Style11"/>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月与兴业银行股份有限公司厦门分行签订《并购借款合同》及《非上市公司股权质 押合同》，以本公司持有的浙江涵普电力科技有限公司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股权为质押，向兴业银行股份有限公司厦门分 行借款人民币</w:t>
      </w:r>
      <w:r>
        <w:rPr>
          <w:rFonts w:ascii="Times New Roman" w:eastAsia="Times New Roman" w:hAnsi="Times New Roman" w:cs="Times New Roman"/>
          <w:color w:val="000000"/>
          <w:spacing w:val="0"/>
          <w:w w:val="100"/>
          <w:position w:val="0"/>
        </w:rPr>
        <w:t>131,000,000.00</w:t>
      </w:r>
      <w:r>
        <w:rPr>
          <w:color w:val="000000"/>
          <w:spacing w:val="0"/>
          <w:w w:val="100"/>
          <w:position w:val="0"/>
        </w:rPr>
        <w:t>元，借款期限</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日借款余额为 </w:t>
      </w:r>
      <w:r>
        <w:rPr>
          <w:rFonts w:ascii="Times New Roman" w:eastAsia="Times New Roman" w:hAnsi="Times New Roman" w:cs="Times New Roman"/>
          <w:color w:val="000000"/>
          <w:spacing w:val="0"/>
          <w:w w:val="100"/>
          <w:position w:val="0"/>
        </w:rPr>
        <w:t xml:space="preserve">7,178.05 </w:t>
      </w:r>
      <w:r>
        <w:rPr>
          <w:color w:val="000000"/>
          <w:spacing w:val="0"/>
          <w:w w:val="100"/>
          <w:position w:val="0"/>
        </w:rPr>
        <w:t>万元。</w:t>
      </w:r>
    </w:p>
    <w:p>
      <w:pPr>
        <w:pStyle w:val="Style23"/>
        <w:keepNext/>
        <w:keepLines/>
        <w:widowControl w:val="0"/>
        <w:shd w:val="clear" w:color="auto" w:fill="auto"/>
        <w:bidi w:val="0"/>
        <w:spacing w:before="0" w:line="240" w:lineRule="auto"/>
        <w:ind w:left="0" w:right="0" w:firstLine="0"/>
        <w:jc w:val="both"/>
      </w:pPr>
      <w:bookmarkStart w:id="197" w:name="bookmark197"/>
      <w:bookmarkStart w:id="198" w:name="bookmark198"/>
      <w:bookmarkStart w:id="199" w:name="bookmark199"/>
      <w:bookmarkStart w:id="200" w:name="bookmark200"/>
      <w:r>
        <w:rPr>
          <w:color w:val="000000"/>
          <w:spacing w:val="0"/>
          <w:w w:val="100"/>
          <w:position w:val="0"/>
        </w:rPr>
        <w:t>七</w:t>
      </w:r>
      <w:bookmarkEnd w:id="199"/>
      <w:r>
        <w:rPr>
          <w:color w:val="000000"/>
          <w:spacing w:val="0"/>
          <w:w w:val="100"/>
          <w:position w:val="0"/>
        </w:rPr>
        <w:t>、投资状况分析</w:t>
      </w:r>
      <w:bookmarkEnd w:id="197"/>
      <w:bookmarkEnd w:id="198"/>
      <w:bookmarkEnd w:id="200"/>
    </w:p>
    <w:p>
      <w:pPr>
        <w:pStyle w:val="Style31"/>
        <w:keepNext/>
        <w:keepLines/>
        <w:widowControl w:val="0"/>
        <w:shd w:val="clear" w:color="auto" w:fill="auto"/>
        <w:bidi w:val="0"/>
        <w:spacing w:before="0" w:after="280" w:line="326" w:lineRule="auto"/>
        <w:ind w:left="0" w:right="0" w:firstLine="0"/>
        <w:jc w:val="both"/>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1</w:t>
      </w:r>
      <w:bookmarkEnd w:id="203"/>
      <w:r>
        <w:rPr>
          <w:color w:val="000000"/>
          <w:spacing w:val="0"/>
          <w:w w:val="100"/>
          <w:position w:val="0"/>
        </w:rPr>
        <w:t>、总体情况</w:t>
      </w:r>
      <w:bookmarkEnd w:id="201"/>
      <w:bookmarkEnd w:id="202"/>
      <w:bookmarkEnd w:id="204"/>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136,549,566.71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446,787,502.46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w:t>
            </w:r>
          </w:p>
        </w:tc>
      </w:tr>
    </w:tbl>
    <w:p>
      <w:pPr>
        <w:widowControl w:val="0"/>
        <w:spacing w:after="359" w:line="1" w:lineRule="exact"/>
      </w:pPr>
    </w:p>
    <w:p>
      <w:pPr>
        <w:pStyle w:val="Style31"/>
        <w:keepNext/>
        <w:keepLines/>
        <w:widowControl w:val="0"/>
        <w:shd w:val="clear" w:color="auto" w:fill="auto"/>
        <w:tabs>
          <w:tab w:pos="378" w:val="left"/>
        </w:tabs>
        <w:bidi w:val="0"/>
        <w:spacing w:before="0" w:after="360" w:line="240" w:lineRule="auto"/>
        <w:ind w:left="0" w:right="0" w:firstLine="0"/>
        <w:jc w:val="both"/>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2</w:t>
      </w:r>
      <w:bookmarkEnd w:id="207"/>
      <w:r>
        <w:rPr>
          <w:color w:val="000000"/>
          <w:spacing w:val="0"/>
          <w:w w:val="100"/>
          <w:position w:val="0"/>
        </w:rPr>
        <w:t>、</w:t>
        <w:tab/>
        <w:t>报告期内获取的重大的股权投资情况</w:t>
      </w:r>
      <w:bookmarkEnd w:id="205"/>
      <w:bookmarkEnd w:id="206"/>
      <w:bookmarkEnd w:id="208"/>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both"/>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3</w:t>
      </w:r>
      <w:bookmarkEnd w:id="211"/>
      <w:r>
        <w:rPr>
          <w:color w:val="000000"/>
          <w:spacing w:val="0"/>
          <w:w w:val="100"/>
          <w:position w:val="0"/>
        </w:rPr>
        <w:t>、</w:t>
        <w:tab/>
        <w:t>报告期内正在进行的重大的非股权投资情况</w:t>
      </w:r>
      <w:bookmarkEnd w:id="209"/>
      <w:bookmarkEnd w:id="210"/>
      <w:bookmarkEnd w:id="212"/>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both"/>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4</w:t>
      </w:r>
      <w:bookmarkEnd w:id="215"/>
      <w:r>
        <w:rPr>
          <w:color w:val="000000"/>
          <w:spacing w:val="0"/>
          <w:w w:val="100"/>
          <w:position w:val="0"/>
        </w:rPr>
        <w:t>、</w:t>
        <w:tab/>
        <w:t>以公允价值计量的金融资产</w:t>
      </w:r>
      <w:bookmarkEnd w:id="213"/>
      <w:bookmarkEnd w:id="214"/>
      <w:bookmarkEnd w:id="216"/>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计入权益的累</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计公允价值变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报告期内售</w:t>
            </w:r>
          </w:p>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89,033,068.13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4,942,727.1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189,033,068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2,202,964.71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3,802,964.7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91,236,032.84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4,942,727.1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192,836,032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5</w:t>
      </w:r>
      <w:bookmarkEnd w:id="219"/>
      <w:r>
        <w:rPr>
          <w:color w:val="000000"/>
          <w:spacing w:val="0"/>
          <w:w w:val="100"/>
          <w:position w:val="0"/>
        </w:rPr>
        <w:t>、募集资金使用情况</w:t>
      </w:r>
      <w:bookmarkEnd w:id="217"/>
      <w:bookmarkEnd w:id="218"/>
      <w:bookmarkEnd w:id="220"/>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rPr>
        <w:t>（</w:t>
      </w:r>
      <w:bookmarkEnd w:id="22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1"/>
      <w:bookmarkEnd w:id="222"/>
      <w:bookmarkEnd w:id="224"/>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变更用途</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发行可转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换公司债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57,045.85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48,058.02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用于募投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项目的投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57,045.85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48,058.02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9,129.72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661"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经中国证券监督管理委员会《关于核准红相股份有限公司公开发行可转换公司债券的批复》（证监许可</w:t>
            </w:r>
            <w:r>
              <w:rPr>
                <w:rFonts w:ascii="Times New Roman" w:eastAsia="Times New Roman" w:hAnsi="Times New Roman" w:cs="Times New Roman"/>
                <w:color w:val="000000"/>
                <w:spacing w:val="0"/>
                <w:w w:val="100"/>
                <w:position w:val="0"/>
                <w:sz w:val="18"/>
                <w:szCs w:val="18"/>
              </w:rPr>
              <w:t>[2020]136</w:t>
            </w:r>
            <w:r>
              <w:rPr>
                <w:color w:val="000000"/>
                <w:spacing w:val="0"/>
                <w:w w:val="100"/>
                <w:position w:val="0"/>
              </w:rPr>
              <w:t>号）核准， 红相股份有限公司（以下简称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红相股份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日公开发行了 </w:t>
            </w:r>
            <w:r>
              <w:rPr>
                <w:rFonts w:ascii="Times New Roman" w:eastAsia="Times New Roman" w:hAnsi="Times New Roman" w:cs="Times New Roman"/>
                <w:color w:val="000000"/>
                <w:spacing w:val="0"/>
                <w:w w:val="100"/>
                <w:position w:val="0"/>
                <w:sz w:val="18"/>
                <w:szCs w:val="18"/>
              </w:rPr>
              <w:t>585</w:t>
            </w:r>
            <w:r>
              <w:rPr>
                <w:color w:val="000000"/>
                <w:spacing w:val="0"/>
                <w:w w:val="100"/>
                <w:position w:val="0"/>
              </w:rPr>
              <w:t>万张可转换公司债券（以下简称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 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），发行价格为每张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元，募集资金总额为</w:t>
            </w:r>
            <w:r>
              <w:rPr>
                <w:rFonts w:ascii="Times New Roman" w:eastAsia="Times New Roman" w:hAnsi="Times New Roman" w:cs="Times New Roman"/>
                <w:color w:val="000000"/>
                <w:spacing w:val="0"/>
                <w:w w:val="100"/>
                <w:position w:val="0"/>
                <w:sz w:val="18"/>
                <w:szCs w:val="18"/>
              </w:rPr>
              <w:t>585,000,000</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18"/>
                <w:szCs w:val="18"/>
              </w:rPr>
              <w:t>14,541,509.43</w:t>
            </w:r>
            <w:r>
              <w:rPr>
                <w:color w:val="000000"/>
                <w:spacing w:val="0"/>
                <w:w w:val="100"/>
                <w:position w:val="0"/>
              </w:rPr>
              <w:t>元（不含税），实际募集资 金净额为人民币</w:t>
            </w:r>
            <w:r>
              <w:rPr>
                <w:rFonts w:ascii="Times New Roman" w:eastAsia="Times New Roman" w:hAnsi="Times New Roman" w:cs="Times New Roman"/>
                <w:color w:val="000000"/>
                <w:spacing w:val="0"/>
                <w:w w:val="100"/>
                <w:position w:val="0"/>
                <w:sz w:val="18"/>
                <w:szCs w:val="18"/>
              </w:rPr>
              <w:t>570,458,490.57</w:t>
            </w:r>
            <w:r>
              <w:rPr>
                <w:color w:val="000000"/>
                <w:spacing w:val="0"/>
                <w:w w:val="100"/>
                <w:position w:val="0"/>
              </w:rPr>
              <w:t>元。容诚会计师事务所（特殊普通合伙）已于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日对公司本次公开发行可转 债募集资金到位情况进行了审验，并出具《验资报告》（容诚验字</w:t>
            </w:r>
            <w:r>
              <w:rPr>
                <w:rFonts w:ascii="Times New Roman" w:eastAsia="Times New Roman" w:hAnsi="Times New Roman" w:cs="Times New Roman"/>
                <w:color w:val="000000"/>
                <w:spacing w:val="0"/>
                <w:w w:val="100"/>
                <w:position w:val="0"/>
                <w:sz w:val="18"/>
                <w:szCs w:val="18"/>
              </w:rPr>
              <w:t>[2020]361Z0020</w:t>
            </w:r>
            <w:r>
              <w:rPr>
                <w:color w:val="000000"/>
                <w:spacing w:val="0"/>
                <w:w w:val="100"/>
                <w:position w:val="0"/>
              </w:rPr>
              <w:t>号）。</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25"/>
      <w:bookmarkEnd w:id="226"/>
      <w:bookmarkEnd w:id="228"/>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 资项目 和超募 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承诺投资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期实现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 行性是 否发生 重大变 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星波通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、年产</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套配网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9,215.85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自动化</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产品扩 产易地 技改项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、节能</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型牵引</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变压器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产业化</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、补充 流动资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承诺投</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资项目</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57,045.85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48,058.01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3,276.25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57,045.85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48,058.01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3,276.25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 计划进 度或预 计收益 的情况 和原因</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40" w:line="309"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收购星波通信</w:t>
            </w:r>
            <w:r>
              <w:rPr>
                <w:rFonts w:ascii="Times New Roman" w:eastAsia="Times New Roman" w:hAnsi="Times New Roman" w:cs="Times New Roman"/>
                <w:color w:val="000000"/>
                <w:spacing w:val="0"/>
                <w:w w:val="100"/>
                <w:position w:val="0"/>
                <w:sz w:val="18"/>
                <w:szCs w:val="18"/>
              </w:rPr>
              <w:t>32.46%</w:t>
            </w:r>
            <w:r>
              <w:rPr>
                <w:color w:val="000000"/>
                <w:spacing w:val="0"/>
                <w:w w:val="100"/>
                <w:position w:val="0"/>
              </w:rPr>
              <w:t>股权</w:t>
            </w:r>
          </w:p>
          <w:p>
            <w:pPr>
              <w:pStyle w:val="Style2"/>
              <w:keepNext w:val="0"/>
              <w:keepLines w:val="0"/>
              <w:widowControl w:val="0"/>
              <w:shd w:val="clear" w:color="auto" w:fill="auto"/>
              <w:bidi w:val="0"/>
              <w:spacing w:before="0" w:after="40" w:line="309" w:lineRule="exact"/>
              <w:ind w:left="0" w:right="0" w:firstLine="0"/>
              <w:jc w:val="left"/>
            </w:pPr>
            <w:r>
              <w:rPr>
                <w:color w:val="000000"/>
                <w:spacing w:val="0"/>
                <w:w w:val="100"/>
                <w:position w:val="0"/>
              </w:rPr>
              <w:t>收购星波通信</w:t>
            </w:r>
            <w:r>
              <w:rPr>
                <w:rFonts w:ascii="Times New Roman" w:eastAsia="Times New Roman" w:hAnsi="Times New Roman" w:cs="Times New Roman"/>
                <w:color w:val="000000"/>
                <w:spacing w:val="0"/>
                <w:w w:val="100"/>
                <w:position w:val="0"/>
                <w:sz w:val="18"/>
                <w:szCs w:val="18"/>
              </w:rPr>
              <w:t>32.46%</w:t>
            </w:r>
            <w:r>
              <w:rPr>
                <w:color w:val="000000"/>
                <w:spacing w:val="0"/>
                <w:w w:val="100"/>
                <w:position w:val="0"/>
              </w:rPr>
              <w:t>股权已于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日完成股权过户手续。</w:t>
            </w:r>
          </w:p>
          <w:p>
            <w:pPr>
              <w:pStyle w:val="Style2"/>
              <w:keepNext w:val="0"/>
              <w:keepLines w:val="0"/>
              <w:widowControl w:val="0"/>
              <w:shd w:val="clear" w:color="auto" w:fill="auto"/>
              <w:tabs>
                <w:tab w:pos="278" w:val="left"/>
              </w:tabs>
              <w:bidi w:val="0"/>
              <w:spacing w:before="0" w:after="40" w:line="30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年产</w:t>
            </w:r>
            <w:r>
              <w:rPr>
                <w:rFonts w:ascii="Times New Roman" w:eastAsia="Times New Roman" w:hAnsi="Times New Roman" w:cs="Times New Roman"/>
                <w:color w:val="000000"/>
                <w:spacing w:val="0"/>
                <w:w w:val="100"/>
                <w:position w:val="0"/>
                <w:sz w:val="18"/>
                <w:szCs w:val="18"/>
              </w:rPr>
              <w:t>24,700</w:t>
            </w:r>
            <w:r>
              <w:rPr>
                <w:color w:val="000000"/>
                <w:spacing w:val="0"/>
                <w:w w:val="100"/>
                <w:position w:val="0"/>
              </w:rPr>
              <w:t>套配网自动化产品扩产易地技改项目</w:t>
            </w:r>
          </w:p>
          <w:p>
            <w:pPr>
              <w:pStyle w:val="Style2"/>
              <w:keepNext w:val="0"/>
              <w:keepLines w:val="0"/>
              <w:widowControl w:val="0"/>
              <w:shd w:val="clear" w:color="auto" w:fill="auto"/>
              <w:bidi w:val="0"/>
              <w:spacing w:before="0" w:after="40" w:line="309"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24,700</w:t>
            </w:r>
            <w:r>
              <w:rPr>
                <w:color w:val="000000"/>
                <w:spacing w:val="0"/>
                <w:w w:val="100"/>
                <w:position w:val="0"/>
              </w:rPr>
              <w:t>套配网自动化产品扩产易地技改项目尚在投资建设中。</w:t>
            </w:r>
          </w:p>
          <w:p>
            <w:pPr>
              <w:pStyle w:val="Style2"/>
              <w:keepNext w:val="0"/>
              <w:keepLines w:val="0"/>
              <w:widowControl w:val="0"/>
              <w:shd w:val="clear" w:color="auto" w:fill="auto"/>
              <w:tabs>
                <w:tab w:pos="269" w:val="left"/>
              </w:tabs>
              <w:bidi w:val="0"/>
              <w:spacing w:before="0" w:after="40" w:line="30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节能型牵引变压器产业化项目</w:t>
            </w:r>
          </w:p>
          <w:p>
            <w:pPr>
              <w:pStyle w:val="Style2"/>
              <w:keepNext w:val="0"/>
              <w:keepLines w:val="0"/>
              <w:widowControl w:val="0"/>
              <w:shd w:val="clear" w:color="auto" w:fill="auto"/>
              <w:bidi w:val="0"/>
              <w:spacing w:before="0" w:after="40" w:line="309" w:lineRule="exact"/>
              <w:ind w:left="0" w:right="0" w:firstLine="0"/>
              <w:jc w:val="left"/>
            </w:pPr>
            <w:r>
              <w:rPr>
                <w:color w:val="000000"/>
                <w:spacing w:val="0"/>
                <w:w w:val="100"/>
                <w:position w:val="0"/>
              </w:rPr>
              <w:t>受疫情影响该项目专用设备采购定制到货延迟，同时有关行业标准较预期延期颁布等因素导致项目施工放缓，公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日分别召开第五届董事会第八次会议、第五届监事会第七次会议审议通过了《关于调整部 分募集资金投资项目实施进度的议案》，同意调整公司可转债募集资金投资项目之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节能型牵引变压器产业化项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）的实施进度，项目建设期延长</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个月，项目预计建成投产时间延长至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2"/>
              <w:keepNext w:val="0"/>
              <w:keepLines w:val="0"/>
              <w:widowControl w:val="0"/>
              <w:shd w:val="clear" w:color="auto" w:fill="auto"/>
              <w:tabs>
                <w:tab w:pos="278" w:val="left"/>
              </w:tabs>
              <w:bidi w:val="0"/>
              <w:spacing w:before="0" w:after="40" w:line="30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补充流动资金</w:t>
            </w:r>
          </w:p>
          <w:p>
            <w:pPr>
              <w:pStyle w:val="Style2"/>
              <w:keepNext w:val="0"/>
              <w:keepLines w:val="0"/>
              <w:widowControl w:val="0"/>
              <w:shd w:val="clear" w:color="auto" w:fill="auto"/>
              <w:bidi w:val="0"/>
              <w:spacing w:before="0" w:after="40" w:line="309" w:lineRule="exact"/>
              <w:ind w:left="0" w:right="0" w:firstLine="0"/>
              <w:jc w:val="left"/>
            </w:pPr>
            <w:r>
              <w:rPr>
                <w:color w:val="000000"/>
                <w:spacing w:val="0"/>
                <w:w w:val="100"/>
                <w:position w:val="0"/>
              </w:rPr>
              <w:t>补充流动资金旨在提升公司整体运营能力，无法单独核算具体收益。</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项目可 行性发 生重大 变化的 情况说 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超募资 金的金 额、用途 及使用 进展情</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214"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0"/>
        <w:gridCol w:w="885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金投资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项目实</w:t>
            </w: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施地点</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变更情</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况</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金投资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项目实</w:t>
            </w: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施方式</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调整情</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况</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70"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可转换公司债券募集资金到位之前，公司根据实际情况，以自筹资金对募集资金投资项目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24,700</w:t>
            </w:r>
            <w:r>
              <w:rPr>
                <w:color w:val="000000"/>
                <w:spacing w:val="0"/>
                <w:w w:val="100"/>
                <w:position w:val="0"/>
              </w:rPr>
              <w:t>套配网自</w:t>
            </w:r>
          </w:p>
        </w:tc>
      </w:tr>
      <w:tr>
        <w:trPr>
          <w:trHeight w:val="31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金投资</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动化产品扩产易地技改项目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进行了前期投入。根据容诚会计师事务所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出具《关于红相股份有限公</w:t>
            </w:r>
          </w:p>
        </w:tc>
      </w:tr>
      <w:tr>
        <w:trPr>
          <w:trHeight w:val="31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项目先</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司以自筹资金预先投入募集资金投资项目的鉴证报告》（容诚专字</w:t>
            </w:r>
            <w:r>
              <w:rPr>
                <w:rFonts w:ascii="Times New Roman" w:eastAsia="Times New Roman" w:hAnsi="Times New Roman" w:cs="Times New Roman"/>
                <w:color w:val="000000"/>
                <w:spacing w:val="0"/>
                <w:w w:val="100"/>
                <w:position w:val="0"/>
                <w:sz w:val="18"/>
                <w:szCs w:val="18"/>
              </w:rPr>
              <w:t>[2020]361Z0337</w:t>
            </w:r>
            <w:r>
              <w:rPr>
                <w:color w:val="000000"/>
                <w:spacing w:val="0"/>
                <w:w w:val="100"/>
                <w:position w:val="0"/>
              </w:rPr>
              <w:t>号），自公司董事会审议通过本</w:t>
            </w:r>
          </w:p>
        </w:tc>
      </w:tr>
      <w:tr>
        <w:trPr>
          <w:trHeight w:val="30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期投入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次公开发行可转换公司债券方案次日起至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日，公司以自筹资金预先投入募集资金投资项目的实际</w:t>
            </w:r>
          </w:p>
        </w:tc>
      </w:tr>
      <w:tr>
        <w:trPr>
          <w:trHeight w:val="1286"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及置换 情况</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投资金额为</w:t>
            </w:r>
            <w:r>
              <w:rPr>
                <w:rFonts w:ascii="Times New Roman" w:eastAsia="Times New Roman" w:hAnsi="Times New Roman" w:cs="Times New Roman"/>
                <w:color w:val="000000"/>
                <w:spacing w:val="0"/>
                <w:w w:val="100"/>
                <w:position w:val="0"/>
                <w:sz w:val="18"/>
                <w:szCs w:val="18"/>
              </w:rPr>
              <w:t>7,218.86</w:t>
            </w:r>
            <w:r>
              <w:rPr>
                <w:color w:val="000000"/>
                <w:spacing w:val="0"/>
                <w:w w:val="100"/>
                <w:position w:val="0"/>
              </w:rPr>
              <w:t>万元。经公司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日召开的第四届董事会第二十八次会议审议通过了《关于使用 募集资金置换先期投入募投项目的自筹资金的议案》，同意公司以可转换公司债券募集资金</w:t>
            </w:r>
            <w:r>
              <w:rPr>
                <w:rFonts w:ascii="Times New Roman" w:eastAsia="Times New Roman" w:hAnsi="Times New Roman" w:cs="Times New Roman"/>
                <w:color w:val="000000"/>
                <w:spacing w:val="0"/>
                <w:w w:val="100"/>
                <w:position w:val="0"/>
                <w:sz w:val="18"/>
                <w:szCs w:val="18"/>
              </w:rPr>
              <w:t>7,218.86</w:t>
            </w:r>
            <w:r>
              <w:rPr>
                <w:color w:val="000000"/>
                <w:spacing w:val="0"/>
                <w:w w:val="100"/>
                <w:position w:val="0"/>
              </w:rPr>
              <w:t>万元置换预 先投入募集资金项目的自筹资金。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日，公司完成了用募集资金</w:t>
            </w:r>
            <w:r>
              <w:rPr>
                <w:rFonts w:ascii="Times New Roman" w:eastAsia="Times New Roman" w:hAnsi="Times New Roman" w:cs="Times New Roman"/>
                <w:color w:val="000000"/>
                <w:spacing w:val="0"/>
                <w:w w:val="100"/>
                <w:position w:val="0"/>
                <w:sz w:val="18"/>
                <w:szCs w:val="18"/>
              </w:rPr>
              <w:t>7,218.86</w:t>
            </w:r>
            <w:r>
              <w:rPr>
                <w:color w:val="000000"/>
                <w:spacing w:val="0"/>
                <w:w w:val="100"/>
                <w:position w:val="0"/>
              </w:rPr>
              <w:t>万元置换先期已投入该募 投项目的自筹资金。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用闲置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6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金暂时</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动资金</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6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施出现</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金结余</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年可转换公司债券的尚未使用金额为</w:t>
            </w:r>
            <w:r>
              <w:rPr>
                <w:rFonts w:ascii="Times New Roman" w:eastAsia="Times New Roman" w:hAnsi="Times New Roman" w:cs="Times New Roman"/>
                <w:color w:val="000000"/>
                <w:spacing w:val="0"/>
                <w:w w:val="100"/>
                <w:position w:val="0"/>
                <w:sz w:val="18"/>
                <w:szCs w:val="18"/>
              </w:rPr>
              <w:t>9,129.72</w:t>
            </w:r>
            <w:r>
              <w:rPr>
                <w:color w:val="000000"/>
                <w:spacing w:val="0"/>
                <w:w w:val="100"/>
                <w:position w:val="0"/>
              </w:rPr>
              <w:t>万元，后续将用于募投项目的投入。</w:t>
            </w:r>
          </w:p>
        </w:tc>
      </w:tr>
      <w:tr>
        <w:trPr>
          <w:trHeight w:val="288"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的金额</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及原因</w:t>
            </w:r>
          </w:p>
        </w:tc>
        <w:tc>
          <w:tcPr>
            <w:tcBorders>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日，存放于募集资金账户的尚未使用的金额为</w:t>
            </w:r>
            <w:r>
              <w:rPr>
                <w:rFonts w:ascii="Times New Roman" w:eastAsia="Times New Roman" w:hAnsi="Times New Roman" w:cs="Times New Roman"/>
                <w:color w:val="000000"/>
                <w:spacing w:val="0"/>
                <w:w w:val="100"/>
                <w:position w:val="0"/>
                <w:sz w:val="18"/>
                <w:szCs w:val="18"/>
              </w:rPr>
              <w:t>9,129.72</w:t>
            </w:r>
            <w:r>
              <w:rPr>
                <w:color w:val="000000"/>
                <w:spacing w:val="0"/>
                <w:w w:val="100"/>
                <w:position w:val="0"/>
              </w:rPr>
              <w:t>万元，其主要是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年发行可转换 公司债券的募集资金，后续将用于募投项目投入。</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金使用</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、收购星波通信</w:t>
            </w:r>
            <w:r>
              <w:rPr>
                <w:rFonts w:ascii="Times New Roman" w:eastAsia="Times New Roman" w:hAnsi="Times New Roman" w:cs="Times New Roman"/>
                <w:color w:val="000000"/>
                <w:spacing w:val="0"/>
                <w:w w:val="100"/>
                <w:position w:val="0"/>
                <w:sz w:val="18"/>
                <w:szCs w:val="18"/>
              </w:rPr>
              <w:t>32.46%</w:t>
            </w:r>
            <w:r>
              <w:rPr>
                <w:color w:val="000000"/>
                <w:spacing w:val="0"/>
                <w:w w:val="100"/>
                <w:position w:val="0"/>
              </w:rPr>
              <w:t>股权实现的效益是根据募集资金投入金额占总投资的比重计算的。</w:t>
            </w:r>
          </w:p>
        </w:tc>
      </w:tr>
      <w:tr>
        <w:trPr>
          <w:trHeight w:val="336"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及披露</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0"/>
        <w:gridCol w:w="8856"/>
      </w:tblGrid>
      <w:tr>
        <w:trPr>
          <w:trHeight w:val="13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中存在 的问题 或其他 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w:t>
      </w:r>
      <w:bookmarkEnd w:id="231"/>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9"/>
      <w:bookmarkEnd w:id="230"/>
      <w:bookmarkEnd w:id="232"/>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3"/>
        <w:keepNext/>
        <w:keepLines/>
        <w:widowControl w:val="0"/>
        <w:shd w:val="clear" w:color="auto" w:fill="auto"/>
        <w:bidi w:val="0"/>
        <w:spacing w:before="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rPr>
        <w:t>八</w:t>
      </w:r>
      <w:bookmarkEnd w:id="235"/>
      <w:r>
        <w:rPr>
          <w:color w:val="000000"/>
          <w:spacing w:val="0"/>
          <w:w w:val="100"/>
          <w:position w:val="0"/>
        </w:rPr>
        <w:t>、重大资产和股权出售</w:t>
      </w:r>
      <w:bookmarkEnd w:id="233"/>
      <w:bookmarkEnd w:id="234"/>
      <w:bookmarkEnd w:id="236"/>
    </w:p>
    <w:p>
      <w:pPr>
        <w:pStyle w:val="Style31"/>
        <w:keepNext/>
        <w:keepLines/>
        <w:widowControl w:val="0"/>
        <w:shd w:val="clear" w:color="auto" w:fill="auto"/>
        <w:tabs>
          <w:tab w:pos="368" w:val="left"/>
        </w:tabs>
        <w:bidi w:val="0"/>
        <w:spacing w:before="0" w:after="36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1</w:t>
      </w:r>
      <w:bookmarkEnd w:id="239"/>
      <w:r>
        <w:rPr>
          <w:color w:val="000000"/>
          <w:spacing w:val="0"/>
          <w:w w:val="100"/>
          <w:position w:val="0"/>
        </w:rPr>
        <w:t>、</w:t>
        <w:tab/>
        <w:t>出售重大资产情况</w:t>
      </w:r>
      <w:bookmarkEnd w:id="237"/>
      <w:bookmarkEnd w:id="238"/>
      <w:bookmarkEnd w:id="240"/>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1"/>
        <w:keepNext/>
        <w:keepLines/>
        <w:widowControl w:val="0"/>
        <w:shd w:val="clear" w:color="auto" w:fill="auto"/>
        <w:tabs>
          <w:tab w:pos="378" w:val="left"/>
        </w:tabs>
        <w:bidi w:val="0"/>
        <w:spacing w:before="0" w:after="36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2</w:t>
      </w:r>
      <w:bookmarkEnd w:id="243"/>
      <w:r>
        <w:rPr>
          <w:color w:val="000000"/>
          <w:spacing w:val="0"/>
          <w:w w:val="100"/>
          <w:position w:val="0"/>
        </w:rPr>
        <w:t>、</w:t>
        <w:tab/>
        <w:t>出售重大股权情况</w:t>
      </w:r>
      <w:bookmarkEnd w:id="241"/>
      <w:bookmarkEnd w:id="242"/>
      <w:bookmarkEnd w:id="244"/>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2"/>
        <w:gridCol w:w="682"/>
        <w:gridCol w:w="686"/>
        <w:gridCol w:w="682"/>
        <w:gridCol w:w="686"/>
        <w:gridCol w:w="682"/>
        <w:gridCol w:w="686"/>
        <w:gridCol w:w="682"/>
        <w:gridCol w:w="686"/>
        <w:gridCol w:w="682"/>
        <w:gridCol w:w="686"/>
        <w:gridCol w:w="682"/>
        <w:gridCol w:w="686"/>
      </w:tblGrid>
      <w:tr>
        <w:trPr>
          <w:trHeight w:val="3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交易价</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格（万</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 起至出 售日该 股权为 上市公 司贡献 的净利 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股权出 售定价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 对方的 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是否按 计划如 期实 施，如 未按计 划实 施，应 当说明 原因及 公司已 采取的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3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中国三 峡新能 源（集 团）股 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中宁县 银变新 能源有 限公司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 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7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有助 于公司 整合及 优化现 有资源 配置；</w:t>
            </w:r>
          </w:p>
          <w:p>
            <w:pPr>
              <w:pStyle w:val="Style2"/>
              <w:keepNext w:val="0"/>
              <w:keepLines w:val="0"/>
              <w:widowControl w:val="0"/>
              <w:shd w:val="clear" w:color="auto" w:fill="auto"/>
              <w:tabs>
                <w:tab w:pos="278" w:val="left"/>
              </w:tabs>
              <w:bidi w:val="0"/>
              <w:spacing w:before="0" w:after="10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提升 上市公 司整体 竞争</w:t>
            </w:r>
          </w:p>
          <w:p>
            <w:pPr>
              <w:pStyle w:val="Style2"/>
              <w:keepNext w:val="0"/>
              <w:keepLines w:val="0"/>
              <w:widowControl w:val="0"/>
              <w:shd w:val="clear" w:color="auto" w:fill="auto"/>
              <w:bidi w:val="0"/>
              <w:spacing w:before="0" w:after="60" w:line="314" w:lineRule="exact"/>
              <w:ind w:left="0" w:right="0" w:firstLine="0"/>
              <w:jc w:val="both"/>
            </w:pPr>
            <w:r>
              <w:rPr>
                <w:color w:val="000000"/>
                <w:spacing w:val="0"/>
                <w:w w:val="100"/>
                <w:position w:val="0"/>
              </w:rPr>
              <w:t>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参照评 估报告 的评估 结果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巨潮资 讯网</w:t>
            </w:r>
          </w:p>
          <w:p>
            <w:pPr>
              <w:pStyle w:val="Style2"/>
              <w:keepNext w:val="0"/>
              <w:keepLines w:val="0"/>
              <w:widowControl w:val="0"/>
              <w:shd w:val="clear" w:color="auto" w:fill="auto"/>
              <w:bidi w:val="0"/>
              <w:spacing w:before="0" w:after="120" w:line="311"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cninfo.c om.cn）</w:t>
            </w:r>
            <w:r>
              <w:rPr>
                <w:color w:val="000000"/>
                <w:spacing w:val="0"/>
                <w:w w:val="100"/>
                <w:position w:val="0"/>
              </w:rPr>
              <w:t>；</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 出售孙 公司中 宁县银 变新能 源有限</w:t>
            </w:r>
          </w:p>
        </w:tc>
      </w:tr>
    </w:tbl>
    <w:p>
      <w:pPr>
        <w:spacing w:lineRule="exact" w:line="1"/>
        <w:rPr>
          <w:sz w:val="2"/>
          <w:szCs w:val="2"/>
        </w:rPr>
      </w:pPr>
      <w:r>
        <w:br w:type="page"/>
      </w:r>
    </w:p>
    <w:tbl>
      <w:tblPr>
        <w:tblOverlap w:val="never"/>
        <w:jc w:val="center"/>
        <w:tblLayout w:type="fixed"/>
      </w:tblPr>
      <w:tblGrid>
        <w:gridCol w:w="691"/>
        <w:gridCol w:w="682"/>
        <w:gridCol w:w="682"/>
        <w:gridCol w:w="686"/>
        <w:gridCol w:w="682"/>
        <w:gridCol w:w="686"/>
        <w:gridCol w:w="682"/>
        <w:gridCol w:w="686"/>
        <w:gridCol w:w="682"/>
        <w:gridCol w:w="686"/>
        <w:gridCol w:w="682"/>
        <w:gridCol w:w="686"/>
        <w:gridCol w:w="682"/>
        <w:gridCol w:w="686"/>
      </w:tblGrid>
      <w:tr>
        <w:trPr>
          <w:trHeight w:val="723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公司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 xml:space="preserve">股 权的公 告》（公 告编 号： </w:t>
            </w:r>
            <w:r>
              <w:rPr>
                <w:rFonts w:ascii="Times New Roman" w:eastAsia="Times New Roman" w:hAnsi="Times New Roman" w:cs="Times New Roman"/>
                <w:color w:val="000000"/>
                <w:spacing w:val="0"/>
                <w:w w:val="100"/>
                <w:position w:val="0"/>
                <w:sz w:val="18"/>
                <w:szCs w:val="18"/>
              </w:rPr>
              <w:t xml:space="preserve">2021-08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），《关 于出售 孙公司 中宁县 银变新 能源有 限公司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 权进展 暨完成 过户的 公告》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sz w:val="18"/>
                <w:szCs w:val="18"/>
              </w:rPr>
              <w:t xml:space="preserve">2021-89 </w:t>
            </w:r>
            <w:r>
              <w:rPr>
                <w:color w:val="000000"/>
                <w:spacing w:val="0"/>
                <w:w w:val="100"/>
                <w:position w:val="0"/>
              </w:rPr>
              <w:t>）</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rPr>
        <w:t>九</w:t>
      </w:r>
      <w:bookmarkEnd w:id="247"/>
      <w:r>
        <w:rPr>
          <w:color w:val="000000"/>
          <w:spacing w:val="0"/>
          <w:w w:val="100"/>
          <w:position w:val="0"/>
        </w:rPr>
        <w:t>、主要控股参股公司分析</w:t>
      </w:r>
      <w:bookmarkEnd w:id="245"/>
      <w:bookmarkEnd w:id="246"/>
      <w:bookmarkEnd w:id="24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电力设备生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441,843,358.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214,870,616.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281,164,821.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31,050,897.8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27,553,035.6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星波通信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微波通信产 品生产及销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586,186,991.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389,398,497.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218,798,505.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69,664,222.5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60,535,475.3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变压器生产 及销售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1,519,050,16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881,133,265.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575,006,952.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63,051,672.4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55,420,293.2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中宁县银变新能源有限公司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、有助于公司整合及优化现有资源配 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、提升上市公司整体竞争力。</w:t>
            </w:r>
          </w:p>
        </w:tc>
      </w:tr>
    </w:tbl>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主要控股参股公司情况说明</w:t>
      </w:r>
    </w:p>
    <w:p>
      <w:pPr>
        <w:pStyle w:val="Style23"/>
        <w:keepNext/>
        <w:keepLines/>
        <w:widowControl w:val="0"/>
        <w:shd w:val="clear" w:color="auto" w:fill="auto"/>
        <w:bidi w:val="0"/>
        <w:spacing w:before="0" w:after="380" w:line="240" w:lineRule="auto"/>
        <w:ind w:left="0" w:right="0" w:firstLine="0"/>
        <w:jc w:val="left"/>
      </w:pPr>
      <w:bookmarkStart w:id="249" w:name="bookmark249"/>
      <w:bookmarkStart w:id="250" w:name="bookmark250"/>
      <w:bookmarkStart w:id="251" w:name="bookmark251"/>
      <w:r>
        <w:rPr>
          <w:color w:val="000000"/>
          <w:spacing w:val="0"/>
          <w:w w:val="100"/>
          <w:position w:val="0"/>
        </w:rPr>
        <w:t>十、公司控制的结构化主体情况</w:t>
      </w:r>
      <w:bookmarkEnd w:id="249"/>
      <w:bookmarkEnd w:id="250"/>
      <w:bookmarkEnd w:id="251"/>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80" w:line="240" w:lineRule="auto"/>
        <w:ind w:left="0" w:right="0" w:firstLine="0"/>
        <w:jc w:val="left"/>
      </w:pPr>
      <w:bookmarkStart w:id="252" w:name="bookmark252"/>
      <w:bookmarkStart w:id="253" w:name="bookmark253"/>
      <w:bookmarkStart w:id="254" w:name="bookmark254"/>
      <w:r>
        <w:rPr>
          <w:color w:val="000000"/>
          <w:spacing w:val="0"/>
          <w:w w:val="100"/>
          <w:position w:val="0"/>
        </w:rPr>
        <w:t>十一、公司未来发展的展望</w:t>
      </w:r>
      <w:bookmarkEnd w:id="252"/>
      <w:bookmarkEnd w:id="253"/>
      <w:bookmarkEnd w:id="254"/>
    </w:p>
    <w:p>
      <w:pPr>
        <w:pStyle w:val="Style11"/>
        <w:keepNext w:val="0"/>
        <w:keepLines w:val="0"/>
        <w:widowControl w:val="0"/>
        <w:shd w:val="clear" w:color="auto" w:fill="auto"/>
        <w:tabs>
          <w:tab w:pos="1038" w:val="left"/>
        </w:tabs>
        <w:bidi w:val="0"/>
        <w:spacing w:before="0" w:after="100" w:line="313" w:lineRule="exact"/>
        <w:ind w:left="0" w:right="0" w:firstLine="440"/>
        <w:jc w:val="both"/>
      </w:pPr>
      <w:bookmarkStart w:id="255" w:name="bookmark255"/>
      <w:r>
        <w:rPr>
          <w:b/>
          <w:bCs/>
          <w:color w:val="000000"/>
          <w:spacing w:val="0"/>
          <w:w w:val="100"/>
          <w:position w:val="0"/>
        </w:rPr>
        <w:t>（</w:t>
      </w:r>
      <w:bookmarkEnd w:id="255"/>
      <w:r>
        <w:rPr>
          <w:b/>
          <w:bCs/>
          <w:color w:val="000000"/>
          <w:spacing w:val="0"/>
          <w:w w:val="100"/>
          <w:position w:val="0"/>
        </w:rPr>
        <w:t>一）</w:t>
        <w:tab/>
        <w:t>公司发展战略</w:t>
      </w:r>
    </w:p>
    <w:p>
      <w:pPr>
        <w:pStyle w:val="Style1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未来，公司将以现有的技术体系和业务格局为基础，不断夯实公司民品业务，持续拓展军工业务。在 民品业务方向，公司将充分抓住国内双碳目标和海外碳减排进程中涌现出来的新能源项目建设、能源电气 化转型所带来的业务机遇，大力拓展公司新能源业务、电力设备销售和服务业务等；在军工业务方向，基 于国家十四五强军目标以及公司先前参与的型号研制和批产任务，一方面通过科学筹划切实保障订单的生 产和交付任务，另一方面通过持续研发，争取承接更多的项目订单，提升公司军品业务的可持续盈利能力。</w:t>
      </w:r>
    </w:p>
    <w:p>
      <w:pPr>
        <w:pStyle w:val="Style11"/>
        <w:keepNext w:val="0"/>
        <w:keepLines w:val="0"/>
        <w:widowControl w:val="0"/>
        <w:shd w:val="clear" w:color="auto" w:fill="auto"/>
        <w:tabs>
          <w:tab w:pos="1038" w:val="left"/>
        </w:tabs>
        <w:bidi w:val="0"/>
        <w:spacing w:before="0" w:after="100" w:line="313" w:lineRule="exact"/>
        <w:ind w:left="0" w:right="0" w:firstLine="440"/>
        <w:jc w:val="both"/>
      </w:pPr>
      <w:bookmarkStart w:id="256" w:name="bookmark256"/>
      <w:r>
        <w:rPr>
          <w:b/>
          <w:bCs/>
          <w:color w:val="000000"/>
          <w:spacing w:val="0"/>
          <w:w w:val="100"/>
          <w:position w:val="0"/>
        </w:rPr>
        <w:t>（</w:t>
      </w:r>
      <w:bookmarkEnd w:id="256"/>
      <w:r>
        <w:rPr>
          <w:b/>
          <w:bCs/>
          <w:color w:val="000000"/>
          <w:spacing w:val="0"/>
          <w:w w:val="100"/>
          <w:position w:val="0"/>
        </w:rPr>
        <w:t>二）</w:t>
        <w:tab/>
      </w:r>
      <w:r>
        <w:rPr>
          <w:rFonts w:ascii="Times New Roman" w:eastAsia="Times New Roman" w:hAnsi="Times New Roman" w:cs="Times New Roman"/>
          <w:b/>
          <w:bCs/>
          <w:color w:val="000000"/>
          <w:spacing w:val="0"/>
          <w:w w:val="100"/>
          <w:position w:val="0"/>
        </w:rPr>
        <w:t>2022</w:t>
      </w:r>
      <w:r>
        <w:rPr>
          <w:b/>
          <w:bCs/>
          <w:color w:val="000000"/>
          <w:spacing w:val="0"/>
          <w:w w:val="100"/>
          <w:position w:val="0"/>
        </w:rPr>
        <w:t>年经营计划</w:t>
      </w:r>
    </w:p>
    <w:p>
      <w:pPr>
        <w:pStyle w:val="Style11"/>
        <w:keepNext w:val="0"/>
        <w:keepLines w:val="0"/>
        <w:widowControl w:val="0"/>
        <w:shd w:val="clear" w:color="auto" w:fill="auto"/>
        <w:tabs>
          <w:tab w:pos="808" w:val="left"/>
        </w:tabs>
        <w:bidi w:val="0"/>
        <w:spacing w:before="0" w:after="100" w:line="313" w:lineRule="exact"/>
        <w:ind w:left="0" w:right="0" w:firstLine="440"/>
        <w:jc w:val="both"/>
      </w:pPr>
      <w:bookmarkStart w:id="257" w:name="bookmark257"/>
      <w:r>
        <w:rPr>
          <w:rFonts w:ascii="Times New Roman" w:eastAsia="Times New Roman" w:hAnsi="Times New Roman" w:cs="Times New Roman"/>
          <w:b/>
          <w:bCs/>
          <w:color w:val="000000"/>
          <w:spacing w:val="0"/>
          <w:w w:val="100"/>
          <w:position w:val="0"/>
        </w:rPr>
        <w:t>1</w:t>
      </w:r>
      <w:bookmarkEnd w:id="257"/>
      <w:r>
        <w:rPr>
          <w:b/>
          <w:bCs/>
          <w:color w:val="000000"/>
          <w:spacing w:val="0"/>
          <w:w w:val="100"/>
          <w:position w:val="0"/>
        </w:rPr>
        <w:t>、</w:t>
        <w:tab/>
        <w:t>践行公司发展战略，拓宽公司军民业务布局</w:t>
      </w:r>
    </w:p>
    <w:p>
      <w:pPr>
        <w:pStyle w:val="Style1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在电力领域，继续开展对电力一次设备的状态监测、故障诊断、大数据分析及智能化运维平台的研发 和业务推广，致力于提高公司技术服务、数据分析服务等高附加值产品的销售占比，优化公司电力板块业 务结构，提升企业的综合竞争能力。</w:t>
      </w:r>
    </w:p>
    <w:p>
      <w:pPr>
        <w:pStyle w:val="Style1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在铁路与轨道交通领域，充分把握国内城市化建设加快的发展机遇，持续开拓城市轨道交通市场，提 升城市轨道交通变压器产品覆盖率的基础上，全面推进精细化管理等措施转移部分原材料价格波动风险， 并持续通过技术升级、优化工序、严控费用、提升规模效应等方式降低产品的成本，以最大限度抵御原材 料涨价风险带来的业绩波动。</w:t>
      </w:r>
    </w:p>
    <w:p>
      <w:pPr>
        <w:pStyle w:val="Style1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在新能源领域，积极把握双碳目标下国内外大力发展清洁能源的市场机会，完善业务团队建设，创新 合作方式，依托地区和客户优势，加大新能源建设的电力工程承接能力。</w:t>
      </w:r>
    </w:p>
    <w:p>
      <w:pPr>
        <w:pStyle w:val="Style1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在军工领域，依托新投入使用的研发大楼和生产新区，借助自动化测试系统等</w:t>
      </w:r>
      <w:r>
        <w:rPr>
          <w:rFonts w:ascii="Times New Roman" w:eastAsia="Times New Roman" w:hAnsi="Times New Roman" w:cs="Times New Roman"/>
          <w:color w:val="000000"/>
          <w:spacing w:val="0"/>
          <w:w w:val="100"/>
          <w:position w:val="0"/>
        </w:rPr>
        <w:t>“</w:t>
      </w:r>
      <w:r>
        <w:rPr>
          <w:color w:val="000000"/>
          <w:spacing w:val="0"/>
          <w:w w:val="100"/>
          <w:position w:val="0"/>
        </w:rPr>
        <w:t>人机合作</w:t>
      </w:r>
      <w:r>
        <w:rPr>
          <w:rFonts w:ascii="Times New Roman" w:eastAsia="Times New Roman" w:hAnsi="Times New Roman" w:cs="Times New Roman"/>
          <w:color w:val="000000"/>
          <w:spacing w:val="0"/>
          <w:w w:val="100"/>
          <w:position w:val="0"/>
        </w:rPr>
        <w:t>”</w:t>
      </w:r>
      <w:r>
        <w:rPr>
          <w:color w:val="000000"/>
          <w:spacing w:val="0"/>
          <w:w w:val="100"/>
          <w:position w:val="0"/>
        </w:rPr>
        <w:t>的工作模式 切实保障重大合同的生产和交付能力，并继续推进小型化系统的开发，实现从器件、组件、子系统等配套 型业务向具备完整功能的整机型业务的有序推进。</w:t>
      </w:r>
    </w:p>
    <w:p>
      <w:pPr>
        <w:pStyle w:val="Style11"/>
        <w:keepNext w:val="0"/>
        <w:keepLines w:val="0"/>
        <w:widowControl w:val="0"/>
        <w:shd w:val="clear" w:color="auto" w:fill="auto"/>
        <w:tabs>
          <w:tab w:pos="818" w:val="left"/>
        </w:tabs>
        <w:bidi w:val="0"/>
        <w:spacing w:before="0" w:after="100" w:line="313" w:lineRule="exact"/>
        <w:ind w:left="0" w:right="0" w:firstLine="440"/>
        <w:jc w:val="both"/>
      </w:pPr>
      <w:bookmarkStart w:id="258" w:name="bookmark258"/>
      <w:r>
        <w:rPr>
          <w:rFonts w:ascii="Times New Roman" w:eastAsia="Times New Roman" w:hAnsi="Times New Roman" w:cs="Times New Roman"/>
          <w:b/>
          <w:bCs/>
          <w:color w:val="000000"/>
          <w:spacing w:val="0"/>
          <w:w w:val="100"/>
          <w:position w:val="0"/>
        </w:rPr>
        <w:t>2</w:t>
      </w:r>
      <w:bookmarkEnd w:id="258"/>
      <w:r>
        <w:rPr>
          <w:b/>
          <w:bCs/>
          <w:color w:val="000000"/>
          <w:spacing w:val="0"/>
          <w:w w:val="100"/>
          <w:position w:val="0"/>
        </w:rPr>
        <w:t>、</w:t>
        <w:tab/>
        <w:t>优化资源配置，强化协同效应，提升公司业绩</w:t>
      </w:r>
    </w:p>
    <w:p>
      <w:pPr>
        <w:pStyle w:val="Style11"/>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科学调整、优化公司在各个业务板块之间的资源配置；挖掘、整合、强化公司各个业务板块之间在产 品与市场渠道、技术与研发等方面的协同效应，丰富盈利增长点，充分发挥产业集群优势，提升公司经营 业绩，增强公司抗风险能力。</w:t>
      </w:r>
    </w:p>
    <w:p>
      <w:pPr>
        <w:pStyle w:val="Style11"/>
        <w:keepNext w:val="0"/>
        <w:keepLines w:val="0"/>
        <w:widowControl w:val="0"/>
        <w:shd w:val="clear" w:color="auto" w:fill="auto"/>
        <w:tabs>
          <w:tab w:pos="818" w:val="left"/>
        </w:tabs>
        <w:bidi w:val="0"/>
        <w:spacing w:before="0" w:after="100" w:line="313" w:lineRule="exact"/>
        <w:ind w:left="0" w:right="0" w:firstLine="440"/>
        <w:jc w:val="both"/>
      </w:pPr>
      <w:bookmarkStart w:id="259" w:name="bookmark259"/>
      <w:r>
        <w:rPr>
          <w:rFonts w:ascii="Times New Roman" w:eastAsia="Times New Roman" w:hAnsi="Times New Roman" w:cs="Times New Roman"/>
          <w:b/>
          <w:bCs/>
          <w:color w:val="000000"/>
          <w:spacing w:val="0"/>
          <w:w w:val="100"/>
          <w:position w:val="0"/>
        </w:rPr>
        <w:t>3</w:t>
      </w:r>
      <w:bookmarkEnd w:id="259"/>
      <w:r>
        <w:rPr>
          <w:b/>
          <w:bCs/>
          <w:color w:val="000000"/>
          <w:spacing w:val="0"/>
          <w:w w:val="100"/>
          <w:position w:val="0"/>
        </w:rPr>
        <w:t>、</w:t>
        <w:tab/>
        <w:t>提升管理水平，提高上市公司质量</w:t>
      </w:r>
    </w:p>
    <w:p>
      <w:pPr>
        <w:pStyle w:val="Style1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优化公司治理结构，增强上市公司合规发展意识，强化合规管理能力，健全合规管理体系，强化内部 控制，持续完善集团化管理体系，加强子公司管理及监督机制，切实提升公司整体管控水平，做到公司管 理高质高效、降本增效、提质增效，助力公司健康、稳定发展，切实防范公司经营风险，提高上市公司质 量。</w:t>
      </w:r>
    </w:p>
    <w:p>
      <w:pPr>
        <w:pStyle w:val="Style11"/>
        <w:keepNext w:val="0"/>
        <w:keepLines w:val="0"/>
        <w:widowControl w:val="0"/>
        <w:shd w:val="clear" w:color="auto" w:fill="auto"/>
        <w:tabs>
          <w:tab w:pos="1038" w:val="left"/>
        </w:tabs>
        <w:bidi w:val="0"/>
        <w:spacing w:before="0" w:after="100" w:line="313" w:lineRule="exact"/>
        <w:ind w:left="0" w:right="0" w:firstLine="440"/>
        <w:jc w:val="both"/>
      </w:pPr>
      <w:bookmarkStart w:id="260" w:name="bookmark260"/>
      <w:r>
        <w:rPr>
          <w:b/>
          <w:bCs/>
          <w:color w:val="000000"/>
          <w:spacing w:val="0"/>
          <w:w w:val="100"/>
          <w:position w:val="0"/>
        </w:rPr>
        <w:t>（</w:t>
      </w:r>
      <w:bookmarkEnd w:id="260"/>
      <w:r>
        <w:rPr>
          <w:b/>
          <w:bCs/>
          <w:color w:val="000000"/>
          <w:spacing w:val="0"/>
          <w:w w:val="100"/>
          <w:position w:val="0"/>
        </w:rPr>
        <w:t>三）</w:t>
        <w:tab/>
        <w:t>可能面对的风险</w:t>
      </w:r>
    </w:p>
    <w:p>
      <w:pPr>
        <w:pStyle w:val="Style11"/>
        <w:keepNext w:val="0"/>
        <w:keepLines w:val="0"/>
        <w:widowControl w:val="0"/>
        <w:shd w:val="clear" w:color="auto" w:fill="auto"/>
        <w:bidi w:val="0"/>
        <w:spacing w:before="0" w:after="100" w:line="313" w:lineRule="exact"/>
        <w:ind w:left="0" w:right="0" w:firstLine="440"/>
        <w:jc w:val="both"/>
      </w:pPr>
      <w:bookmarkStart w:id="261" w:name="bookmark261"/>
      <w:r>
        <w:rPr>
          <w:rFonts w:ascii="Times New Roman" w:eastAsia="Times New Roman" w:hAnsi="Times New Roman" w:cs="Times New Roman"/>
          <w:color w:val="000000"/>
          <w:spacing w:val="0"/>
          <w:w w:val="100"/>
          <w:position w:val="0"/>
        </w:rPr>
        <w:t>1</w:t>
      </w:r>
      <w:bookmarkEnd w:id="261"/>
      <w:r>
        <w:rPr>
          <w:color w:val="000000"/>
          <w:spacing w:val="0"/>
          <w:w w:val="100"/>
          <w:position w:val="0"/>
        </w:rPr>
        <w:t>、宏观经济及产业政策变动的风险</w:t>
      </w:r>
    </w:p>
    <w:p>
      <w:pPr>
        <w:pStyle w:val="Style11"/>
        <w:keepNext w:val="0"/>
        <w:keepLines w:val="0"/>
        <w:widowControl w:val="0"/>
        <w:shd w:val="clear" w:color="auto" w:fill="auto"/>
        <w:bidi w:val="0"/>
        <w:spacing w:before="0" w:after="200" w:line="313" w:lineRule="exact"/>
        <w:ind w:left="0" w:right="0" w:firstLine="440"/>
        <w:jc w:val="both"/>
      </w:pPr>
      <w:r>
        <w:rPr>
          <w:color w:val="000000"/>
          <w:spacing w:val="0"/>
          <w:w w:val="100"/>
          <w:position w:val="0"/>
        </w:rPr>
        <w:t xml:space="preserve">公司产品主要用于电力、轨道交通及军工领域，该三大领域属于国家战略性基础行业，与国家宏观经 </w:t>
      </w:r>
      <w:r>
        <w:rPr>
          <w:color w:val="000000"/>
          <w:spacing w:val="0"/>
          <w:w w:val="100"/>
          <w:position w:val="0"/>
        </w:rPr>
        <w:t>济环境及产业政策导向关联性较高，宏观经济环境的变化及产业政策的调整将对公司的经营产生影响。目 前国家对上述领域均持积极支持态度，对上述领域的投入也保持在较高水平，从而带动相关行业快速发展。 但如果国内宏观经济形势出现较大的变化，相关产业政策发生重大调整，则可能带来公司产品需求下降的 风险，将对公司的生产经营产生不利影响。</w:t>
      </w:r>
    </w:p>
    <w:p>
      <w:pPr>
        <w:pStyle w:val="Style11"/>
        <w:keepNext w:val="0"/>
        <w:keepLines w:val="0"/>
        <w:widowControl w:val="0"/>
        <w:shd w:val="clear" w:color="auto" w:fill="auto"/>
        <w:tabs>
          <w:tab w:pos="763" w:val="left"/>
        </w:tabs>
        <w:bidi w:val="0"/>
        <w:spacing w:before="0" w:after="0" w:line="326" w:lineRule="auto"/>
        <w:ind w:left="0" w:right="0" w:firstLine="440"/>
        <w:jc w:val="both"/>
      </w:pPr>
      <w:bookmarkStart w:id="262" w:name="bookmark262"/>
      <w:r>
        <w:rPr>
          <w:rFonts w:ascii="Times New Roman" w:eastAsia="Times New Roman" w:hAnsi="Times New Roman" w:cs="Times New Roman"/>
          <w:color w:val="000000"/>
          <w:spacing w:val="0"/>
          <w:w w:val="100"/>
          <w:position w:val="0"/>
        </w:rPr>
        <w:t>2</w:t>
      </w:r>
      <w:bookmarkEnd w:id="262"/>
      <w:r>
        <w:rPr>
          <w:color w:val="000000"/>
          <w:spacing w:val="0"/>
          <w:w w:val="100"/>
          <w:position w:val="0"/>
        </w:rPr>
        <w:t>、</w:t>
        <w:tab/>
        <w:t>产品质量控制的风险</w:t>
      </w:r>
    </w:p>
    <w:p>
      <w:pPr>
        <w:pStyle w:val="Style11"/>
        <w:keepNext w:val="0"/>
        <w:keepLines w:val="0"/>
        <w:widowControl w:val="0"/>
        <w:shd w:val="clear" w:color="auto" w:fill="auto"/>
        <w:bidi w:val="0"/>
        <w:spacing w:before="0" w:after="200" w:line="300" w:lineRule="exact"/>
        <w:ind w:left="0" w:right="0" w:firstLine="440"/>
        <w:jc w:val="both"/>
      </w:pPr>
      <w:r>
        <w:rPr>
          <w:color w:val="000000"/>
          <w:spacing w:val="0"/>
          <w:w w:val="100"/>
          <w:position w:val="0"/>
        </w:rPr>
        <w:t>公司产品主要应用于电力工程、铁路工程、国防军事工程项目中，下游客户主要为国有大型企业，其 对产品品质的可靠性、稳定性要求极高。长期以来，发行人可靠、稳定、安全的产品品质赢得了客户广泛 认可。但随着生产规模的不断扩大和产品的持续升级换代，如果发行人不能持续有效地执行生产管理制度 和质量控制措施，一旦发生产品质量问题，则将对发行人的市场声誉和品牌形象造成严重负面影响，从而 影响其长期发展。</w:t>
      </w:r>
    </w:p>
    <w:p>
      <w:pPr>
        <w:pStyle w:val="Style11"/>
        <w:keepNext w:val="0"/>
        <w:keepLines w:val="0"/>
        <w:widowControl w:val="0"/>
        <w:shd w:val="clear" w:color="auto" w:fill="auto"/>
        <w:tabs>
          <w:tab w:pos="763" w:val="left"/>
        </w:tabs>
        <w:bidi w:val="0"/>
        <w:spacing w:before="0" w:after="0" w:line="326" w:lineRule="auto"/>
        <w:ind w:left="0" w:right="0" w:firstLine="440"/>
        <w:jc w:val="both"/>
      </w:pPr>
      <w:bookmarkStart w:id="263" w:name="bookmark263"/>
      <w:r>
        <w:rPr>
          <w:rFonts w:ascii="Times New Roman" w:eastAsia="Times New Roman" w:hAnsi="Times New Roman" w:cs="Times New Roman"/>
          <w:color w:val="000000"/>
          <w:spacing w:val="0"/>
          <w:w w:val="100"/>
          <w:position w:val="0"/>
        </w:rPr>
        <w:t>3</w:t>
      </w:r>
      <w:bookmarkEnd w:id="263"/>
      <w:r>
        <w:rPr>
          <w:color w:val="000000"/>
          <w:spacing w:val="0"/>
          <w:w w:val="100"/>
          <w:position w:val="0"/>
        </w:rPr>
        <w:t>、</w:t>
        <w:tab/>
        <w:t>应收账款无法及时收回的风险</w:t>
      </w:r>
    </w:p>
    <w:p>
      <w:pPr>
        <w:pStyle w:val="Style11"/>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公司主要客户来自电力、军工、铁路等国有大型企业和部分海外客户，受到其结算惯例的影响，公司 应收账款收款周期相对较长，导致期末应收账款相对较高。随着公司经营规模的不断扩大，应收账款的规 模可能会持续增长，如果国内外经济环境、客户信用状况等发生变化，公司存在应收账款不能够及时回收， 从而影响公司资金流动性和利用效率的风险。</w:t>
      </w:r>
    </w:p>
    <w:p>
      <w:pPr>
        <w:pStyle w:val="Style11"/>
        <w:keepNext w:val="0"/>
        <w:keepLines w:val="0"/>
        <w:widowControl w:val="0"/>
        <w:shd w:val="clear" w:color="auto" w:fill="auto"/>
        <w:tabs>
          <w:tab w:pos="763" w:val="left"/>
        </w:tabs>
        <w:bidi w:val="0"/>
        <w:spacing w:before="0" w:after="0" w:line="326" w:lineRule="auto"/>
        <w:ind w:left="0" w:right="0" w:firstLine="440"/>
        <w:jc w:val="both"/>
      </w:pPr>
      <w:bookmarkStart w:id="264" w:name="bookmark264"/>
      <w:r>
        <w:rPr>
          <w:rFonts w:ascii="Times New Roman" w:eastAsia="Times New Roman" w:hAnsi="Times New Roman" w:cs="Times New Roman"/>
          <w:color w:val="000000"/>
          <w:spacing w:val="0"/>
          <w:w w:val="100"/>
          <w:position w:val="0"/>
        </w:rPr>
        <w:t>4</w:t>
      </w:r>
      <w:bookmarkEnd w:id="264"/>
      <w:r>
        <w:rPr>
          <w:color w:val="000000"/>
          <w:spacing w:val="0"/>
          <w:w w:val="100"/>
          <w:position w:val="0"/>
        </w:rPr>
        <w:t>、</w:t>
        <w:tab/>
        <w:t>行业竞争加剧的风险</w:t>
      </w:r>
    </w:p>
    <w:p>
      <w:pPr>
        <w:pStyle w:val="Style11"/>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公司产品主要用于电力、轨道交通及军工领域，该类领域进入壁垒相对较高，且公司通过多年积累， 竞争优势显著。随着国民经济的发展，相关领域未来仍将保持较大投资规模，良好的增长预期可能吸引更 多的竞争者进入，导致行业竞争的加剧。如果公司不能保持技术和服务的创新，不能持续提高产品的技术 水平和质量标准，不能充分适应行业竞争环境，则将面临客户资源流失、市场份额下降的风险。</w:t>
      </w:r>
    </w:p>
    <w:p>
      <w:pPr>
        <w:pStyle w:val="Style11"/>
        <w:keepNext w:val="0"/>
        <w:keepLines w:val="0"/>
        <w:widowControl w:val="0"/>
        <w:shd w:val="clear" w:color="auto" w:fill="auto"/>
        <w:tabs>
          <w:tab w:pos="763" w:val="left"/>
        </w:tabs>
        <w:bidi w:val="0"/>
        <w:spacing w:before="0" w:after="0" w:line="326" w:lineRule="auto"/>
        <w:ind w:left="0" w:right="0" w:firstLine="440"/>
        <w:jc w:val="both"/>
      </w:pPr>
      <w:bookmarkStart w:id="265" w:name="bookmark265"/>
      <w:r>
        <w:rPr>
          <w:rFonts w:ascii="Times New Roman" w:eastAsia="Times New Roman" w:hAnsi="Times New Roman" w:cs="Times New Roman"/>
          <w:color w:val="000000"/>
          <w:spacing w:val="0"/>
          <w:w w:val="100"/>
          <w:position w:val="0"/>
        </w:rPr>
        <w:t>5</w:t>
      </w:r>
      <w:bookmarkEnd w:id="265"/>
      <w:r>
        <w:rPr>
          <w:color w:val="000000"/>
          <w:spacing w:val="0"/>
          <w:w w:val="100"/>
          <w:position w:val="0"/>
        </w:rPr>
        <w:t>、</w:t>
        <w:tab/>
        <w:t>商誉减值的风险</w:t>
      </w:r>
    </w:p>
    <w:p>
      <w:pPr>
        <w:pStyle w:val="Style11"/>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月，完成收购银川卧龙</w:t>
      </w:r>
      <w:r>
        <w:rPr>
          <w:rFonts w:ascii="Times New Roman" w:eastAsia="Times New Roman" w:hAnsi="Times New Roman" w:cs="Times New Roman"/>
          <w:color w:val="000000"/>
          <w:spacing w:val="0"/>
          <w:w w:val="100"/>
          <w:position w:val="0"/>
        </w:rPr>
        <w:t>100%</w:t>
      </w:r>
      <w:r>
        <w:rPr>
          <w:color w:val="000000"/>
          <w:spacing w:val="0"/>
          <w:w w:val="100"/>
          <w:position w:val="0"/>
        </w:rPr>
        <w:t>股权和星波通信</w:t>
      </w:r>
      <w:r>
        <w:rPr>
          <w:rFonts w:ascii="Times New Roman" w:eastAsia="Times New Roman" w:hAnsi="Times New Roman" w:cs="Times New Roman"/>
          <w:color w:val="000000"/>
          <w:spacing w:val="0"/>
          <w:w w:val="100"/>
          <w:position w:val="0"/>
        </w:rPr>
        <w:t>67.54%</w:t>
      </w:r>
      <w:r>
        <w:rPr>
          <w:color w:val="000000"/>
          <w:spacing w:val="0"/>
          <w:w w:val="100"/>
          <w:position w:val="0"/>
        </w:rPr>
        <w:t>股权，收购之后公司形成了较大金 额的商誉。</w:t>
      </w:r>
      <w:r>
        <w:rPr>
          <w:rFonts w:ascii="Times New Roman" w:eastAsia="Times New Roman" w:hAnsi="Times New Roman" w:cs="Times New Roman"/>
          <w:color w:val="000000"/>
          <w:spacing w:val="0"/>
          <w:w w:val="100"/>
          <w:position w:val="0"/>
        </w:rPr>
        <w:t>2021</w:t>
      </w:r>
      <w:r>
        <w:rPr>
          <w:color w:val="000000"/>
          <w:spacing w:val="0"/>
          <w:w w:val="100"/>
          <w:position w:val="0"/>
        </w:rPr>
        <w:t>年度受全球疫情持续、国内能耗双控、原材料价格上涨、市场竞争加剧等多方面因素的影 响，公司子公司银川卧龙经营业绩未达预期，公司全额计提了收购银川卧龙的商誉减值。截止本报告期末， 商誉账面净值为</w:t>
      </w:r>
      <w:r>
        <w:rPr>
          <w:rFonts w:ascii="Times New Roman" w:eastAsia="Times New Roman" w:hAnsi="Times New Roman" w:cs="Times New Roman"/>
          <w:color w:val="000000"/>
          <w:spacing w:val="0"/>
          <w:w w:val="100"/>
          <w:position w:val="0"/>
        </w:rPr>
        <w:t>40,280.08</w:t>
      </w:r>
      <w:r>
        <w:rPr>
          <w:color w:val="000000"/>
          <w:spacing w:val="0"/>
          <w:w w:val="100"/>
          <w:position w:val="0"/>
        </w:rPr>
        <w:t>万元，主要是收购星波星波通信形成的商誉。根据《企业会计准则》规定，公司 收购星波通信</w:t>
      </w:r>
      <w:r>
        <w:rPr>
          <w:rFonts w:ascii="Times New Roman" w:eastAsia="Times New Roman" w:hAnsi="Times New Roman" w:cs="Times New Roman"/>
          <w:color w:val="000000"/>
          <w:spacing w:val="0"/>
          <w:w w:val="100"/>
          <w:position w:val="0"/>
        </w:rPr>
        <w:t>67.54%</w:t>
      </w:r>
      <w:r>
        <w:rPr>
          <w:color w:val="000000"/>
          <w:spacing w:val="0"/>
          <w:w w:val="100"/>
          <w:position w:val="0"/>
        </w:rPr>
        <w:t>股权形成的商誉本次不作摊销处理，但需在每年年末进行减值测试。若星波通信所处 行业、金融政策、宏观经济环境等发生重大不利变化，导致盈利不及预期，继而面临潜在的商誉减值风险， 将对公司未来的经营业绩造成不利影响。</w:t>
      </w:r>
    </w:p>
    <w:p>
      <w:pPr>
        <w:pStyle w:val="Style11"/>
        <w:keepNext w:val="0"/>
        <w:keepLines w:val="0"/>
        <w:widowControl w:val="0"/>
        <w:shd w:val="clear" w:color="auto" w:fill="auto"/>
        <w:tabs>
          <w:tab w:pos="763" w:val="left"/>
        </w:tabs>
        <w:bidi w:val="0"/>
        <w:spacing w:before="0" w:after="0" w:line="326" w:lineRule="auto"/>
        <w:ind w:left="0" w:right="0" w:firstLine="440"/>
        <w:jc w:val="both"/>
      </w:pPr>
      <w:bookmarkStart w:id="266" w:name="bookmark266"/>
      <w:r>
        <w:rPr>
          <w:rFonts w:ascii="Times New Roman" w:eastAsia="Times New Roman" w:hAnsi="Times New Roman" w:cs="Times New Roman"/>
          <w:color w:val="000000"/>
          <w:spacing w:val="0"/>
          <w:w w:val="100"/>
          <w:position w:val="0"/>
        </w:rPr>
        <w:t>6</w:t>
      </w:r>
      <w:bookmarkEnd w:id="266"/>
      <w:r>
        <w:rPr>
          <w:color w:val="000000"/>
          <w:spacing w:val="0"/>
          <w:w w:val="100"/>
          <w:position w:val="0"/>
        </w:rPr>
        <w:t>、</w:t>
        <w:tab/>
        <w:t>新冠疫情影响</w:t>
      </w:r>
    </w:p>
    <w:p>
      <w:pPr>
        <w:pStyle w:val="Style1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目前，全球疫情的波动与反复，如疫情未能得到有效控制，将会对公司原材料采购、项目实施等带来 一定影响。</w:t>
      </w:r>
    </w:p>
    <w:p>
      <w:pPr>
        <w:pStyle w:val="Style11"/>
        <w:keepNext w:val="0"/>
        <w:keepLines w:val="0"/>
        <w:widowControl w:val="0"/>
        <w:shd w:val="clear" w:color="auto" w:fill="auto"/>
        <w:bidi w:val="0"/>
        <w:spacing w:before="0" w:after="360" w:line="315" w:lineRule="exact"/>
        <w:ind w:left="0" w:right="0" w:firstLine="440"/>
        <w:jc w:val="both"/>
      </w:pPr>
      <w:r>
        <w:rPr>
          <w:color w:val="000000"/>
          <w:spacing w:val="0"/>
          <w:w w:val="100"/>
          <w:position w:val="0"/>
        </w:rPr>
        <w:t>应对措施：公司持续推进各个板块协同效应，切实提高公司市场竞争力及抗风险能力。同时，公司将 密切关注可能出现的风险因素的动态变化，关注本行业、相关领域及上、下游行业、领域的变化趋势。若 风险因素已经较明显显现，公司将采取调整规划、调整规划实施方案等措施，并采用多渠道、多种灵活方 式实现公司战略目标。</w:t>
      </w:r>
    </w:p>
    <w:p>
      <w:pPr>
        <w:pStyle w:val="Style23"/>
        <w:keepNext/>
        <w:keepLines/>
        <w:widowControl w:val="0"/>
        <w:shd w:val="clear" w:color="auto" w:fill="auto"/>
        <w:bidi w:val="0"/>
        <w:spacing w:before="0" w:line="240" w:lineRule="auto"/>
        <w:ind w:left="0" w:right="0" w:firstLine="0"/>
        <w:jc w:val="left"/>
      </w:pPr>
      <w:bookmarkStart w:id="267" w:name="bookmark267"/>
      <w:bookmarkStart w:id="268" w:name="bookmark268"/>
      <w:bookmarkStart w:id="269" w:name="bookmark269"/>
      <w:r>
        <w:rPr>
          <w:color w:val="000000"/>
          <w:spacing w:val="0"/>
          <w:w w:val="100"/>
          <w:position w:val="0"/>
        </w:rPr>
        <w:t>十二、报告期内接待调研、沟通、采访等活动登记表</w:t>
      </w:r>
      <w:bookmarkEnd w:id="267"/>
      <w:bookmarkEnd w:id="268"/>
      <w:bookmarkEnd w:id="269"/>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公司报告期内未发生接待调研、沟通、采访等活动。</w:t>
      </w:r>
    </w:p>
    <w:p>
      <w:pPr>
        <w:pStyle w:val="Style9"/>
        <w:keepNext/>
        <w:keepLines/>
        <w:widowControl w:val="0"/>
        <w:shd w:val="clear" w:color="auto" w:fill="auto"/>
        <w:bidi w:val="0"/>
        <w:spacing w:before="0" w:after="580" w:line="240" w:lineRule="auto"/>
        <w:ind w:left="0" w:right="0" w:firstLine="0"/>
        <w:jc w:val="center"/>
      </w:pPr>
      <w:bookmarkStart w:id="270" w:name="bookmark270"/>
      <w:bookmarkStart w:id="271" w:name="bookmark271"/>
      <w:bookmarkStart w:id="272" w:name="bookmark272"/>
      <w:r>
        <w:rPr>
          <w:color w:val="000000"/>
          <w:spacing w:val="0"/>
          <w:w w:val="100"/>
          <w:position w:val="0"/>
        </w:rPr>
        <w:t>第四节公司治理</w:t>
      </w:r>
      <w:bookmarkEnd w:id="270"/>
      <w:bookmarkEnd w:id="271"/>
      <w:bookmarkEnd w:id="272"/>
    </w:p>
    <w:p>
      <w:pPr>
        <w:pStyle w:val="Style23"/>
        <w:keepNext/>
        <w:keepLines/>
        <w:widowControl w:val="0"/>
        <w:shd w:val="clear" w:color="auto" w:fill="auto"/>
        <w:bidi w:val="0"/>
        <w:spacing w:before="0" w:after="280" w:line="240" w:lineRule="auto"/>
        <w:ind w:left="0" w:right="0" w:firstLine="0"/>
        <w:jc w:val="left"/>
      </w:pPr>
      <w:bookmarkStart w:id="273" w:name="bookmark273"/>
      <w:bookmarkStart w:id="274" w:name="bookmark274"/>
      <w:bookmarkStart w:id="275" w:name="bookmark275"/>
      <w:bookmarkStart w:id="276" w:name="bookmark276"/>
      <w:bookmarkStart w:id="277" w:name="bookmark277"/>
      <w:r>
        <w:rPr>
          <w:color w:val="000000"/>
          <w:spacing w:val="0"/>
          <w:w w:val="100"/>
          <w:position w:val="0"/>
        </w:rPr>
        <w:t>一</w:t>
      </w:r>
      <w:bookmarkEnd w:id="276"/>
      <w:r>
        <w:rPr>
          <w:color w:val="000000"/>
          <w:spacing w:val="0"/>
          <w:w w:val="100"/>
          <w:position w:val="0"/>
        </w:rPr>
        <w:t>、公司治理的基本状况</w:t>
      </w:r>
      <w:bookmarkEnd w:id="274"/>
      <w:bookmarkEnd w:id="275"/>
      <w:bookmarkEnd w:id="277"/>
      <w:bookmarkEnd w:id="273"/>
    </w:p>
    <w:p>
      <w:pPr>
        <w:pStyle w:val="Style1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报告期内，公司严格按照《公司法》、《证券法》、《上市公司治理准则》、《深圳证券交易所上市 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号——创业板上市公司规范运作》、《深圳证券交易所创业板股票上市规则》等法 律、法规和中国证监会有关法律、法规等的要求，不断完善公司的法人治理结构，建立健全公司内部管理 和控制制度，持续深入开展公司治理活动，促进了公司规范运作，提高了公司治理水平。截至报告期末， 公司治理的实际状况符合《上市公司治理准则》和《深圳证券交易所上市公司自律监管指引第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 业板上市公司规范运作》等相关规定的要求。</w:t>
      </w:r>
    </w:p>
    <w:p>
      <w:pPr>
        <w:pStyle w:val="Style11"/>
        <w:keepNext w:val="0"/>
        <w:keepLines w:val="0"/>
        <w:widowControl w:val="0"/>
        <w:shd w:val="clear" w:color="auto" w:fill="auto"/>
        <w:tabs>
          <w:tab w:pos="760" w:val="left"/>
        </w:tabs>
        <w:bidi w:val="0"/>
        <w:spacing w:before="0" w:after="0" w:line="313" w:lineRule="exact"/>
        <w:ind w:left="0" w:right="0" w:firstLine="440"/>
        <w:jc w:val="both"/>
      </w:pPr>
      <w:bookmarkStart w:id="278" w:name="bookmark278"/>
      <w:r>
        <w:rPr>
          <w:rFonts w:ascii="Times New Roman" w:eastAsia="Times New Roman" w:hAnsi="Times New Roman" w:cs="Times New Roman"/>
          <w:b/>
          <w:bCs/>
          <w:color w:val="000000"/>
          <w:spacing w:val="0"/>
          <w:w w:val="100"/>
          <w:position w:val="0"/>
        </w:rPr>
        <w:t>1</w:t>
      </w:r>
      <w:bookmarkEnd w:id="278"/>
      <w:r>
        <w:rPr>
          <w:b/>
          <w:bCs/>
          <w:color w:val="000000"/>
          <w:spacing w:val="0"/>
          <w:w w:val="100"/>
          <w:position w:val="0"/>
        </w:rPr>
        <w:t>、</w:t>
        <w:tab/>
        <w:t>关于股东及股东大会</w:t>
      </w:r>
    </w:p>
    <w:p>
      <w:pPr>
        <w:pStyle w:val="Style1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公司严格按照《上市公司股东大会规则》、《公司章程》和《股东大会议事规则》等相关规定和要求， 规范股东大会召集、召开、表决程序，确保所有股东享有平等地位、平等权利，充分行使自己的权利，并 承担相应的义务。报告期内，公司共召开了 </w:t>
      </w:r>
      <w:r>
        <w:rPr>
          <w:rFonts w:ascii="Times New Roman" w:eastAsia="Times New Roman" w:hAnsi="Times New Roman" w:cs="Times New Roman"/>
          <w:color w:val="000000"/>
          <w:spacing w:val="0"/>
          <w:w w:val="100"/>
          <w:position w:val="0"/>
        </w:rPr>
        <w:t>1</w:t>
      </w:r>
      <w:r>
        <w:rPr>
          <w:color w:val="000000"/>
          <w:spacing w:val="0"/>
          <w:w w:val="100"/>
          <w:position w:val="0"/>
        </w:rPr>
        <w:t>次年度股东大会，</w:t>
      </w:r>
      <w:r>
        <w:rPr>
          <w:rFonts w:ascii="Times New Roman" w:eastAsia="Times New Roman" w:hAnsi="Times New Roman" w:cs="Times New Roman"/>
          <w:color w:val="000000"/>
          <w:spacing w:val="0"/>
          <w:w w:val="100"/>
          <w:position w:val="0"/>
        </w:rPr>
        <w:t>3</w:t>
      </w:r>
      <w:r>
        <w:rPr>
          <w:color w:val="000000"/>
          <w:spacing w:val="0"/>
          <w:w w:val="100"/>
          <w:position w:val="0"/>
        </w:rPr>
        <w:t>次临时股东大会，会议均由董事会召集、 召开。</w:t>
      </w:r>
    </w:p>
    <w:p>
      <w:pPr>
        <w:pStyle w:val="Style11"/>
        <w:keepNext w:val="0"/>
        <w:keepLines w:val="0"/>
        <w:widowControl w:val="0"/>
        <w:shd w:val="clear" w:color="auto" w:fill="auto"/>
        <w:tabs>
          <w:tab w:pos="767" w:val="left"/>
        </w:tabs>
        <w:bidi w:val="0"/>
        <w:spacing w:before="0" w:after="0" w:line="314" w:lineRule="exact"/>
        <w:ind w:left="0" w:right="0" w:firstLine="440"/>
        <w:jc w:val="both"/>
      </w:pPr>
      <w:bookmarkStart w:id="279" w:name="bookmark279"/>
      <w:r>
        <w:rPr>
          <w:rFonts w:ascii="Times New Roman" w:eastAsia="Times New Roman" w:hAnsi="Times New Roman" w:cs="Times New Roman"/>
          <w:b/>
          <w:bCs/>
          <w:color w:val="000000"/>
          <w:spacing w:val="0"/>
          <w:w w:val="100"/>
          <w:position w:val="0"/>
        </w:rPr>
        <w:t>2</w:t>
      </w:r>
      <w:bookmarkEnd w:id="279"/>
      <w:r>
        <w:rPr>
          <w:b/>
          <w:bCs/>
          <w:color w:val="000000"/>
          <w:spacing w:val="0"/>
          <w:w w:val="100"/>
          <w:position w:val="0"/>
        </w:rPr>
        <w:t>、</w:t>
        <w:tab/>
        <w:t>关于公司与控股股东</w:t>
      </w:r>
    </w:p>
    <w:p>
      <w:pPr>
        <w:pStyle w:val="Style11"/>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公司控股股东严格规范自己的行为，没有超越股东大会直接或间接干预公司的决策和经营活动。公司 拥有独立完整的业务和自主经营能力，在业务、人员、资产、机构、财务上独立于控股股东，公司董事会、 监事会和内部机构独立运作。</w:t>
      </w:r>
    </w:p>
    <w:p>
      <w:pPr>
        <w:pStyle w:val="Style11"/>
        <w:keepNext w:val="0"/>
        <w:keepLines w:val="0"/>
        <w:widowControl w:val="0"/>
        <w:shd w:val="clear" w:color="auto" w:fill="auto"/>
        <w:tabs>
          <w:tab w:pos="767" w:val="left"/>
        </w:tabs>
        <w:bidi w:val="0"/>
        <w:spacing w:before="0" w:after="0"/>
        <w:ind w:left="0" w:right="0" w:firstLine="440"/>
        <w:jc w:val="both"/>
      </w:pPr>
      <w:bookmarkStart w:id="280" w:name="bookmark280"/>
      <w:r>
        <w:rPr>
          <w:rFonts w:ascii="Times New Roman" w:eastAsia="Times New Roman" w:hAnsi="Times New Roman" w:cs="Times New Roman"/>
          <w:b/>
          <w:bCs/>
          <w:color w:val="000000"/>
          <w:spacing w:val="0"/>
          <w:w w:val="100"/>
          <w:position w:val="0"/>
        </w:rPr>
        <w:t>3</w:t>
      </w:r>
      <w:bookmarkEnd w:id="280"/>
      <w:r>
        <w:rPr>
          <w:b/>
          <w:bCs/>
          <w:color w:val="000000"/>
          <w:spacing w:val="0"/>
          <w:w w:val="100"/>
          <w:position w:val="0"/>
        </w:rPr>
        <w:t>、</w:t>
        <w:tab/>
        <w:t>关于董事和董事会</w:t>
      </w:r>
    </w:p>
    <w:p>
      <w:pPr>
        <w:pStyle w:val="Style11"/>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报告期内，公司董事会设董事</w:t>
      </w:r>
      <w:r>
        <w:rPr>
          <w:rFonts w:ascii="Times New Roman" w:eastAsia="Times New Roman" w:hAnsi="Times New Roman" w:cs="Times New Roman"/>
          <w:color w:val="000000"/>
          <w:spacing w:val="0"/>
          <w:w w:val="100"/>
          <w:position w:val="0"/>
        </w:rPr>
        <w:t>8</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名，董事会人数及人员构成符合法律、法规和《公 司章程》的要求。各位董事能够依据《深圳证券交易所上市公司自律监管指引第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 xml:space="preserve">号——创业板上市公司 规范运作》、《董事会议事规则》和《独立董事工作制度》等开展工作，诚信、勤勉地履行职责和义务， 同时积极参加有关培训，熟悉有关法律法规。报告期内，公司共召开了 </w:t>
      </w:r>
      <w:r>
        <w:rPr>
          <w:rFonts w:ascii="Times New Roman" w:eastAsia="Times New Roman" w:hAnsi="Times New Roman" w:cs="Times New Roman"/>
          <w:color w:val="000000"/>
          <w:spacing w:val="0"/>
          <w:w w:val="100"/>
          <w:position w:val="0"/>
        </w:rPr>
        <w:t>10</w:t>
      </w:r>
      <w:r>
        <w:rPr>
          <w:color w:val="000000"/>
          <w:spacing w:val="0"/>
          <w:w w:val="100"/>
          <w:position w:val="0"/>
        </w:rPr>
        <w:t>次董事会，均由董事长召集、 召开。董事会下设战略委员会、提名委员会、审计委员会和薪酬与考核委员会，除战略委员会外其他委 员会中独立董事占比均超过</w:t>
      </w:r>
      <w:r>
        <w:rPr>
          <w:rFonts w:ascii="Times New Roman" w:eastAsia="Times New Roman" w:hAnsi="Times New Roman" w:cs="Times New Roman"/>
          <w:color w:val="000000"/>
          <w:spacing w:val="0"/>
          <w:w w:val="100"/>
          <w:position w:val="0"/>
        </w:rPr>
        <w:t>1/2</w:t>
      </w:r>
      <w:r>
        <w:rPr>
          <w:color w:val="000000"/>
          <w:spacing w:val="0"/>
          <w:w w:val="100"/>
          <w:position w:val="0"/>
        </w:rPr>
        <w:t>,为董事会的决策提供了科学和专业的意见和参考。各个委员会依据《公司 章程》和各委员会议事细则等相关规定履行职权，不受公司其他部门和个人的干预。</w:t>
      </w:r>
    </w:p>
    <w:p>
      <w:pPr>
        <w:pStyle w:val="Style11"/>
        <w:keepNext w:val="0"/>
        <w:keepLines w:val="0"/>
        <w:widowControl w:val="0"/>
        <w:shd w:val="clear" w:color="auto" w:fill="auto"/>
        <w:tabs>
          <w:tab w:pos="767" w:val="left"/>
        </w:tabs>
        <w:bidi w:val="0"/>
        <w:spacing w:before="0" w:after="0"/>
        <w:ind w:left="0" w:right="0" w:firstLine="440"/>
        <w:jc w:val="both"/>
      </w:pPr>
      <w:bookmarkStart w:id="281" w:name="bookmark281"/>
      <w:r>
        <w:rPr>
          <w:rFonts w:ascii="Times New Roman" w:eastAsia="Times New Roman" w:hAnsi="Times New Roman" w:cs="Times New Roman"/>
          <w:b/>
          <w:bCs/>
          <w:color w:val="000000"/>
          <w:spacing w:val="0"/>
          <w:w w:val="100"/>
          <w:position w:val="0"/>
        </w:rPr>
        <w:t>4</w:t>
      </w:r>
      <w:bookmarkEnd w:id="281"/>
      <w:r>
        <w:rPr>
          <w:b/>
          <w:bCs/>
          <w:color w:val="000000"/>
          <w:spacing w:val="0"/>
          <w:w w:val="100"/>
          <w:position w:val="0"/>
        </w:rPr>
        <w:t>、</w:t>
        <w:tab/>
        <w:t>关于监事和监事会</w:t>
      </w:r>
    </w:p>
    <w:p>
      <w:pPr>
        <w:pStyle w:val="Style1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名，监事会的人数和构成符合法律、法规的要求。各位监事能 够按照《监事会议事规则》等相关规定，认真履行自己的职责、对公司重大事项、关联交易、财务状况以 及董事、高管人员履行职责的合法合规性进行监督。报告期内，公司共召开了</w:t>
      </w:r>
      <w:r>
        <w:rPr>
          <w:rFonts w:ascii="Times New Roman" w:eastAsia="Times New Roman" w:hAnsi="Times New Roman" w:cs="Times New Roman"/>
          <w:color w:val="000000"/>
          <w:spacing w:val="0"/>
          <w:w w:val="100"/>
          <w:position w:val="0"/>
        </w:rPr>
        <w:t>9</w:t>
      </w:r>
      <w:r>
        <w:rPr>
          <w:color w:val="000000"/>
          <w:spacing w:val="0"/>
          <w:w w:val="100"/>
          <w:position w:val="0"/>
        </w:rPr>
        <w:t>次监事会，均由监事会主 席召集、召开。</w:t>
      </w:r>
    </w:p>
    <w:p>
      <w:pPr>
        <w:pStyle w:val="Style11"/>
        <w:keepNext w:val="0"/>
        <w:keepLines w:val="0"/>
        <w:widowControl w:val="0"/>
        <w:shd w:val="clear" w:color="auto" w:fill="auto"/>
        <w:tabs>
          <w:tab w:pos="767" w:val="left"/>
        </w:tabs>
        <w:bidi w:val="0"/>
        <w:spacing w:before="0" w:after="0" w:line="314" w:lineRule="exact"/>
        <w:ind w:left="0" w:right="0" w:firstLine="440"/>
        <w:jc w:val="both"/>
      </w:pPr>
      <w:bookmarkStart w:id="282" w:name="bookmark282"/>
      <w:r>
        <w:rPr>
          <w:rFonts w:ascii="Times New Roman" w:eastAsia="Times New Roman" w:hAnsi="Times New Roman" w:cs="Times New Roman"/>
          <w:b/>
          <w:bCs/>
          <w:color w:val="000000"/>
          <w:spacing w:val="0"/>
          <w:w w:val="100"/>
          <w:position w:val="0"/>
        </w:rPr>
        <w:t>5</w:t>
      </w:r>
      <w:bookmarkEnd w:id="282"/>
      <w:r>
        <w:rPr>
          <w:b/>
          <w:bCs/>
          <w:color w:val="000000"/>
          <w:spacing w:val="0"/>
          <w:w w:val="100"/>
          <w:position w:val="0"/>
        </w:rPr>
        <w:t>、</w:t>
        <w:tab/>
        <w:t>关于信息披露与投资者互动</w:t>
      </w:r>
    </w:p>
    <w:p>
      <w:pPr>
        <w:pStyle w:val="Style1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公司严格按照有关法律法规相关要求，真实、准确、及时、公平、完整地披露信息，指定巨潮资讯网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为公司信息披露的指定网站，《中国证券报》、《上海证券报》、《证券时报》及《证 券日报》为公司信息披露的指定报刊，确保公司所有股东能够公平地获取公司信息。同时，公司高度重视 投资者关系管理，积极维护公司与投资者良好关系，通过设立投资者电话专线、传真、邮箱等多种渠道， 采取认真回复投资者咨询、进行网上业绩说明会等多种形式，提高公司信息透明度，保障全体股东特别是 中小股东的合法权益。</w:t>
      </w:r>
    </w:p>
    <w:p>
      <w:pPr>
        <w:pStyle w:val="Style11"/>
        <w:keepNext w:val="0"/>
        <w:keepLines w:val="0"/>
        <w:widowControl w:val="0"/>
        <w:shd w:val="clear" w:color="auto" w:fill="auto"/>
        <w:tabs>
          <w:tab w:pos="767" w:val="left"/>
        </w:tabs>
        <w:bidi w:val="0"/>
        <w:spacing w:before="0" w:after="0" w:line="314" w:lineRule="exact"/>
        <w:ind w:left="0" w:right="0" w:firstLine="440"/>
        <w:jc w:val="both"/>
      </w:pPr>
      <w:bookmarkStart w:id="283" w:name="bookmark283"/>
      <w:r>
        <w:rPr>
          <w:rFonts w:ascii="Times New Roman" w:eastAsia="Times New Roman" w:hAnsi="Times New Roman" w:cs="Times New Roman"/>
          <w:b/>
          <w:bCs/>
          <w:color w:val="000000"/>
          <w:spacing w:val="0"/>
          <w:w w:val="100"/>
          <w:position w:val="0"/>
        </w:rPr>
        <w:t>6</w:t>
      </w:r>
      <w:bookmarkEnd w:id="283"/>
      <w:r>
        <w:rPr>
          <w:b/>
          <w:bCs/>
          <w:color w:val="000000"/>
          <w:spacing w:val="0"/>
          <w:w w:val="100"/>
          <w:position w:val="0"/>
        </w:rPr>
        <w:t>、</w:t>
        <w:tab/>
        <w:t>关于内幕信息知情人登记管理</w:t>
      </w:r>
    </w:p>
    <w:p>
      <w:pPr>
        <w:pStyle w:val="Style11"/>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 xml:space="preserve">公司严格按照《内幕信息知情人登记管理制度》等相关规定，加强内幕信息的保密工作，完善内幕信 息知情人登记管理。报告期内，公司的董事、监事和高级管理人员及其相关人员在定期报告、内部信息编 </w:t>
      </w:r>
      <w:r>
        <w:rPr>
          <w:color w:val="000000"/>
          <w:spacing w:val="0"/>
          <w:w w:val="100"/>
          <w:position w:val="0"/>
        </w:rPr>
        <w:t>制和披露过程中及重大事项筹划期间，都严格遵守保密义务。</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3"/>
        <w:keepNext/>
        <w:keepLines/>
        <w:widowControl w:val="0"/>
        <w:shd w:val="clear" w:color="auto" w:fill="auto"/>
        <w:tabs>
          <w:tab w:pos="522" w:val="left"/>
        </w:tabs>
        <w:bidi w:val="0"/>
        <w:spacing w:before="0" w:after="320" w:line="312" w:lineRule="exact"/>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二</w:t>
      </w:r>
      <w:bookmarkEnd w:id="286"/>
      <w:r>
        <w:rPr>
          <w:color w:val="000000"/>
          <w:spacing w:val="0"/>
          <w:w w:val="100"/>
          <w:position w:val="0"/>
        </w:rPr>
        <w:t>、</w:t>
        <w:tab/>
        <w:t>公司相对于控股股东、实际控制人在保证公司资产、人员、财务、机构、业务等方面的 独立情况</w:t>
      </w:r>
      <w:bookmarkEnd w:id="284"/>
      <w:bookmarkEnd w:id="285"/>
      <w:bookmarkEnd w:id="287"/>
    </w:p>
    <w:p>
      <w:pPr>
        <w:pStyle w:val="Style11"/>
        <w:keepNext w:val="0"/>
        <w:keepLines w:val="0"/>
        <w:widowControl w:val="0"/>
        <w:shd w:val="clear" w:color="auto" w:fill="auto"/>
        <w:bidi w:val="0"/>
        <w:spacing w:before="0" w:after="620" w:line="312" w:lineRule="exact"/>
        <w:ind w:left="0" w:right="0" w:firstLine="440"/>
        <w:jc w:val="both"/>
      </w:pPr>
      <w:r>
        <w:rPr>
          <w:color w:val="000000"/>
          <w:spacing w:val="0"/>
          <w:w w:val="100"/>
          <w:position w:val="0"/>
        </w:rPr>
        <w:t>公司控股股东、实际控制人为自然人。公司与控股股东实行了业务、人员、资产、机构、财务独立， 各自独立核算、独立承担责任和风险，公司具有独立完整的业务和自主经营的能力。</w:t>
      </w:r>
    </w:p>
    <w:p>
      <w:pPr>
        <w:pStyle w:val="Style23"/>
        <w:keepNext/>
        <w:keepLines/>
        <w:widowControl w:val="0"/>
        <w:shd w:val="clear" w:color="auto" w:fill="auto"/>
        <w:tabs>
          <w:tab w:pos="522" w:val="left"/>
        </w:tabs>
        <w:bidi w:val="0"/>
        <w:spacing w:before="0" w:after="380" w:line="312" w:lineRule="exact"/>
        <w:ind w:left="0" w:right="0" w:firstLine="0"/>
        <w:jc w:val="both"/>
      </w:pPr>
      <w:bookmarkStart w:id="288" w:name="bookmark288"/>
      <w:bookmarkStart w:id="289" w:name="bookmark289"/>
      <w:bookmarkStart w:id="290" w:name="bookmark290"/>
      <w:bookmarkStart w:id="291" w:name="bookmark291"/>
      <w:r>
        <w:rPr>
          <w:color w:val="000000"/>
          <w:spacing w:val="0"/>
          <w:w w:val="100"/>
          <w:position w:val="0"/>
        </w:rPr>
        <w:t>三</w:t>
      </w:r>
      <w:bookmarkEnd w:id="290"/>
      <w:r>
        <w:rPr>
          <w:color w:val="000000"/>
          <w:spacing w:val="0"/>
          <w:w w:val="100"/>
          <w:position w:val="0"/>
        </w:rPr>
        <w:t>、</w:t>
        <w:tab/>
        <w:t>同业竞争情况</w:t>
      </w:r>
      <w:bookmarkEnd w:id="288"/>
      <w:bookmarkEnd w:id="289"/>
      <w:bookmarkEnd w:id="291"/>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292" w:name="bookmark292"/>
      <w:bookmarkStart w:id="293" w:name="bookmark293"/>
      <w:bookmarkStart w:id="294" w:name="bookmark294"/>
      <w:bookmarkStart w:id="295" w:name="bookmark295"/>
      <w:r>
        <w:rPr>
          <w:color w:val="000000"/>
          <w:spacing w:val="0"/>
          <w:w w:val="100"/>
          <w:position w:val="0"/>
        </w:rPr>
        <w:t>四</w:t>
      </w:r>
      <w:bookmarkEnd w:id="294"/>
      <w:r>
        <w:rPr>
          <w:color w:val="000000"/>
          <w:spacing w:val="0"/>
          <w:w w:val="100"/>
          <w:position w:val="0"/>
        </w:rPr>
        <w:t>、报告期内召开的年度股东大会和临时股东大会的有关情况</w:t>
      </w:r>
      <w:bookmarkEnd w:id="292"/>
      <w:bookmarkEnd w:id="293"/>
      <w:bookmarkEnd w:id="295"/>
    </w:p>
    <w:p>
      <w:pPr>
        <w:pStyle w:val="Style31"/>
        <w:keepNext/>
        <w:keepLines/>
        <w:widowControl w:val="0"/>
        <w:shd w:val="clear" w:color="auto" w:fill="auto"/>
        <w:bidi w:val="0"/>
        <w:spacing w:before="0" w:after="320" w:line="240" w:lineRule="auto"/>
        <w:ind w:left="0" w:right="0" w:firstLine="0"/>
        <w:jc w:val="both"/>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1</w:t>
      </w:r>
      <w:bookmarkEnd w:id="298"/>
      <w:r>
        <w:rPr>
          <w:color w:val="000000"/>
          <w:spacing w:val="0"/>
          <w:w w:val="100"/>
          <w:position w:val="0"/>
        </w:rPr>
        <w:t>、本报告期股东大会情况</w:t>
      </w:r>
      <w:bookmarkEnd w:id="296"/>
      <w:bookmarkEnd w:id="297"/>
      <w:bookmarkEnd w:id="299"/>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年第一次临时股东 大会决议公告》（公 告编号：</w:t>
            </w:r>
            <w:r>
              <w:rPr>
                <w:rFonts w:ascii="Times New Roman" w:eastAsia="Times New Roman" w:hAnsi="Times New Roman" w:cs="Times New Roman"/>
                <w:color w:val="000000"/>
                <w:spacing w:val="0"/>
                <w:w w:val="100"/>
                <w:position w:val="0"/>
                <w:sz w:val="18"/>
                <w:szCs w:val="18"/>
              </w:rPr>
              <w:t>2021-015</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巨潮资讯网；《红相 股份有限公司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年第二次临时股东 大会决议公告》（公 告编号：</w:t>
            </w:r>
            <w:r>
              <w:rPr>
                <w:rFonts w:ascii="Times New Roman" w:eastAsia="Times New Roman" w:hAnsi="Times New Roman" w:cs="Times New Roman"/>
                <w:color w:val="000000"/>
                <w:spacing w:val="0"/>
                <w:w w:val="100"/>
                <w:position w:val="0"/>
                <w:sz w:val="18"/>
                <w:szCs w:val="18"/>
              </w:rPr>
              <w:t>2021-030</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年年度股东大会决 议公告》（公告编号： </w:t>
            </w:r>
            <w:r>
              <w:rPr>
                <w:rFonts w:ascii="Times New Roman" w:eastAsia="Times New Roman" w:hAnsi="Times New Roman" w:cs="Times New Roman"/>
                <w:color w:val="000000"/>
                <w:spacing w:val="0"/>
                <w:w w:val="100"/>
                <w:position w:val="0"/>
                <w:sz w:val="18"/>
                <w:szCs w:val="18"/>
              </w:rPr>
              <w:t>2021-063</w:t>
            </w:r>
            <w:r>
              <w:rPr>
                <w:color w:val="000000"/>
                <w:spacing w:val="0"/>
                <w:w w:val="100"/>
                <w:position w:val="0"/>
              </w:rPr>
              <w:t>）</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巨潮资讯网；《红相 股份有限公司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年第三次临时股东 大会决议公告》（公 告编号：</w:t>
            </w:r>
            <w:r>
              <w:rPr>
                <w:rFonts w:ascii="Times New Roman" w:eastAsia="Times New Roman" w:hAnsi="Times New Roman" w:cs="Times New Roman"/>
                <w:color w:val="000000"/>
                <w:spacing w:val="0"/>
                <w:w w:val="100"/>
                <w:position w:val="0"/>
                <w:sz w:val="18"/>
                <w:szCs w:val="18"/>
              </w:rPr>
              <w:t>2021-102</w:t>
            </w:r>
            <w:r>
              <w:rPr>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2</w:t>
      </w:r>
      <w:bookmarkEnd w:id="302"/>
      <w:r>
        <w:rPr>
          <w:color w:val="000000"/>
          <w:spacing w:val="0"/>
          <w:w w:val="100"/>
          <w:position w:val="0"/>
        </w:rPr>
        <w:t>、表决权恢复的优先股股东请求召开临时股东大会</w:t>
      </w:r>
      <w:bookmarkEnd w:id="300"/>
      <w:bookmarkEnd w:id="301"/>
      <w:bookmarkEnd w:id="303"/>
    </w:p>
    <w:p>
      <w:pPr>
        <w:pStyle w:val="Style27"/>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after="38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五</w:t>
      </w:r>
      <w:bookmarkEnd w:id="306"/>
      <w:r>
        <w:rPr>
          <w:color w:val="000000"/>
          <w:spacing w:val="0"/>
          <w:w w:val="100"/>
          <w:position w:val="0"/>
        </w:rPr>
        <w:t>、公司具有表决权差异安排</w:t>
      </w:r>
      <w:bookmarkEnd w:id="304"/>
      <w:bookmarkEnd w:id="305"/>
      <w:bookmarkEnd w:id="307"/>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六</w:t>
      </w:r>
      <w:bookmarkEnd w:id="310"/>
      <w:r>
        <w:rPr>
          <w:color w:val="000000"/>
          <w:spacing w:val="0"/>
          <w:w w:val="100"/>
          <w:position w:val="0"/>
        </w:rPr>
        <w:t>、红筹架构公司治理情况</w:t>
      </w:r>
      <w:bookmarkEnd w:id="308"/>
      <w:bookmarkEnd w:id="309"/>
      <w:bookmarkEnd w:id="311"/>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rPr>
        <w:t>七</w:t>
      </w:r>
      <w:bookmarkEnd w:id="314"/>
      <w:r>
        <w:rPr>
          <w:color w:val="000000"/>
          <w:spacing w:val="0"/>
          <w:w w:val="100"/>
          <w:position w:val="0"/>
        </w:rPr>
        <w:t>、董事、监事和高级管理人员情况</w:t>
      </w:r>
      <w:bookmarkEnd w:id="312"/>
      <w:bookmarkEnd w:id="313"/>
      <w:bookmarkEnd w:id="315"/>
    </w:p>
    <w:p>
      <w:pPr>
        <w:pStyle w:val="Style31"/>
        <w:keepNext/>
        <w:keepLines/>
        <w:widowControl w:val="0"/>
        <w:shd w:val="clear" w:color="auto" w:fill="auto"/>
        <w:bidi w:val="0"/>
        <w:spacing w:before="0" w:after="300" w:line="240" w:lineRule="auto"/>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1</w:t>
      </w:r>
      <w:bookmarkEnd w:id="318"/>
      <w:r>
        <w:rPr>
          <w:color w:val="000000"/>
          <w:spacing w:val="0"/>
          <w:w w:val="100"/>
          <w:position w:val="0"/>
        </w:rPr>
        <w:t>、基本情况</w:t>
      </w:r>
      <w:bookmarkEnd w:id="316"/>
      <w:bookmarkEnd w:id="317"/>
      <w:bookmarkEnd w:id="319"/>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的原因</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 内，大宗 交易减 持</w:t>
            </w:r>
            <w:r>
              <w:rPr>
                <w:rFonts w:ascii="Times New Roman" w:eastAsia="Times New Roman" w:hAnsi="Times New Roman" w:cs="Times New Roman"/>
                <w:color w:val="000000"/>
                <w:spacing w:val="0"/>
                <w:w w:val="100"/>
                <w:position w:val="0"/>
                <w:sz w:val="18"/>
                <w:szCs w:val="18"/>
              </w:rPr>
              <w:t>210</w:t>
            </w:r>
            <w:r>
              <w:rPr>
                <w:color w:val="000000"/>
                <w:spacing w:val="0"/>
                <w:w w:val="100"/>
                <w:position w:val="0"/>
              </w:rPr>
              <w:t>万 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副董事 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杨翼飞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丁兴号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唐炎钊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汤金木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陈耀高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何东武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444,224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陈水明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魏荣毅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方育阳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吴章坤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廖雪林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李喜娇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董事会 秘书、副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49,316,5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报告期内不再担任副总经理，担任副董事长</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唐炎钊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汤金木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方育阳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吴章坤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320" w:name="bookmark32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、任职情况</w:t>
      </w:r>
      <w:bookmarkEnd w:id="320"/>
    </w:p>
    <w:p>
      <w:pPr>
        <w:widowControl w:val="0"/>
        <w:spacing w:after="379" w:line="1" w:lineRule="exact"/>
      </w:pPr>
    </w:p>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11"/>
        <w:keepNext w:val="0"/>
        <w:keepLines w:val="0"/>
        <w:widowControl w:val="0"/>
        <w:shd w:val="clear" w:color="auto" w:fill="auto"/>
        <w:tabs>
          <w:tab w:pos="319" w:val="left"/>
        </w:tabs>
        <w:bidi w:val="0"/>
        <w:spacing w:before="0" w:after="380" w:line="312" w:lineRule="exact"/>
        <w:ind w:left="0" w:right="0" w:firstLine="0"/>
        <w:jc w:val="both"/>
      </w:pPr>
      <w:bookmarkStart w:id="321" w:name="bookmark321"/>
      <w:r>
        <w:rPr>
          <w:rFonts w:ascii="Times New Roman" w:eastAsia="Times New Roman" w:hAnsi="Times New Roman" w:cs="Times New Roman"/>
          <w:color w:val="000000"/>
          <w:spacing w:val="0"/>
          <w:w w:val="100"/>
          <w:position w:val="0"/>
        </w:rPr>
        <w:t>1</w:t>
      </w:r>
      <w:bookmarkEnd w:id="321"/>
      <w:r>
        <w:rPr>
          <w:color w:val="000000"/>
          <w:spacing w:val="0"/>
          <w:w w:val="100"/>
          <w:position w:val="0"/>
        </w:rPr>
        <w:t>、</w:t>
        <w:tab/>
        <w:t>杨成：董事长兼总经理，男，中国籍，无境外居留权，</w:t>
      </w:r>
      <w:r>
        <w:rPr>
          <w:rFonts w:ascii="Times New Roman" w:eastAsia="Times New Roman" w:hAnsi="Times New Roman" w:cs="Times New Roman"/>
          <w:color w:val="000000"/>
          <w:spacing w:val="0"/>
          <w:w w:val="100"/>
          <w:position w:val="0"/>
        </w:rPr>
        <w:t>1961</w:t>
      </w:r>
      <w:r>
        <w:rPr>
          <w:color w:val="000000"/>
          <w:spacing w:val="0"/>
          <w:w w:val="100"/>
          <w:position w:val="0"/>
        </w:rPr>
        <w:t>年出生，厦门大学统计学硕士。曾先后任 厦门红相电力设备有限公司副总经理、厦门红相电力设备进出口有限公司（以下简称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红相有限</w:t>
      </w:r>
      <w:r>
        <w:rPr>
          <w:rFonts w:ascii="Times New Roman" w:eastAsia="Times New Roman" w:hAnsi="Times New Roman" w:cs="Times New Roman"/>
          <w:color w:val="000000"/>
          <w:spacing w:val="0"/>
          <w:w w:val="100"/>
          <w:position w:val="0"/>
        </w:rPr>
        <w:t>”</w:t>
      </w:r>
      <w:r>
        <w:rPr>
          <w:color w:val="000000"/>
          <w:spacing w:val="0"/>
          <w:w w:val="100"/>
          <w:position w:val="0"/>
        </w:rPr>
        <w:t>，红相股 份前身）副总经理、红相有限董事长、总经理、中宁县银变新能源有限公司执行董事。现任公司董事长、 总经理，兼任厦门红相软件有限公司执行董事、厦门红相信息科技有限公司执行董事兼总经理、卧龙电气 银川变压器有限公司董事长、红相电力（上海）有限公司董事长、厦门红相智能科技有限公司执行董事。</w:t>
      </w:r>
    </w:p>
    <w:p>
      <w:pPr>
        <w:pStyle w:val="Style11"/>
        <w:keepNext w:val="0"/>
        <w:keepLines w:val="0"/>
        <w:widowControl w:val="0"/>
        <w:shd w:val="clear" w:color="auto" w:fill="auto"/>
        <w:bidi w:val="0"/>
        <w:spacing w:before="0" w:after="0" w:line="317" w:lineRule="exact"/>
        <w:ind w:left="0" w:right="0" w:firstLine="0"/>
        <w:jc w:val="both"/>
      </w:pPr>
      <w:bookmarkStart w:id="322" w:name="bookmark322"/>
      <w:r>
        <w:rPr>
          <w:rFonts w:ascii="Times New Roman" w:eastAsia="Times New Roman" w:hAnsi="Times New Roman" w:cs="Times New Roman"/>
          <w:color w:val="000000"/>
          <w:spacing w:val="0"/>
          <w:w w:val="100"/>
          <w:position w:val="0"/>
        </w:rPr>
        <w:t>2</w:t>
      </w:r>
      <w:bookmarkEnd w:id="322"/>
      <w:r>
        <w:rPr>
          <w:color w:val="000000"/>
          <w:spacing w:val="0"/>
          <w:w w:val="100"/>
          <w:position w:val="0"/>
        </w:rPr>
        <w:t>、 杨力：董事，男，中国籍，无境外居留权，</w:t>
      </w:r>
      <w:r>
        <w:rPr>
          <w:rFonts w:ascii="Times New Roman" w:eastAsia="Times New Roman" w:hAnsi="Times New Roman" w:cs="Times New Roman"/>
          <w:color w:val="000000"/>
          <w:spacing w:val="0"/>
          <w:w w:val="100"/>
          <w:position w:val="0"/>
        </w:rPr>
        <w:t>1968</w:t>
      </w:r>
      <w:r>
        <w:rPr>
          <w:color w:val="000000"/>
          <w:spacing w:val="0"/>
          <w:w w:val="100"/>
          <w:position w:val="0"/>
        </w:rPr>
        <w:t>年出生，厦门大学计算机应用专业毕业。曾任职于厦 门建发股份有限公司和厦门海外旅游公司、曾任厦门红相电力设备有限公司监事、红相有限监事、董事。</w:t>
      </w:r>
    </w:p>
    <w:p>
      <w:pPr>
        <w:pStyle w:val="Style11"/>
        <w:keepNext w:val="0"/>
        <w:keepLines w:val="0"/>
        <w:widowControl w:val="0"/>
        <w:shd w:val="clear" w:color="auto" w:fill="auto"/>
        <w:bidi w:val="0"/>
        <w:spacing w:before="0" w:after="380" w:line="317" w:lineRule="exact"/>
        <w:ind w:left="0" w:right="0" w:firstLine="0"/>
        <w:jc w:val="both"/>
      </w:pPr>
      <w:r>
        <w:rPr>
          <w:color w:val="000000"/>
          <w:spacing w:val="0"/>
          <w:w w:val="100"/>
          <w:position w:val="0"/>
        </w:rPr>
        <w:t>现任公司董事、红相电力（上海）有限公司董事、厦门红相塑胶材料有限公司执行董事及总经理、香港红 相实业有限公司董事。</w:t>
      </w:r>
    </w:p>
    <w:p>
      <w:pPr>
        <w:pStyle w:val="Style11"/>
        <w:keepNext w:val="0"/>
        <w:keepLines w:val="0"/>
        <w:widowControl w:val="0"/>
        <w:shd w:val="clear" w:color="auto" w:fill="auto"/>
        <w:bidi w:val="0"/>
        <w:spacing w:before="0" w:after="380" w:line="317" w:lineRule="exact"/>
        <w:ind w:left="0" w:right="0" w:firstLine="0"/>
        <w:jc w:val="both"/>
      </w:pPr>
      <w:bookmarkStart w:id="323" w:name="bookmark323"/>
      <w:r>
        <w:rPr>
          <w:rFonts w:ascii="Times New Roman" w:eastAsia="Times New Roman" w:hAnsi="Times New Roman" w:cs="Times New Roman"/>
          <w:color w:val="000000"/>
          <w:spacing w:val="0"/>
          <w:w w:val="100"/>
          <w:position w:val="0"/>
        </w:rPr>
        <w:t>3</w:t>
      </w:r>
      <w:bookmarkEnd w:id="323"/>
      <w:r>
        <w:rPr>
          <w:color w:val="000000"/>
          <w:spacing w:val="0"/>
          <w:w w:val="100"/>
          <w:position w:val="0"/>
        </w:rPr>
        <w:t>、 吴志阳：董事，男，中国籍，无境外居留权，</w:t>
      </w:r>
      <w:r>
        <w:rPr>
          <w:rFonts w:ascii="Times New Roman" w:eastAsia="Times New Roman" w:hAnsi="Times New Roman" w:cs="Times New Roman"/>
          <w:color w:val="000000"/>
          <w:spacing w:val="0"/>
          <w:w w:val="100"/>
          <w:position w:val="0"/>
        </w:rPr>
        <w:t>1967</w:t>
      </w:r>
      <w:r>
        <w:rPr>
          <w:color w:val="000000"/>
          <w:spacing w:val="0"/>
          <w:w w:val="100"/>
          <w:position w:val="0"/>
        </w:rPr>
        <w:t>年出生，厦门大学无线电技术专业本科。曾任厦门 华侨电子企业有限公司工程师、南非大宇电子公司总工程师、厦门红相电力设备有限公司副总经理、红相 有限副总经理、公司副总经理。现任公司副董事长。</w:t>
      </w:r>
    </w:p>
    <w:p>
      <w:pPr>
        <w:pStyle w:val="Style11"/>
        <w:keepNext w:val="0"/>
        <w:keepLines w:val="0"/>
        <w:widowControl w:val="0"/>
        <w:shd w:val="clear" w:color="auto" w:fill="auto"/>
        <w:bidi w:val="0"/>
        <w:spacing w:before="0" w:after="380" w:line="316" w:lineRule="exact"/>
        <w:ind w:left="0" w:right="0" w:firstLine="0"/>
        <w:jc w:val="both"/>
      </w:pPr>
      <w:bookmarkStart w:id="324" w:name="bookmark324"/>
      <w:r>
        <w:rPr>
          <w:rFonts w:ascii="Times New Roman" w:eastAsia="Times New Roman" w:hAnsi="Times New Roman" w:cs="Times New Roman"/>
          <w:color w:val="000000"/>
          <w:spacing w:val="0"/>
          <w:w w:val="100"/>
          <w:position w:val="0"/>
        </w:rPr>
        <w:t>4</w:t>
      </w:r>
      <w:bookmarkEnd w:id="324"/>
      <w:r>
        <w:rPr>
          <w:color w:val="000000"/>
          <w:spacing w:val="0"/>
          <w:w w:val="100"/>
          <w:position w:val="0"/>
        </w:rPr>
        <w:t>、 张青：董事，男，中国籍，无境外居留权，</w:t>
      </w:r>
      <w:r>
        <w:rPr>
          <w:rFonts w:ascii="Times New Roman" w:eastAsia="Times New Roman" w:hAnsi="Times New Roman" w:cs="Times New Roman"/>
          <w:color w:val="000000"/>
          <w:spacing w:val="0"/>
          <w:w w:val="100"/>
          <w:position w:val="0"/>
        </w:rPr>
        <w:t>1966</w:t>
      </w:r>
      <w:r>
        <w:rPr>
          <w:color w:val="000000"/>
          <w:spacing w:val="0"/>
          <w:w w:val="100"/>
          <w:position w:val="0"/>
        </w:rPr>
        <w:t>年出生，南京邮电学院通讯网规划专业，硕士学历。 曾任合肥星波通信股份有限公司董事、总经理、巢湖市晶阁光伏发电有限公司执行董事、新余丰睿投资管 理合伙企业（有限合伙）执行事务合伙人；现任公司董事、合肥星波通信技术有限公司董事长、合肥星波 电子有限公司董事长、合肥睿晶电力科技股份有限公司董事、深圳市安捷力数据智能有限责任公司董事、 合肥捷杰电子有限公司监事、合肥星睿股权投资合伙企业（有限合伙）执行事务合伙人。</w:t>
      </w:r>
    </w:p>
    <w:p>
      <w:pPr>
        <w:pStyle w:val="Style11"/>
        <w:keepNext w:val="0"/>
        <w:keepLines w:val="0"/>
        <w:widowControl w:val="0"/>
        <w:shd w:val="clear" w:color="auto" w:fill="auto"/>
        <w:tabs>
          <w:tab w:pos="319" w:val="left"/>
        </w:tabs>
        <w:bidi w:val="0"/>
        <w:spacing w:before="0" w:after="0" w:line="307" w:lineRule="exact"/>
        <w:ind w:left="0" w:right="0" w:firstLine="0"/>
        <w:jc w:val="both"/>
      </w:pPr>
      <w:bookmarkStart w:id="325" w:name="bookmark325"/>
      <w:r>
        <w:rPr>
          <w:rFonts w:ascii="Times New Roman" w:eastAsia="Times New Roman" w:hAnsi="Times New Roman" w:cs="Times New Roman"/>
          <w:color w:val="000000"/>
          <w:spacing w:val="0"/>
          <w:w w:val="100"/>
          <w:position w:val="0"/>
        </w:rPr>
        <w:t>5</w:t>
      </w:r>
      <w:bookmarkEnd w:id="325"/>
      <w:r>
        <w:rPr>
          <w:color w:val="000000"/>
          <w:spacing w:val="0"/>
          <w:w w:val="100"/>
          <w:position w:val="0"/>
        </w:rPr>
        <w:t>、</w:t>
        <w:tab/>
        <w:t>吴剑波：吴剑波：董事，男，中国籍，无境外居留权，</w:t>
      </w:r>
      <w:r>
        <w:rPr>
          <w:rFonts w:ascii="Times New Roman" w:eastAsia="Times New Roman" w:hAnsi="Times New Roman" w:cs="Times New Roman"/>
          <w:color w:val="000000"/>
          <w:spacing w:val="0"/>
          <w:w w:val="100"/>
          <w:position w:val="0"/>
        </w:rPr>
        <w:t>1980</w:t>
      </w:r>
      <w:r>
        <w:rPr>
          <w:color w:val="000000"/>
          <w:spacing w:val="0"/>
          <w:w w:val="100"/>
          <w:position w:val="0"/>
        </w:rPr>
        <w:t>年出生，毕业于英国牛津大学，硕士学历。</w:t>
      </w:r>
    </w:p>
    <w:p>
      <w:pPr>
        <w:pStyle w:val="Style11"/>
        <w:keepNext w:val="0"/>
        <w:keepLines w:val="0"/>
        <w:widowControl w:val="0"/>
        <w:shd w:val="clear" w:color="auto" w:fill="auto"/>
        <w:tabs>
          <w:tab w:pos="610" w:val="left"/>
        </w:tabs>
        <w:bidi w:val="0"/>
        <w:spacing w:before="0" w:after="380" w:line="307" w:lineRule="exact"/>
        <w:ind w:left="0" w:right="0" w:firstLine="0"/>
        <w:jc w:val="both"/>
      </w:pPr>
      <w:r>
        <w:rPr>
          <w:color w:val="000000"/>
          <w:spacing w:val="0"/>
          <w:w w:val="100"/>
          <w:position w:val="0"/>
        </w:rPr>
        <w:t>曾任马鸿投资管理有限公司合伙人、浙江卧龙创业投资有限公司总经理、</w:t>
      </w:r>
      <w:r>
        <w:rPr>
          <w:rFonts w:ascii="Times New Roman" w:eastAsia="Times New Roman" w:hAnsi="Times New Roman" w:cs="Times New Roman"/>
          <w:color w:val="000000"/>
          <w:spacing w:val="0"/>
          <w:w w:val="100"/>
          <w:position w:val="0"/>
        </w:rPr>
        <w:t>ATB Austria Antnebstechnik AG CFO</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月至今，任卧龙电气驱动集团股份有限公司财务总监兼董事会秘书；</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月至今，任卧 </w:t>
      </w:r>
      <w:r>
        <w:rPr>
          <w:color w:val="000000"/>
          <w:spacing w:val="0"/>
          <w:w w:val="100"/>
          <w:position w:val="0"/>
        </w:rPr>
        <w:t>龙电气驱动集团股份有限公司董事。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月起担任公司董事。</w:t>
      </w:r>
    </w:p>
    <w:p>
      <w:pPr>
        <w:pStyle w:val="Style11"/>
        <w:keepNext w:val="0"/>
        <w:keepLines w:val="0"/>
        <w:widowControl w:val="0"/>
        <w:shd w:val="clear" w:color="auto" w:fill="auto"/>
        <w:tabs>
          <w:tab w:pos="353" w:val="left"/>
        </w:tabs>
        <w:bidi w:val="0"/>
        <w:spacing w:before="0" w:after="380" w:line="315" w:lineRule="exact"/>
        <w:ind w:left="0" w:right="0" w:firstLine="0"/>
        <w:jc w:val="both"/>
      </w:pPr>
      <w:bookmarkStart w:id="326" w:name="bookmark326"/>
      <w:r>
        <w:rPr>
          <w:rFonts w:ascii="Times New Roman" w:eastAsia="Times New Roman" w:hAnsi="Times New Roman" w:cs="Times New Roman"/>
          <w:color w:val="000000"/>
          <w:spacing w:val="0"/>
          <w:w w:val="100"/>
          <w:position w:val="0"/>
        </w:rPr>
        <w:t>6</w:t>
      </w:r>
      <w:bookmarkEnd w:id="326"/>
      <w:r>
        <w:rPr>
          <w:color w:val="000000"/>
          <w:spacing w:val="0"/>
          <w:w w:val="100"/>
          <w:position w:val="0"/>
        </w:rPr>
        <w:t>、</w:t>
        <w:tab/>
        <w:t>杨翼飞：独立董事，女，中国籍，无境外居留权，</w:t>
      </w:r>
      <w:r>
        <w:rPr>
          <w:rFonts w:ascii="Times New Roman" w:eastAsia="Times New Roman" w:hAnsi="Times New Roman" w:cs="Times New Roman"/>
          <w:color w:val="000000"/>
          <w:spacing w:val="0"/>
          <w:w w:val="100"/>
          <w:position w:val="0"/>
        </w:rPr>
        <w:t>1975</w:t>
      </w:r>
      <w:r>
        <w:rPr>
          <w:color w:val="000000"/>
          <w:spacing w:val="0"/>
          <w:w w:val="100"/>
          <w:position w:val="0"/>
        </w:rPr>
        <w:t>年出生，博士研究生，厦门国家会计学院教师。 分别于</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2009</w:t>
      </w:r>
      <w:r>
        <w:rPr>
          <w:color w:val="000000"/>
          <w:spacing w:val="0"/>
          <w:w w:val="100"/>
          <w:position w:val="0"/>
        </w:rPr>
        <w:t>年获厦门大学会计学学士、博士学位。</w:t>
      </w:r>
      <w:r>
        <w:rPr>
          <w:rFonts w:ascii="Times New Roman" w:eastAsia="Times New Roman" w:hAnsi="Times New Roman" w:cs="Times New Roman"/>
          <w:color w:val="000000"/>
          <w:spacing w:val="0"/>
          <w:w w:val="100"/>
          <w:position w:val="0"/>
        </w:rPr>
        <w:t>2007</w:t>
      </w:r>
      <w:r>
        <w:rPr>
          <w:color w:val="000000"/>
          <w:spacing w:val="0"/>
          <w:w w:val="100"/>
          <w:position w:val="0"/>
        </w:rPr>
        <w:t>年至今在厦门国家会计学院工作。目前的 主要研究方向是会计准则、报表分析、内部控制、商业模式等。</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月起担任厦门华侨电子股份有限 公司独立董事。</w:t>
      </w:r>
    </w:p>
    <w:p>
      <w:pPr>
        <w:pStyle w:val="Style11"/>
        <w:keepNext w:val="0"/>
        <w:keepLines w:val="0"/>
        <w:widowControl w:val="0"/>
        <w:shd w:val="clear" w:color="auto" w:fill="auto"/>
        <w:tabs>
          <w:tab w:pos="353" w:val="left"/>
        </w:tabs>
        <w:bidi w:val="0"/>
        <w:spacing w:before="0" w:after="380" w:line="313" w:lineRule="exact"/>
        <w:ind w:left="0" w:right="0" w:firstLine="0"/>
        <w:jc w:val="both"/>
      </w:pPr>
      <w:bookmarkStart w:id="327" w:name="bookmark327"/>
      <w:r>
        <w:rPr>
          <w:rFonts w:ascii="Times New Roman" w:eastAsia="Times New Roman" w:hAnsi="Times New Roman" w:cs="Times New Roman"/>
          <w:color w:val="000000"/>
          <w:spacing w:val="0"/>
          <w:w w:val="100"/>
          <w:position w:val="0"/>
        </w:rPr>
        <w:t>7</w:t>
      </w:r>
      <w:bookmarkEnd w:id="327"/>
      <w:r>
        <w:rPr>
          <w:color w:val="000000"/>
          <w:spacing w:val="0"/>
          <w:w w:val="100"/>
          <w:position w:val="0"/>
        </w:rPr>
        <w:t>、</w:t>
        <w:tab/>
        <w:t>丁兴号：独立董事，男，中国籍，无境外居留权，</w:t>
      </w:r>
      <w:r>
        <w:rPr>
          <w:rFonts w:ascii="Times New Roman" w:eastAsia="Times New Roman" w:hAnsi="Times New Roman" w:cs="Times New Roman"/>
          <w:color w:val="000000"/>
          <w:spacing w:val="0"/>
          <w:w w:val="100"/>
          <w:position w:val="0"/>
        </w:rPr>
        <w:t>1976</w:t>
      </w:r>
      <w:r>
        <w:rPr>
          <w:color w:val="000000"/>
          <w:spacing w:val="0"/>
          <w:w w:val="100"/>
          <w:position w:val="0"/>
        </w:rPr>
        <w:t>年出生，博士研究生，厦门大学信息学院教授、 博导，福建省百千万人才，福建省高等学校新世纪优秀人才。丁兴号分别于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2003</w:t>
      </w:r>
      <w:r>
        <w:rPr>
          <w:color w:val="000000"/>
          <w:spacing w:val="0"/>
          <w:w w:val="100"/>
          <w:position w:val="0"/>
        </w:rPr>
        <w:t>年获合肥工业大 学学士、博士学位；</w:t>
      </w:r>
      <w:r>
        <w:rPr>
          <w:rFonts w:ascii="Times New Roman" w:eastAsia="Times New Roman" w:hAnsi="Times New Roman" w:cs="Times New Roman"/>
          <w:color w:val="000000"/>
          <w:spacing w:val="0"/>
          <w:w w:val="100"/>
          <w:position w:val="0"/>
        </w:rPr>
        <w:t>2006.</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2008.10</w:t>
      </w:r>
      <w:r>
        <w:rPr>
          <w:color w:val="000000"/>
          <w:spacing w:val="0"/>
          <w:w w:val="100"/>
          <w:position w:val="0"/>
        </w:rPr>
        <w:t>厦门大学物理学博士后；</w:t>
      </w:r>
      <w:r>
        <w:rPr>
          <w:rFonts w:ascii="Times New Roman" w:eastAsia="Times New Roman" w:hAnsi="Times New Roman" w:cs="Times New Roman"/>
          <w:color w:val="000000"/>
          <w:spacing w:val="0"/>
          <w:w w:val="100"/>
          <w:position w:val="0"/>
        </w:rPr>
        <w:t>2009.9</w:t>
      </w:r>
      <w:r>
        <w:rPr>
          <w:color w:val="000000"/>
          <w:spacing w:val="0"/>
          <w:w w:val="100"/>
          <w:position w:val="0"/>
        </w:rPr>
        <w:t>至</w:t>
      </w:r>
      <w:r>
        <w:rPr>
          <w:rFonts w:ascii="Times New Roman" w:eastAsia="Times New Roman" w:hAnsi="Times New Roman" w:cs="Times New Roman"/>
          <w:color w:val="000000"/>
          <w:spacing w:val="0"/>
          <w:w w:val="100"/>
          <w:position w:val="0"/>
        </w:rPr>
        <w:t>2011.3</w:t>
      </w:r>
      <w:r>
        <w:rPr>
          <w:color w:val="000000"/>
          <w:spacing w:val="0"/>
          <w:w w:val="100"/>
          <w:position w:val="0"/>
        </w:rPr>
        <w:t>美国</w:t>
      </w:r>
      <w:r>
        <w:rPr>
          <w:rFonts w:ascii="Times New Roman" w:eastAsia="Times New Roman" w:hAnsi="Times New Roman" w:cs="Times New Roman"/>
          <w:color w:val="000000"/>
          <w:spacing w:val="0"/>
          <w:w w:val="100"/>
          <w:position w:val="0"/>
        </w:rPr>
        <w:t>Duke</w:t>
      </w:r>
      <w:r>
        <w:rPr>
          <w:color w:val="000000"/>
          <w:spacing w:val="0"/>
          <w:w w:val="100"/>
          <w:position w:val="0"/>
        </w:rPr>
        <w:t>大学电子与计算机 工程系博士后；</w:t>
      </w:r>
      <w:r>
        <w:rPr>
          <w:rFonts w:ascii="Times New Roman" w:eastAsia="Times New Roman" w:hAnsi="Times New Roman" w:cs="Times New Roman"/>
          <w:color w:val="000000"/>
          <w:spacing w:val="0"/>
          <w:w w:val="100"/>
          <w:position w:val="0"/>
        </w:rPr>
        <w:t>2003</w:t>
      </w:r>
      <w:r>
        <w:rPr>
          <w:color w:val="000000"/>
          <w:spacing w:val="0"/>
          <w:w w:val="100"/>
          <w:position w:val="0"/>
        </w:rPr>
        <w:t>年至今在厦门大学信息学院工作。目前的主要研究方向是机器学习、深度学习、图像 处理与分析、智能数据分析与处理等。</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月起担任公司独立董事。</w:t>
      </w:r>
    </w:p>
    <w:p>
      <w:pPr>
        <w:pStyle w:val="Style11"/>
        <w:keepNext w:val="0"/>
        <w:keepLines w:val="0"/>
        <w:widowControl w:val="0"/>
        <w:shd w:val="clear" w:color="auto" w:fill="auto"/>
        <w:tabs>
          <w:tab w:pos="353" w:val="left"/>
        </w:tabs>
        <w:bidi w:val="0"/>
        <w:spacing w:before="0" w:after="380" w:line="316" w:lineRule="exact"/>
        <w:ind w:left="0" w:right="0" w:firstLine="0"/>
        <w:jc w:val="both"/>
      </w:pPr>
      <w:bookmarkStart w:id="328" w:name="bookmark328"/>
      <w:r>
        <w:rPr>
          <w:rFonts w:ascii="Times New Roman" w:eastAsia="Times New Roman" w:hAnsi="Times New Roman" w:cs="Times New Roman"/>
          <w:color w:val="000000"/>
          <w:spacing w:val="0"/>
          <w:w w:val="100"/>
          <w:position w:val="0"/>
        </w:rPr>
        <w:t>8</w:t>
      </w:r>
      <w:bookmarkEnd w:id="328"/>
      <w:r>
        <w:rPr>
          <w:color w:val="000000"/>
          <w:spacing w:val="0"/>
          <w:w w:val="100"/>
          <w:position w:val="0"/>
        </w:rPr>
        <w:t>、</w:t>
        <w:tab/>
        <w:t>李成：独立董事，男，</w:t>
      </w:r>
      <w:r>
        <w:rPr>
          <w:rFonts w:ascii="Times New Roman" w:eastAsia="Times New Roman" w:hAnsi="Times New Roman" w:cs="Times New Roman"/>
          <w:color w:val="000000"/>
          <w:spacing w:val="0"/>
          <w:w w:val="100"/>
          <w:position w:val="0"/>
        </w:rPr>
        <w:t>1979</w:t>
      </w:r>
      <w:r>
        <w:rPr>
          <w:color w:val="000000"/>
          <w:spacing w:val="0"/>
          <w:w w:val="100"/>
          <w:position w:val="0"/>
        </w:rPr>
        <w:t>年生，中国国籍，博士学位、教授、哥伦比亚大学访问学者，历任厦门大 学会计系助理教授、副教授、</w:t>
      </w:r>
      <w:r>
        <w:rPr>
          <w:rFonts w:ascii="Times New Roman" w:eastAsia="Times New Roman" w:hAnsi="Times New Roman" w:cs="Times New Roman"/>
          <w:color w:val="000000"/>
          <w:spacing w:val="0"/>
          <w:w w:val="100"/>
          <w:position w:val="0"/>
        </w:rPr>
        <w:t>MPAcc</w:t>
      </w:r>
      <w:r>
        <w:rPr>
          <w:color w:val="000000"/>
          <w:spacing w:val="0"/>
          <w:w w:val="100"/>
          <w:position w:val="0"/>
        </w:rPr>
        <w:t>中心副主任、会计系副主任，现任厦门大学会计系教授、厦门狄耐克 智能科技股份有限公司独立董事、欣贺股份有限公司独立董事、安徽新远科技股份有限公司独立董事、全 国会计领军人才</w:t>
      </w:r>
      <w:r>
        <w:rPr>
          <w:rFonts w:ascii="Times New Roman" w:eastAsia="Times New Roman" w:hAnsi="Times New Roman" w:cs="Times New Roman"/>
          <w:color w:val="000000"/>
          <w:spacing w:val="0"/>
          <w:w w:val="100"/>
          <w:position w:val="0"/>
        </w:rPr>
        <w:t>（</w:t>
      </w:r>
      <w:r>
        <w:rPr>
          <w:color w:val="000000"/>
          <w:spacing w:val="0"/>
          <w:w w:val="100"/>
          <w:position w:val="0"/>
        </w:rPr>
        <w:t>学术五期后备</w:t>
      </w:r>
      <w:r>
        <w:rPr>
          <w:rFonts w:ascii="Times New Roman" w:eastAsia="Times New Roman" w:hAnsi="Times New Roman" w:cs="Times New Roman"/>
          <w:color w:val="000000"/>
          <w:spacing w:val="0"/>
          <w:w w:val="100"/>
          <w:position w:val="0"/>
        </w:rPr>
        <w:t>）</w:t>
      </w:r>
      <w:r>
        <w:rPr>
          <w:color w:val="000000"/>
          <w:spacing w:val="0"/>
          <w:w w:val="100"/>
          <w:position w:val="0"/>
        </w:rPr>
        <w:t>、中国国际税收研究会学术委员、中国会计学会会员、福建省高新技术企 业评审专家、厦门市财政学会副会长。</w:t>
      </w:r>
    </w:p>
    <w:p>
      <w:pPr>
        <w:pStyle w:val="Style11"/>
        <w:keepNext w:val="0"/>
        <w:keepLines w:val="0"/>
        <w:widowControl w:val="0"/>
        <w:shd w:val="clear" w:color="auto" w:fill="auto"/>
        <w:tabs>
          <w:tab w:pos="353" w:val="left"/>
        </w:tabs>
        <w:bidi w:val="0"/>
        <w:spacing w:before="0" w:after="380" w:line="312" w:lineRule="exact"/>
        <w:ind w:left="0" w:right="0" w:firstLine="0"/>
        <w:jc w:val="both"/>
      </w:pPr>
      <w:bookmarkStart w:id="329" w:name="bookmark329"/>
      <w:r>
        <w:rPr>
          <w:rFonts w:ascii="Times New Roman" w:eastAsia="Times New Roman" w:hAnsi="Times New Roman" w:cs="Times New Roman"/>
          <w:color w:val="000000"/>
          <w:spacing w:val="0"/>
          <w:w w:val="100"/>
          <w:position w:val="0"/>
        </w:rPr>
        <w:t>9</w:t>
      </w:r>
      <w:bookmarkEnd w:id="329"/>
      <w:r>
        <w:rPr>
          <w:color w:val="000000"/>
          <w:spacing w:val="0"/>
          <w:w w:val="100"/>
          <w:position w:val="0"/>
        </w:rPr>
        <w:t>、</w:t>
        <w:tab/>
        <w:t>汤金木：独立董事（离任），中国籍，无境外居留权，</w:t>
      </w:r>
      <w:r>
        <w:rPr>
          <w:rFonts w:ascii="Times New Roman" w:eastAsia="Times New Roman" w:hAnsi="Times New Roman" w:cs="Times New Roman"/>
          <w:color w:val="000000"/>
          <w:spacing w:val="0"/>
          <w:w w:val="100"/>
          <w:position w:val="0"/>
        </w:rPr>
        <w:t>1966</w:t>
      </w:r>
      <w:r>
        <w:rPr>
          <w:color w:val="000000"/>
          <w:spacing w:val="0"/>
          <w:w w:val="100"/>
          <w:position w:val="0"/>
        </w:rPr>
        <w:t xml:space="preserve">年出生，中共党员，财政学博士学历，高 级会计师、注册会计师。汤金木先生曾任厦门会计师事务所、厦门资产评估所经理、副主任、所长，厦门 天健华天会计师事务所董事、合伙人，现任厦门市注册会计师协会秘书长，兼厦门资产评估协会秘书长。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月担任公司独立董事。</w:t>
      </w:r>
    </w:p>
    <w:p>
      <w:pPr>
        <w:pStyle w:val="Style11"/>
        <w:keepNext w:val="0"/>
        <w:keepLines w:val="0"/>
        <w:widowControl w:val="0"/>
        <w:shd w:val="clear" w:color="auto" w:fill="auto"/>
        <w:bidi w:val="0"/>
        <w:spacing w:before="0" w:after="320" w:line="310" w:lineRule="exact"/>
        <w:ind w:left="0" w:right="0" w:firstLine="0"/>
        <w:jc w:val="both"/>
      </w:pPr>
      <w:bookmarkStart w:id="330" w:name="bookmark330"/>
      <w:r>
        <w:rPr>
          <w:rFonts w:ascii="Times New Roman" w:eastAsia="Times New Roman" w:hAnsi="Times New Roman" w:cs="Times New Roman"/>
          <w:color w:val="000000"/>
          <w:spacing w:val="0"/>
          <w:w w:val="100"/>
          <w:position w:val="0"/>
        </w:rPr>
        <w:t>1</w:t>
      </w:r>
      <w:bookmarkEnd w:id="330"/>
      <w:r>
        <w:rPr>
          <w:rFonts w:ascii="Times New Roman" w:eastAsia="Times New Roman" w:hAnsi="Times New Roman" w:cs="Times New Roman"/>
          <w:color w:val="000000"/>
          <w:spacing w:val="0"/>
          <w:w w:val="100"/>
          <w:position w:val="0"/>
        </w:rPr>
        <w:t>0</w:t>
      </w:r>
      <w:r>
        <w:rPr>
          <w:color w:val="000000"/>
          <w:spacing w:val="0"/>
          <w:w w:val="100"/>
          <w:position w:val="0"/>
        </w:rPr>
        <w:t>、 唐炎钊先生：独立董事（离任），中国籍，无境外居留权，</w:t>
      </w:r>
      <w:r>
        <w:rPr>
          <w:rFonts w:ascii="Times New Roman" w:eastAsia="Times New Roman" w:hAnsi="Times New Roman" w:cs="Times New Roman"/>
          <w:color w:val="000000"/>
          <w:spacing w:val="0"/>
          <w:w w:val="100"/>
          <w:position w:val="0"/>
        </w:rPr>
        <w:t>1968</w:t>
      </w:r>
      <w:r>
        <w:rPr>
          <w:color w:val="000000"/>
          <w:spacing w:val="0"/>
          <w:w w:val="100"/>
          <w:position w:val="0"/>
        </w:rPr>
        <w:t>年出生，华中科技大学管理科学与工 程专业博士，厦门大学管理学院教授、博士生导师。</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月于武汉冶金设备制造公司党委 组织部及车间从事组织管理、基层管理工作，</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月于中国科技开发院医药科技开发所从 事风险投资的理论研究及评估工作，</w:t>
      </w:r>
      <w:r>
        <w:rPr>
          <w:rFonts w:ascii="Times New Roman" w:eastAsia="Times New Roman" w:hAnsi="Times New Roman" w:cs="Times New Roman"/>
          <w:color w:val="000000"/>
          <w:spacing w:val="0"/>
          <w:w w:val="100"/>
          <w:position w:val="0"/>
        </w:rPr>
        <w:t>2000</w:t>
      </w:r>
      <w:r>
        <w:rPr>
          <w:color w:val="000000"/>
          <w:spacing w:val="0"/>
          <w:w w:val="100"/>
          <w:position w:val="0"/>
        </w:rPr>
        <w:t>年至今任教于厦门大学，期间赴纽卡斯尔大学、伊利诺伊大学香 槟分校学习，并于曼彻斯特大学、百森商学院作访问学者。现兼任福建龙马环卫装备股份有限公司的独立 董事、鹭燕医药股份有限公司的独立董事、厦门光莆电子股份有限公司的独立董事、合诚工程咨询集团股 份有限公司的独立董事。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月担任公司的独立董事。</w:t>
      </w:r>
    </w:p>
    <w:p>
      <w:pPr>
        <w:pStyle w:val="Style11"/>
        <w:keepNext w:val="0"/>
        <w:keepLines w:val="0"/>
        <w:widowControl w:val="0"/>
        <w:shd w:val="clear" w:color="auto" w:fill="auto"/>
        <w:bidi w:val="0"/>
        <w:spacing w:before="0" w:after="320" w:line="310" w:lineRule="exact"/>
        <w:ind w:left="0" w:right="0" w:firstLine="0"/>
        <w:jc w:val="both"/>
      </w:pPr>
      <w:bookmarkStart w:id="331" w:name="bookmark331"/>
      <w:r>
        <w:rPr>
          <w:rFonts w:ascii="Times New Roman" w:eastAsia="Times New Roman" w:hAnsi="Times New Roman" w:cs="Times New Roman"/>
          <w:color w:val="000000"/>
          <w:spacing w:val="0"/>
          <w:w w:val="100"/>
          <w:position w:val="0"/>
        </w:rPr>
        <w:t>1</w:t>
      </w:r>
      <w:bookmarkEnd w:id="331"/>
      <w:r>
        <w:rPr>
          <w:rFonts w:ascii="Times New Roman" w:eastAsia="Times New Roman" w:hAnsi="Times New Roman" w:cs="Times New Roman"/>
          <w:color w:val="000000"/>
          <w:spacing w:val="0"/>
          <w:w w:val="100"/>
          <w:position w:val="0"/>
        </w:rPr>
        <w:t>1</w:t>
      </w:r>
      <w:r>
        <w:rPr>
          <w:color w:val="000000"/>
          <w:spacing w:val="0"/>
          <w:w w:val="100"/>
          <w:position w:val="0"/>
        </w:rPr>
        <w:t>、 方育阳：监事会主席、职工代表监事（离任），中国籍，无境外居留权，男，</w:t>
      </w:r>
      <w:r>
        <w:rPr>
          <w:rFonts w:ascii="Times New Roman" w:eastAsia="Times New Roman" w:hAnsi="Times New Roman" w:cs="Times New Roman"/>
          <w:color w:val="000000"/>
          <w:spacing w:val="0"/>
          <w:w w:val="100"/>
          <w:position w:val="0"/>
        </w:rPr>
        <w:t>1983</w:t>
      </w:r>
      <w:r>
        <w:rPr>
          <w:color w:val="000000"/>
          <w:spacing w:val="0"/>
          <w:w w:val="100"/>
          <w:position w:val="0"/>
        </w:rPr>
        <w:t>年出生，山东科技 大学电气工程及其自动化专业本科学历。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月任公司技术工程师，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月任公司研发中心风险评价研究所副所长、所长，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月至今任公司投资中心经理、投资副总监。</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月担任公司监事会主席、职工代表监事。</w:t>
      </w:r>
    </w:p>
    <w:p>
      <w:pPr>
        <w:pStyle w:val="Style11"/>
        <w:keepNext w:val="0"/>
        <w:keepLines w:val="0"/>
        <w:widowControl w:val="0"/>
        <w:shd w:val="clear" w:color="auto" w:fill="auto"/>
        <w:tabs>
          <w:tab w:pos="414" w:val="left"/>
        </w:tabs>
        <w:bidi w:val="0"/>
        <w:spacing w:before="0" w:after="320" w:line="312" w:lineRule="exact"/>
        <w:ind w:left="0" w:right="0" w:firstLine="0"/>
        <w:jc w:val="both"/>
      </w:pPr>
      <w:bookmarkStart w:id="332" w:name="bookmark332"/>
      <w:r>
        <w:rPr>
          <w:rFonts w:ascii="Times New Roman" w:eastAsia="Times New Roman" w:hAnsi="Times New Roman" w:cs="Times New Roman"/>
          <w:color w:val="000000"/>
          <w:spacing w:val="0"/>
          <w:w w:val="100"/>
          <w:position w:val="0"/>
        </w:rPr>
        <w:t>1</w:t>
      </w:r>
      <w:bookmarkEnd w:id="332"/>
      <w:r>
        <w:rPr>
          <w:rFonts w:ascii="Times New Roman" w:eastAsia="Times New Roman" w:hAnsi="Times New Roman" w:cs="Times New Roman"/>
          <w:color w:val="000000"/>
          <w:spacing w:val="0"/>
          <w:w w:val="100"/>
          <w:position w:val="0"/>
        </w:rPr>
        <w:t>2</w:t>
      </w:r>
      <w:r>
        <w:rPr>
          <w:color w:val="000000"/>
          <w:spacing w:val="0"/>
          <w:w w:val="100"/>
          <w:position w:val="0"/>
        </w:rPr>
        <w:t>、</w:t>
        <w:tab/>
        <w:t>李文斐先生：公司监事，男，中国籍，无境外居留权，</w:t>
      </w:r>
      <w:r>
        <w:rPr>
          <w:rFonts w:ascii="Times New Roman" w:eastAsia="Times New Roman" w:hAnsi="Times New Roman" w:cs="Times New Roman"/>
          <w:color w:val="000000"/>
          <w:spacing w:val="0"/>
          <w:w w:val="100"/>
          <w:position w:val="0"/>
        </w:rPr>
        <w:t>1983</w:t>
      </w:r>
      <w:r>
        <w:rPr>
          <w:color w:val="000000"/>
          <w:spacing w:val="0"/>
          <w:w w:val="100"/>
          <w:position w:val="0"/>
        </w:rPr>
        <w:t>年出生，华东交通大学电气工程及其自动 化本科毕业。进入本公司前曾任职于江西省火电建设公司，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月任红相电力技术部技术 工程师、产品经理，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月任红相电力状态检修部副经理，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月至今任公司状态检 修二部经理。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月起担任公司监事。</w:t>
      </w:r>
    </w:p>
    <w:p>
      <w:pPr>
        <w:pStyle w:val="Style11"/>
        <w:keepNext w:val="0"/>
        <w:keepLines w:val="0"/>
        <w:widowControl w:val="0"/>
        <w:shd w:val="clear" w:color="auto" w:fill="auto"/>
        <w:tabs>
          <w:tab w:pos="404" w:val="left"/>
        </w:tabs>
        <w:bidi w:val="0"/>
        <w:spacing w:before="0" w:after="300" w:line="312" w:lineRule="exact"/>
        <w:ind w:left="0" w:right="0" w:firstLine="0"/>
        <w:jc w:val="both"/>
      </w:pPr>
      <w:bookmarkStart w:id="333" w:name="bookmark333"/>
      <w:r>
        <w:rPr>
          <w:rFonts w:ascii="Times New Roman" w:eastAsia="Times New Roman" w:hAnsi="Times New Roman" w:cs="Times New Roman"/>
          <w:color w:val="000000"/>
          <w:spacing w:val="0"/>
          <w:w w:val="100"/>
          <w:position w:val="0"/>
        </w:rPr>
        <w:t>1</w:t>
      </w:r>
      <w:bookmarkEnd w:id="333"/>
      <w:r>
        <w:rPr>
          <w:rFonts w:ascii="Times New Roman" w:eastAsia="Times New Roman" w:hAnsi="Times New Roman" w:cs="Times New Roman"/>
          <w:color w:val="000000"/>
          <w:spacing w:val="0"/>
          <w:w w:val="100"/>
          <w:position w:val="0"/>
        </w:rPr>
        <w:t>3</w:t>
      </w:r>
      <w:r>
        <w:rPr>
          <w:color w:val="000000"/>
          <w:spacing w:val="0"/>
          <w:w w:val="100"/>
          <w:position w:val="0"/>
        </w:rPr>
        <w:t>、</w:t>
        <w:tab/>
        <w:t>吴章坤先生：公司监事（离任），男，中国籍，无境外居留权，</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月出生，福建工程学院电气 </w:t>
      </w:r>
      <w:r>
        <w:rPr>
          <w:color w:val="000000"/>
          <w:spacing w:val="0"/>
          <w:w w:val="100"/>
          <w:position w:val="0"/>
        </w:rPr>
        <w:t>工程及其自动化专业工学学士，厦门大学项目管理工程硕士。进入本公司前曾任职于福耀集团</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汽车 玻璃有限公司工程部，</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月任公司工程师，</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月任公司工厂管理部 主管，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月任红相电力工厂副厂长，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月任公司工厂厂长，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月至今任物资采购部经理。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月担任公司监事。</w:t>
      </w:r>
    </w:p>
    <w:p>
      <w:pPr>
        <w:pStyle w:val="Style11"/>
        <w:keepNext w:val="0"/>
        <w:keepLines w:val="0"/>
        <w:widowControl w:val="0"/>
        <w:shd w:val="clear" w:color="auto" w:fill="auto"/>
        <w:tabs>
          <w:tab w:pos="422" w:val="left"/>
        </w:tabs>
        <w:bidi w:val="0"/>
        <w:spacing w:before="0" w:after="300" w:line="319" w:lineRule="exact"/>
        <w:ind w:left="0" w:right="0" w:firstLine="0"/>
        <w:jc w:val="both"/>
      </w:pPr>
      <w:bookmarkStart w:id="334" w:name="bookmark334"/>
      <w:r>
        <w:rPr>
          <w:rFonts w:ascii="Times New Roman" w:eastAsia="Times New Roman" w:hAnsi="Times New Roman" w:cs="Times New Roman"/>
          <w:color w:val="000000"/>
          <w:spacing w:val="0"/>
          <w:w w:val="100"/>
          <w:position w:val="0"/>
        </w:rPr>
        <w:t>1</w:t>
      </w:r>
      <w:bookmarkEnd w:id="334"/>
      <w:r>
        <w:rPr>
          <w:rFonts w:ascii="Times New Roman" w:eastAsia="Times New Roman" w:hAnsi="Times New Roman" w:cs="Times New Roman"/>
          <w:color w:val="000000"/>
          <w:spacing w:val="0"/>
          <w:w w:val="100"/>
          <w:position w:val="0"/>
        </w:rPr>
        <w:t>4</w:t>
      </w:r>
      <w:r>
        <w:rPr>
          <w:color w:val="000000"/>
          <w:spacing w:val="0"/>
          <w:w w:val="100"/>
          <w:position w:val="0"/>
        </w:rPr>
        <w:t>、</w:t>
        <w:tab/>
        <w:t>魏荣毅：职工代表监事，男，中国籍，无境外居留权，</w:t>
      </w:r>
      <w:r>
        <w:rPr>
          <w:rFonts w:ascii="Times New Roman" w:eastAsia="Times New Roman" w:hAnsi="Times New Roman" w:cs="Times New Roman"/>
          <w:color w:val="000000"/>
          <w:spacing w:val="0"/>
          <w:w w:val="100"/>
          <w:position w:val="0"/>
        </w:rPr>
        <w:t>1979</w:t>
      </w:r>
      <w:r>
        <w:rPr>
          <w:color w:val="000000"/>
          <w:spacing w:val="0"/>
          <w:w w:val="100"/>
          <w:position w:val="0"/>
        </w:rPr>
        <w:t>年出生，大专学历，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月进入公司，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月起任公司行政管理部主管，</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月至今任公司行政管理部副经理。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月起担任公司职 工代表监事。</w:t>
      </w:r>
    </w:p>
    <w:p>
      <w:pPr>
        <w:pStyle w:val="Style11"/>
        <w:keepNext w:val="0"/>
        <w:keepLines w:val="0"/>
        <w:widowControl w:val="0"/>
        <w:shd w:val="clear" w:color="auto" w:fill="auto"/>
        <w:tabs>
          <w:tab w:pos="422" w:val="left"/>
        </w:tabs>
        <w:bidi w:val="0"/>
        <w:spacing w:before="0" w:after="300" w:line="312" w:lineRule="exact"/>
        <w:ind w:left="0" w:right="0" w:firstLine="0"/>
        <w:jc w:val="both"/>
      </w:pPr>
      <w:bookmarkStart w:id="335" w:name="bookmark335"/>
      <w:r>
        <w:rPr>
          <w:rFonts w:ascii="Times New Roman" w:eastAsia="Times New Roman" w:hAnsi="Times New Roman" w:cs="Times New Roman"/>
          <w:color w:val="000000"/>
          <w:spacing w:val="0"/>
          <w:w w:val="100"/>
          <w:position w:val="0"/>
        </w:rPr>
        <w:t>1</w:t>
      </w:r>
      <w:bookmarkEnd w:id="335"/>
      <w:r>
        <w:rPr>
          <w:rFonts w:ascii="Times New Roman" w:eastAsia="Times New Roman" w:hAnsi="Times New Roman" w:cs="Times New Roman"/>
          <w:color w:val="000000"/>
          <w:spacing w:val="0"/>
          <w:w w:val="100"/>
          <w:position w:val="0"/>
        </w:rPr>
        <w:t>5</w:t>
      </w:r>
      <w:r>
        <w:rPr>
          <w:color w:val="000000"/>
          <w:spacing w:val="0"/>
          <w:w w:val="100"/>
          <w:position w:val="0"/>
        </w:rPr>
        <w:t>、</w:t>
        <w:tab/>
        <w:t>方亮：监事会主席，男，中国籍，无境外居留权，</w:t>
      </w:r>
      <w:r>
        <w:rPr>
          <w:rFonts w:ascii="Times New Roman" w:eastAsia="Times New Roman" w:hAnsi="Times New Roman" w:cs="Times New Roman"/>
          <w:color w:val="000000"/>
          <w:spacing w:val="0"/>
          <w:w w:val="100"/>
          <w:position w:val="0"/>
        </w:rPr>
        <w:t>1984</w:t>
      </w:r>
      <w:r>
        <w:rPr>
          <w:color w:val="000000"/>
          <w:spacing w:val="0"/>
          <w:w w:val="100"/>
          <w:position w:val="0"/>
        </w:rPr>
        <w:t>年出生，华中农业大学工商管理本科。</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月进入公司，历任销售管理部事务助理、招投标主管、销售管理部副经理。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月至今任公司销售 管理二部经理。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月起担任公司监事会主席。</w:t>
      </w:r>
    </w:p>
    <w:p>
      <w:pPr>
        <w:pStyle w:val="Style11"/>
        <w:keepNext w:val="0"/>
        <w:keepLines w:val="0"/>
        <w:widowControl w:val="0"/>
        <w:shd w:val="clear" w:color="auto" w:fill="auto"/>
        <w:tabs>
          <w:tab w:pos="422" w:val="left"/>
        </w:tabs>
        <w:bidi w:val="0"/>
        <w:spacing w:before="0" w:after="300" w:line="314" w:lineRule="exact"/>
        <w:ind w:left="0" w:right="0" w:firstLine="0"/>
        <w:jc w:val="both"/>
      </w:pPr>
      <w:bookmarkStart w:id="336" w:name="bookmark336"/>
      <w:r>
        <w:rPr>
          <w:rFonts w:ascii="Times New Roman" w:eastAsia="Times New Roman" w:hAnsi="Times New Roman" w:cs="Times New Roman"/>
          <w:color w:val="000000"/>
          <w:spacing w:val="0"/>
          <w:w w:val="100"/>
          <w:position w:val="0"/>
        </w:rPr>
        <w:t>1</w:t>
      </w:r>
      <w:bookmarkEnd w:id="336"/>
      <w:r>
        <w:rPr>
          <w:rFonts w:ascii="Times New Roman" w:eastAsia="Times New Roman" w:hAnsi="Times New Roman" w:cs="Times New Roman"/>
          <w:color w:val="000000"/>
          <w:spacing w:val="0"/>
          <w:w w:val="100"/>
          <w:position w:val="0"/>
        </w:rPr>
        <w:t>6</w:t>
      </w:r>
      <w:r>
        <w:rPr>
          <w:color w:val="000000"/>
          <w:spacing w:val="0"/>
          <w:w w:val="100"/>
          <w:position w:val="0"/>
        </w:rPr>
        <w:t>、</w:t>
        <w:tab/>
        <w:t>李喜娇女士：公司董事会秘书、副总经理，中国国籍，无境外永久居留权，女，</w:t>
      </w:r>
      <w:r>
        <w:rPr>
          <w:rFonts w:ascii="Times New Roman" w:eastAsia="Times New Roman" w:hAnsi="Times New Roman" w:cs="Times New Roman"/>
          <w:color w:val="000000"/>
          <w:spacing w:val="0"/>
          <w:w w:val="100"/>
          <w:position w:val="0"/>
        </w:rPr>
        <w:t>1988</w:t>
      </w:r>
      <w:r>
        <w:rPr>
          <w:color w:val="000000"/>
          <w:spacing w:val="0"/>
          <w:w w:val="100"/>
          <w:position w:val="0"/>
        </w:rPr>
        <w:t>年出生，集美大 学金融学专业，经济学学士。</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月任公司证券部证券事务助理职务；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月任证券事务主管职务；</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月起任证券事务代表，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月起兼任公司证券部经理。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月起担任公司董事会秘书、副总经理。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月起担任涵普电力董事。</w:t>
      </w:r>
    </w:p>
    <w:p>
      <w:pPr>
        <w:pStyle w:val="Style11"/>
        <w:keepNext w:val="0"/>
        <w:keepLines w:val="0"/>
        <w:widowControl w:val="0"/>
        <w:shd w:val="clear" w:color="auto" w:fill="auto"/>
        <w:tabs>
          <w:tab w:pos="423" w:val="left"/>
        </w:tabs>
        <w:bidi w:val="0"/>
        <w:spacing w:before="0" w:after="400" w:line="315" w:lineRule="exact"/>
        <w:ind w:left="0" w:right="0" w:firstLine="0"/>
        <w:jc w:val="both"/>
      </w:pPr>
      <w:bookmarkStart w:id="337" w:name="bookmark337"/>
      <w:r>
        <w:rPr>
          <w:rFonts w:ascii="Times New Roman" w:eastAsia="Times New Roman" w:hAnsi="Times New Roman" w:cs="Times New Roman"/>
          <w:color w:val="000000"/>
          <w:spacing w:val="0"/>
          <w:w w:val="100"/>
          <w:position w:val="0"/>
        </w:rPr>
        <w:t>1</w:t>
      </w:r>
      <w:bookmarkEnd w:id="337"/>
      <w:r>
        <w:rPr>
          <w:rFonts w:ascii="Times New Roman" w:eastAsia="Times New Roman" w:hAnsi="Times New Roman" w:cs="Times New Roman"/>
          <w:color w:val="000000"/>
          <w:spacing w:val="0"/>
          <w:w w:val="100"/>
          <w:position w:val="0"/>
        </w:rPr>
        <w:t>7</w:t>
      </w:r>
      <w:r>
        <w:rPr>
          <w:color w:val="000000"/>
          <w:spacing w:val="0"/>
          <w:w w:val="100"/>
          <w:position w:val="0"/>
        </w:rPr>
        <w:t>、</w:t>
        <w:tab/>
        <w:t>廖雪林女士：公司财务总监，中国籍，无境外居留权，女，</w:t>
      </w:r>
      <w:r>
        <w:rPr>
          <w:rFonts w:ascii="Times New Roman" w:eastAsia="Times New Roman" w:hAnsi="Times New Roman" w:cs="Times New Roman"/>
          <w:color w:val="000000"/>
          <w:spacing w:val="0"/>
          <w:w w:val="100"/>
          <w:position w:val="0"/>
        </w:rPr>
        <w:t>1982</w:t>
      </w:r>
      <w:r>
        <w:rPr>
          <w:color w:val="000000"/>
          <w:spacing w:val="0"/>
          <w:w w:val="100"/>
          <w:position w:val="0"/>
        </w:rPr>
        <w:t>年出生，西南财经大学财经系本科毕 业。</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月担任公司内部审计部职员，</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月担任公司内部审计部主管，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月担任公司内部审计部副经理，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月担任公司内部审计部经理。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月起担任公司财务总监、</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月担任星波通信财务总监，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月起兼任银 川卧龙财务总监。</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月起担任涵普电力董事、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月起担任涵普三维董事、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月起担任星 波通信董事。</w:t>
      </w:r>
    </w:p>
    <w:p>
      <w:pPr>
        <w:pStyle w:val="Style11"/>
        <w:keepNext w:val="0"/>
        <w:keepLines w:val="0"/>
        <w:widowControl w:val="0"/>
        <w:shd w:val="clear" w:color="auto" w:fill="auto"/>
        <w:bidi w:val="0"/>
        <w:spacing w:before="0" w:after="400" w:line="312" w:lineRule="exact"/>
        <w:ind w:left="0" w:right="0" w:firstLine="0"/>
        <w:jc w:val="both"/>
      </w:pPr>
      <w:bookmarkStart w:id="338" w:name="bookmark338"/>
      <w:r>
        <w:rPr>
          <w:rFonts w:ascii="Times New Roman" w:eastAsia="Times New Roman" w:hAnsi="Times New Roman" w:cs="Times New Roman"/>
          <w:color w:val="000000"/>
          <w:spacing w:val="0"/>
          <w:w w:val="100"/>
          <w:position w:val="0"/>
        </w:rPr>
        <w:t>1</w:t>
      </w:r>
      <w:bookmarkEnd w:id="338"/>
      <w:r>
        <w:rPr>
          <w:rFonts w:ascii="Times New Roman" w:eastAsia="Times New Roman" w:hAnsi="Times New Roman" w:cs="Times New Roman"/>
          <w:color w:val="000000"/>
          <w:spacing w:val="0"/>
          <w:w w:val="100"/>
          <w:position w:val="0"/>
        </w:rPr>
        <w:t>8</w:t>
      </w:r>
      <w:r>
        <w:rPr>
          <w:color w:val="000000"/>
          <w:spacing w:val="0"/>
          <w:w w:val="100"/>
          <w:position w:val="0"/>
        </w:rPr>
        <w:t>、 何东武：何东武：副总经理，男，中国籍，无境外居留权，</w:t>
      </w:r>
      <w:r>
        <w:rPr>
          <w:rFonts w:ascii="Times New Roman" w:eastAsia="Times New Roman" w:hAnsi="Times New Roman" w:cs="Times New Roman"/>
          <w:color w:val="000000"/>
          <w:spacing w:val="0"/>
          <w:w w:val="100"/>
          <w:position w:val="0"/>
        </w:rPr>
        <w:t>1968</w:t>
      </w:r>
      <w:r>
        <w:rPr>
          <w:color w:val="000000"/>
          <w:spacing w:val="0"/>
          <w:w w:val="100"/>
          <w:position w:val="0"/>
        </w:rPr>
        <w:t>年出生，西南大学农学本科学历。曾 任银川变压器厂营销科科长、银川变压器厂营销副总、银川卧龙变压器有限公司副总经理、总经理、中宁 银变总经理。现任卧龙电气银川变压器有限公司董事兼总经理、宁夏银变科技有限公司执行董事兼总经理 等职务。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月起担任公司副总经理。</w:t>
      </w:r>
    </w:p>
    <w:p>
      <w:pPr>
        <w:pStyle w:val="Style11"/>
        <w:keepNext w:val="0"/>
        <w:keepLines w:val="0"/>
        <w:widowControl w:val="0"/>
        <w:shd w:val="clear" w:color="auto" w:fill="auto"/>
        <w:bidi w:val="0"/>
        <w:spacing w:before="0" w:after="400" w:line="314" w:lineRule="exact"/>
        <w:ind w:left="0" w:right="0" w:firstLine="0"/>
        <w:jc w:val="both"/>
      </w:pPr>
      <w:bookmarkStart w:id="339" w:name="bookmark339"/>
      <w:r>
        <w:rPr>
          <w:rFonts w:ascii="Times New Roman" w:eastAsia="Times New Roman" w:hAnsi="Times New Roman" w:cs="Times New Roman"/>
          <w:color w:val="000000"/>
          <w:spacing w:val="0"/>
          <w:w w:val="100"/>
          <w:position w:val="0"/>
        </w:rPr>
        <w:t>1</w:t>
      </w:r>
      <w:bookmarkEnd w:id="339"/>
      <w:r>
        <w:rPr>
          <w:rFonts w:ascii="Times New Roman" w:eastAsia="Times New Roman" w:hAnsi="Times New Roman" w:cs="Times New Roman"/>
          <w:color w:val="000000"/>
          <w:spacing w:val="0"/>
          <w:w w:val="100"/>
          <w:position w:val="0"/>
        </w:rPr>
        <w:t>9</w:t>
      </w:r>
      <w:r>
        <w:rPr>
          <w:color w:val="000000"/>
          <w:spacing w:val="0"/>
          <w:w w:val="100"/>
          <w:position w:val="0"/>
        </w:rPr>
        <w:t>、 陈耀高：副总经理，男，中国籍，无境外居留权，</w:t>
      </w:r>
      <w:r>
        <w:rPr>
          <w:rFonts w:ascii="Times New Roman" w:eastAsia="Times New Roman" w:hAnsi="Times New Roman" w:cs="Times New Roman"/>
          <w:color w:val="000000"/>
          <w:spacing w:val="0"/>
          <w:w w:val="100"/>
          <w:position w:val="0"/>
        </w:rPr>
        <w:t>1972</w:t>
      </w:r>
      <w:r>
        <w:rPr>
          <w:color w:val="000000"/>
          <w:spacing w:val="0"/>
          <w:w w:val="100"/>
          <w:position w:val="0"/>
        </w:rPr>
        <w:t>年出生，厦门大学电子工程专业工学士。曾任 职于厦门华鸿通信设备有限公司，曾任厦门红相电力设备有限公司技术部经理、红相有限技术副总监兼技 术部经理、公司监事会主席，曾兼任浙江涵普电力科技有限公司、浙江涵普三维电力科技有限公司董事长 兼法定代表人，现任公司技术中心主任、技术总监。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月起担任公司副总经理。</w:t>
      </w:r>
    </w:p>
    <w:p>
      <w:pPr>
        <w:pStyle w:val="Style11"/>
        <w:keepNext w:val="0"/>
        <w:keepLines w:val="0"/>
        <w:widowControl w:val="0"/>
        <w:shd w:val="clear" w:color="auto" w:fill="auto"/>
        <w:tabs>
          <w:tab w:pos="422" w:val="left"/>
        </w:tabs>
        <w:bidi w:val="0"/>
        <w:spacing w:before="0" w:after="140" w:line="312" w:lineRule="exact"/>
        <w:ind w:left="0" w:right="0" w:firstLine="0"/>
        <w:jc w:val="both"/>
      </w:pPr>
      <w:bookmarkStart w:id="340" w:name="bookmark340"/>
      <w:r>
        <w:rPr>
          <w:rFonts w:ascii="Times New Roman" w:eastAsia="Times New Roman" w:hAnsi="Times New Roman" w:cs="Times New Roman"/>
          <w:color w:val="000000"/>
          <w:spacing w:val="0"/>
          <w:w w:val="100"/>
          <w:position w:val="0"/>
        </w:rPr>
        <w:t>2</w:t>
      </w:r>
      <w:bookmarkEnd w:id="340"/>
      <w:r>
        <w:rPr>
          <w:rFonts w:ascii="Times New Roman" w:eastAsia="Times New Roman" w:hAnsi="Times New Roman" w:cs="Times New Roman"/>
          <w:color w:val="000000"/>
          <w:spacing w:val="0"/>
          <w:w w:val="100"/>
          <w:position w:val="0"/>
        </w:rPr>
        <w:t>0</w:t>
      </w:r>
      <w:r>
        <w:rPr>
          <w:color w:val="000000"/>
          <w:spacing w:val="0"/>
          <w:w w:val="100"/>
          <w:position w:val="0"/>
        </w:rPr>
        <w:t>、</w:t>
        <w:tab/>
        <w:t>陈水明：副总经理，男，中国籍，无境外居留权，</w:t>
      </w:r>
      <w:r>
        <w:rPr>
          <w:rFonts w:ascii="Times New Roman" w:eastAsia="Times New Roman" w:hAnsi="Times New Roman" w:cs="Times New Roman"/>
          <w:color w:val="000000"/>
          <w:spacing w:val="0"/>
          <w:w w:val="100"/>
          <w:position w:val="0"/>
        </w:rPr>
        <w:t>1963</w:t>
      </w:r>
      <w:r>
        <w:rPr>
          <w:color w:val="000000"/>
          <w:spacing w:val="0"/>
          <w:w w:val="100"/>
          <w:position w:val="0"/>
        </w:rPr>
        <w:t>年出生，浙江大学工学学士。曾任海盐智能仪 表厂技术员、车间主任、海盐普博电机有限公司副总经理。现任浙江涵普电力科技有限公司董事长兼经理、 海盐众普电力科技有限公司董事长兼经理、海盐城普电子科技有限公司董事长兼经理、浙江涵普新能源科 技有限公司董事长兼经理、浙江涵普三维电力科技有限公司董事长、浙江涵普软件信息工程有限公司执行 董事兼经理。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月起担任公司副总经理。</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w:t>
            </w:r>
          </w:p>
        </w:tc>
      </w:tr>
    </w:tbl>
    <w:p>
      <w:pPr>
        <w:spacing w:lineRule="exact" w:line="1"/>
        <w:rPr>
          <w:sz w:val="2"/>
          <w:szCs w:val="2"/>
        </w:rPr>
      </w:pPr>
      <w:r>
        <w:br w:type="page"/>
      </w:r>
    </w:p>
    <w:tbl>
      <w:tblPr>
        <w:tblOverlap w:val="never"/>
        <w:jc w:val="center"/>
        <w:tblLayout w:type="fixed"/>
      </w:tblPr>
      <w:tblGrid>
        <w:gridCol w:w="1224"/>
        <w:gridCol w:w="3230"/>
        <w:gridCol w:w="1080"/>
        <w:gridCol w:w="1210"/>
        <w:gridCol w:w="1349"/>
        <w:gridCol w:w="149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领取报酬津贴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卧龙电气驱动集团股份有限公司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董事、财务总 监、董事会秘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合肥星睿股权投资合伙企业（有限合伙）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执行事务合 伙人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红相电力澳大利亚有限公司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红相电力（上海）有限公司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卧龙电气银川变压器有限公司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中宁县银变新能源有限公司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厦门红相塑胶材料有限公司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香港红相实业有限公司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卧龙电气集团北京华泰变压器有限公司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浙江龙信股权投资管理有限公司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北京卧龙华泰科技有限公司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浙江卧龙舜禹投资有限公司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吴剑波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浙江钱塘江金研院咨询股份有限公司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浙江舜云互联技术有限公司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浙江卧龙创业投资有限公司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卧龙采埃孚汽车电机有限公司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合肥星波通信技术有限公司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合肥星波电子有限公司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合肥睿晶电力科技股份有限公司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巢湖市晶阁光伏发电有限公司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深圳市安捷力数据智能有限责任公司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合肥捷杰电子有限公司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合肥翩翼信息科技有限公司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新余丰睿投资管理合伙企业（有限合伙）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欣贺股份有限公司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安徽新远科技股份有限公司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厦门狄耐克智能科技股份有限公司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杨翼飞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厦门国家会计学院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杨翼飞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厦门华侨电子股份有限公司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唐炎钊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唐炎钊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福建龙马环卫装备股份有限公司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唐炎钊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鹭燕医药股份有限公司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唐炎钊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厦门光莆电子股份有限公司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唐炎钊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合诚工程咨询集团股份有限公司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汤金木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厦门市注册会计师协会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汤金木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厦门市资产评估协会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汤金木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厦门光莆电子股份有限公司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丁兴号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何东武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卧龙电气银川变压器有限公司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何东武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中宁县银变新能源有限公司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何东武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宁夏银变科技有限公司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陈水明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陈水明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陈水明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海盐众普电力科技有限公司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陈水明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海盐城普电子科技有限公司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陈水明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浙江涵普三维电力科技有限公司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陈水明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陈水明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浙江涵普软件信息工程有限公司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廖雪林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合肥星波通信技术有限公司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廖雪林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合肥星波通信技术有限公司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廖雪林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卧龙电气银川变压器有限公司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廖雪林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涵普三维电力科技有限公司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廖雪林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李喜娇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浙江涵普电力科技有限公司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334" w:val="left"/>
        </w:tabs>
        <w:bidi w:val="0"/>
        <w:spacing w:before="0" w:after="0" w:line="317" w:lineRule="exact"/>
        <w:ind w:left="0" w:right="0" w:firstLine="0"/>
        <w:jc w:val="left"/>
      </w:pPr>
      <w:bookmarkStart w:id="341" w:name="bookmark341"/>
      <w:r>
        <w:rPr>
          <w:rFonts w:ascii="Times New Roman" w:eastAsia="Times New Roman" w:hAnsi="Times New Roman" w:cs="Times New Roman"/>
          <w:color w:val="000000"/>
          <w:spacing w:val="0"/>
          <w:w w:val="100"/>
          <w:position w:val="0"/>
          <w:sz w:val="18"/>
          <w:szCs w:val="18"/>
        </w:rPr>
        <w:t>1</w:t>
      </w:r>
      <w:bookmarkEnd w:id="34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月，董事长、总经理杨成先生收到中国证券监督管理委员会厦门监管局下发的《厦门证监局关于对红相股份有 限公司及杨成采取监管谈话措施的决定》（</w:t>
      </w:r>
      <w:r>
        <w:rPr>
          <w:rFonts w:ascii="Times New Roman" w:eastAsia="Times New Roman" w:hAnsi="Times New Roman" w:cs="Times New Roman"/>
          <w:color w:val="000000"/>
          <w:spacing w:val="0"/>
          <w:w w:val="100"/>
          <w:position w:val="0"/>
          <w:sz w:val="18"/>
          <w:szCs w:val="18"/>
        </w:rPr>
        <w:t>[2020]27</w:t>
      </w:r>
      <w:r>
        <w:rPr>
          <w:color w:val="000000"/>
          <w:spacing w:val="0"/>
          <w:w w:val="100"/>
          <w:position w:val="0"/>
        </w:rPr>
        <w:t>号）。</w:t>
      </w:r>
    </w:p>
    <w:p>
      <w:pPr>
        <w:pStyle w:val="Style27"/>
        <w:keepNext w:val="0"/>
        <w:keepLines w:val="0"/>
        <w:widowControl w:val="0"/>
        <w:shd w:val="clear" w:color="auto" w:fill="auto"/>
        <w:tabs>
          <w:tab w:pos="354" w:val="left"/>
        </w:tabs>
        <w:bidi w:val="0"/>
        <w:spacing w:before="0" w:after="400" w:line="317" w:lineRule="exact"/>
        <w:ind w:left="0" w:right="0" w:firstLine="0"/>
        <w:jc w:val="left"/>
      </w:pPr>
      <w:bookmarkStart w:id="342" w:name="bookmark342"/>
      <w:r>
        <w:rPr>
          <w:rFonts w:ascii="Times New Roman" w:eastAsia="Times New Roman" w:hAnsi="Times New Roman" w:cs="Times New Roman"/>
          <w:color w:val="000000"/>
          <w:spacing w:val="0"/>
          <w:w w:val="100"/>
          <w:position w:val="0"/>
          <w:sz w:val="18"/>
          <w:szCs w:val="18"/>
        </w:rPr>
        <w:t>2</w:t>
      </w:r>
      <w:bookmarkEnd w:id="34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月，董事长、总经理杨成、财务总监廖雪林女生收到深圳证券交易所作出的《关于对红相股份有限公司及相关当 事人给予通报批评处分的决定》。</w:t>
      </w:r>
    </w:p>
    <w:p>
      <w:pPr>
        <w:pStyle w:val="Style31"/>
        <w:keepNext/>
        <w:keepLines/>
        <w:widowControl w:val="0"/>
        <w:shd w:val="clear" w:color="auto" w:fill="auto"/>
        <w:tabs>
          <w:tab w:pos="378" w:val="left"/>
        </w:tabs>
        <w:bidi w:val="0"/>
        <w:spacing w:before="0" w:after="26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3</w:t>
      </w:r>
      <w:bookmarkEnd w:id="345"/>
      <w:r>
        <w:rPr>
          <w:color w:val="000000"/>
          <w:spacing w:val="0"/>
          <w:w w:val="100"/>
          <w:position w:val="0"/>
        </w:rPr>
        <w:t>、</w:t>
        <w:tab/>
        <w:t>董事、监事、高级管理人员报酬情况</w:t>
      </w:r>
      <w:bookmarkEnd w:id="343"/>
      <w:bookmarkEnd w:id="344"/>
      <w:bookmarkEnd w:id="346"/>
    </w:p>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董事、监事、高级管理人员报酬的决策程序、确定依据、实际支付情况</w:t>
      </w:r>
    </w:p>
    <w:p>
      <w:pPr>
        <w:pStyle w:val="Style11"/>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公司董事、监事在公司领取津贴，高级管理人员及其他核心人员的薪酬由基本工资和绩效奖金组成。</w:t>
      </w:r>
    </w:p>
    <w:p>
      <w:pPr>
        <w:pStyle w:val="Style1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公司董事、监事的津贴经过股东大会审议，高级管理人员的薪酬经过董事会审议。</w:t>
      </w:r>
    </w:p>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丁兴号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杨翼飞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唐炎钊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汤金木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陈耀高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陈水明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何东武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魏荣毅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方育阳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吴章坤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廖雪林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李喜娇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董事会秘书、副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rPr>
        <w:t>八</w:t>
      </w:r>
      <w:bookmarkEnd w:id="349"/>
      <w:r>
        <w:rPr>
          <w:color w:val="000000"/>
          <w:spacing w:val="0"/>
          <w:w w:val="100"/>
          <w:position w:val="0"/>
        </w:rPr>
        <w:t>、报告期内董事履行职责的情况</w:t>
      </w:r>
      <w:bookmarkEnd w:id="347"/>
      <w:bookmarkEnd w:id="348"/>
      <w:bookmarkEnd w:id="350"/>
    </w:p>
    <w:p>
      <w:pPr>
        <w:pStyle w:val="Style31"/>
        <w:keepNext/>
        <w:keepLines/>
        <w:widowControl w:val="0"/>
        <w:shd w:val="clear" w:color="auto" w:fill="auto"/>
        <w:bidi w:val="0"/>
        <w:spacing w:before="0" w:after="32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1</w:t>
      </w:r>
      <w:bookmarkEnd w:id="353"/>
      <w:r>
        <w:rPr>
          <w:color w:val="000000"/>
          <w:spacing w:val="0"/>
          <w:w w:val="100"/>
          <w:position w:val="0"/>
        </w:rPr>
        <w:t>、本报告期董事会情况</w:t>
      </w:r>
      <w:bookmarkEnd w:id="351"/>
      <w:bookmarkEnd w:id="352"/>
      <w:bookmarkEnd w:id="354"/>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第四届董事会第三十五次会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；《第四 届董事会第三十五次会议决 议公告》(公告编号：</w:t>
            </w:r>
            <w:r>
              <w:rPr>
                <w:rFonts w:ascii="Times New Roman" w:eastAsia="Times New Roman" w:hAnsi="Times New Roman" w:cs="Times New Roman"/>
                <w:color w:val="000000"/>
                <w:spacing w:val="0"/>
                <w:w w:val="100"/>
                <w:position w:val="0"/>
                <w:sz w:val="18"/>
                <w:szCs w:val="18"/>
              </w:rPr>
              <w:t>2021-007</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第四届董事会第三十六次会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；《红相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股份有限公司第四届董事会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第三十六次会议决议公告》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2021-019</w:t>
            </w:r>
            <w:r>
              <w:rPr>
                <w:color w:val="000000"/>
                <w:spacing w:val="0"/>
                <w:w w:val="100"/>
                <w:position w:val="0"/>
              </w:rPr>
              <w:t>)</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；《红相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股份有限公司第五届董事会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第一次会议决议公告》(公告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2021-033</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会决议公告》(公告编号：</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2021-043</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第五届董事会第三次会议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；《红相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股份有限公司第五届董事会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第三次会议决议公告》(公告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2021-054</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会决议公告》（公告编号：</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2021-079</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；《红相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股份有限公司第五届董事会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第五次会议决议公告》（公告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2021-085</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；《第五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届董事会第六次会议决议公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告》（公告编号：</w:t>
            </w:r>
            <w:r>
              <w:rPr>
                <w:rFonts w:ascii="Times New Roman" w:eastAsia="Times New Roman" w:hAnsi="Times New Roman" w:cs="Times New Roman"/>
                <w:color w:val="000000"/>
                <w:spacing w:val="0"/>
                <w:w w:val="100"/>
                <w:position w:val="0"/>
                <w:sz w:val="18"/>
                <w:szCs w:val="18"/>
              </w:rPr>
              <w:t>2021-095</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；《红相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股份有限公司第五届董事会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第七次会议决议公告》（公告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2021-107</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第五届董事会第八次会议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；《红相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股份有限公司第五届董事会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第八次会议决议公告》（公告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2021-110</w:t>
            </w:r>
            <w:r>
              <w:rPr>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2</w:t>
      </w:r>
      <w:bookmarkEnd w:id="357"/>
      <w:r>
        <w:rPr>
          <w:color w:val="000000"/>
          <w:spacing w:val="0"/>
          <w:w w:val="100"/>
          <w:position w:val="0"/>
        </w:rPr>
        <w:t>、董事出席董事会及股东大会的情况</w:t>
      </w:r>
      <w:bookmarkEnd w:id="355"/>
      <w:bookmarkEnd w:id="356"/>
      <w:bookmarkEnd w:id="358"/>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丁兴号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杨翼飞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汤金木（届满离 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1435"/>
        <w:gridCol w:w="1166"/>
        <w:gridCol w:w="1162"/>
        <w:gridCol w:w="1162"/>
        <w:gridCol w:w="1166"/>
        <w:gridCol w:w="1162"/>
        <w:gridCol w:w="1162"/>
        <w:gridCol w:w="1176"/>
      </w:tblGrid>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唐炎钊（届满离 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连续两次未亲自出席董事会的说明</w:t>
      </w:r>
    </w:p>
    <w:p>
      <w:pPr>
        <w:pStyle w:val="Style31"/>
        <w:keepNext/>
        <w:keepLines/>
        <w:widowControl w:val="0"/>
        <w:shd w:val="clear" w:color="auto" w:fill="auto"/>
        <w:tabs>
          <w:tab w:pos="378" w:val="left"/>
        </w:tabs>
        <w:bidi w:val="0"/>
        <w:spacing w:before="0" w:after="380" w:line="313" w:lineRule="exact"/>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3</w:t>
      </w:r>
      <w:bookmarkEnd w:id="361"/>
      <w:r>
        <w:rPr>
          <w:color w:val="000000"/>
          <w:spacing w:val="0"/>
          <w:w w:val="100"/>
          <w:position w:val="0"/>
        </w:rPr>
        <w:t>、</w:t>
        <w:tab/>
        <w:t>董事对公司有关事项提出异议的情况</w:t>
      </w:r>
      <w:bookmarkEnd w:id="359"/>
      <w:bookmarkEnd w:id="360"/>
      <w:bookmarkEnd w:id="36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报告期内董事对公司有关事项未提出异议。</w:t>
      </w:r>
    </w:p>
    <w:p>
      <w:pPr>
        <w:pStyle w:val="Style31"/>
        <w:keepNext/>
        <w:keepLines/>
        <w:widowControl w:val="0"/>
        <w:shd w:val="clear" w:color="auto" w:fill="auto"/>
        <w:tabs>
          <w:tab w:pos="378" w:val="left"/>
        </w:tabs>
        <w:bidi w:val="0"/>
        <w:spacing w:before="0" w:after="300" w:line="326"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4</w:t>
      </w:r>
      <w:bookmarkEnd w:id="365"/>
      <w:r>
        <w:rPr>
          <w:color w:val="000000"/>
          <w:spacing w:val="0"/>
          <w:w w:val="100"/>
          <w:position w:val="0"/>
        </w:rPr>
        <w:t>、</w:t>
        <w:tab/>
        <w:t>董事履行职责的其他说明</w:t>
      </w:r>
      <w:bookmarkEnd w:id="363"/>
      <w:bookmarkEnd w:id="364"/>
      <w:bookmarkEnd w:id="36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董事对公司有关建议是否被采纳</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董事对公司有关建议被采纳或未被采纳的说明</w:t>
      </w:r>
    </w:p>
    <w:p>
      <w:pPr>
        <w:pStyle w:val="Style11"/>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报告期内，公司全体董事根据《公司法》、《上市公司独立董事规则》、《深圳证券交易所创业板股 票上市规则》、《深圳证券交易所上市公司自律监管指引第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color w:val="000000"/>
          <w:spacing w:val="0"/>
          <w:w w:val="100"/>
          <w:position w:val="0"/>
        </w:rPr>
        <w:t>一</w:t>
      </w:r>
      <w:r>
        <w:rPr>
          <w:color w:val="000000"/>
          <w:spacing w:val="0"/>
          <w:w w:val="100"/>
          <w:position w:val="0"/>
        </w:rPr>
        <w:t>创业板上市公司规范运作》和《公司章 程》、《董事会议事规则》、《独立董事工作制度》等有关法律、法规及规范性文件的规定和要求，诚信、 勤勉、尽责、忠实地履行职责，积极参与公司治理和决策活动，根据公司的实际情况，对公司的治理、经 营、战略等方面提出了相关意见。公司董事及各专门委员会经过充分沟通讨论，对审议的重大事项均形成 一致意见，并坚决监督和推动董事会决议的执行，确保决策科学、及时、高效，维护公司和全体股东的合 法权益。</w:t>
      </w:r>
    </w:p>
    <w:p>
      <w:pPr>
        <w:pStyle w:val="Style23"/>
        <w:keepNext/>
        <w:keepLines/>
        <w:widowControl w:val="0"/>
        <w:shd w:val="clear" w:color="auto" w:fill="auto"/>
        <w:bidi w:val="0"/>
        <w:spacing w:before="0" w:after="300" w:line="240" w:lineRule="auto"/>
        <w:ind w:left="0" w:right="0" w:firstLine="0"/>
        <w:jc w:val="left"/>
      </w:pPr>
      <w:bookmarkStart w:id="367" w:name="bookmark367"/>
      <w:bookmarkStart w:id="368" w:name="bookmark368"/>
      <w:bookmarkStart w:id="369" w:name="bookmark369"/>
      <w:bookmarkStart w:id="370" w:name="bookmark370"/>
      <w:r>
        <w:rPr>
          <w:color w:val="000000"/>
          <w:spacing w:val="0"/>
          <w:w w:val="100"/>
          <w:position w:val="0"/>
        </w:rPr>
        <w:t>九</w:t>
      </w:r>
      <w:bookmarkEnd w:id="369"/>
      <w:r>
        <w:rPr>
          <w:color w:val="000000"/>
          <w:spacing w:val="0"/>
          <w:w w:val="100"/>
          <w:position w:val="0"/>
        </w:rPr>
        <w:t>、董事会下设专门委员会在报告期内的情况</w:t>
      </w:r>
      <w:bookmarkEnd w:id="367"/>
      <w:bookmarkEnd w:id="368"/>
      <w:bookmarkEnd w:id="370"/>
    </w:p>
    <w:tbl>
      <w:tblPr>
        <w:tblOverlap w:val="never"/>
        <w:jc w:val="center"/>
        <w:tblLayout w:type="fixed"/>
      </w:tblPr>
      <w:tblGrid>
        <w:gridCol w:w="1205"/>
        <w:gridCol w:w="1195"/>
        <w:gridCol w:w="730"/>
        <w:gridCol w:w="850"/>
        <w:gridCol w:w="2410"/>
        <w:gridCol w:w="1277"/>
        <w:gridCol w:w="989"/>
        <w:gridCol w:w="931"/>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异议事项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具体情况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（如有）</w:t>
            </w:r>
          </w:p>
        </w:tc>
      </w:tr>
      <w:tr>
        <w:trPr>
          <w:trHeight w:val="45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第五届董事会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杨翼飞、杨成、 李成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审议通过《关于公司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年度财务报告的议案》；</w:t>
            </w:r>
          </w:p>
          <w:p>
            <w:pPr>
              <w:pStyle w:val="Style2"/>
              <w:keepNext w:val="0"/>
              <w:keepLines w:val="0"/>
              <w:widowControl w:val="0"/>
              <w:shd w:val="clear" w:color="auto" w:fill="auto"/>
              <w:tabs>
                <w:tab w:pos="288"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审议通过《关于公司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年度报告及摘要的议案》；</w:t>
            </w:r>
          </w:p>
          <w:p>
            <w:pPr>
              <w:pStyle w:val="Style2"/>
              <w:keepNext w:val="0"/>
              <w:keepLines w:val="0"/>
              <w:widowControl w:val="0"/>
              <w:shd w:val="clear" w:color="auto" w:fill="auto"/>
              <w:tabs>
                <w:tab w:pos="278"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审议通过《关于公司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年度内部控制自我评价报告的 议案》；</w:t>
            </w:r>
          </w:p>
          <w:p>
            <w:pPr>
              <w:pStyle w:val="Style2"/>
              <w:keepNext w:val="0"/>
              <w:keepLines w:val="0"/>
              <w:widowControl w:val="0"/>
              <w:shd w:val="clear" w:color="auto" w:fill="auto"/>
              <w:tabs>
                <w:tab w:pos="288"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审议通过《关于公司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年度募集资金存放与使用情况 的专项报告的议案》；</w:t>
            </w:r>
          </w:p>
          <w:p>
            <w:pPr>
              <w:pStyle w:val="Style2"/>
              <w:keepNext w:val="0"/>
              <w:keepLines w:val="0"/>
              <w:widowControl w:val="0"/>
              <w:shd w:val="clear" w:color="auto" w:fill="auto"/>
              <w:tabs>
                <w:tab w:pos="254"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审议通过《关于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内部审计部工作报告</w:t>
            </w:r>
            <w:r>
              <w:rPr>
                <w:color w:val="000000"/>
                <w:spacing w:val="0"/>
                <w:w w:val="100"/>
                <w:position w:val="0"/>
                <w:sz w:val="18"/>
                <w:szCs w:val="18"/>
              </w:rPr>
              <w:t>〉</w:t>
            </w:r>
            <w:r>
              <w:rPr>
                <w:color w:val="000000"/>
                <w:spacing w:val="0"/>
                <w:w w:val="100"/>
                <w:position w:val="0"/>
              </w:rPr>
              <w:t>的议 案》；</w:t>
            </w:r>
          </w:p>
          <w:p>
            <w:pPr>
              <w:pStyle w:val="Style2"/>
              <w:keepNext w:val="0"/>
              <w:keepLines w:val="0"/>
              <w:widowControl w:val="0"/>
              <w:shd w:val="clear" w:color="auto" w:fill="auto"/>
              <w:tabs>
                <w:tab w:pos="259"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与会委员根据 公司的实际情 况，经过充分沟 通讨论，一致通 过所有议案。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730"/>
        <w:gridCol w:w="850"/>
        <w:gridCol w:w="2410"/>
        <w:gridCol w:w="1277"/>
        <w:gridCol w:w="989"/>
        <w:gridCol w:w="931"/>
      </w:tblGrid>
      <w:tr>
        <w:trPr>
          <w:trHeight w:val="36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内部审计工作计划</w:t>
            </w:r>
            <w:r>
              <w:rPr>
                <w:color w:val="000000"/>
                <w:spacing w:val="0"/>
                <w:w w:val="100"/>
                <w:position w:val="0"/>
                <w:sz w:val="18"/>
                <w:szCs w:val="18"/>
              </w:rPr>
              <w:t>〉</w:t>
            </w:r>
            <w:r>
              <w:rPr>
                <w:color w:val="000000"/>
                <w:spacing w:val="0"/>
                <w:w w:val="100"/>
                <w:position w:val="0"/>
              </w:rPr>
              <w:t>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1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审议通过《关于公司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年第一季度报告的议案》；</w:t>
            </w:r>
          </w:p>
          <w:p>
            <w:pPr>
              <w:pStyle w:val="Style2"/>
              <w:keepNext w:val="0"/>
              <w:keepLines w:val="0"/>
              <w:widowControl w:val="0"/>
              <w:shd w:val="clear" w:color="auto" w:fill="auto"/>
              <w:tabs>
                <w:tab w:pos="250"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审议通过《关于会计政策变 更的议案》；</w:t>
            </w:r>
          </w:p>
          <w:p>
            <w:pPr>
              <w:pStyle w:val="Style2"/>
              <w:keepNext w:val="0"/>
              <w:keepLines w:val="0"/>
              <w:widowControl w:val="0"/>
              <w:shd w:val="clear" w:color="auto" w:fill="auto"/>
              <w:tabs>
                <w:tab w:pos="25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一季度内部审计工作报告</w:t>
            </w:r>
            <w:r>
              <w:rPr>
                <w:color w:val="000000"/>
                <w:spacing w:val="0"/>
                <w:w w:val="100"/>
                <w:position w:val="0"/>
                <w:sz w:val="18"/>
                <w:szCs w:val="18"/>
              </w:rPr>
              <w:t>〉</w:t>
            </w:r>
            <w:r>
              <w:rPr>
                <w:color w:val="000000"/>
                <w:spacing w:val="0"/>
                <w:w w:val="100"/>
                <w:position w:val="0"/>
              </w:rPr>
              <w:t>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与会委员根据 公司的实际情 况，经过充分沟 通讨论，一致通 过所有议案。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262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审议通过《关于公司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年半年度报告及摘要的议案》；</w:t>
            </w:r>
          </w:p>
          <w:p>
            <w:pPr>
              <w:pStyle w:val="Style2"/>
              <w:keepNext w:val="0"/>
              <w:keepLines w:val="0"/>
              <w:widowControl w:val="0"/>
              <w:shd w:val="clear" w:color="auto" w:fill="auto"/>
              <w:tabs>
                <w:tab w:pos="288" w:val="left"/>
              </w:tabs>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审议通过《关于公司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年半年度募集资金存放与实际 使用情况的专项报告的议案》；</w:t>
            </w:r>
          </w:p>
          <w:p>
            <w:pPr>
              <w:pStyle w:val="Style2"/>
              <w:keepNext w:val="0"/>
              <w:keepLines w:val="0"/>
              <w:widowControl w:val="0"/>
              <w:shd w:val="clear" w:color="auto" w:fill="auto"/>
              <w:tabs>
                <w:tab w:pos="254"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 年度内部审计工作报告</w:t>
            </w:r>
            <w:r>
              <w:rPr>
                <w:color w:val="000000"/>
                <w:spacing w:val="0"/>
                <w:w w:val="100"/>
                <w:position w:val="0"/>
                <w:sz w:val="18"/>
                <w:szCs w:val="18"/>
              </w:rPr>
              <w:t>〉</w:t>
            </w:r>
            <w:r>
              <w:rPr>
                <w:color w:val="000000"/>
                <w:spacing w:val="0"/>
                <w:w w:val="100"/>
                <w:position w:val="0"/>
              </w:rPr>
              <w:t>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与会委员根据 公司的实际情 况，经过充分沟 通讨论，一致通 过所有议案。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审议通过《关于公司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年第三季度报告的议案》；</w:t>
            </w:r>
          </w:p>
          <w:p>
            <w:pPr>
              <w:pStyle w:val="Style2"/>
              <w:keepNext w:val="0"/>
              <w:keepLines w:val="0"/>
              <w:widowControl w:val="0"/>
              <w:shd w:val="clear" w:color="auto" w:fill="auto"/>
              <w:tabs>
                <w:tab w:pos="288"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审议通过《关于续聘公司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年度审计机构的议案》；</w:t>
            </w:r>
          </w:p>
          <w:p>
            <w:pPr>
              <w:pStyle w:val="Style2"/>
              <w:keepNext w:val="0"/>
              <w:keepLines w:val="0"/>
              <w:widowControl w:val="0"/>
              <w:shd w:val="clear" w:color="auto" w:fill="auto"/>
              <w:tabs>
                <w:tab w:pos="254"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三季度部门审计工作报告</w:t>
            </w:r>
            <w:r>
              <w:rPr>
                <w:color w:val="000000"/>
                <w:spacing w:val="0"/>
                <w:w w:val="100"/>
                <w:position w:val="0"/>
                <w:sz w:val="18"/>
                <w:szCs w:val="18"/>
              </w:rPr>
              <w:t>〉</w:t>
            </w:r>
            <w:r>
              <w:rPr>
                <w:color w:val="000000"/>
                <w:spacing w:val="0"/>
                <w:w w:val="100"/>
                <w:position w:val="0"/>
              </w:rPr>
              <w:t>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与会委员根据 公司的实际情 况，经过充分沟 通讨论，一致通 过所有议案。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第四届董事会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杨成、杨力、 吴志阳、唐炎 钊、丁兴号、 吴剑波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关于终止发行股份及支付现金 购买资产并募集配套资金暨关 联交易事项并撤回申请文件的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与会委员根据 公司的实际情 况，经过充分沟 通讨论，一致通 过所有议案。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第四届董事会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丁兴号、汤金 木、杨成</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第四届董事会提名委员会对公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年度董事会构成及高 级管理人员任职资格进行审 核，并发表意见：认为公司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年度董事会构成及规模 合理，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年度董事、高级管 理人员任职资格符合《公司法》 等相关法律法规及《公司章程》 等相关规定。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各个委员无异 议，一致通过。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161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第四届董事会提名委员会对公 司拟聘任的第五届董事会非独 立董事及独立董事进行了资格 审查，并一致同意提名杨成、 杨力、吴志阳、张青、吴剑波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各个委员无异 议，一致通过。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730"/>
        <w:gridCol w:w="850"/>
        <w:gridCol w:w="2410"/>
        <w:gridCol w:w="1277"/>
        <w:gridCol w:w="989"/>
        <w:gridCol w:w="931"/>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为公司第五届董事会非独立董 事，杨翼飞、丁兴号、李成为 公司第五届董事会独立董事， 并同意提交至公司第四届董事 会第三十六次会议审议。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第五届董事会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丁兴号、杨成、 杨翼飞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第五届董事会提名委员会对公 司拟聘任的总经理、副总经理、 财务总监、董事会秘书、内部 审计部经理、证券事务代表进 行了资格审查，并一致同意提 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各个委员无异 议，一致通过。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第四届董事会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薪酬与考核委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唐炎钊、汤金 木、杨成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审议通过关于公司第五届董事 会董事津贴方案的议案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各个委员无异 议，一致通过。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第五届董事会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薪酬与考核委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李成、杨翼飞、 杨成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董事会薪酬与考核委员会对公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年度董事及高级管理 人员薪酬与考核情况进行检 查，并审核通过公司第五届董 事、高级管理人员的薪酬方案 意见。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各个委员无异 议，一致通过。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371" w:name="bookmark371"/>
      <w:bookmarkStart w:id="372" w:name="bookmark372"/>
      <w:bookmarkStart w:id="373" w:name="bookmark373"/>
      <w:r>
        <w:rPr>
          <w:color w:val="000000"/>
          <w:spacing w:val="0"/>
          <w:w w:val="100"/>
          <w:position w:val="0"/>
        </w:rPr>
        <w:t>十、监事会工作情况</w:t>
      </w:r>
      <w:bookmarkEnd w:id="371"/>
      <w:bookmarkEnd w:id="372"/>
      <w:bookmarkEnd w:id="37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3"/>
        <w:keepNext/>
        <w:keepLines/>
        <w:widowControl w:val="0"/>
        <w:shd w:val="clear" w:color="auto" w:fill="auto"/>
        <w:bidi w:val="0"/>
        <w:spacing w:before="0" w:after="380" w:line="240" w:lineRule="auto"/>
        <w:ind w:left="0" w:right="0" w:firstLine="0"/>
        <w:jc w:val="left"/>
      </w:pPr>
      <w:bookmarkStart w:id="374" w:name="bookmark374"/>
      <w:bookmarkStart w:id="375" w:name="bookmark375"/>
      <w:bookmarkStart w:id="376" w:name="bookmark376"/>
      <w:r>
        <w:rPr>
          <w:color w:val="000000"/>
          <w:spacing w:val="0"/>
          <w:w w:val="100"/>
          <w:position w:val="0"/>
        </w:rPr>
        <w:t>十^一、公司员工情况</w:t>
      </w:r>
      <w:bookmarkEnd w:id="374"/>
      <w:bookmarkEnd w:id="375"/>
      <w:bookmarkEnd w:id="376"/>
    </w:p>
    <w:p>
      <w:pPr>
        <w:pStyle w:val="Style31"/>
        <w:keepNext/>
        <w:keepLines/>
        <w:widowControl w:val="0"/>
        <w:shd w:val="clear" w:color="auto" w:fill="auto"/>
        <w:bidi w:val="0"/>
        <w:spacing w:before="0" w:after="32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1</w:t>
      </w:r>
      <w:bookmarkEnd w:id="379"/>
      <w:r>
        <w:rPr>
          <w:color w:val="000000"/>
          <w:spacing w:val="0"/>
          <w:w w:val="100"/>
          <w:position w:val="0"/>
        </w:rPr>
        <w:t>、员工数量、专业构成及教育程度</w:t>
      </w:r>
      <w:bookmarkEnd w:id="377"/>
      <w:bookmarkEnd w:id="378"/>
      <w:bookmarkEnd w:id="38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1,468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509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210</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579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w:t>
            </w:r>
          </w:p>
        </w:tc>
      </w:tr>
    </w:tbl>
    <w:p>
      <w:pPr>
        <w:widowControl w:val="0"/>
        <w:spacing w:after="279" w:line="1" w:lineRule="exact"/>
      </w:pPr>
    </w:p>
    <w:p>
      <w:pPr>
        <w:pStyle w:val="Style31"/>
        <w:keepNext/>
        <w:keepLines/>
        <w:widowControl w:val="0"/>
        <w:shd w:val="clear" w:color="auto" w:fill="auto"/>
        <w:tabs>
          <w:tab w:pos="374" w:val="left"/>
        </w:tabs>
        <w:bidi w:val="0"/>
        <w:spacing w:before="0" w:after="280" w:line="312" w:lineRule="exact"/>
        <w:ind w:left="0" w:right="0" w:firstLine="0"/>
        <w:jc w:val="both"/>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2</w:t>
      </w:r>
      <w:bookmarkEnd w:id="383"/>
      <w:r>
        <w:rPr>
          <w:color w:val="000000"/>
          <w:spacing w:val="0"/>
          <w:w w:val="100"/>
          <w:position w:val="0"/>
        </w:rPr>
        <w:t>、</w:t>
        <w:tab/>
        <w:t>薪酬政策</w:t>
      </w:r>
      <w:bookmarkEnd w:id="381"/>
      <w:bookmarkEnd w:id="382"/>
      <w:bookmarkEnd w:id="384"/>
    </w:p>
    <w:p>
      <w:pPr>
        <w:pStyle w:val="Style11"/>
        <w:keepNext w:val="0"/>
        <w:keepLines w:val="0"/>
        <w:widowControl w:val="0"/>
        <w:shd w:val="clear" w:color="auto" w:fill="auto"/>
        <w:bidi w:val="0"/>
        <w:spacing w:before="0" w:after="280" w:line="312" w:lineRule="exact"/>
        <w:ind w:left="0" w:right="0" w:firstLine="360"/>
        <w:jc w:val="both"/>
      </w:pPr>
      <w:r>
        <w:rPr>
          <w:color w:val="000000"/>
          <w:spacing w:val="0"/>
          <w:w w:val="100"/>
          <w:position w:val="0"/>
        </w:rPr>
        <w:t>为充分调动员工的工作积极性、主动性和创造性，根据相关规定，结合具体情况，公司制定了《薪酬管 理制度》，实行结构性薪酬体系。薪酬构成包括固定工资、浮动工资、保险与福利三部分，并实行绩效考 核机制。公司在实践的基础上，对考核指标不断进行优化，加强对考核员工存在问题的反馈，提出解决和 改进方法，对一些关键岗位和重大问题，做到二次或多次考核，多次反馈。将员工的收入与公司的发展和 员工的绩效以及员工价值创造紧密联系，更加有效调动全体员工的积极性和创造力。</w:t>
      </w:r>
    </w:p>
    <w:p>
      <w:pPr>
        <w:pStyle w:val="Style31"/>
        <w:keepNext/>
        <w:keepLines/>
        <w:widowControl w:val="0"/>
        <w:shd w:val="clear" w:color="auto" w:fill="auto"/>
        <w:tabs>
          <w:tab w:pos="374" w:val="left"/>
        </w:tabs>
        <w:bidi w:val="0"/>
        <w:spacing w:before="0" w:after="280" w:line="312" w:lineRule="exact"/>
        <w:ind w:left="0" w:right="0" w:firstLine="0"/>
        <w:jc w:val="both"/>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3</w:t>
      </w:r>
      <w:bookmarkEnd w:id="387"/>
      <w:r>
        <w:rPr>
          <w:color w:val="000000"/>
          <w:spacing w:val="0"/>
          <w:w w:val="100"/>
          <w:position w:val="0"/>
        </w:rPr>
        <w:t>、</w:t>
        <w:tab/>
        <w:t>培训计划</w:t>
      </w:r>
      <w:bookmarkEnd w:id="385"/>
      <w:bookmarkEnd w:id="386"/>
      <w:bookmarkEnd w:id="388"/>
    </w:p>
    <w:p>
      <w:pPr>
        <w:pStyle w:val="Style11"/>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公司依据企业文化与长期战略规划、年度经营管理和岗位技能、专业技能的实际需要，制定年度培训 计划，使公司培训持续健康有序开展，逐步形成与企业发展相适应、符合员工成长规律的多层次、分类别、 多形式的培训格局，有效配合公司战略发展，推动公司经营目标实现。</w:t>
      </w:r>
    </w:p>
    <w:p>
      <w:pPr>
        <w:pStyle w:val="Style31"/>
        <w:keepNext/>
        <w:keepLines/>
        <w:widowControl w:val="0"/>
        <w:shd w:val="clear" w:color="auto" w:fill="auto"/>
        <w:tabs>
          <w:tab w:pos="374" w:val="left"/>
        </w:tabs>
        <w:bidi w:val="0"/>
        <w:spacing w:before="0" w:after="380" w:line="312" w:lineRule="exact"/>
        <w:ind w:left="0" w:right="0" w:firstLine="0"/>
        <w:jc w:val="both"/>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4</w:t>
      </w:r>
      <w:bookmarkEnd w:id="391"/>
      <w:r>
        <w:rPr>
          <w:color w:val="000000"/>
          <w:spacing w:val="0"/>
          <w:w w:val="100"/>
          <w:position w:val="0"/>
        </w:rPr>
        <w:t>、</w:t>
        <w:tab/>
        <w:t>劳务外包情况</w:t>
      </w:r>
      <w:bookmarkEnd w:id="389"/>
      <w:bookmarkEnd w:id="390"/>
      <w:bookmarkEnd w:id="392"/>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393" w:name="bookmark393"/>
      <w:bookmarkStart w:id="394" w:name="bookmark394"/>
      <w:bookmarkStart w:id="395" w:name="bookmark395"/>
      <w:r>
        <w:rPr>
          <w:color w:val="000000"/>
          <w:spacing w:val="0"/>
          <w:w w:val="100"/>
          <w:position w:val="0"/>
        </w:rPr>
        <w:t>十二、公司利润分配及资本公积金转增股本情况</w:t>
      </w:r>
      <w:bookmarkEnd w:id="393"/>
      <w:bookmarkEnd w:id="394"/>
      <w:bookmarkEnd w:id="395"/>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报告期内利润分配政策，特别是现金分红政策的制定、执行或调整情况</w:t>
      </w:r>
    </w:p>
    <w:p>
      <w:pPr>
        <w:pStyle w:val="Style2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报告期内，公司严格按照《公司章程》、股利分配政策及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 议通过的《关于公司未来三年</w:t>
      </w:r>
      <w:r>
        <w:rPr>
          <w:color w:val="000000"/>
          <w:spacing w:val="0"/>
          <w:w w:val="100"/>
          <w:position w:val="0"/>
        </w:rPr>
        <w:t>（</w:t>
      </w:r>
      <w:r>
        <w:rPr>
          <w:rFonts w:ascii="Times New Roman" w:eastAsia="Times New Roman" w:hAnsi="Times New Roman" w:cs="Times New Roman"/>
          <w:color w:val="000000"/>
          <w:spacing w:val="0"/>
          <w:w w:val="100"/>
          <w:position w:val="0"/>
        </w:rPr>
        <w:t>2021-2023</w:t>
      </w:r>
      <w:r>
        <w:rPr>
          <w:color w:val="000000"/>
          <w:spacing w:val="0"/>
          <w:w w:val="100"/>
          <w:position w:val="0"/>
        </w:rPr>
        <w:t>年）股东分红回报规划的议案》，制定利润分配方案。《关于公 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年度利润分配预案的议案》经由公司董事会、监事会和股东大会审议通过，独立董事发表独立意见， 并在规定时间内实施，切实保证了全体股东的利益。</w:t>
      </w:r>
    </w:p>
    <w:p>
      <w:pPr>
        <w:pStyle w:val="Style11"/>
        <w:keepNext w:val="0"/>
        <w:keepLines w:val="0"/>
        <w:widowControl w:val="0"/>
        <w:shd w:val="clear" w:color="auto" w:fill="auto"/>
        <w:bidi w:val="0"/>
        <w:spacing w:before="0" w:after="280" w:line="314"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日召开的第五届董事会第二次会议，第五届监事会第二次会议及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 开的</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年年度股东大会审议通过的</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年度利润分配方案为：</w:t>
      </w:r>
    </w:p>
    <w:p>
      <w:pPr>
        <w:pStyle w:val="Style1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以截至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360,223,074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1.3</w:t>
      </w:r>
      <w:r>
        <w:rPr>
          <w:color w:val="000000"/>
          <w:spacing w:val="0"/>
          <w:w w:val="100"/>
          <w:position w:val="0"/>
        </w:rPr>
        <w:t>元（含 税），本年度不送红股，不以资本公积金转增股本，合计派发现金股利人民币</w:t>
      </w:r>
      <w:r>
        <w:rPr>
          <w:rFonts w:ascii="Times New Roman" w:eastAsia="Times New Roman" w:hAnsi="Times New Roman" w:cs="Times New Roman"/>
          <w:color w:val="000000"/>
          <w:spacing w:val="0"/>
          <w:w w:val="100"/>
          <w:position w:val="0"/>
        </w:rPr>
        <w:t>46,828,999.62</w:t>
      </w:r>
      <w:r>
        <w:rPr>
          <w:color w:val="000000"/>
          <w:spacing w:val="0"/>
          <w:w w:val="100"/>
          <w:position w:val="0"/>
        </w:rPr>
        <w:t>（含税）。在 利润分配预案披露日至实施权益分派股权登记日期间，公司股本总额若因股份回购、可转债转股等事项发 生变化，公司将按照分配总额不变的原则对分配比例进行调整。</w:t>
      </w:r>
    </w:p>
    <w:p>
      <w:pPr>
        <w:pStyle w:val="Style11"/>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日，公司在中国证监会指定信息披露网站巨潮资讯网刊登了《</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年年度权益分配实施 公告》。公司发行的可转换公司债券（债券代码：</w:t>
      </w:r>
      <w:r>
        <w:rPr>
          <w:rFonts w:ascii="Times New Roman" w:eastAsia="Times New Roman" w:hAnsi="Times New Roman" w:cs="Times New Roman"/>
          <w:color w:val="000000"/>
          <w:spacing w:val="0"/>
          <w:w w:val="100"/>
          <w:position w:val="0"/>
        </w:rPr>
        <w:t>123044</w:t>
      </w:r>
      <w:r>
        <w:rPr>
          <w:color w:val="000000"/>
          <w:spacing w:val="0"/>
          <w:w w:val="100"/>
          <w:position w:val="0"/>
        </w:rPr>
        <w:t>,债券简称：红相转债，以下简称</w:t>
      </w:r>
      <w:r>
        <w:rPr>
          <w:rFonts w:ascii="Times New Roman" w:eastAsia="Times New Roman" w:hAnsi="Times New Roman" w:cs="Times New Roman"/>
          <w:color w:val="000000"/>
          <w:spacing w:val="0"/>
          <w:w w:val="100"/>
          <w:position w:val="0"/>
        </w:rPr>
        <w:t>“</w:t>
      </w:r>
      <w:r>
        <w:rPr>
          <w:color w:val="000000"/>
          <w:spacing w:val="0"/>
          <w:w w:val="100"/>
          <w:position w:val="0"/>
        </w:rPr>
        <w:t>可转债</w:t>
      </w:r>
      <w:r>
        <w:rPr>
          <w:rFonts w:ascii="Times New Roman" w:eastAsia="Times New Roman" w:hAnsi="Times New Roman" w:cs="Times New Roman"/>
          <w:color w:val="000000"/>
          <w:spacing w:val="0"/>
          <w:w w:val="100"/>
          <w:position w:val="0"/>
        </w:rPr>
        <w:t>”</w:t>
      </w:r>
      <w:r>
        <w:rPr>
          <w:color w:val="000000"/>
          <w:spacing w:val="0"/>
          <w:w w:val="100"/>
          <w:position w:val="0"/>
        </w:rPr>
        <w:t>）目 前处于转股期内，自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日至权益分派实施申请日（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日）期间，共计转股</w:t>
      </w:r>
      <w:r>
        <w:rPr>
          <w:rFonts w:ascii="Times New Roman" w:eastAsia="Times New Roman" w:hAnsi="Times New Roman" w:cs="Times New Roman"/>
          <w:color w:val="000000"/>
          <w:spacing w:val="0"/>
          <w:w w:val="100"/>
          <w:position w:val="0"/>
        </w:rPr>
        <w:t>106</w:t>
      </w:r>
      <w:r>
        <w:rPr>
          <w:color w:val="000000"/>
          <w:spacing w:val="0"/>
          <w:w w:val="100"/>
          <w:position w:val="0"/>
        </w:rPr>
        <w:t>股，公 司总股本因可转债转股由</w:t>
      </w:r>
      <w:r>
        <w:rPr>
          <w:rFonts w:ascii="Times New Roman" w:eastAsia="Times New Roman" w:hAnsi="Times New Roman" w:cs="Times New Roman"/>
          <w:color w:val="000000"/>
          <w:spacing w:val="0"/>
          <w:w w:val="100"/>
          <w:position w:val="0"/>
        </w:rPr>
        <w:t>360,223,074</w:t>
      </w:r>
      <w:r>
        <w:rPr>
          <w:color w:val="000000"/>
          <w:spacing w:val="0"/>
          <w:w w:val="100"/>
          <w:position w:val="0"/>
        </w:rPr>
        <w:t>股增至</w:t>
      </w:r>
      <w:r>
        <w:rPr>
          <w:rFonts w:ascii="Times New Roman" w:eastAsia="Times New Roman" w:hAnsi="Times New Roman" w:cs="Times New Roman"/>
          <w:color w:val="000000"/>
          <w:spacing w:val="0"/>
          <w:w w:val="100"/>
          <w:position w:val="0"/>
        </w:rPr>
        <w:t>360,223,180</w:t>
      </w:r>
      <w:r>
        <w:rPr>
          <w:color w:val="000000"/>
          <w:spacing w:val="0"/>
          <w:w w:val="100"/>
          <w:position w:val="0"/>
        </w:rPr>
        <w:t>股。公司按照分配总额不变的原则对分配比例进行 调整。调整后的分派方案如下：以公司现有总股本</w:t>
      </w:r>
      <w:r>
        <w:rPr>
          <w:rFonts w:ascii="Times New Roman" w:eastAsia="Times New Roman" w:hAnsi="Times New Roman" w:cs="Times New Roman"/>
          <w:color w:val="000000"/>
          <w:spacing w:val="0"/>
          <w:w w:val="100"/>
          <w:position w:val="0"/>
        </w:rPr>
        <w:t>360,223,180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股派发现金股利 </w:t>
      </w:r>
      <w:r>
        <w:rPr>
          <w:rFonts w:ascii="Times New Roman" w:eastAsia="Times New Roman" w:hAnsi="Times New Roman" w:cs="Times New Roman"/>
          <w:color w:val="000000"/>
          <w:spacing w:val="0"/>
          <w:w w:val="100"/>
          <w:position w:val="0"/>
        </w:rPr>
        <w:t>1.299999</w:t>
      </w:r>
      <w:r>
        <w:rPr>
          <w:color w:val="000000"/>
          <w:spacing w:val="0"/>
          <w:w w:val="100"/>
          <w:position w:val="0"/>
        </w:rPr>
        <w:t>元（含税），不送红股，不以资本公积金转增股本。本次实施的分配方案与股东大会审议通过的 分配方案及其调整原则是一致的。本次权益分派股权登记日为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360,224,104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49"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根据中国证券监督管理委员会《关于进一步落实上市公司现金分红有关事项的通知》《上市公司监管指引第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 公司现金分红》《公司章程》等的相关规定，鉴于公司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年度实现的净利润为负值，考虑到公司未来发展需求，并结合 公司经营情况和现金流情况，公司立足于保障公司的长远发展，为投资者提供更加稳定、长效的回报，董事会经讨论后决 定，公司拟定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年度利润分配方案为：不派发现金红利，不送红股，不以公积金转增股本。</w:t>
            </w:r>
          </w:p>
        </w:tc>
      </w:tr>
    </w:tbl>
    <w:p>
      <w:pPr>
        <w:pStyle w:val="Style27"/>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公司报告期内盈利且母公司可供股东分配利润为正但未提出现金红利分配预案</w:t>
      </w:r>
    </w:p>
    <w:p>
      <w:pPr>
        <w:pStyle w:val="Style2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396" w:name="bookmark396"/>
      <w:bookmarkStart w:id="397" w:name="bookmark397"/>
      <w:bookmarkStart w:id="398" w:name="bookmark398"/>
      <w:r>
        <w:rPr>
          <w:color w:val="000000"/>
          <w:spacing w:val="0"/>
          <w:w w:val="100"/>
          <w:position w:val="0"/>
        </w:rPr>
        <w:t>十三、公司股权激励计划、员工持股计划或其他员工激励措施的实施情况</w:t>
      </w:r>
      <w:bookmarkEnd w:id="396"/>
      <w:bookmarkEnd w:id="397"/>
      <w:bookmarkEnd w:id="398"/>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公司报告期无股权激励计划、员工持股计划或其他员工激励措施及其实施情况。</w:t>
      </w:r>
    </w:p>
    <w:p>
      <w:pPr>
        <w:pStyle w:val="Style23"/>
        <w:keepNext/>
        <w:keepLines/>
        <w:widowControl w:val="0"/>
        <w:shd w:val="clear" w:color="auto" w:fill="auto"/>
        <w:bidi w:val="0"/>
        <w:spacing w:before="0" w:after="380" w:line="240" w:lineRule="auto"/>
        <w:ind w:left="0" w:right="0" w:firstLine="0"/>
        <w:jc w:val="both"/>
      </w:pPr>
      <w:bookmarkStart w:id="399" w:name="bookmark399"/>
      <w:bookmarkStart w:id="400" w:name="bookmark400"/>
      <w:bookmarkStart w:id="401" w:name="bookmark401"/>
      <w:r>
        <w:rPr>
          <w:color w:val="000000"/>
          <w:spacing w:val="0"/>
          <w:w w:val="100"/>
          <w:position w:val="0"/>
        </w:rPr>
        <w:t>十四、报告期内的内部控制制度建设及实施情况</w:t>
      </w:r>
      <w:bookmarkEnd w:id="399"/>
      <w:bookmarkEnd w:id="400"/>
      <w:bookmarkEnd w:id="401"/>
    </w:p>
    <w:p>
      <w:pPr>
        <w:pStyle w:val="Style31"/>
        <w:keepNext/>
        <w:keepLines/>
        <w:widowControl w:val="0"/>
        <w:shd w:val="clear" w:color="auto" w:fill="auto"/>
        <w:tabs>
          <w:tab w:pos="368" w:val="left"/>
        </w:tabs>
        <w:bidi w:val="0"/>
        <w:spacing w:before="0" w:after="260" w:line="240" w:lineRule="auto"/>
        <w:ind w:left="0" w:right="0" w:firstLine="0"/>
        <w:jc w:val="both"/>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1</w:t>
      </w:r>
      <w:bookmarkEnd w:id="404"/>
      <w:r>
        <w:rPr>
          <w:color w:val="000000"/>
          <w:spacing w:val="0"/>
          <w:w w:val="100"/>
          <w:position w:val="0"/>
        </w:rPr>
        <w:t>、</w:t>
        <w:tab/>
        <w:t>内部控制建设及实施情况</w:t>
      </w:r>
      <w:bookmarkEnd w:id="402"/>
      <w:bookmarkEnd w:id="403"/>
      <w:bookmarkEnd w:id="405"/>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报告期内，公司根据《企业内部控制基本规范》及其配套指引等规定，对内部控制体系进行了适时的更新和完善，力争建立 科学、简洁适用、运行有效的内部控制体系。审计委员会、内部审计等部门共同组成公司风险内控管理组织体系，对公司的 内部控制管理进行监督与评价。公司通过内部控制体系的运行、分析和评价，有效防范经营管理中的风险，促进内部控制目 标的实现。</w:t>
      </w:r>
    </w:p>
    <w:p>
      <w:pPr>
        <w:pStyle w:val="Style31"/>
        <w:keepNext/>
        <w:keepLines/>
        <w:widowControl w:val="0"/>
        <w:shd w:val="clear" w:color="auto" w:fill="auto"/>
        <w:tabs>
          <w:tab w:pos="378" w:val="left"/>
        </w:tabs>
        <w:bidi w:val="0"/>
        <w:spacing w:before="0" w:after="380" w:line="240" w:lineRule="auto"/>
        <w:ind w:left="0" w:right="0" w:firstLine="0"/>
        <w:jc w:val="both"/>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2</w:t>
      </w:r>
      <w:bookmarkEnd w:id="408"/>
      <w:r>
        <w:rPr>
          <w:color w:val="000000"/>
          <w:spacing w:val="0"/>
          <w:w w:val="100"/>
          <w:position w:val="0"/>
        </w:rPr>
        <w:t>、</w:t>
        <w:tab/>
        <w:t>报告期内发现的内部控制重大缺陷的具体情况</w:t>
      </w:r>
      <w:bookmarkEnd w:id="406"/>
      <w:bookmarkEnd w:id="407"/>
      <w:bookmarkEnd w:id="409"/>
    </w:p>
    <w:p>
      <w:pPr>
        <w:pStyle w:val="Style2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after="320" w:line="240" w:lineRule="auto"/>
        <w:ind w:left="0" w:right="0" w:firstLine="0"/>
        <w:jc w:val="both"/>
      </w:pPr>
      <w:bookmarkStart w:id="410" w:name="bookmark410"/>
      <w:bookmarkStart w:id="411" w:name="bookmark411"/>
      <w:bookmarkStart w:id="412" w:name="bookmark412"/>
      <w:r>
        <w:rPr>
          <w:color w:val="000000"/>
          <w:spacing w:val="0"/>
          <w:w w:val="100"/>
          <w:position w:val="0"/>
        </w:rPr>
        <w:t>十五、公司报告期内对子公司的管理控制情况</w:t>
      </w:r>
      <w:bookmarkEnd w:id="410"/>
      <w:bookmarkEnd w:id="411"/>
      <w:bookmarkEnd w:id="412"/>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宁夏银变科技有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由全资孙公司变</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更为全资子公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both"/>
      </w:pPr>
      <w:bookmarkStart w:id="413" w:name="bookmark413"/>
      <w:bookmarkStart w:id="414" w:name="bookmark414"/>
      <w:bookmarkStart w:id="415" w:name="bookmark415"/>
      <w:r>
        <w:rPr>
          <w:color w:val="000000"/>
          <w:spacing w:val="0"/>
          <w:w w:val="100"/>
          <w:position w:val="0"/>
        </w:rPr>
        <w:t>十六、内部控制自我评价报告或内部控制审计报告</w:t>
      </w:r>
      <w:bookmarkEnd w:id="413"/>
      <w:bookmarkEnd w:id="414"/>
      <w:bookmarkEnd w:id="415"/>
    </w:p>
    <w:p>
      <w:pPr>
        <w:pStyle w:val="Style31"/>
        <w:keepNext/>
        <w:keepLines/>
        <w:widowControl w:val="0"/>
        <w:shd w:val="clear" w:color="auto" w:fill="auto"/>
        <w:bidi w:val="0"/>
        <w:spacing w:before="0" w:after="320" w:line="240" w:lineRule="auto"/>
        <w:ind w:left="0" w:right="0" w:firstLine="0"/>
        <w:jc w:val="both"/>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1</w:t>
      </w:r>
      <w:bookmarkEnd w:id="418"/>
      <w:r>
        <w:rPr>
          <w:color w:val="000000"/>
          <w:spacing w:val="0"/>
          <w:w w:val="100"/>
          <w:position w:val="0"/>
        </w:rPr>
        <w:t>、内控自我评价报告</w:t>
      </w:r>
      <w:bookmarkEnd w:id="416"/>
      <w:bookmarkEnd w:id="417"/>
      <w:bookmarkEnd w:id="419"/>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巨潮资讯网《红相股份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年度内部控制的自我评价报告》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纳入评价范围单位营业收入占公司合并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6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w:t>
            </w:r>
          </w:p>
          <w:p>
            <w:pPr>
              <w:pStyle w:val="Style2"/>
              <w:keepNext w:val="0"/>
              <w:keepLines w:val="0"/>
              <w:widowControl w:val="0"/>
              <w:shd w:val="clear" w:color="auto" w:fill="auto"/>
              <w:tabs>
                <w:tab w:pos="389" w:val="left"/>
              </w:tabs>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审计委员会和审计部门对公司财务报 告的内部控制监督无效；</w:t>
            </w:r>
          </w:p>
          <w:p>
            <w:pPr>
              <w:pStyle w:val="Style2"/>
              <w:keepNext w:val="0"/>
              <w:keepLines w:val="0"/>
              <w:widowControl w:val="0"/>
              <w:shd w:val="clear" w:color="auto" w:fill="auto"/>
              <w:tabs>
                <w:tab w:pos="283" w:val="left"/>
              </w:tabs>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公司董事、监事和高级管理人员舞弊;</w:t>
            </w:r>
          </w:p>
          <w:p>
            <w:pPr>
              <w:pStyle w:val="Style2"/>
              <w:keepNext w:val="0"/>
              <w:keepLines w:val="0"/>
              <w:widowControl w:val="0"/>
              <w:shd w:val="clear" w:color="auto" w:fill="auto"/>
              <w:tabs>
                <w:tab w:pos="389" w:val="left"/>
              </w:tabs>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外部审计师发现当期财务报表存在重 大错报，而内部控制运行过程中未能发现 该错报；</w:t>
            </w:r>
          </w:p>
          <w:p>
            <w:pPr>
              <w:pStyle w:val="Style2"/>
              <w:keepNext w:val="0"/>
              <w:keepLines w:val="0"/>
              <w:widowControl w:val="0"/>
              <w:shd w:val="clear" w:color="auto" w:fill="auto"/>
              <w:tabs>
                <w:tab w:pos="374" w:val="left"/>
              </w:tabs>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其他可能导致公司严重偏离控制目标 的缺陷。</w:t>
            </w:r>
          </w:p>
          <w:p>
            <w:pPr>
              <w:pStyle w:val="Style2"/>
              <w:keepNext w:val="0"/>
              <w:keepLines w:val="0"/>
              <w:widowControl w:val="0"/>
              <w:shd w:val="clear" w:color="auto" w:fill="auto"/>
              <w:tabs>
                <w:tab w:pos="278"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p>
          <w:p>
            <w:pPr>
              <w:pStyle w:val="Style2"/>
              <w:keepNext w:val="0"/>
              <w:keepLines w:val="0"/>
              <w:widowControl w:val="0"/>
              <w:shd w:val="clear" w:color="auto" w:fill="auto"/>
              <w:tabs>
                <w:tab w:pos="398"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未依照公认会计准则选择和应用会计 政策；</w:t>
            </w:r>
          </w:p>
          <w:p>
            <w:pPr>
              <w:pStyle w:val="Style2"/>
              <w:keepNext w:val="0"/>
              <w:keepLines w:val="0"/>
              <w:widowControl w:val="0"/>
              <w:shd w:val="clear" w:color="auto" w:fill="auto"/>
              <w:tabs>
                <w:tab w:pos="360"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未建立反舞弊程序和控制措施；</w:t>
            </w:r>
          </w:p>
          <w:p>
            <w:pPr>
              <w:pStyle w:val="Style2"/>
              <w:keepNext w:val="0"/>
              <w:keepLines w:val="0"/>
              <w:widowControl w:val="0"/>
              <w:shd w:val="clear" w:color="auto" w:fill="auto"/>
              <w:tabs>
                <w:tab w:pos="384"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对于非常规或特殊交易的账务处理没 有建立相应的控制程序；</w:t>
            </w:r>
          </w:p>
          <w:p>
            <w:pPr>
              <w:pStyle w:val="Style2"/>
              <w:keepNext w:val="0"/>
              <w:keepLines w:val="0"/>
              <w:widowControl w:val="0"/>
              <w:shd w:val="clear" w:color="auto" w:fill="auto"/>
              <w:tabs>
                <w:tab w:pos="389"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对于期末的财务报告过程的控制存在 一项或多项缺陷，虽未达到重大缺陷标准， 但影响财务报告达到合理、准确的目标。</w:t>
            </w:r>
          </w:p>
          <w:p>
            <w:pPr>
              <w:pStyle w:val="Style2"/>
              <w:keepNext w:val="0"/>
              <w:keepLines w:val="0"/>
              <w:widowControl w:val="0"/>
              <w:shd w:val="clear" w:color="auto" w:fill="auto"/>
              <w:tabs>
                <w:tab w:pos="250"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一般缺陷：除上述重大缺陷、重要缺陷 之外的其他控制缺陷，则认定为一般缺陷。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w:t>
            </w:r>
          </w:p>
          <w:p>
            <w:pPr>
              <w:pStyle w:val="Style2"/>
              <w:keepNext w:val="0"/>
              <w:keepLines w:val="0"/>
              <w:widowControl w:val="0"/>
              <w:shd w:val="clear" w:color="auto" w:fill="auto"/>
              <w:tabs>
                <w:tab w:pos="360"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公司决策程序导致重大失误；</w:t>
            </w:r>
          </w:p>
          <w:p>
            <w:pPr>
              <w:pStyle w:val="Style2"/>
              <w:keepNext w:val="0"/>
              <w:keepLines w:val="0"/>
              <w:widowControl w:val="0"/>
              <w:shd w:val="clear" w:color="auto" w:fill="auto"/>
              <w:tabs>
                <w:tab w:pos="446"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重要业务缺乏制度控制或制度系 统性失效；</w:t>
            </w:r>
          </w:p>
          <w:p>
            <w:pPr>
              <w:pStyle w:val="Style2"/>
              <w:keepNext w:val="0"/>
              <w:keepLines w:val="0"/>
              <w:widowControl w:val="0"/>
              <w:shd w:val="clear" w:color="auto" w:fill="auto"/>
              <w:tabs>
                <w:tab w:pos="456"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缺陷发生的可能性高，会严重降 低工作效率或效果，或严重偏离预期目 标。</w:t>
            </w:r>
          </w:p>
          <w:p>
            <w:pPr>
              <w:pStyle w:val="Style2"/>
              <w:keepNext w:val="0"/>
              <w:keepLines w:val="0"/>
              <w:widowControl w:val="0"/>
              <w:shd w:val="clear" w:color="auto" w:fill="auto"/>
              <w:tabs>
                <w:tab w:pos="283"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p>
          <w:p>
            <w:pPr>
              <w:pStyle w:val="Style2"/>
              <w:keepNext w:val="0"/>
              <w:keepLines w:val="0"/>
              <w:widowControl w:val="0"/>
              <w:shd w:val="clear" w:color="auto" w:fill="auto"/>
              <w:tabs>
                <w:tab w:pos="360" w:val="left"/>
              </w:tabs>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公司决策程序导致一般性失误；</w:t>
            </w:r>
          </w:p>
          <w:p>
            <w:pPr>
              <w:pStyle w:val="Style2"/>
              <w:keepNext w:val="0"/>
              <w:keepLines w:val="0"/>
              <w:widowControl w:val="0"/>
              <w:shd w:val="clear" w:color="auto" w:fill="auto"/>
              <w:tabs>
                <w:tab w:pos="355" w:val="left"/>
              </w:tabs>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重要业务制度或系统存在缺陷；</w:t>
            </w:r>
          </w:p>
          <w:p>
            <w:pPr>
              <w:pStyle w:val="Style2"/>
              <w:keepNext w:val="0"/>
              <w:keepLines w:val="0"/>
              <w:widowControl w:val="0"/>
              <w:shd w:val="clear" w:color="auto" w:fill="auto"/>
              <w:tabs>
                <w:tab w:pos="442" w:val="left"/>
              </w:tabs>
              <w:bidi w:val="0"/>
              <w:spacing w:before="0" w:after="6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缺陷发生的可能性较高，会显著 降低工作效率或效果，或显著偏离预期 目标。</w:t>
            </w:r>
          </w:p>
          <w:p>
            <w:pPr>
              <w:pStyle w:val="Style2"/>
              <w:keepNext w:val="0"/>
              <w:keepLines w:val="0"/>
              <w:widowControl w:val="0"/>
              <w:shd w:val="clear" w:color="auto" w:fill="auto"/>
              <w:tabs>
                <w:tab w:pos="274"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w:t>
            </w:r>
          </w:p>
          <w:p>
            <w:pPr>
              <w:pStyle w:val="Style2"/>
              <w:keepNext w:val="0"/>
              <w:keepLines w:val="0"/>
              <w:widowControl w:val="0"/>
              <w:shd w:val="clear" w:color="auto" w:fill="auto"/>
              <w:tabs>
                <w:tab w:pos="360"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公司决策程序效率不高；</w:t>
            </w:r>
          </w:p>
          <w:p>
            <w:pPr>
              <w:pStyle w:val="Style2"/>
              <w:keepNext w:val="0"/>
              <w:keepLines w:val="0"/>
              <w:widowControl w:val="0"/>
              <w:shd w:val="clear" w:color="auto" w:fill="auto"/>
              <w:tabs>
                <w:tab w:pos="355"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一般业务制度或系统存在缺陷；</w:t>
            </w:r>
          </w:p>
          <w:p>
            <w:pPr>
              <w:pStyle w:val="Style2"/>
              <w:keepNext w:val="0"/>
              <w:keepLines w:val="0"/>
              <w:widowControl w:val="0"/>
              <w:shd w:val="clear" w:color="auto" w:fill="auto"/>
              <w:tabs>
                <w:tab w:pos="451"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缺陷发生的可能性较小，会降低 工作效率或偏离预期目标。</w:t>
            </w:r>
          </w:p>
        </w:tc>
      </w:tr>
      <w:tr>
        <w:trPr>
          <w:trHeight w:val="39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40" w:val="left"/>
              </w:tabs>
              <w:bidi w:val="0"/>
              <w:spacing w:before="0" w:after="40" w:line="30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重大缺陷：错报金额大于或等于营业收 入的</w:t>
            </w:r>
            <w:r>
              <w:rPr>
                <w:rFonts w:ascii="Times New Roman" w:eastAsia="Times New Roman" w:hAnsi="Times New Roman" w:cs="Times New Roman"/>
                <w:color w:val="000000"/>
                <w:spacing w:val="0"/>
                <w:w w:val="100"/>
                <w:position w:val="0"/>
                <w:sz w:val="18"/>
                <w:szCs w:val="18"/>
              </w:rPr>
              <w:t>5%</w:t>
            </w:r>
          </w:p>
          <w:p>
            <w:pPr>
              <w:pStyle w:val="Style2"/>
              <w:keepNext w:val="0"/>
              <w:keepLines w:val="0"/>
              <w:widowControl w:val="0"/>
              <w:shd w:val="clear" w:color="auto" w:fill="auto"/>
              <w:tabs>
                <w:tab w:pos="278" w:val="left"/>
              </w:tabs>
              <w:bidi w:val="0"/>
              <w:spacing w:before="0" w:after="8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重要缺陷：营业收入的</w:t>
            </w:r>
            <w:r>
              <w:rPr>
                <w:rFonts w:ascii="Times New Roman" w:eastAsia="Times New Roman" w:hAnsi="Times New Roman" w:cs="Times New Roman"/>
                <w:color w:val="000000"/>
                <w:spacing w:val="0"/>
                <w:w w:val="100"/>
                <w:position w:val="0"/>
                <w:sz w:val="18"/>
                <w:szCs w:val="18"/>
              </w:rPr>
              <w:t>2%&lt;=</w:t>
            </w:r>
            <w:r>
              <w:rPr>
                <w:color w:val="000000"/>
                <w:spacing w:val="0"/>
                <w:w w:val="100"/>
                <w:position w:val="0"/>
                <w:sz w:val="17"/>
                <w:szCs w:val="17"/>
              </w:rPr>
              <w:t>错报金 额</w:t>
            </w:r>
            <w:r>
              <w:rPr>
                <w:color w:val="000000"/>
                <w:spacing w:val="0"/>
                <w:w w:val="100"/>
                <w:position w:val="0"/>
                <w:sz w:val="18"/>
                <w:szCs w:val="18"/>
              </w:rPr>
              <w:t>〈</w:t>
            </w:r>
            <w:r>
              <w:rPr>
                <w:color w:val="000000"/>
                <w:spacing w:val="0"/>
                <w:w w:val="100"/>
                <w:position w:val="0"/>
                <w:sz w:val="17"/>
                <w:szCs w:val="17"/>
              </w:rPr>
              <w:t>营业收入的</w:t>
            </w:r>
            <w:r>
              <w:rPr>
                <w:rFonts w:ascii="Times New Roman" w:eastAsia="Times New Roman" w:hAnsi="Times New Roman" w:cs="Times New Roman"/>
                <w:color w:val="000000"/>
                <w:spacing w:val="0"/>
                <w:w w:val="100"/>
                <w:position w:val="0"/>
                <w:sz w:val="18"/>
                <w:szCs w:val="18"/>
              </w:rPr>
              <w:t>5%</w:t>
            </w:r>
          </w:p>
          <w:p>
            <w:pPr>
              <w:pStyle w:val="Style2"/>
              <w:keepNext w:val="0"/>
              <w:keepLines w:val="0"/>
              <w:widowControl w:val="0"/>
              <w:shd w:val="clear" w:color="auto" w:fill="auto"/>
              <w:tabs>
                <w:tab w:pos="269" w:val="left"/>
              </w:tabs>
              <w:bidi w:val="0"/>
              <w:spacing w:before="0" w:after="6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一般缺陷：错报金额</w:t>
            </w:r>
            <w:r>
              <w:rPr>
                <w:color w:val="000000"/>
                <w:spacing w:val="0"/>
                <w:w w:val="100"/>
                <w:position w:val="0"/>
                <w:sz w:val="18"/>
                <w:szCs w:val="18"/>
              </w:rPr>
              <w:t>〈</w:t>
            </w:r>
            <w:r>
              <w:rPr>
                <w:color w:val="000000"/>
                <w:spacing w:val="0"/>
                <w:w w:val="100"/>
                <w:position w:val="0"/>
                <w:sz w:val="17"/>
                <w:szCs w:val="17"/>
              </w:rPr>
              <w:t>营业收入的</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4" w:val="left"/>
              </w:tabs>
              <w:bidi w:val="0"/>
              <w:spacing w:before="0" w:after="6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重大缺陷：如果某项内部控制缺陷 单独或连同其他缺陷可能导致的损失 金额大于或等于营业收入的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 定为重大缺陷</w:t>
            </w:r>
          </w:p>
          <w:p>
            <w:pPr>
              <w:pStyle w:val="Style2"/>
              <w:keepNext w:val="0"/>
              <w:keepLines w:val="0"/>
              <w:widowControl w:val="0"/>
              <w:shd w:val="clear" w:color="auto" w:fill="auto"/>
              <w:tabs>
                <w:tab w:pos="283" w:val="left"/>
              </w:tabs>
              <w:bidi w:val="0"/>
              <w:spacing w:before="0" w:after="6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重要缺陷：如果某项内部控制缺陷 单独或连同其他缺陷可能导致的损失 金额小于营业收入的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，大于或等于 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，则认定为重要缺陷</w:t>
            </w:r>
          </w:p>
          <w:p>
            <w:pPr>
              <w:pStyle w:val="Style2"/>
              <w:keepNext w:val="0"/>
              <w:keepLines w:val="0"/>
              <w:widowControl w:val="0"/>
              <w:shd w:val="clear" w:color="auto" w:fill="auto"/>
              <w:tabs>
                <w:tab w:pos="274" w:val="left"/>
              </w:tabs>
              <w:bidi w:val="0"/>
              <w:spacing w:before="0" w:after="6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一般缺陷：如果某项内部控制缺陷 单独或连同其他缺陷可能导致的损失 金额小于营业收入的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，则认定为一 般缺陷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2</w:t>
      </w:r>
      <w:bookmarkEnd w:id="422"/>
      <w:r>
        <w:rPr>
          <w:color w:val="000000"/>
          <w:spacing w:val="0"/>
          <w:w w:val="100"/>
          <w:position w:val="0"/>
        </w:rPr>
        <w:t>、内部控制审计报告或鉴证报告</w:t>
      </w:r>
      <w:bookmarkEnd w:id="420"/>
      <w:bookmarkEnd w:id="421"/>
      <w:bookmarkEnd w:id="423"/>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both"/>
      </w:pPr>
      <w:bookmarkStart w:id="424" w:name="bookmark424"/>
      <w:bookmarkStart w:id="425" w:name="bookmark425"/>
      <w:bookmarkStart w:id="426" w:name="bookmark426"/>
      <w:r>
        <w:rPr>
          <w:color w:val="000000"/>
          <w:spacing w:val="0"/>
          <w:w w:val="100"/>
          <w:position w:val="0"/>
        </w:rPr>
        <w:t>十七、上市公司治理专项行动自查问题整改情况</w:t>
      </w:r>
      <w:bookmarkEnd w:id="424"/>
      <w:bookmarkEnd w:id="425"/>
      <w:bookmarkEnd w:id="426"/>
    </w:p>
    <w:p>
      <w:pPr>
        <w:pStyle w:val="Style27"/>
        <w:keepNext w:val="0"/>
        <w:keepLines w:val="0"/>
        <w:widowControl w:val="0"/>
        <w:shd w:val="clear" w:color="auto" w:fill="auto"/>
        <w:bidi w:val="0"/>
        <w:spacing w:before="0" w:after="0" w:line="313" w:lineRule="exact"/>
        <w:ind w:left="0" w:right="0" w:firstLine="0"/>
        <w:jc w:val="both"/>
        <w:sectPr>
          <w:footnotePr>
            <w:pos w:val="pageBottom"/>
            <w:numFmt w:val="decimal"/>
            <w:numRestart w:val="continuous"/>
          </w:footnotePr>
          <w:pgSz w:w="11900" w:h="16840"/>
          <w:pgMar w:top="1398" w:right="615" w:bottom="1456" w:left="634" w:header="0" w:footer="3" w:gutter="0"/>
          <w:cols w:space="720"/>
          <w:noEndnote/>
          <w:rtlGutter w:val="0"/>
          <w:docGrid w:linePitch="360"/>
        </w:sectPr>
      </w:pPr>
      <w:r>
        <w:rPr>
          <w:color w:val="000000"/>
          <w:spacing w:val="0"/>
          <w:w w:val="100"/>
          <w:position w:val="0"/>
        </w:rPr>
        <w:t>根据中国证券监督管理委员会上市公司治理专项自查清单填报系统，公司本着实事求是的原则，严格对照《公司法》、《证 券法》、《深圳证券交易所上市公司自律监管指引第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号——创业板上市公司规范运作》等有关法律法规、以及内部规章制 度，对专项活动的自查事项进行了自查，并进行了认真地梳理填报，并于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日前完成专项自查情况。通过本次自 查，公司认为公司治理符合《公司法》、《证券法》、《上市公司章程指引》等相关法律、法规的要求，公司治理结构较为 完善，运作规范，不存在重大问题的失误。</w:t>
      </w:r>
    </w:p>
    <w:p>
      <w:pPr>
        <w:pStyle w:val="Style9"/>
        <w:keepNext/>
        <w:keepLines/>
        <w:widowControl w:val="0"/>
        <w:shd w:val="clear" w:color="auto" w:fill="auto"/>
        <w:bidi w:val="0"/>
        <w:spacing w:before="560" w:line="240" w:lineRule="auto"/>
        <w:ind w:left="0" w:right="0" w:firstLine="0"/>
        <w:jc w:val="center"/>
      </w:pPr>
      <w:bookmarkStart w:id="427" w:name="bookmark427"/>
      <w:bookmarkStart w:id="428" w:name="bookmark428"/>
      <w:bookmarkStart w:id="429" w:name="bookmark429"/>
      <w:r>
        <w:rPr>
          <w:color w:val="000000"/>
          <w:spacing w:val="0"/>
          <w:w w:val="100"/>
          <w:position w:val="0"/>
        </w:rPr>
        <w:t>第五节环境和社会责任</w:t>
      </w:r>
      <w:bookmarkEnd w:id="427"/>
      <w:bookmarkEnd w:id="428"/>
      <w:bookmarkEnd w:id="429"/>
    </w:p>
    <w:p>
      <w:pPr>
        <w:pStyle w:val="Style23"/>
        <w:keepNext/>
        <w:keepLines/>
        <w:widowControl w:val="0"/>
        <w:shd w:val="clear" w:color="auto" w:fill="auto"/>
        <w:bidi w:val="0"/>
        <w:spacing w:before="0" w:after="380" w:line="240" w:lineRule="auto"/>
        <w:ind w:left="0" w:right="0" w:firstLine="0"/>
        <w:jc w:val="left"/>
      </w:pPr>
      <w:bookmarkStart w:id="430" w:name="bookmark430"/>
      <w:bookmarkStart w:id="431" w:name="bookmark431"/>
      <w:bookmarkStart w:id="432" w:name="bookmark432"/>
      <w:bookmarkStart w:id="433" w:name="bookmark433"/>
      <w:bookmarkStart w:id="434" w:name="bookmark434"/>
      <w:r>
        <w:rPr>
          <w:color w:val="000000"/>
          <w:spacing w:val="0"/>
          <w:w w:val="100"/>
          <w:position w:val="0"/>
        </w:rPr>
        <w:t>一</w:t>
      </w:r>
      <w:bookmarkEnd w:id="433"/>
      <w:r>
        <w:rPr>
          <w:color w:val="000000"/>
          <w:spacing w:val="0"/>
          <w:w w:val="100"/>
          <w:position w:val="0"/>
        </w:rPr>
        <w:t>、重大环保问题</w:t>
      </w:r>
      <w:bookmarkEnd w:id="431"/>
      <w:bookmarkEnd w:id="432"/>
      <w:bookmarkEnd w:id="434"/>
      <w:bookmarkEnd w:id="43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卧龙电气银川变压 器有限公司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喷漆车间焊接烟气 未采取控制、减少粉 尘和气态污染物排 放的有效措施，焊接 烟气无组织排放。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违反《中华人民共和 国大气污染防治法》 第四十八条第一款 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万元人民币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、车间工作期间 </w:t>
            </w:r>
            <w:r>
              <w:rPr>
                <w:rFonts w:ascii="Times New Roman" w:eastAsia="Times New Roman" w:hAnsi="Times New Roman" w:cs="Times New Roman"/>
                <w:color w:val="000000"/>
                <w:spacing w:val="0"/>
                <w:w w:val="100"/>
                <w:position w:val="0"/>
                <w:sz w:val="18"/>
                <w:szCs w:val="18"/>
              </w:rPr>
              <w:t>VOC</w:t>
            </w:r>
            <w:r>
              <w:rPr>
                <w:color w:val="000000"/>
                <w:spacing w:val="0"/>
                <w:w w:val="100"/>
                <w:position w:val="0"/>
              </w:rPr>
              <w:t>治理设备、焊 接烟尘净化设备全 部正常运行；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、增 加车间工作场所巡 查频次，加强现场管 理。</w:t>
            </w:r>
          </w:p>
        </w:tc>
      </w:tr>
    </w:tbl>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参照重点排污单位披露的其他环境信息</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在报告期内为减少其碳排放所采取的措施及效果</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未披露其他环境信息的原因</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公司及子公司不属于环境保护部门公布的重大排污单位，公司及子公司在日常生产经营中认真执行《中华人民共和国环境保 护法》、《中华人民共和国水污染防治法》、《中华人民共和国大气污染防治法》、《中华人民共和国固体废物污染防治法》 等环保方面的法律法规。除子公司银川变压器违反《中华人民共和国大气污染防治法》第四十八条第一款规定外，报告期内 公司及子公司未出现违法违规而受处罚的情况。报告期内，子公司银川变压器已及时整改。</w:t>
      </w:r>
    </w:p>
    <w:p>
      <w:pPr>
        <w:pStyle w:val="Style23"/>
        <w:keepNext/>
        <w:keepLines/>
        <w:widowControl w:val="0"/>
        <w:shd w:val="clear" w:color="auto" w:fill="auto"/>
        <w:bidi w:val="0"/>
        <w:spacing w:before="0" w:after="30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二</w:t>
      </w:r>
      <w:bookmarkEnd w:id="437"/>
      <w:r>
        <w:rPr>
          <w:color w:val="000000"/>
          <w:spacing w:val="0"/>
          <w:w w:val="100"/>
          <w:position w:val="0"/>
        </w:rPr>
        <w:t>、社会责任情况</w:t>
      </w:r>
      <w:bookmarkEnd w:id="435"/>
      <w:bookmarkEnd w:id="436"/>
      <w:bookmarkEnd w:id="438"/>
    </w:p>
    <w:p>
      <w:pPr>
        <w:pStyle w:val="Style11"/>
        <w:keepNext w:val="0"/>
        <w:keepLines w:val="0"/>
        <w:widowControl w:val="0"/>
        <w:shd w:val="clear" w:color="auto" w:fill="auto"/>
        <w:bidi w:val="0"/>
        <w:spacing w:before="0" w:after="80" w:line="313" w:lineRule="exact"/>
        <w:ind w:left="0" w:right="0" w:firstLine="440"/>
        <w:jc w:val="both"/>
      </w:pPr>
      <w:r>
        <w:rPr>
          <w:b/>
          <w:bCs/>
          <w:color w:val="000000"/>
          <w:spacing w:val="0"/>
          <w:w w:val="100"/>
          <w:position w:val="0"/>
        </w:rPr>
        <w:t>（一）履行社会责任情况</w:t>
      </w:r>
    </w:p>
    <w:p>
      <w:pPr>
        <w:pStyle w:val="Style11"/>
        <w:keepNext w:val="0"/>
        <w:keepLines w:val="0"/>
        <w:widowControl w:val="0"/>
        <w:shd w:val="clear" w:color="auto" w:fill="auto"/>
        <w:tabs>
          <w:tab w:pos="794" w:val="left"/>
        </w:tabs>
        <w:bidi w:val="0"/>
        <w:spacing w:before="0" w:after="0" w:line="326" w:lineRule="auto"/>
        <w:ind w:left="0" w:right="0" w:firstLine="440"/>
        <w:jc w:val="both"/>
      </w:pPr>
      <w:bookmarkStart w:id="439" w:name="bookmark439"/>
      <w:r>
        <w:rPr>
          <w:rFonts w:ascii="Times New Roman" w:eastAsia="Times New Roman" w:hAnsi="Times New Roman" w:cs="Times New Roman"/>
          <w:color w:val="000000"/>
          <w:spacing w:val="0"/>
          <w:w w:val="100"/>
          <w:position w:val="0"/>
        </w:rPr>
        <w:t>1</w:t>
      </w:r>
      <w:bookmarkEnd w:id="439"/>
      <w:r>
        <w:rPr>
          <w:color w:val="000000"/>
          <w:spacing w:val="0"/>
          <w:w w:val="100"/>
          <w:position w:val="0"/>
        </w:rPr>
        <w:t>、</w:t>
        <w:tab/>
        <w:t>完善公司治理结构</w:t>
      </w:r>
    </w:p>
    <w:p>
      <w:pPr>
        <w:pStyle w:val="Style11"/>
        <w:keepNext w:val="0"/>
        <w:keepLines w:val="0"/>
        <w:widowControl w:val="0"/>
        <w:shd w:val="clear" w:color="auto" w:fill="auto"/>
        <w:bidi w:val="0"/>
        <w:spacing w:before="0" w:after="80" w:line="313" w:lineRule="exact"/>
        <w:ind w:left="0" w:right="0" w:firstLine="440"/>
        <w:jc w:val="left"/>
      </w:pPr>
      <w:r>
        <w:rPr>
          <w:color w:val="000000"/>
          <w:spacing w:val="0"/>
          <w:w w:val="100"/>
          <w:position w:val="0"/>
        </w:rPr>
        <w:t>公司根据《公司法》、《证券法》、《上市公司治理准则》、《深圳证券交易所创业板股票上市规则》、 《上市公司信息披露管理办法》等法律、法规及规范性文件的要求，建立了由股东大会、董事会、监事会 和公司管理层组成的健全、完善的公司治理架构，形成了权利机构、决策机构、监督机构和管理层之间权 责明确、运作规范、相互协调、互相制衡的完整的议事、决策、授权、执行的公司治理体系。</w:t>
      </w:r>
    </w:p>
    <w:p>
      <w:pPr>
        <w:pStyle w:val="Style11"/>
        <w:keepNext w:val="0"/>
        <w:keepLines w:val="0"/>
        <w:widowControl w:val="0"/>
        <w:shd w:val="clear" w:color="auto" w:fill="auto"/>
        <w:tabs>
          <w:tab w:pos="813" w:val="left"/>
        </w:tabs>
        <w:bidi w:val="0"/>
        <w:spacing w:before="0" w:after="0" w:line="326" w:lineRule="auto"/>
        <w:ind w:left="0" w:right="0" w:firstLine="440"/>
        <w:jc w:val="both"/>
      </w:pPr>
      <w:bookmarkStart w:id="440" w:name="bookmark440"/>
      <w:r>
        <w:rPr>
          <w:rFonts w:ascii="Times New Roman" w:eastAsia="Times New Roman" w:hAnsi="Times New Roman" w:cs="Times New Roman"/>
          <w:color w:val="000000"/>
          <w:spacing w:val="0"/>
          <w:w w:val="100"/>
          <w:position w:val="0"/>
        </w:rPr>
        <w:t>2</w:t>
      </w:r>
      <w:bookmarkEnd w:id="440"/>
      <w:r>
        <w:rPr>
          <w:color w:val="000000"/>
          <w:spacing w:val="0"/>
          <w:w w:val="100"/>
          <w:position w:val="0"/>
        </w:rPr>
        <w:t>、</w:t>
        <w:tab/>
        <w:t>股东权益保护</w:t>
      </w:r>
    </w:p>
    <w:p>
      <w:pPr>
        <w:pStyle w:val="Style1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公司严格按照《公司法》、《证券法》、《深圳证券交易所创业板股票上市规则》、《上市公司信息 披露管理办法》等相关法律法规的要求，及时、准确、真实、完整地进行信息披露，通过设置专人直线接 听投资者电话、电子邮箱、公司网站和投资者关系互动平台等多种方式与投资者进行沟通交流，提高了公 司的透明度和诚信度。</w:t>
      </w:r>
    </w:p>
    <w:p>
      <w:pPr>
        <w:pStyle w:val="Style1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同时，公司十分重视对投资者的合理回报，</w:t>
      </w:r>
      <w:r>
        <w:rPr>
          <w:rFonts w:ascii="Times New Roman" w:eastAsia="Times New Roman" w:hAnsi="Times New Roman" w:cs="Times New Roman"/>
          <w:color w:val="000000"/>
          <w:spacing w:val="0"/>
          <w:w w:val="100"/>
          <w:position w:val="0"/>
        </w:rPr>
        <w:t>2021</w:t>
      </w:r>
      <w:r>
        <w:rPr>
          <w:color w:val="000000"/>
          <w:spacing w:val="0"/>
          <w:w w:val="100"/>
          <w:position w:val="0"/>
        </w:rPr>
        <w:t>年公司向全体股东实施</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年度利润分配方案，分配 </w:t>
      </w:r>
      <w:r>
        <w:rPr>
          <w:color w:val="000000"/>
          <w:spacing w:val="0"/>
          <w:w w:val="100"/>
          <w:position w:val="0"/>
        </w:rPr>
        <w:t>现金股利人民币</w:t>
      </w:r>
      <w:r>
        <w:rPr>
          <w:rFonts w:ascii="Times New Roman" w:eastAsia="Times New Roman" w:hAnsi="Times New Roman" w:cs="Times New Roman"/>
          <w:color w:val="000000"/>
          <w:spacing w:val="0"/>
          <w:w w:val="100"/>
          <w:position w:val="0"/>
        </w:rPr>
        <w:t>46,808,087.71</w:t>
      </w:r>
      <w:r>
        <w:rPr>
          <w:color w:val="000000"/>
          <w:spacing w:val="0"/>
          <w:w w:val="100"/>
          <w:position w:val="0"/>
        </w:rPr>
        <w:t>元（含税）。</w:t>
      </w:r>
    </w:p>
    <w:p>
      <w:pPr>
        <w:pStyle w:val="Style11"/>
        <w:keepNext w:val="0"/>
        <w:keepLines w:val="0"/>
        <w:widowControl w:val="0"/>
        <w:shd w:val="clear" w:color="auto" w:fill="auto"/>
        <w:tabs>
          <w:tab w:pos="813" w:val="left"/>
        </w:tabs>
        <w:bidi w:val="0"/>
        <w:spacing w:before="0" w:after="0" w:line="311" w:lineRule="exact"/>
        <w:ind w:left="0" w:right="0" w:firstLine="440"/>
        <w:jc w:val="both"/>
      </w:pPr>
      <w:bookmarkStart w:id="441" w:name="bookmark441"/>
      <w:r>
        <w:rPr>
          <w:rFonts w:ascii="Times New Roman" w:eastAsia="Times New Roman" w:hAnsi="Times New Roman" w:cs="Times New Roman"/>
          <w:color w:val="000000"/>
          <w:spacing w:val="0"/>
          <w:w w:val="100"/>
          <w:position w:val="0"/>
        </w:rPr>
        <w:t>3</w:t>
      </w:r>
      <w:bookmarkEnd w:id="441"/>
      <w:r>
        <w:rPr>
          <w:color w:val="000000"/>
          <w:spacing w:val="0"/>
          <w:w w:val="100"/>
          <w:position w:val="0"/>
        </w:rPr>
        <w:t>、</w:t>
        <w:tab/>
        <w:t>职工权益保护</w:t>
      </w:r>
    </w:p>
    <w:p>
      <w:pPr>
        <w:pStyle w:val="Style1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公司一直坚持以人为本的人才理念，实施企业人才战略，严格遵守《劳动法》、《劳动合同法》等相 关法律法规，积极做好员工的健康管理工作，内部实行员工工作机会平等；在薪酬福利方面，建立较为完 善的薪酬考核体系，激励机制及人才选拔机制，提高员工的福利待遇，建立健全规范的员工社会保险管理 体系，促进劳资关系的和谐稳定；在培训管理方面，持续开展员工培训工作，通过培训提供员工技能，提 供组织和个人的应变、适应能力，提高工作绩效水平和工作能力。</w:t>
      </w:r>
    </w:p>
    <w:p>
      <w:pPr>
        <w:pStyle w:val="Style11"/>
        <w:keepNext w:val="0"/>
        <w:keepLines w:val="0"/>
        <w:widowControl w:val="0"/>
        <w:shd w:val="clear" w:color="auto" w:fill="auto"/>
        <w:tabs>
          <w:tab w:pos="813" w:val="left"/>
        </w:tabs>
        <w:bidi w:val="0"/>
        <w:spacing w:before="0" w:after="0" w:line="311" w:lineRule="exact"/>
        <w:ind w:left="0" w:right="0" w:firstLine="440"/>
        <w:jc w:val="both"/>
      </w:pPr>
      <w:bookmarkStart w:id="442" w:name="bookmark442"/>
      <w:r>
        <w:rPr>
          <w:rFonts w:ascii="Times New Roman" w:eastAsia="Times New Roman" w:hAnsi="Times New Roman" w:cs="Times New Roman"/>
          <w:color w:val="000000"/>
          <w:spacing w:val="0"/>
          <w:w w:val="100"/>
          <w:position w:val="0"/>
        </w:rPr>
        <w:t>4</w:t>
      </w:r>
      <w:bookmarkEnd w:id="442"/>
      <w:r>
        <w:rPr>
          <w:color w:val="000000"/>
          <w:spacing w:val="0"/>
          <w:w w:val="100"/>
          <w:position w:val="0"/>
        </w:rPr>
        <w:t>、</w:t>
        <w:tab/>
        <w:t>依法经营</w:t>
      </w:r>
    </w:p>
    <w:p>
      <w:pPr>
        <w:pStyle w:val="Style11"/>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依法纳税、合规经营</w:t>
      </w:r>
      <w:r>
        <w:rPr>
          <w:rFonts w:ascii="Times New Roman" w:eastAsia="Times New Roman" w:hAnsi="Times New Roman" w:cs="Times New Roman"/>
          <w:color w:val="000000"/>
          <w:spacing w:val="0"/>
          <w:w w:val="100"/>
          <w:position w:val="0"/>
        </w:rPr>
        <w:t>”</w:t>
      </w:r>
      <w:r>
        <w:rPr>
          <w:color w:val="000000"/>
          <w:spacing w:val="0"/>
          <w:w w:val="100"/>
          <w:position w:val="0"/>
        </w:rPr>
        <w:t>是公司践行社会责任的重要基石，也是公司诚信经营理念的重要体现。报告期 内，公司进一步加强税务基础管理、降低税务风险、提高全员纳税意识和税法遵从度，提升税务工作合法、 合规性。公司始终将依法经营作为公司运行的基本原则，注重企业经济效益和社会效益的同步共赢。</w:t>
      </w:r>
    </w:p>
    <w:p>
      <w:pPr>
        <w:pStyle w:val="Style11"/>
        <w:keepNext w:val="0"/>
        <w:keepLines w:val="0"/>
        <w:widowControl w:val="0"/>
        <w:shd w:val="clear" w:color="auto" w:fill="auto"/>
        <w:bidi w:val="0"/>
        <w:spacing w:before="0" w:after="60" w:line="311" w:lineRule="exact"/>
        <w:ind w:left="0" w:right="0" w:firstLine="440"/>
        <w:jc w:val="both"/>
      </w:pPr>
      <w:r>
        <w:rPr>
          <w:b/>
          <w:bCs/>
          <w:color w:val="000000"/>
          <w:spacing w:val="0"/>
          <w:w w:val="100"/>
          <w:position w:val="0"/>
        </w:rPr>
        <w:t>（二）捐赠扶贫情况</w:t>
      </w:r>
    </w:p>
    <w:p>
      <w:pPr>
        <w:pStyle w:val="Style11"/>
        <w:keepNext w:val="0"/>
        <w:keepLines w:val="0"/>
        <w:widowControl w:val="0"/>
        <w:shd w:val="clear" w:color="auto" w:fill="auto"/>
        <w:tabs>
          <w:tab w:pos="790" w:val="left"/>
        </w:tabs>
        <w:bidi w:val="0"/>
        <w:spacing w:before="0" w:after="60" w:line="307" w:lineRule="exact"/>
        <w:ind w:left="0" w:right="0" w:firstLine="440"/>
        <w:jc w:val="both"/>
      </w:pPr>
      <w:bookmarkStart w:id="443" w:name="bookmark443"/>
      <w:r>
        <w:rPr>
          <w:rFonts w:ascii="Times New Roman" w:eastAsia="Times New Roman" w:hAnsi="Times New Roman" w:cs="Times New Roman"/>
          <w:color w:val="000000"/>
          <w:spacing w:val="0"/>
          <w:w w:val="100"/>
          <w:position w:val="0"/>
        </w:rPr>
        <w:t>1</w:t>
      </w:r>
      <w:bookmarkEnd w:id="443"/>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月，子公司星波通信，积极参与消费扶贫活动，购买湖北省秭归县沙镇溪镇马家村的脐橙， 合计</w:t>
      </w:r>
      <w:r>
        <w:rPr>
          <w:rFonts w:ascii="Times New Roman" w:eastAsia="Times New Roman" w:hAnsi="Times New Roman" w:cs="Times New Roman"/>
          <w:color w:val="000000"/>
          <w:spacing w:val="0"/>
          <w:w w:val="100"/>
          <w:position w:val="0"/>
        </w:rPr>
        <w:t>2</w:t>
      </w:r>
      <w:r>
        <w:rPr>
          <w:color w:val="000000"/>
          <w:spacing w:val="0"/>
          <w:w w:val="100"/>
          <w:position w:val="0"/>
        </w:rPr>
        <w:t>万元。</w:t>
      </w:r>
    </w:p>
    <w:p>
      <w:pPr>
        <w:pStyle w:val="Style11"/>
        <w:keepNext w:val="0"/>
        <w:keepLines w:val="0"/>
        <w:widowControl w:val="0"/>
        <w:shd w:val="clear" w:color="auto" w:fill="auto"/>
        <w:tabs>
          <w:tab w:pos="786" w:val="left"/>
        </w:tabs>
        <w:bidi w:val="0"/>
        <w:spacing w:before="0" w:after="60" w:line="312" w:lineRule="exact"/>
        <w:ind w:left="0" w:right="0" w:firstLine="440"/>
        <w:jc w:val="both"/>
      </w:pPr>
      <w:bookmarkStart w:id="444" w:name="bookmark444"/>
      <w:r>
        <w:rPr>
          <w:rFonts w:ascii="Times New Roman" w:eastAsia="Times New Roman" w:hAnsi="Times New Roman" w:cs="Times New Roman"/>
          <w:color w:val="000000"/>
          <w:spacing w:val="0"/>
          <w:w w:val="100"/>
          <w:position w:val="0"/>
        </w:rPr>
        <w:t>2</w:t>
      </w:r>
      <w:bookmarkEnd w:id="444"/>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月，红相股份有限公司，积极参加福建省慈善总会，开展</w:t>
      </w:r>
      <w:r>
        <w:rPr>
          <w:rFonts w:ascii="Times New Roman" w:eastAsia="Times New Roman" w:hAnsi="Times New Roman" w:cs="Times New Roman"/>
          <w:color w:val="000000"/>
          <w:spacing w:val="0"/>
          <w:w w:val="100"/>
          <w:position w:val="0"/>
        </w:rPr>
        <w:t>“</w:t>
      </w:r>
      <w:r>
        <w:rPr>
          <w:color w:val="000000"/>
          <w:spacing w:val="0"/>
          <w:w w:val="100"/>
          <w:position w:val="0"/>
        </w:rPr>
        <w:t>情暖校园</w:t>
      </w:r>
      <w:r>
        <w:rPr>
          <w:color w:val="000000"/>
          <w:spacing w:val="0"/>
          <w:w w:val="100"/>
          <w:position w:val="0"/>
        </w:rPr>
        <w:t>一</w:t>
      </w:r>
      <w:r>
        <w:rPr>
          <w:color w:val="000000"/>
          <w:spacing w:val="0"/>
          <w:w w:val="100"/>
          <w:position w:val="0"/>
        </w:rPr>
        <w:t>捐书助学</w:t>
      </w:r>
      <w:r>
        <w:rPr>
          <w:rFonts w:ascii="Times New Roman" w:eastAsia="Times New Roman" w:hAnsi="Times New Roman" w:cs="Times New Roman"/>
          <w:color w:val="000000"/>
          <w:spacing w:val="0"/>
          <w:w w:val="100"/>
          <w:position w:val="0"/>
        </w:rPr>
        <w:t>''</w:t>
      </w:r>
      <w:r>
        <w:rPr>
          <w:color w:val="000000"/>
          <w:spacing w:val="0"/>
          <w:w w:val="100"/>
          <w:position w:val="0"/>
        </w:rPr>
        <w:t>专项公益 活动，助力改善农村及偏远地区优质教育资源匮乏的现状，捐款</w:t>
      </w:r>
      <w:r>
        <w:rPr>
          <w:rFonts w:ascii="Times New Roman" w:eastAsia="Times New Roman" w:hAnsi="Times New Roman" w:cs="Times New Roman"/>
          <w:color w:val="000000"/>
          <w:spacing w:val="0"/>
          <w:w w:val="100"/>
          <w:position w:val="0"/>
        </w:rPr>
        <w:t>3</w:t>
      </w:r>
      <w:r>
        <w:rPr>
          <w:color w:val="000000"/>
          <w:spacing w:val="0"/>
          <w:w w:val="100"/>
          <w:position w:val="0"/>
        </w:rPr>
        <w:t>万元。</w:t>
      </w:r>
    </w:p>
    <w:p>
      <w:pPr>
        <w:pStyle w:val="Style11"/>
        <w:keepNext w:val="0"/>
        <w:keepLines w:val="0"/>
        <w:widowControl w:val="0"/>
        <w:shd w:val="clear" w:color="auto" w:fill="auto"/>
        <w:tabs>
          <w:tab w:pos="813" w:val="left"/>
        </w:tabs>
        <w:bidi w:val="0"/>
        <w:spacing w:before="0" w:after="360" w:line="311" w:lineRule="exact"/>
        <w:ind w:left="0" w:right="0" w:firstLine="440"/>
        <w:jc w:val="both"/>
      </w:pPr>
      <w:bookmarkStart w:id="445" w:name="bookmark445"/>
      <w:r>
        <w:rPr>
          <w:rFonts w:ascii="Times New Roman" w:eastAsia="Times New Roman" w:hAnsi="Times New Roman" w:cs="Times New Roman"/>
          <w:color w:val="000000"/>
          <w:spacing w:val="0"/>
          <w:w w:val="100"/>
          <w:position w:val="0"/>
        </w:rPr>
        <w:t>3</w:t>
      </w:r>
      <w:bookmarkEnd w:id="445"/>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月，红相股份有限公司工会委员会，向厦门市思明区滨海街道捐赠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.05</w:t>
      </w:r>
      <w:r>
        <w:rPr>
          <w:color w:val="000000"/>
          <w:spacing w:val="0"/>
          <w:w w:val="100"/>
          <w:position w:val="0"/>
        </w:rPr>
        <w:t>万元物资抗击疫情。</w:t>
      </w:r>
    </w:p>
    <w:p>
      <w:pPr>
        <w:pStyle w:val="Style23"/>
        <w:keepNext/>
        <w:keepLines/>
        <w:widowControl w:val="0"/>
        <w:shd w:val="clear" w:color="auto" w:fill="auto"/>
        <w:bidi w:val="0"/>
        <w:spacing w:before="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rPr>
        <w:t>三</w:t>
      </w:r>
      <w:bookmarkEnd w:id="448"/>
      <w:r>
        <w:rPr>
          <w:color w:val="000000"/>
          <w:spacing w:val="0"/>
          <w:w w:val="100"/>
          <w:position w:val="0"/>
        </w:rPr>
        <w:t>、巩固拓展脱贫攻坚成果、乡村振兴的情况</w:t>
      </w:r>
      <w:bookmarkEnd w:id="446"/>
      <w:bookmarkEnd w:id="447"/>
      <w:bookmarkEnd w:id="449"/>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报告期内，公司未开展脱贫攻坚、乡村振兴，也暂无后续开展脱贫攻坚、乡村振兴的计划。</w:t>
      </w:r>
      <w:r>
        <w:br w:type="page"/>
      </w:r>
    </w:p>
    <w:p>
      <w:pPr>
        <w:pStyle w:val="Style9"/>
        <w:keepNext/>
        <w:keepLines/>
        <w:widowControl w:val="0"/>
        <w:shd w:val="clear" w:color="auto" w:fill="auto"/>
        <w:bidi w:val="0"/>
        <w:spacing w:before="0" w:after="580" w:line="240" w:lineRule="auto"/>
        <w:ind w:left="0" w:right="0" w:firstLine="0"/>
        <w:jc w:val="center"/>
      </w:pPr>
      <w:bookmarkStart w:id="450" w:name="bookmark450"/>
      <w:bookmarkStart w:id="451" w:name="bookmark451"/>
      <w:bookmarkStart w:id="452" w:name="bookmark452"/>
      <w:r>
        <w:rPr>
          <w:color w:val="000000"/>
          <w:spacing w:val="0"/>
          <w:w w:val="100"/>
          <w:position w:val="0"/>
        </w:rPr>
        <w:t>第六节重要事项</w:t>
      </w:r>
      <w:bookmarkEnd w:id="450"/>
      <w:bookmarkEnd w:id="451"/>
      <w:bookmarkEnd w:id="452"/>
    </w:p>
    <w:p>
      <w:pPr>
        <w:pStyle w:val="Style23"/>
        <w:keepNext/>
        <w:keepLines/>
        <w:widowControl w:val="0"/>
        <w:shd w:val="clear" w:color="auto" w:fill="auto"/>
        <w:bidi w:val="0"/>
        <w:spacing w:before="0" w:after="260" w:line="240" w:lineRule="auto"/>
        <w:ind w:left="0" w:right="0" w:firstLine="140"/>
        <w:jc w:val="left"/>
      </w:pPr>
      <w:bookmarkStart w:id="453" w:name="bookmark453"/>
      <w:bookmarkStart w:id="454" w:name="bookmark454"/>
      <w:bookmarkStart w:id="455" w:name="bookmark455"/>
      <w:bookmarkStart w:id="456" w:name="bookmark456"/>
      <w:bookmarkStart w:id="457" w:name="bookmark457"/>
      <w:r>
        <w:rPr>
          <w:color w:val="000000"/>
          <w:spacing w:val="0"/>
          <w:w w:val="100"/>
          <w:position w:val="0"/>
        </w:rPr>
        <w:t>一</w:t>
      </w:r>
      <w:bookmarkEnd w:id="456"/>
      <w:r>
        <w:rPr>
          <w:color w:val="000000"/>
          <w:spacing w:val="0"/>
          <w:w w:val="100"/>
          <w:position w:val="0"/>
        </w:rPr>
        <w:t>、承诺事项履行情况</w:t>
      </w:r>
      <w:bookmarkEnd w:id="454"/>
      <w:bookmarkEnd w:id="455"/>
      <w:bookmarkEnd w:id="457"/>
      <w:bookmarkEnd w:id="453"/>
    </w:p>
    <w:p>
      <w:pPr>
        <w:pStyle w:val="Style31"/>
        <w:keepNext/>
        <w:keepLines/>
        <w:widowControl w:val="0"/>
        <w:shd w:val="clear" w:color="auto" w:fill="auto"/>
        <w:bidi w:val="0"/>
        <w:spacing w:before="0" w:line="326" w:lineRule="exact"/>
        <w:ind w:left="14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1</w:t>
      </w:r>
      <w:bookmarkEnd w:id="460"/>
      <w:r>
        <w:rPr>
          <w:color w:val="000000"/>
          <w:spacing w:val="0"/>
          <w:w w:val="100"/>
          <w:position w:val="0"/>
        </w:rPr>
        <w:t>、公司实际控制人、股东、关联方、收购人以及公司等承诺相关方在报告期内履行完毕及截至报告期末 尚未履行完毕的承诺事项</w:t>
      </w:r>
      <w:bookmarkEnd w:id="458"/>
      <w:bookmarkEnd w:id="459"/>
      <w:bookmarkEnd w:id="461"/>
    </w:p>
    <w:p>
      <w:pPr>
        <w:pStyle w:val="Style25"/>
        <w:keepNext w:val="0"/>
        <w:keepLines w:val="0"/>
        <w:widowControl w:val="0"/>
        <w:shd w:val="clear" w:color="auto" w:fill="auto"/>
        <w:bidi w:val="0"/>
        <w:spacing w:before="0" w:after="0" w:line="240" w:lineRule="auto"/>
        <w:ind w:left="13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48"/>
        <w:gridCol w:w="1277"/>
        <w:gridCol w:w="1277"/>
        <w:gridCol w:w="2693"/>
        <w:gridCol w:w="994"/>
        <w:gridCol w:w="1133"/>
        <w:gridCol w:w="71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履行情 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9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陈小杰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刘宏胜</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王长乐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 建平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股份锁定的承诺：</w:t>
            </w:r>
          </w:p>
          <w:p>
            <w:pPr>
              <w:pStyle w:val="Style2"/>
              <w:keepNext w:val="0"/>
              <w:keepLines w:val="0"/>
              <w:widowControl w:val="0"/>
              <w:shd w:val="clear" w:color="auto" w:fill="auto"/>
              <w:tabs>
                <w:tab w:pos="221"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若星波通信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年实际净利润 不低于承诺净利润，或者星波通信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年实际净利润低于承诺净利 润，但已履行完毕业绩补偿义务， 以持有星波通信股份认购而取得 的红相电力股份中的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，在扣除 已补偿股份（若有）的数量后，自 股份发行结束之日起十二个月后</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年审计报告出具日孰 后）后可以解锁；</w:t>
            </w:r>
          </w:p>
          <w:p>
            <w:pPr>
              <w:pStyle w:val="Style2"/>
              <w:keepNext w:val="0"/>
              <w:keepLines w:val="0"/>
              <w:widowControl w:val="0"/>
              <w:shd w:val="clear" w:color="auto" w:fill="auto"/>
              <w:tabs>
                <w:tab w:pos="283"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若星波通信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累计实际净利润不低于累计承诺 净利润，或者星波通信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年累计实际净利润低于累计 承诺净利润，但已履行完毕业绩补 偿义务，以持有星波通信股份认购 而取得的红相电力股份中的累计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，在扣除已补偿股份（若有） 的数量后，自股份发行结束之日起 二十四个月后（与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年审计报 告出具日孰后）后可以解锁；</w:t>
            </w:r>
          </w:p>
          <w:p>
            <w:pPr>
              <w:pStyle w:val="Style2"/>
              <w:keepNext w:val="0"/>
              <w:keepLines w:val="0"/>
              <w:widowControl w:val="0"/>
              <w:shd w:val="clear" w:color="auto" w:fill="auto"/>
              <w:tabs>
                <w:tab w:pos="274"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若星波通信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年累计实际净利润不低于累 计承诺净利润，或者星波通信</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年累计实际净 利润低于累计承诺净利润，但已履 行完毕业绩补偿义务，以持有星波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 行中</w:t>
            </w:r>
          </w:p>
        </w:tc>
      </w:tr>
    </w:tbl>
    <w:p>
      <w:pPr>
        <w:spacing w:lineRule="exact" w:line="1"/>
        <w:rPr>
          <w:sz w:val="2"/>
          <w:szCs w:val="2"/>
        </w:rPr>
      </w:pPr>
      <w:r>
        <w:br w:type="page"/>
      </w:r>
    </w:p>
    <w:tbl>
      <w:tblPr>
        <w:tblOverlap w:val="never"/>
        <w:jc w:val="right"/>
        <w:tblLayout w:type="fixed"/>
      </w:tblPr>
      <w:tblGrid>
        <w:gridCol w:w="1282"/>
        <w:gridCol w:w="1277"/>
        <w:gridCol w:w="2693"/>
        <w:gridCol w:w="994"/>
        <w:gridCol w:w="1133"/>
        <w:gridCol w:w="701"/>
      </w:tblGrid>
      <w:tr>
        <w:trPr>
          <w:trHeight w:val="480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通信股份认购而取得的红相电力 股份中的累计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 xml:space="preserve">，在扣除已补偿 股份（若有）的数量后，自股份发 行结束之日起三十六个月后（与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年审计报告出具日孰后）后 可以解锁；</w:t>
            </w:r>
          </w:p>
          <w:p>
            <w:pPr>
              <w:pStyle w:val="Style2"/>
              <w:keepNext w:val="0"/>
              <w:keepLines w:val="0"/>
              <w:widowControl w:val="0"/>
              <w:shd w:val="clear" w:color="auto" w:fill="auto"/>
              <w:tabs>
                <w:tab w:pos="302"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以持有星波通信股份认购而取 得的红相电力累计</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的股份数 量，在扣除已补偿股份（若有）的 数量后，自股份发行结束之日起四 十八个月后可以解锁；</w:t>
            </w:r>
          </w:p>
          <w:p>
            <w:pPr>
              <w:pStyle w:val="Style2"/>
              <w:keepNext w:val="0"/>
              <w:keepLines w:val="0"/>
              <w:widowControl w:val="0"/>
              <w:shd w:val="clear" w:color="auto" w:fill="auto"/>
              <w:tabs>
                <w:tab w:pos="293" w:val="left"/>
              </w:tabs>
              <w:bidi w:val="0"/>
              <w:spacing w:before="0" w:after="40" w:line="315"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以持有星波通信股份认购而取 得的红相电力全部剩余股份数量， 自股份发行结束之日起六十个月 后可以解锁。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合肥星睿股权 投资合伙企业</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胡万云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蒋磊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王加 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王延慧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魏京 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奚银春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谢安 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邢成林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袁长 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左克刚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股份锁定的承诺：</w:t>
            </w:r>
          </w:p>
          <w:p>
            <w:pPr>
              <w:pStyle w:val="Style2"/>
              <w:keepNext w:val="0"/>
              <w:keepLines w:val="0"/>
              <w:widowControl w:val="0"/>
              <w:shd w:val="clear" w:color="auto" w:fill="auto"/>
              <w:tabs>
                <w:tab w:pos="274"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若星波通信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年累计实际净利润不低于累 计承诺净利润，或者星波通信</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年累计实际净 利润低于累计承诺净利润，但已履 行完毕业绩补偿义务，以持有星波 通信股份认购而取得的红相电力 股份中的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部分，在扣除已补偿 股份（若有）的数量后，自股份发 行结束之日起三十六个月后（与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年审计报告出具日孰后）可 以解锁；</w:t>
            </w:r>
          </w:p>
          <w:p>
            <w:pPr>
              <w:pStyle w:val="Style2"/>
              <w:keepNext w:val="0"/>
              <w:keepLines w:val="0"/>
              <w:widowControl w:val="0"/>
              <w:shd w:val="clear" w:color="auto" w:fill="auto"/>
              <w:tabs>
                <w:tab w:pos="302"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以持有星波通信股份认购而取 得的红相电力股份中的累计</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rPr>
              <w:t>部分的股份数量，在扣除已补偿股 份（若有）的数量后，自股份发行 结束之日起四十八个月后可以解 锁；</w:t>
            </w:r>
          </w:p>
          <w:p>
            <w:pPr>
              <w:pStyle w:val="Style2"/>
              <w:keepNext w:val="0"/>
              <w:keepLines w:val="0"/>
              <w:widowControl w:val="0"/>
              <w:shd w:val="clear" w:color="auto" w:fill="auto"/>
              <w:tabs>
                <w:tab w:pos="293" w:val="left"/>
              </w:tabs>
              <w:bidi w:val="0"/>
              <w:spacing w:before="0" w:after="40" w:line="31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以持有星波通信股份认购而取 得的红相电力全部剩余股份数量， 自股份发行结束之日起六十个月 后可以解锁。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 行中</w:t>
            </w:r>
          </w:p>
        </w:tc>
      </w:tr>
      <w:tr>
        <w:trPr>
          <w:trHeight w:val="16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卧龙电气集团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关于同业竞争、 关联交易、资金 占用方面的承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避免同业竞争的承诺：</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、自银川卧龙股权交割日起，本 承诺人承诺放弃铁路牵引变压器 业务市场，保证不以任何直接或间 接方式从事铁路牵引变压器业务，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1848"/>
        <w:gridCol w:w="1277"/>
        <w:gridCol w:w="1277"/>
        <w:gridCol w:w="2693"/>
        <w:gridCol w:w="994"/>
        <w:gridCol w:w="1133"/>
        <w:gridCol w:w="715"/>
      </w:tblGrid>
      <w:tr>
        <w:trPr>
          <w:trHeight w:val="633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包括但不限于本承诺人控制的卧 龙电气集团北京华泰变压器有限 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华泰变压器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卧龙电气烟台东源变压器有限公 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东源变压器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）、卧 龙电气集团浙江变压器有限公司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）等所有关联公 司或机构均不得以任何直接或间 接方式从事牵引变压器业务；自银 川卧龙股权交割日起，本承诺人计 划在两年内，通过合法合规方式逐 步剥离卧龙电气除银川卧龙以外 变压器资产，不再从事电力变压器 的生产和销售业务。</w:t>
            </w:r>
          </w:p>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、本承诺人保证上述承诺为真实、 准确及完整的，如上述承诺被证明 是不真实、不准确或不完整的，本 承诺人将承担由此产生的所有直 接和间接损失，并承担相应的法律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3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关于同业竞争、 关联交易、资金 占用方面的承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避免同业竞争的承诺：</w:t>
            </w:r>
          </w:p>
          <w:p>
            <w:pPr>
              <w:pStyle w:val="Style2"/>
              <w:keepNext w:val="0"/>
              <w:keepLines w:val="0"/>
              <w:widowControl w:val="0"/>
              <w:shd w:val="clear" w:color="auto" w:fill="auto"/>
              <w:tabs>
                <w:tab w:pos="302"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自银川卧龙股权交割日起，本 承诺人承诺放弃铁路牵引变压器 业务市场，保证不以任何直接或间 接方式从事铁路牵引变压器业务， 包括但不限于本承诺人控制的卧 龙电气集团北京华泰变压器有限 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华泰变压器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卧龙电气烟台东源变压器有限公 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东源变压器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）、卧 龙电气集团浙江变压器有限公司</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）等所有关联公 司或机构均不得以任何直接或间 接方式从事牵引变压器业务；自银 川卧龙股权交割日起，本承诺人计 划在两年内，通过合法合规方式逐 步剥离卧龙电气除银川卧龙以外 变压器资产，不再从事电力变压器 的生产和销售业务。</w:t>
            </w:r>
          </w:p>
          <w:p>
            <w:pPr>
              <w:pStyle w:val="Style2"/>
              <w:keepNext w:val="0"/>
              <w:keepLines w:val="0"/>
              <w:widowControl w:val="0"/>
              <w:shd w:val="clear" w:color="auto" w:fill="auto"/>
              <w:tabs>
                <w:tab w:pos="226"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本承诺人保证上述承诺为真实、 准确及完整的，如上述承诺被证明 是不真实、不准确或不完整的，本 承诺人将承担由此产生的所有直 接和间接损失，并承担相应的法律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1848"/>
        <w:gridCol w:w="1277"/>
        <w:gridCol w:w="1277"/>
        <w:gridCol w:w="2693"/>
        <w:gridCol w:w="994"/>
        <w:gridCol w:w="1133"/>
        <w:gridCol w:w="715"/>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6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陈剑虹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74"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本次交易完成之后，本人不再 对星波通信拥有控制权，红相电力 将作为星波通信的控股股东及实 际控制人，按公司章程的规定履行 相应职权；</w:t>
            </w:r>
          </w:p>
          <w:p>
            <w:pPr>
              <w:pStyle w:val="Style2"/>
              <w:keepNext w:val="0"/>
              <w:keepLines w:val="0"/>
              <w:widowControl w:val="0"/>
              <w:shd w:val="clear" w:color="auto" w:fill="auto"/>
              <w:tabs>
                <w:tab w:pos="288"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本人作为星波通信的小股东， 在符合红相电力及星波通信核心 利益，且不影响星波通信持续稳定 经营的基础上，同意星波通信达成 的各项合法有效的董事会及股东 会决议；</w:t>
            </w:r>
          </w:p>
          <w:p>
            <w:pPr>
              <w:pStyle w:val="Style2"/>
              <w:keepNext w:val="0"/>
              <w:keepLines w:val="0"/>
              <w:widowControl w:val="0"/>
              <w:shd w:val="clear" w:color="auto" w:fill="auto"/>
              <w:tabs>
                <w:tab w:pos="245"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在星波通信日常经营及重大事 项决策过程中，若需本人配合出具 相关文件，本人将尽力配合，以确 保星波通信公司治理和生产经营 的稳定性。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 行中</w:t>
            </w:r>
          </w:p>
        </w:tc>
      </w:tr>
      <w:tr>
        <w:trPr>
          <w:trHeight w:val="102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自本次交易完成后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个月内，本 人不放弃红相电力的实际控制权。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 行中</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自本次交易完成后，本人及本人一 致行动人不通过任何方式谋求对 红相电力的控制权地位。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 行中</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卧龙电气集团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自本次交易完成后，本公司及本公 司一致行动人不通过任何方式谋 求对红相电力的控制权地位。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 行中</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红相股份有限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本次交易完成后，本公司将不再继 续向卧龙电气集团股份有限公司 购买资产。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 行中</w:t>
            </w:r>
          </w:p>
        </w:tc>
      </w:tr>
      <w:tr>
        <w:trPr>
          <w:trHeight w:val="102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卧龙电气集团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本次交易完成后，本公司将不再继 续向厦门红相电力设备股份有限 公司出售资产。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 行中</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如陈剑虹届时不足以支付《盈利预 测补偿协议》及其补充协议约定的 业绩补偿款（如有），本人愿意向 陈剑虹提供借款用于补足陈剑虹 应付业绩补偿款的不足部分，以确 保上市公司及星波通信的利益不 受损失。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 行中</w:t>
            </w:r>
          </w:p>
        </w:tc>
      </w:tr>
      <w:tr>
        <w:trPr>
          <w:trHeight w:val="9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卧龙电气集团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卧龙电气同意在实际业绩考核过 程中，将剔除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年度对应收款 项坏账准备计提的会计估计变更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 行中</w:t>
            </w:r>
          </w:p>
        </w:tc>
      </w:tr>
    </w:tbl>
    <w:p>
      <w:pPr>
        <w:spacing w:lineRule="exact" w:line="1"/>
        <w:rPr>
          <w:sz w:val="2"/>
          <w:szCs w:val="2"/>
        </w:rPr>
      </w:pPr>
      <w:r>
        <w:br w:type="page"/>
      </w:r>
    </w:p>
    <w:tbl>
      <w:tblPr>
        <w:tblOverlap w:val="never"/>
        <w:jc w:val="right"/>
        <w:tblLayout w:type="fixed"/>
      </w:tblPr>
      <w:tblGrid>
        <w:gridCol w:w="1282"/>
        <w:gridCol w:w="1277"/>
        <w:gridCol w:w="2693"/>
        <w:gridCol w:w="994"/>
        <w:gridCol w:w="1133"/>
        <w:gridCol w:w="701"/>
      </w:tblGrid>
      <w:tr>
        <w:trPr>
          <w:trHeight w:val="129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对业绩承诺的影响，即使用</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年调整前的会计估计对承诺期内 实际业绩进行调整，以落实业绩考 核安排。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卧龙电气集团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电机及控制装置业务为公司的 核心业务，是公司集中优势资源重 点发展的产业。公司不存在退出电 机及控制业务的任何安排。</w:t>
            </w:r>
          </w:p>
          <w:p>
            <w:pPr>
              <w:pStyle w:val="Style2"/>
              <w:keepNext w:val="0"/>
              <w:keepLines w:val="0"/>
              <w:widowControl w:val="0"/>
              <w:shd w:val="clear" w:color="auto" w:fill="auto"/>
              <w:tabs>
                <w:tab w:pos="283"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关于变压器业务，公司已承诺 自银川卧龙股权交割日起，不以任 何直接或间接方式从事铁路牵引 变压器业务，且在两年内通过合法 合规方式逐步剥离公司除银川卧 龙以外变压器资产，不再从事电力 变压器的生产和销售业务。</w:t>
            </w:r>
          </w:p>
          <w:p>
            <w:pPr>
              <w:pStyle w:val="Style2"/>
              <w:keepNext w:val="0"/>
              <w:keepLines w:val="0"/>
              <w:widowControl w:val="0"/>
              <w:shd w:val="clear" w:color="auto" w:fill="auto"/>
              <w:tabs>
                <w:tab w:pos="283" w:val="left"/>
              </w:tabs>
              <w:bidi w:val="0"/>
              <w:spacing w:before="0" w:after="40" w:line="31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除变压器以外的公司其他非核 心业务，为更好地服务于公司聚焦 电机及控制业务的战略思路，公司 拟选择合适时机以合法合规方式 处置。</w:t>
            </w:r>
          </w:p>
          <w:p>
            <w:pPr>
              <w:pStyle w:val="Style2"/>
              <w:keepNext w:val="0"/>
              <w:keepLines w:val="0"/>
              <w:widowControl w:val="0"/>
              <w:shd w:val="clear" w:color="auto" w:fill="auto"/>
              <w:tabs>
                <w:tab w:pos="274"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公司不存在通过剥离资产方式 以致使公司成为无实际业务的控 股型公司的计划或相关情形。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 行中</w:t>
            </w:r>
          </w:p>
        </w:tc>
      </w:tr>
      <w:tr>
        <w:trPr>
          <w:trHeight w:val="6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关于同业竞争、 关联交易、资金 占用方面的承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减少和规范关联交易的承诺：</w:t>
            </w:r>
          </w:p>
          <w:p>
            <w:pPr>
              <w:pStyle w:val="Style2"/>
              <w:keepNext w:val="0"/>
              <w:keepLines w:val="0"/>
              <w:widowControl w:val="0"/>
              <w:shd w:val="clear" w:color="auto" w:fill="auto"/>
              <w:tabs>
                <w:tab w:pos="278" w:val="left"/>
              </w:tabs>
              <w:bidi w:val="0"/>
              <w:spacing w:before="0" w:after="4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本人及本人控制或影响的企业 将尽量避免和减少与红相电力、银 川卧龙及红相电力其他控股子公 司之间的关联交易。本人控制或影 响的企业将严格避免向红相电力 及其控股子公司拆借、占用红相电 力及其控股子公司资金或采取由 红相电力及其控股子公司代垫款、 代偿债务等方式侵占上市公司资 金；</w:t>
            </w:r>
          </w:p>
          <w:p>
            <w:pPr>
              <w:pStyle w:val="Style2"/>
              <w:keepNext w:val="0"/>
              <w:keepLines w:val="0"/>
              <w:widowControl w:val="0"/>
              <w:shd w:val="clear" w:color="auto" w:fill="auto"/>
              <w:tabs>
                <w:tab w:pos="254"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对于本人及本人控制或影响的 企业与红相电力及其控股子公司 之间无法避免或者有合理原因而 发生的关联交易，均将严格遵守市 场原则，本着平等互利、等价有偿 的一般原则，公平合理地进行。本 人及本人控制或影响的企业与红 相电力及其控股子公司之间的关 联交易，将依法签订协议，履行合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1848"/>
        <w:gridCol w:w="1277"/>
        <w:gridCol w:w="1277"/>
        <w:gridCol w:w="2693"/>
        <w:gridCol w:w="994"/>
        <w:gridCol w:w="1133"/>
        <w:gridCol w:w="715"/>
      </w:tblGrid>
      <w:tr>
        <w:trPr>
          <w:trHeight w:val="575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法程序，按照有关法律、法规、规 范性文件、及红相电力公司章程等 公司治理制度的有关规定履行信 息披露义务，保证不通过关联交易 损害上市公司及广大中小股东的 合法权益；</w:t>
            </w:r>
          </w:p>
          <w:p>
            <w:pPr>
              <w:pStyle w:val="Style2"/>
              <w:keepNext w:val="0"/>
              <w:keepLines w:val="0"/>
              <w:widowControl w:val="0"/>
              <w:shd w:val="clear" w:color="auto" w:fill="auto"/>
              <w:tabs>
                <w:tab w:pos="274"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本人在红相电力权力机构审议 涉及本人及本人控制或影响的企 业的关联交易事项时将主动依法 履行回避义务，且交易须在有权机 构审议通过后方可执行；</w:t>
            </w:r>
          </w:p>
          <w:p>
            <w:pPr>
              <w:pStyle w:val="Style2"/>
              <w:keepNext w:val="0"/>
              <w:keepLines w:val="0"/>
              <w:widowControl w:val="0"/>
              <w:shd w:val="clear" w:color="auto" w:fill="auto"/>
              <w:tabs>
                <w:tab w:pos="274" w:val="left"/>
              </w:tabs>
              <w:bidi w:val="0"/>
              <w:spacing w:before="0" w:after="40" w:line="30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本人保证不通过关联交易取得 任何不正当的利益或使红相电力 及其控股子公司承担任何不正当 的义务。如果因违反上述承诺导致 红相电力或其控股子公司损失的， 红相电力及其控股子公司的损失 由本人承担赔偿责任。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3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何东武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吴国敏</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席立功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关于同业竞争、 关联交易、资金 占用方面的承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减少和规范关联交易的承诺：</w:t>
            </w:r>
          </w:p>
          <w:p>
            <w:pPr>
              <w:pStyle w:val="Style2"/>
              <w:keepNext w:val="0"/>
              <w:keepLines w:val="0"/>
              <w:widowControl w:val="0"/>
              <w:shd w:val="clear" w:color="auto" w:fill="auto"/>
              <w:tabs>
                <w:tab w:pos="283"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本人及本人控制或影响的企业 将尽量避免和减少与红相电力、银 川卧龙及红相电力其他控股子公 司之间的关联交易。本人控制或影 响的企业将严格避免向红相电力 及其控股子公司拆借、占用红相电 力及其控股子公司资金或采取由 红相电力及其控股子公司代垫款、 代偿债务等方式侵占上市公司资 金；</w:t>
            </w:r>
          </w:p>
          <w:p>
            <w:pPr>
              <w:pStyle w:val="Style2"/>
              <w:keepNext w:val="0"/>
              <w:keepLines w:val="0"/>
              <w:widowControl w:val="0"/>
              <w:shd w:val="clear" w:color="auto" w:fill="auto"/>
              <w:tabs>
                <w:tab w:pos="283"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对于本人及本人控制或影响的 企业与红相电力及其控股子公司 之间无法避免或者有合理原因而 发生的关联交易，均将严格遵守市 场原则，本着平等互利、等价有偿 的一般原则，公平合理地进行。本 人及本人控制或影响的企业与红 相电力及其控股子公司之间的关 联交易，将依法签订协议，履行合 法程序，按照有关法律、法规、规 范性文件、及红相电力公司章程等 公司治理制度的有关规定履行信 息披露义务，保证不通过关联交易 损害上市公司及广大中小股东的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1848"/>
        <w:gridCol w:w="1277"/>
        <w:gridCol w:w="1277"/>
        <w:gridCol w:w="2693"/>
        <w:gridCol w:w="994"/>
        <w:gridCol w:w="1133"/>
        <w:gridCol w:w="715"/>
      </w:tblGrid>
      <w:tr>
        <w:trPr>
          <w:trHeight w:val="419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08" w:lineRule="exact"/>
              <w:ind w:left="0" w:right="0" w:firstLine="0"/>
              <w:jc w:val="both"/>
            </w:pPr>
            <w:r>
              <w:rPr>
                <w:color w:val="000000"/>
                <w:spacing w:val="0"/>
                <w:w w:val="100"/>
                <w:position w:val="0"/>
              </w:rPr>
              <w:t>合法权益；</w:t>
            </w:r>
          </w:p>
          <w:p>
            <w:pPr>
              <w:pStyle w:val="Style2"/>
              <w:keepNext w:val="0"/>
              <w:keepLines w:val="0"/>
              <w:widowControl w:val="0"/>
              <w:shd w:val="clear" w:color="auto" w:fill="auto"/>
              <w:tabs>
                <w:tab w:pos="278"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本人在红相电力权力机构审议 涉及本人及本人控制或影响的企 业的关联交易事项时将主动依法 履行回避义务，且交易须在有权机 构审议通过后方可执行；</w:t>
            </w:r>
          </w:p>
          <w:p>
            <w:pPr>
              <w:pStyle w:val="Style2"/>
              <w:keepNext w:val="0"/>
              <w:keepLines w:val="0"/>
              <w:widowControl w:val="0"/>
              <w:shd w:val="clear" w:color="auto" w:fill="auto"/>
              <w:tabs>
                <w:tab w:pos="274" w:val="left"/>
              </w:tabs>
              <w:bidi w:val="0"/>
              <w:spacing w:before="0" w:after="40" w:line="308"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本人保证不通过关联交易取得 任何不正当的利益或使红相电力 及其控股子公司承担任何不正当 的义务。如果因违反上述承诺导致 红相电力或其控股子公司损失的， 红相电力及其控股子公司的损失 由本人承担赔偿责任。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7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关于同业竞争、 关联交易、资金 占用方面的承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312" w:lineRule="exact"/>
              <w:ind w:left="0" w:right="0" w:firstLine="0"/>
              <w:jc w:val="both"/>
            </w:pPr>
            <w:r>
              <w:rPr>
                <w:color w:val="000000"/>
                <w:spacing w:val="0"/>
                <w:w w:val="100"/>
                <w:position w:val="0"/>
              </w:rPr>
              <w:t>减少和规范关联交易的承诺：</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、不利用实际控制人的身份影响 银川卧龙、星波通信的独立性，保 持银川卧龙、星波通信及其下属子 公司在资产、人员、财务、机构和 业务方面的完整性和独立性；不利 用银川卧龙、星波通信及其下属子 公司违规向本人及本人所投资的 其他企业提供任何形式的担保，不 占用银川卧龙、星波通信及其下属 子公司的资金、资产；保证不利用 关联交易非法转移银川卧龙、星波 通信及其下属子公司的资金、利 润，不利用实际控制人身份谋取不 当的利益，不利用关联交易损害银 川卧龙、星波通信及其下属子公司 及星波通信其他股东的利益。本人 及本人控制的其他公司、企业或者 其他经济组织将减少并规范与红 相电力、银川卧龙、星波通信及其 控制的其他公司、企业或者其他经 济组织之间的关联交易。对于无法 避免或有合理原因而发生的关联 交易，本人及本人控制的其他公 司、企业或者其他经济组织将遵循 市场原则，以公允、合理的市场价 格进行，根据有关法律、法规及规 范性文件的规定履行关联交易决 策程序，依法履行信息披露义务和 办理有关报批手续，不损害银川卧 龙、星波通信、红相电力及其他股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1848"/>
        <w:gridCol w:w="1277"/>
        <w:gridCol w:w="1277"/>
        <w:gridCol w:w="2693"/>
        <w:gridCol w:w="994"/>
        <w:gridCol w:w="1133"/>
        <w:gridCol w:w="715"/>
      </w:tblGrid>
      <w:tr>
        <w:trPr>
          <w:trHeight w:val="165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东的合法权益。</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、本人若违反上述承诺，将承担 因此而给红相电力、银川卧龙、星 波通信及其控制的其他公司、企业 或者其他经济组织造成的损失。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6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厦门红相电力</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设备股份有限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关于同业竞争、 关联交易、资金 占用方面的承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减少和规范关联交易的承诺：</w:t>
            </w:r>
          </w:p>
          <w:p>
            <w:pPr>
              <w:pStyle w:val="Style2"/>
              <w:keepNext w:val="0"/>
              <w:keepLines w:val="0"/>
              <w:widowControl w:val="0"/>
              <w:shd w:val="clear" w:color="auto" w:fill="auto"/>
              <w:tabs>
                <w:tab w:pos="283"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本公司不利用控股股东的身份 影响银川卧龙、星波通信的独立 性，保持银川卧龙、星波通信及其 下属子公司在资产、人员、财务、 机构和业务方面的完整性和独立 性；不利用银川卧龙、星波通信及 其下属子公司违规向本公司及本 公司所投资的其他企业提供任何 形式的担保，不违规占用银川卧 龙、星波通信及其下属子公司的资 金、资产；保证不利用关联交易非 法转移银川卧龙、星波通信及其下 属子公司的资金、利润，不利用控 股股东身份谋取不当的利益，不利 用关联交易损害银川卧龙、星波通 信及其下属子公司的利益。本公司 及本公司控制的其他公司、企业或 者其他经济组织将减少并规范与 银川卧龙、星波通信及其控制的其 他公司、企业或者其他经济组织之 间的关联交易。对于无法避免或有 合理原因而发生的关联交易，本公 司及本公司控制的其他公司、企业 或者其他经济组织将遵循市场原 则，以公允、合理的市场价格进行， 根据有关法律、法规及规范性文件 的规定履行关联交易决策程序，依 法履行信息披露义务和办理有关 报批手续，不损害银川卧龙、星波 通信的合法权益。</w:t>
            </w:r>
          </w:p>
          <w:p>
            <w:pPr>
              <w:pStyle w:val="Style2"/>
              <w:keepNext w:val="0"/>
              <w:keepLines w:val="0"/>
              <w:widowControl w:val="0"/>
              <w:shd w:val="clear" w:color="auto" w:fill="auto"/>
              <w:tabs>
                <w:tab w:pos="293"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本公司若违反上述承诺，将承 担因此产生的一切法律责任。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 行中</w:t>
            </w:r>
          </w:p>
        </w:tc>
      </w:tr>
      <w:tr>
        <w:trPr>
          <w:trHeight w:val="166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卧龙电气集团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关于同业竞争、 关联交易、资金 占用方面的承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减少和规范关联交易的承诺：</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、本公司及本公司控制的其他公 司、企业或者其他经济组织将尽量 避免和减少与红相电力、银川卧龙 及红相电力其他控股子公司之间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1848"/>
        <w:gridCol w:w="1277"/>
        <w:gridCol w:w="1277"/>
        <w:gridCol w:w="2693"/>
        <w:gridCol w:w="994"/>
        <w:gridCol w:w="1133"/>
        <w:gridCol w:w="715"/>
      </w:tblGrid>
      <w:tr>
        <w:trPr>
          <w:trHeight w:val="114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的关联交易。本公司及本公司控制 的其他公司、企业或者其他经济组 织将严格避免向红相电力及其控 股子公司拆借、占用红相电力及其 控股子公司资金或采取由红相电 力及其控股子公司代垫款、代偿债 务等方式侵占上市公司资金；</w:t>
            </w:r>
          </w:p>
          <w:p>
            <w:pPr>
              <w:pStyle w:val="Style2"/>
              <w:keepNext w:val="0"/>
              <w:keepLines w:val="0"/>
              <w:widowControl w:val="0"/>
              <w:shd w:val="clear" w:color="auto" w:fill="auto"/>
              <w:tabs>
                <w:tab w:pos="283"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对于本公司及本公司控制的其 他公司、企业或者其他经济组织与 红相电力及其控股子公司之间无 法避免或者有合理原因而发生的 关联交易，均将严格遵守市场原 则，本着平等互利、等价有偿的一 般原则，公平合理地进行。本公司 及本公司控制的其他公司、企业或 者其他经济组织与红相电力及其 控股子公司之间的关联交易，将依 法签订协议，履行合法程序，按照 有关法律、法规、规范性文件、及 红相电力公司章程等公司治理制 度的有关规定履行信息披露义务， 保证不通过关联交易损害上市公 司及广大中小股东的合法权益；</w:t>
            </w:r>
          </w:p>
          <w:p>
            <w:pPr>
              <w:pStyle w:val="Style2"/>
              <w:keepNext w:val="0"/>
              <w:keepLines w:val="0"/>
              <w:widowControl w:val="0"/>
              <w:shd w:val="clear" w:color="auto" w:fill="auto"/>
              <w:tabs>
                <w:tab w:pos="278"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本公司在红相电力权力机构审 议涉及本公司及本公司控制的其 他公司、企业或者其他经济组织的 关联交易事项时将主动依法履行 回避义务，且交易须在有权机构审 议通过后方可执行；</w:t>
            </w:r>
          </w:p>
          <w:p>
            <w:pPr>
              <w:pStyle w:val="Style2"/>
              <w:keepNext w:val="0"/>
              <w:keepLines w:val="0"/>
              <w:widowControl w:val="0"/>
              <w:shd w:val="clear" w:color="auto" w:fill="auto"/>
              <w:bidi w:val="0"/>
              <w:spacing w:before="0" w:after="4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本公司保证不通过关联交易取 得任何不正当的利益或使红相电 力及其控股子公司承担任何不正 当的义务。如果因违反上述承诺导 致红相电力或其控股子公司损失 的，红相电力及其控股子公司的损 失由本人承担赔偿责任。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陈剑虹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陈小杰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胡万云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蒋磊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刘宏胜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王长乐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王加 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王延慧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魏京 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奚银 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谢安安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邢成 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徐建平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袁长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关于同业竞争、 关联交易、资金 占用方面的承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减少和规范关联交易的承诺：</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、本人及本人控制或影响的企业 将尽量避免和减少与红相电力、星 波通信及红相电力其他控股子公 司之间的关联交易。本人控制或影 响的企业将严格避免向红相电力 及其控股子公司拆借、占用红相电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1848"/>
        <w:gridCol w:w="1277"/>
        <w:gridCol w:w="1277"/>
        <w:gridCol w:w="2693"/>
        <w:gridCol w:w="994"/>
        <w:gridCol w:w="1133"/>
        <w:gridCol w:w="715"/>
      </w:tblGrid>
      <w:tr>
        <w:trPr>
          <w:trHeight w:val="98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左克刚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both"/>
            </w:pPr>
            <w:r>
              <w:rPr>
                <w:color w:val="000000"/>
                <w:spacing w:val="0"/>
                <w:w w:val="100"/>
                <w:position w:val="0"/>
              </w:rPr>
              <w:t>力及其控股子公司资金或采取由 红相电力及其控股子公司代垫款、 代偿债务等方式侵占上市公司资 金；</w:t>
            </w:r>
          </w:p>
          <w:p>
            <w:pPr>
              <w:pStyle w:val="Style2"/>
              <w:keepNext w:val="0"/>
              <w:keepLines w:val="0"/>
              <w:widowControl w:val="0"/>
              <w:shd w:val="clear" w:color="auto" w:fill="auto"/>
              <w:tabs>
                <w:tab w:pos="283"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对于本人及本人控制或影响的 企业与红相电力及其控股子公司 之间无法避免或者有合理原因而 发生的关联交易，均将严格遵守市 场原则，本着平等互利、等价有偿 的一般原则，公平合理地进行。本 人及本人控制或影响的企业与红 相电力及其控股子公司之间的关 联交易，将依法签订协议，履行合 法程序，按照有关法律、法规、规 范性文件、及红相电力公司章程等 公司治理制度的有关规定履行信 息披露义务，保证不通过关联交易 损害上市公司及广大中小股东的 合法权益；</w:t>
            </w:r>
          </w:p>
          <w:p>
            <w:pPr>
              <w:pStyle w:val="Style2"/>
              <w:keepNext w:val="0"/>
              <w:keepLines w:val="0"/>
              <w:widowControl w:val="0"/>
              <w:shd w:val="clear" w:color="auto" w:fill="auto"/>
              <w:tabs>
                <w:tab w:pos="278"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本人在红相电力权力机构审议 涉及本人及本人控制或影响的企 业的关联交易事项时将主动依法 履行回避义务，且交易须在有权机 构审议通过后方可执行；</w:t>
            </w:r>
          </w:p>
          <w:p>
            <w:pPr>
              <w:pStyle w:val="Style2"/>
              <w:keepNext w:val="0"/>
              <w:keepLines w:val="0"/>
              <w:widowControl w:val="0"/>
              <w:shd w:val="clear" w:color="auto" w:fill="auto"/>
              <w:tabs>
                <w:tab w:pos="274" w:val="left"/>
              </w:tabs>
              <w:bidi w:val="0"/>
              <w:spacing w:before="0" w:after="40" w:line="308"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本人保证不通过关联交易取得 任何不正当的利益或使红相电力 及其控股子公司承担任何不正当 的义务。如果因违反上述承诺导致 红相电力或其控股子公司损失的， 红相电力及其控股子公司的损失 由本人承担赔偿责任。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8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关于同业竞争、 关联交易、资金 占用方面的承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避免同业竞争的承诺：</w:t>
            </w:r>
          </w:p>
          <w:p>
            <w:pPr>
              <w:pStyle w:val="Style2"/>
              <w:keepNext w:val="0"/>
              <w:keepLines w:val="0"/>
              <w:widowControl w:val="0"/>
              <w:shd w:val="clear" w:color="auto" w:fill="auto"/>
              <w:tabs>
                <w:tab w:pos="278"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截至本承诺函签署日，本人及 本人控制的其他公司、企业或者其 他经济组织未从事与红相电力、银 川卧龙、星波通信及其控制的其他 公司、企业或者其他经济组织存在 同业竞争关系的业务。</w:t>
            </w:r>
          </w:p>
          <w:p>
            <w:pPr>
              <w:pStyle w:val="Style2"/>
              <w:keepNext w:val="0"/>
              <w:keepLines w:val="0"/>
              <w:widowControl w:val="0"/>
              <w:shd w:val="clear" w:color="auto" w:fill="auto"/>
              <w:tabs>
                <w:tab w:pos="283"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在作为红相电力的控股股东和 实际控制人期间，本人及本人控制 的其他公司、企业或者其他经济组 织将避免从事任何与红相电力、银 川卧龙、星波通信及其控制的其他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1848"/>
        <w:gridCol w:w="1277"/>
        <w:gridCol w:w="1277"/>
        <w:gridCol w:w="2693"/>
        <w:gridCol w:w="994"/>
        <w:gridCol w:w="1133"/>
        <w:gridCol w:w="715"/>
      </w:tblGrid>
      <w:tr>
        <w:trPr>
          <w:trHeight w:val="633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公司、企业或者其他经济组织相同 或相似且构成或可能构成竞争关 系的业务，亦不从事任何可能损害 红相电力、银川卧龙、星波通信及 其控制的其他公司、企业或者其他 经济组织利益的活动。如本人及本 人控制的其他公司、企业或者其他 经济组织遇到红相电力、银川卧 龙、星波通信及其控制的其他公 司、企业或者其他经济组织主营业 务范围内的业务机会，本人及本人 控制的其他公司、企业或者其他经 济组织将该等合作机会让予红相 电力、银川卧龙、星波通信及其控 制的其他公司、企业或者其他经济 组织。</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、本人若违反上述承诺，将承担 因此给红相电力、银川卧龙、星波 通信及其控制的其他公司、企业或 者其他经济组织造成的损失。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陈剑虹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陈小杰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胡万云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蒋磊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刘宏胜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王长乐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王加 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王延慧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魏京 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奚银 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谢安安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邢成 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徐建平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袁长 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左克刚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关于同业竞争、 关联交易、资金 占用方面的承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避免同业竞争的承诺：</w:t>
            </w:r>
          </w:p>
          <w:p>
            <w:pPr>
              <w:pStyle w:val="Style2"/>
              <w:keepNext w:val="0"/>
              <w:keepLines w:val="0"/>
              <w:widowControl w:val="0"/>
              <w:shd w:val="clear" w:color="auto" w:fill="auto"/>
              <w:tabs>
                <w:tab w:pos="283"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本人及本人控制的其他企业不 会以任何直接或间接的方式从事 与红相电力、星波通信及红相电力 其他控股子公司主营业务相同或 相似的业务，亦不会在中国境内通 过投资、收购、联营、兼并、受托 经营等方式从事与红相电力、星波 通信及红相电力其他控股子公司 主营业务相同或相似的业务。</w:t>
            </w:r>
          </w:p>
          <w:p>
            <w:pPr>
              <w:pStyle w:val="Style2"/>
              <w:keepNext w:val="0"/>
              <w:keepLines w:val="0"/>
              <w:widowControl w:val="0"/>
              <w:shd w:val="clear" w:color="auto" w:fill="auto"/>
              <w:tabs>
                <w:tab w:pos="288"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如本人及本人控制的其他企业 未来从任何第三方获得的任何商 业机会与红相电力、星波通信及红 相电力其他控股子公司主营业务 有竞争或可能存在竞争，则本人及 本人控制的其他企业将立即通知 红相电力、星波通信及红相电力其 他控股子公司，并尽力将该商业机 会让渡于红相电力、星波通信及红 相电力其他控股子公司。</w:t>
            </w:r>
          </w:p>
          <w:p>
            <w:pPr>
              <w:pStyle w:val="Style2"/>
              <w:keepNext w:val="0"/>
              <w:keepLines w:val="0"/>
              <w:widowControl w:val="0"/>
              <w:shd w:val="clear" w:color="auto" w:fill="auto"/>
              <w:tabs>
                <w:tab w:pos="278"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本人若因不履行或不适当履行 上述承诺，给红相电力及其相关方 造成损失的，本人以现金方式全额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1848"/>
        <w:gridCol w:w="1277"/>
        <w:gridCol w:w="1277"/>
        <w:gridCol w:w="2693"/>
        <w:gridCol w:w="994"/>
        <w:gridCol w:w="1133"/>
        <w:gridCol w:w="715"/>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承担该等损失。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37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红相股份有限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本公司承诺本公司及本公司相 关人员遵守《中华人民共和国保守 国家秘密法》、《中华人民共和国保 守国家秘密法实施条例》、《武器装 备科研生产许可管理条例》、《武器 装备科研生产许可实施办法》、《中 共中央保密委员会办公室、国家保 密局关于国家秘密载体保密管理 的规定》、国防科工局《涉军企事 业单位重组上市军工事项审查暂 行办法》（科工财审</w:t>
            </w:r>
            <w:r>
              <w:rPr>
                <w:rFonts w:ascii="Times New Roman" w:eastAsia="Times New Roman" w:hAnsi="Times New Roman" w:cs="Times New Roman"/>
                <w:color w:val="000000"/>
                <w:spacing w:val="0"/>
                <w:w w:val="100"/>
                <w:position w:val="0"/>
                <w:sz w:val="18"/>
                <w:szCs w:val="18"/>
              </w:rPr>
              <w:t xml:space="preserve">[2014]1718 </w:t>
            </w:r>
            <w:r>
              <w:rPr>
                <w:color w:val="000000"/>
                <w:spacing w:val="0"/>
                <w:w w:val="100"/>
                <w:position w:val="0"/>
              </w:rPr>
              <w:t xml:space="preserve">号）、《军工企业对外融资特殊财务 信息披露管理办法》（科工财审 </w:t>
            </w:r>
            <w:r>
              <w:rPr>
                <w:rFonts w:ascii="Times New Roman" w:eastAsia="Times New Roman" w:hAnsi="Times New Roman" w:cs="Times New Roman"/>
                <w:color w:val="000000"/>
                <w:spacing w:val="0"/>
                <w:w w:val="100"/>
                <w:position w:val="0"/>
                <w:sz w:val="18"/>
                <w:szCs w:val="18"/>
              </w:rPr>
              <w:t>[2008]702</w:t>
            </w:r>
            <w:r>
              <w:rPr>
                <w:color w:val="000000"/>
                <w:spacing w:val="0"/>
                <w:w w:val="100"/>
                <w:position w:val="0"/>
              </w:rPr>
              <w:t>号）等相关法律、法规 和规范性文件以及星波通信相关 保密规章的规定。</w:t>
            </w:r>
          </w:p>
          <w:p>
            <w:pPr>
              <w:pStyle w:val="Style2"/>
              <w:keepNext w:val="0"/>
              <w:keepLines w:val="0"/>
              <w:widowControl w:val="0"/>
              <w:shd w:val="clear" w:color="auto" w:fill="auto"/>
              <w:tabs>
                <w:tab w:pos="283"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本公司承诺在本次收购星波通 信股权事宜完成后，本公司将按照 相关国防、军工、保密要求修改《厦 门红相电力设备股份有限公司章 程》，增设保军特别条款，增加保 密工作制度、军工关键设备设施管 理、核心管理人员变动、国防专利 申请等相关内容，使《厦门红相电 力设备股份有限公司章程》符合国 防、军工、保密相关规定，并向相 关主管部门报备。</w:t>
            </w:r>
          </w:p>
          <w:p>
            <w:pPr>
              <w:pStyle w:val="Style2"/>
              <w:keepNext w:val="0"/>
              <w:keepLines w:val="0"/>
              <w:widowControl w:val="0"/>
              <w:shd w:val="clear" w:color="auto" w:fill="auto"/>
              <w:tabs>
                <w:tab w:pos="274"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本公司承诺在本次收购星波通 信股权事宜完成后，本公司将根据 国防、军工、保密相关规定要求制 定符合法律、法规、规范性文件的 保密制度。</w:t>
            </w:r>
          </w:p>
          <w:p>
            <w:pPr>
              <w:pStyle w:val="Style2"/>
              <w:keepNext w:val="0"/>
              <w:keepLines w:val="0"/>
              <w:widowControl w:val="0"/>
              <w:shd w:val="clear" w:color="auto" w:fill="auto"/>
              <w:tabs>
                <w:tab w:pos="283"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本公司承诺在本次收购星波通 信股权事宜完成后，本公司及本公 司相关人员将在适当的时机申报 相关保密资质和资格并获得相述 资质和资格，使本公司在有效控股 星波通信的同时符合国防、军工、 保密的相关规定。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 行中</w:t>
            </w: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 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红相股份有限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公司承诺：招股说明书有虚假记 载、误导性陈述或者重大遗漏，对 判断公司是否符合法律规定的发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1848"/>
        <w:gridCol w:w="1277"/>
        <w:gridCol w:w="1277"/>
        <w:gridCol w:w="2693"/>
        <w:gridCol w:w="994"/>
        <w:gridCol w:w="1133"/>
        <w:gridCol w:w="715"/>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行条件构成重大、实质影响的，公 司将依法回购首次公开发行的全 部新股。回购价格为发行价格加上 同期银行存款利息。公司上市后发 生派发股利、送股、转增股本等除 权除息事项的，上述回购价格和回 购股份数量将进行相应调整。公司 将在收到中国证监会等有权部门 作出的有关违法事实认定的当日 进行公告，并在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个交易日内根据 相关法律、法规及公司章程的规定 召开董事会并发出召开临时股东 大会的通知，审议具体回购方案； 在股东大会审议通过回购公司股 票的方案后，公司将依法通知债权 人，并向中国证监会、证券交易所 等主管部门报送相关材料，办理审 批或备案手续，然后启动并实施股 份回购程序。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控股股东、实际控制人杨保田、杨 成承诺：招股说明书有虚假记载、 误导性陈述或者重大遗漏，对判断 公司是否符合法律规定的发行条 件构成重大、实质影响的，本人将 督促公司依法回购首次公开发行 的全部新股，并且本人将依法购回 公司首次公开发行股票时本人公 开发售的股份。购回价格为发行价 格加上同期银行存款利息。公司上 市后发生派发股利、送股、转增股 本等除权除息事项的，上述购回价 格和购回股份数量将进行相应调 整。本人将在收到中国证监会等有 权部门有关违法事实认定的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 交易日内制订股份购回方案并予 以公告。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 行中</w:t>
            </w:r>
          </w:p>
        </w:tc>
      </w:tr>
      <w:tr>
        <w:trPr>
          <w:trHeight w:val="25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厦门红相电力</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设备股份有限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募集资金使用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为规范募集资金的管理和使用，确 保本次发行募集资金专款专用，公 司将根据相关法律、法规和规范性 文件的规定以及《厦门红相电力设 备股份有限公司募集资金管理制 度》的要求，将募集资金存放于董 事会指定的专用账户进行存储，做 到专款专用。同时，公司将严格按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1848"/>
        <w:gridCol w:w="1277"/>
        <w:gridCol w:w="1277"/>
        <w:gridCol w:w="2693"/>
        <w:gridCol w:w="994"/>
        <w:gridCol w:w="1133"/>
        <w:gridCol w:w="715"/>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照相关法律、法规和规范性文件的 规定以及《厦门红相电力设备股份 有限公司募集资金管理制度》的要 求使用募集资金，并接受保荐机 构、开户银行、证券交易所和其他 有权部门的监督。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5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厦门红相电力</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设备股份有限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发行后的股利分配政策 公司首次公开发行股票并在创业 板上市后适用的《公司章程（草 案）》已经公司股东大会审议通过。 根据该章程（草案），公司上市后 的股利利润分配政策在保留原股 利分配政策中的一般性规定外，进 一步增加如下规定：</w:t>
            </w:r>
          </w:p>
          <w:p>
            <w:pPr>
              <w:pStyle w:val="Style2"/>
              <w:keepNext w:val="0"/>
              <w:keepLines w:val="0"/>
              <w:widowControl w:val="0"/>
              <w:shd w:val="clear" w:color="auto" w:fill="auto"/>
              <w:tabs>
                <w:tab w:pos="418"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公司的利润分配原则</w:t>
            </w:r>
          </w:p>
          <w:p>
            <w:pPr>
              <w:pStyle w:val="Style2"/>
              <w:keepNext w:val="0"/>
              <w:keepLines w:val="0"/>
              <w:widowControl w:val="0"/>
              <w:shd w:val="clear" w:color="auto" w:fill="auto"/>
              <w:tabs>
                <w:tab w:pos="1224" w:val="left"/>
                <w:tab w:pos="2467" w:val="left"/>
              </w:tabs>
              <w:bidi w:val="0"/>
              <w:spacing w:before="0" w:after="0" w:line="313" w:lineRule="exact"/>
              <w:ind w:left="0" w:right="0" w:firstLine="0"/>
              <w:jc w:val="both"/>
            </w:pPr>
            <w:r>
              <w:rPr>
                <w:color w:val="000000"/>
                <w:spacing w:val="0"/>
                <w:w w:val="100"/>
                <w:position w:val="0"/>
              </w:rPr>
              <w:t>公司实施积极、持续、稳定的利润 分配政策，利润分配应重视对投资 者的合理投资回报，并兼顾公司的 可持续发展，利润分配不得超过累 计可分配利润的范围，不得损害公 司持续经营能力。公司董事会、监 事会和股东大会对利润分配政策 的决策和论证过程中应当充分考 虑独立董事、监事和公众投资者的 意</w:t>
              <w:tab/>
              <w:t>见</w:t>
              <w:tab/>
              <w:t>。</w:t>
            </w:r>
          </w:p>
          <w:p>
            <w:pPr>
              <w:pStyle w:val="Style2"/>
              <w:keepNext w:val="0"/>
              <w:keepLines w:val="0"/>
              <w:widowControl w:val="0"/>
              <w:shd w:val="clear" w:color="auto" w:fill="auto"/>
              <w:tabs>
                <w:tab w:pos="437"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公司的利润分配形式 公司可以采取现金、股票或现金与 股票相结合的方式分配股利，并优 先采用现金分红方式回报股东。</w:t>
            </w:r>
          </w:p>
          <w:p>
            <w:pPr>
              <w:pStyle w:val="Style2"/>
              <w:keepNext w:val="0"/>
              <w:keepLines w:val="0"/>
              <w:widowControl w:val="0"/>
              <w:shd w:val="clear" w:color="auto" w:fill="auto"/>
              <w:tabs>
                <w:tab w:pos="346" w:val="left"/>
              </w:tabs>
              <w:bidi w:val="0"/>
              <w:spacing w:before="0" w:after="12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公司利润分配的期间间隔 公司一般按照年度进行现金分红， 但在有条件的情况下，公司也可根 据盈利状况进行中期现金分红。</w:t>
            </w:r>
          </w:p>
          <w:p>
            <w:pPr>
              <w:pStyle w:val="Style2"/>
              <w:keepNext w:val="0"/>
              <w:keepLines w:val="0"/>
              <w:widowControl w:val="0"/>
              <w:shd w:val="clear" w:color="auto" w:fill="auto"/>
              <w:tabs>
                <w:tab w:pos="293"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公司现金方式分红的具体条件</w:t>
            </w:r>
          </w:p>
          <w:p>
            <w:pPr>
              <w:pStyle w:val="Style2"/>
              <w:keepNext w:val="0"/>
              <w:keepLines w:val="0"/>
              <w:widowControl w:val="0"/>
              <w:shd w:val="clear" w:color="auto" w:fill="auto"/>
              <w:tabs>
                <w:tab w:pos="1243" w:val="left"/>
                <w:tab w:pos="2448" w:val="left"/>
              </w:tabs>
              <w:bidi w:val="0"/>
              <w:spacing w:before="0" w:after="0" w:line="313" w:lineRule="exact"/>
              <w:ind w:left="0" w:right="0" w:firstLine="0"/>
              <w:jc w:val="both"/>
            </w:pPr>
            <w:r>
              <w:rPr>
                <w:color w:val="000000"/>
                <w:spacing w:val="0"/>
                <w:w w:val="100"/>
                <w:position w:val="0"/>
              </w:rPr>
              <w:t>和</w:t>
              <w:tab/>
              <w:t>比</w:t>
              <w:tab/>
              <w:t>例</w:t>
            </w:r>
          </w:p>
          <w:p>
            <w:pPr>
              <w:pStyle w:val="Style2"/>
              <w:keepNext w:val="0"/>
              <w:keepLines w:val="0"/>
              <w:widowControl w:val="0"/>
              <w:shd w:val="clear" w:color="auto" w:fill="auto"/>
              <w:bidi w:val="0"/>
              <w:spacing w:before="0" w:after="60" w:line="313" w:lineRule="exact"/>
              <w:ind w:left="0" w:right="0" w:firstLine="0"/>
              <w:jc w:val="both"/>
            </w:pPr>
            <w:r>
              <w:rPr>
                <w:color w:val="000000"/>
                <w:spacing w:val="0"/>
                <w:w w:val="100"/>
                <w:position w:val="0"/>
              </w:rPr>
              <w:t>在满足公司正常生产经营资金需 求的情况下，如无重大投资计划或 重大现金支出等事项，公司应当采 取现金方式分配股利，并且以现金 方式分配的利润不少于当年实现 的可分配利润的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公司董事会应当综合考虑所处行 业特点、发展阶段、自身经营模式、 盈利水平以及是否有重大资金支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1848"/>
        <w:gridCol w:w="1277"/>
        <w:gridCol w:w="1277"/>
        <w:gridCol w:w="2693"/>
        <w:gridCol w:w="994"/>
        <w:gridCol w:w="1133"/>
        <w:gridCol w:w="715"/>
      </w:tblGrid>
      <w:tr>
        <w:trPr>
          <w:trHeight w:val="1368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出安排等因素，区分下列情形，并 按照公司章程规定的程序，提出差 异化的现金分红政策：</w:t>
            </w:r>
          </w:p>
          <w:p>
            <w:pPr>
              <w:pStyle w:val="Style2"/>
              <w:keepNext w:val="0"/>
              <w:keepLines w:val="0"/>
              <w:widowControl w:val="0"/>
              <w:shd w:val="clear" w:color="auto" w:fill="auto"/>
              <w:tabs>
                <w:tab w:pos="466" w:val="left"/>
              </w:tabs>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公司发展阶段属成熟期且无 重大资金支出安排的，进行利润分 配时，现金分红在本次利润分配中 所占比例最低应达到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2"/>
              <w:keepNext w:val="0"/>
              <w:keepLines w:val="0"/>
              <w:widowControl w:val="0"/>
              <w:shd w:val="clear" w:color="auto" w:fill="auto"/>
              <w:tabs>
                <w:tab w:pos="466"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公司发展阶段属成熟期且有 重大资金支出安排的，进行利润分 配时，现金分红在本次利润分配中 所占比例最低应达到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2"/>
              <w:keepNext w:val="0"/>
              <w:keepLines w:val="0"/>
              <w:widowControl w:val="0"/>
              <w:shd w:val="clear" w:color="auto" w:fill="auto"/>
              <w:tabs>
                <w:tab w:pos="466"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公司发展阶段属成长期且有 重大资金支出安排的，进行利润分 配时，现金分红在本次利润分配中 所占比例最低应达到</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 公司发展阶段不易区分但有重大 资金支出安排的，可以按照前项规 定处理。重大投资计划或重大现金 支出是指以下情形之一：</w:t>
            </w:r>
          </w:p>
          <w:p>
            <w:pPr>
              <w:pStyle w:val="Style2"/>
              <w:keepNext w:val="0"/>
              <w:keepLines w:val="0"/>
              <w:widowControl w:val="0"/>
              <w:shd w:val="clear" w:color="auto" w:fill="auto"/>
              <w:tabs>
                <w:tab w:pos="466"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公司未来十二个月内拟对外 投资、收购资产或购买设备累计支 出达到或超过公司最近一期经审 计净资产的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，且金额超过</w:t>
            </w: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万元；</w:t>
            </w:r>
          </w:p>
          <w:p>
            <w:pPr>
              <w:pStyle w:val="Style2"/>
              <w:keepNext w:val="0"/>
              <w:keepLines w:val="0"/>
              <w:widowControl w:val="0"/>
              <w:shd w:val="clear" w:color="auto" w:fill="auto"/>
              <w:tabs>
                <w:tab w:pos="466"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公司未来十二个月内拟对外 投资、收购资产或购买设备累计支 出达到或超过公司最近一期经审 计总资产的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
              <w:keepNext w:val="0"/>
              <w:keepLines w:val="0"/>
              <w:widowControl w:val="0"/>
              <w:shd w:val="clear" w:color="auto" w:fill="auto"/>
              <w:tabs>
                <w:tab w:pos="336"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发放股票股利的具体条件 若公司快速成长，并且董事会认为 公司股票价格与公司股本规模不 匹配时，可以在满足上述现金股利 分配的前提下，提出实施股票股利 分配方案。</w:t>
            </w:r>
          </w:p>
          <w:p>
            <w:pPr>
              <w:pStyle w:val="Style2"/>
              <w:keepNext w:val="0"/>
              <w:keepLines w:val="0"/>
              <w:widowControl w:val="0"/>
              <w:shd w:val="clear" w:color="auto" w:fill="auto"/>
              <w:tabs>
                <w:tab w:pos="307"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利润分配应履行的审批程序 公司董事会应当根据当期的经营 情况和项目投资的资金需求计划， 在充分考虑股东利益的基础上正 确处理公司的短期利益与长远发 展的关系，制定合理的利润分配方 案。董事会按照利润分配政策制订 利润分配方案后，应当经全体董事 过半数表决通过并经</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以上独立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277"/>
        <w:gridCol w:w="1277"/>
        <w:gridCol w:w="2693"/>
        <w:gridCol w:w="994"/>
        <w:gridCol w:w="1133"/>
        <w:gridCol w:w="715"/>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董事表决通过，独立董事应对利润 分配方案发表独立意见。因特殊情 况导致利润分配方案与利润分配 政策不一致的，须经全体董事</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以上表决通过，并须获得全体独立 董事的同意，且董事会还应在相关 提案中详细论证和说明原因，修改 后的利润分配政策不得违反中国 证监会和证券交易所的有关规定。 公司监事会应当对董事会制订的 利润分配政策进行审议，并且经半 数以上监事表决通过。股东大会审 议利润分配方案时，应当经出席股 东大会会议的股东（包括股东代理 人）所持表决权的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以上表决通 过；因特殊情况导致利润分配方案 与利润分配政策不一致的，须经出 席股东大会会议的股东（包括股东 代理人）所持表决权的</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以上表 决通过，并且相关股东大会会议应 采取现场投票和网络投票相结合 的方式，为公众投资者参与利润分 配决策提供便利。股东大会对股利 分配方案作出决议后，公司董事会 须在股东大会召开后两个月内完 成股利（或股份）的派发事项。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、利润分配规划的制定和利润分 配政策的调整</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公司应当保持利润分配政策的稳 定性和连续性，由董事会结合具体 经营数据、充分考虑公司盈利规 模、现金流量状况、发展阶段及当 期资金需求，并结合股东（特别是 公众投资者）、独立董事和监事会 的意见，制定相应的《未来三年分 红回报规划》和《利润分配方案》。 公司至少每三年重新审阅一次《未 来三年分红回报规划》，根据股东 （特别是公众投资者）、独立董事 和监事的意见，对公司正在实施的 股利分配政策作出适当且必要的 修改，确定该时段的股东回报计 划。公司可以根据股东（特别是公 众投资者）、独立董事和监事的意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277"/>
        <w:gridCol w:w="1277"/>
        <w:gridCol w:w="2693"/>
        <w:gridCol w:w="994"/>
        <w:gridCol w:w="1133"/>
        <w:gridCol w:w="715"/>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见对分红回报规划进行适当且必 要的调整。调整分红回报规划应以 股东权益保护为出发点，不得与公 司章程的相关规定相抵触。分红回 报规划的调整由董事会提出后提 交公司股东大会审议并通过网络 投票的方式进行表决。 公司未来三年的分红回报规划 为进一步明确公司首次公开发行 股票并在创业板上市后对利润分 配工作的规划安排，细化《公司章 程（草案）》中关于股利分配政策 的条款，增加股利分配决策的透明 度，公司制定了上市后适用的《公 司未来三年分红回报规划 （</w:t>
            </w:r>
            <w:r>
              <w:rPr>
                <w:rFonts w:ascii="Times New Roman" w:eastAsia="Times New Roman" w:hAnsi="Times New Roman" w:cs="Times New Roman"/>
                <w:color w:val="000000"/>
                <w:spacing w:val="0"/>
                <w:w w:val="100"/>
                <w:position w:val="0"/>
                <w:sz w:val="18"/>
                <w:szCs w:val="18"/>
              </w:rPr>
              <w:t>2014~2016</w:t>
            </w:r>
            <w:r>
              <w:rPr>
                <w:color w:val="000000"/>
                <w:spacing w:val="0"/>
                <w:w w:val="100"/>
                <w:position w:val="0"/>
              </w:rPr>
              <w:t>年）》，主要内容如 下：</w:t>
            </w:r>
          </w:p>
          <w:p>
            <w:pPr>
              <w:pStyle w:val="Style2"/>
              <w:keepNext w:val="0"/>
              <w:keepLines w:val="0"/>
              <w:widowControl w:val="0"/>
              <w:shd w:val="clear" w:color="auto" w:fill="auto"/>
              <w:tabs>
                <w:tab w:pos="288"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公司制定未来分红回报规划考 虑的因素</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公司着眼于长远的和可持续的发 展，综合考虑公司实际情况、发展 目标，建立对投资者持续、稳定、 科学的回报规划与机制，从而对利 润分配做出制度性安排，以保证利 润分配政策的连续性和稳定性。</w:t>
            </w:r>
          </w:p>
          <w:p>
            <w:pPr>
              <w:pStyle w:val="Style2"/>
              <w:keepNext w:val="0"/>
              <w:keepLines w:val="0"/>
              <w:widowControl w:val="0"/>
              <w:shd w:val="clear" w:color="auto" w:fill="auto"/>
              <w:tabs>
                <w:tab w:pos="293"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公司未来分红回报规划的制定 原则公司股东回报规划充分考虑 和听取股东（特别是公众投资者）、 独立董事和监事的意见，坚持现金 分红为主这一基本原则，且每年以 现金方式分配的利润不低于当年 实现的可供分配利润的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
              <w:keepNext w:val="0"/>
              <w:keepLines w:val="0"/>
              <w:widowControl w:val="0"/>
              <w:shd w:val="clear" w:color="auto" w:fill="auto"/>
              <w:tabs>
                <w:tab w:pos="26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公司未来三年（</w:t>
            </w:r>
            <w:r>
              <w:rPr>
                <w:rFonts w:ascii="Times New Roman" w:eastAsia="Times New Roman" w:hAnsi="Times New Roman" w:cs="Times New Roman"/>
                <w:color w:val="000000"/>
                <w:spacing w:val="0"/>
                <w:w w:val="100"/>
                <w:position w:val="0"/>
                <w:sz w:val="18"/>
                <w:szCs w:val="18"/>
              </w:rPr>
              <w:t>2014~2016</w:t>
            </w:r>
            <w:r>
              <w:rPr>
                <w:color w:val="000000"/>
                <w:spacing w:val="0"/>
                <w:w w:val="100"/>
                <w:position w:val="0"/>
              </w:rPr>
              <w:t>年） 的具体分红回报规划</w:t>
            </w:r>
          </w:p>
          <w:p>
            <w:pPr>
              <w:pStyle w:val="Style2"/>
              <w:keepNext w:val="0"/>
              <w:keepLines w:val="0"/>
              <w:widowControl w:val="0"/>
              <w:shd w:val="clear" w:color="auto" w:fill="auto"/>
              <w:tabs>
                <w:tab w:pos="475"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 xml:space="preserve">公司依据《公司法》等有关 法律法规及《公司章程》的规定， 足额提取法定公积金、任意公积金 以后，每年以现金方式分配的利润 不少于当年实现的可分配利润的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
              <w:keepNext w:val="0"/>
              <w:keepLines w:val="0"/>
              <w:widowControl w:val="0"/>
              <w:shd w:val="clear" w:color="auto" w:fill="auto"/>
              <w:tabs>
                <w:tab w:pos="456"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在确保足额现金股利分配的 前提下，公司可以另行增加股票股 利分配或公积金转增股本的方案。</w:t>
            </w:r>
          </w:p>
          <w:p>
            <w:pPr>
              <w:pStyle w:val="Style2"/>
              <w:keepNext w:val="0"/>
              <w:keepLines w:val="0"/>
              <w:widowControl w:val="0"/>
              <w:shd w:val="clear" w:color="auto" w:fill="auto"/>
              <w:tabs>
                <w:tab w:pos="298"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公司在每个会计年度结束后，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277"/>
        <w:gridCol w:w="1277"/>
        <w:gridCol w:w="2693"/>
        <w:gridCol w:w="994"/>
        <w:gridCol w:w="1133"/>
        <w:gridCol w:w="715"/>
      </w:tblGrid>
      <w:tr>
        <w:trPr>
          <w:trHeight w:val="139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由公司董事会提出分红议案，并提 交股东大会进行表决。公司接受所 有股东、独立董事和监事对公司分 红的建议和监督。</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）公司董事会应当综合考虑所 处行业特点、发展阶段、自身经营 模式、盈利水平以及是否有重大资 金支出安排等因素，区分下列情 形，并按照公司章程规定的程序， 提出差异化的现金分红政策：①公 司发展阶段属成熟期且无重大资 金支出安排的，进行利润分配时， 现金分红在本次利润分配中所占 比例最低应达到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；②公司发展 阶段属成熟期且有重大资金支出 安排的，进行利润分配时，现金分 红在本次利润分配中所占比例最 低应达到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；③公司发展阶段属 成长期且有重大资金支出安排的， 进行利润分配时，现金分红在本次 利润分配中所占比例最低应达到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；公司发展阶段不易区分但有 重大资金支出安排的，可以按照前 项规定处理。</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、未来分红回报规划的制定周期 和相关决策机制</w:t>
            </w:r>
          </w:p>
          <w:p>
            <w:pPr>
              <w:pStyle w:val="Style2"/>
              <w:keepNext w:val="0"/>
              <w:keepLines w:val="0"/>
              <w:widowControl w:val="0"/>
              <w:shd w:val="clear" w:color="auto" w:fill="auto"/>
              <w:tabs>
                <w:tab w:pos="466"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公司至少每三年重新审阅一 次《未来三年分红回报规划》，根 据股东（特别是公众投资者）、独 立董事和监事的意见，对公司正在 实施的股利分配政策作出适当且 必要的修改，以确定该时段的股东 回报计划。</w:t>
            </w:r>
          </w:p>
          <w:p>
            <w:pPr>
              <w:pStyle w:val="Style2"/>
              <w:keepNext w:val="0"/>
              <w:keepLines w:val="0"/>
              <w:widowControl w:val="0"/>
              <w:shd w:val="clear" w:color="auto" w:fill="auto"/>
              <w:tabs>
                <w:tab w:pos="466"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公司保证调整后的分红回报 规划不违反以下原则：即如无重大 投资计划或重大现金支出发生，公 司应当采取现金方式分配股利，且 以现金方式分配的利润不少于当 年实现的可分配利润的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
              <w:keepNext w:val="0"/>
              <w:keepLines w:val="0"/>
              <w:widowControl w:val="0"/>
              <w:shd w:val="clear" w:color="auto" w:fill="auto"/>
              <w:tabs>
                <w:tab w:pos="466"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公司董事会结合具体经营数 据，充分考虑公司盈利规模、现金 流量状况、发展阶段及当期资金需 求，并结合股东（特别是公众投资 者）、独立董事和监事的意见，制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277"/>
        <w:gridCol w:w="1277"/>
        <w:gridCol w:w="2693"/>
        <w:gridCol w:w="994"/>
        <w:gridCol w:w="1133"/>
        <w:gridCol w:w="715"/>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定年度或中期分红方案，并经公司 股东大会表决通过后实施。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2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关于同业竞争、 关联交易、资金 占用方面的承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控股股东、实际控制人做出的避免 同业竞争的承诺：为维护公司及公 司其他股东的合法权益，避免未来 可能发生的同业竞争，公司控股股 东杨保田、实际控制人杨保田及杨 成已于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日，公司实 际控制人的关联方杨力已于</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日向公司提交了书面承 诺函，承诺在作为公司实际控制人 期间将履行下列承诺：</w:t>
            </w:r>
          </w:p>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、本人将不会投资于任何与红相 电力及其控股子公司的产品生产 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或业务经营构成竞争或可能构 成竞争的企业；</w:t>
            </w:r>
          </w:p>
          <w:p>
            <w:pPr>
              <w:pStyle w:val="Style2"/>
              <w:keepNext w:val="0"/>
              <w:keepLines w:val="0"/>
              <w:widowControl w:val="0"/>
              <w:shd w:val="clear" w:color="auto" w:fill="auto"/>
              <w:tabs>
                <w:tab w:pos="27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本人保证将促使本人控股的除 红相电力及其控股子公司之外的 其他企业不直接或间接从事、参与 或进行与红相电力及其控股子公 司的产品生产及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或业务经营相竞 争的任何活动；</w:t>
            </w:r>
          </w:p>
          <w:p>
            <w:pPr>
              <w:pStyle w:val="Style2"/>
              <w:keepNext w:val="0"/>
              <w:keepLines w:val="0"/>
              <w:widowControl w:val="0"/>
              <w:shd w:val="clear" w:color="auto" w:fill="auto"/>
              <w:tabs>
                <w:tab w:pos="27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本人所参股之企业，如从事与 红相电力及其控股子公司构成竞 争的产品生产及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或业务经营，本 人将避免成为该等企业的控股股 东或获得该等企业的实际控制权；</w:t>
            </w:r>
          </w:p>
          <w:p>
            <w:pPr>
              <w:pStyle w:val="Style2"/>
              <w:keepNext w:val="0"/>
              <w:keepLines w:val="0"/>
              <w:widowControl w:val="0"/>
              <w:shd w:val="clear" w:color="auto" w:fill="auto"/>
              <w:tabs>
                <w:tab w:pos="27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如红相电力及其控股子公司此 后进一步拓展产品或业务范围，本 人控股的除红相电力及其控股子 公司之外的其他企业将不与红相 电力及其控股子公司拓展后的产 品或业务相竞争，如本人控股的除 红相电力及其控股子公司之外的 其他企业与红相电力及其控股子 公司拓展后的产品或业务构成或 可能构成竞争，则本人将促成所控 股的除红相电力及其控股子公司 之外的其他企业采取措施，以按照 最大限度符合红相电力利益的方 式退出该等竞争，包括但不限于：</w:t>
            </w:r>
          </w:p>
          <w:p>
            <w:pPr>
              <w:pStyle w:val="Style2"/>
              <w:keepNext w:val="0"/>
              <w:keepLines w:val="0"/>
              <w:widowControl w:val="0"/>
              <w:shd w:val="clear" w:color="auto" w:fill="auto"/>
              <w:tabs>
                <w:tab w:pos="446"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停止生产构成或可能构成竞 争的产品；</w:t>
            </w:r>
          </w:p>
          <w:p>
            <w:pPr>
              <w:pStyle w:val="Style2"/>
              <w:keepNext w:val="0"/>
              <w:keepLines w:val="0"/>
              <w:widowControl w:val="0"/>
              <w:shd w:val="clear" w:color="auto" w:fill="auto"/>
              <w:tabs>
                <w:tab w:pos="341"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停止经营构成或可能构成竞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1848"/>
        <w:gridCol w:w="1277"/>
        <w:gridCol w:w="1277"/>
        <w:gridCol w:w="2693"/>
        <w:gridCol w:w="994"/>
        <w:gridCol w:w="1133"/>
        <w:gridCol w:w="715"/>
      </w:tblGrid>
      <w:tr>
        <w:trPr>
          <w:trHeight w:val="231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争的业务；</w:t>
            </w:r>
          </w:p>
          <w:p>
            <w:pPr>
              <w:pStyle w:val="Style2"/>
              <w:keepNext w:val="0"/>
              <w:keepLines w:val="0"/>
              <w:widowControl w:val="0"/>
              <w:shd w:val="clear" w:color="auto" w:fill="auto"/>
              <w:tabs>
                <w:tab w:pos="451" w:val="left"/>
              </w:tabs>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将相竞争的业务转让给无关 联的第三方；</w:t>
            </w:r>
          </w:p>
          <w:p>
            <w:pPr>
              <w:pStyle w:val="Style2"/>
              <w:keepNext w:val="0"/>
              <w:keepLines w:val="0"/>
              <w:widowControl w:val="0"/>
              <w:shd w:val="clear" w:color="auto" w:fill="auto"/>
              <w:tabs>
                <w:tab w:pos="451" w:val="left"/>
              </w:tabs>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将相竞争的业务纳入到本公 司来经营。本人愿意承担因违反上 述承诺而给红相电力及红相电力 其他股东所造成的一切经济损失。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厦门红相电力</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设备股份有限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填补被摊薄即期回报的措施及承 诺：若本次公开发行并在创业板 上市成功，将获取募集资金并扩大 公司股本规模，但募集资金到位当 期无法立即产生效益，因此会影响 公司该期间的每股收益及净资产 收益率；同时，若公司公开发行并 在创业板上市后未能实现募投项 目计划贡献率，且公司原有业务未 能获得相应幅度的增长，公司每股 收益和净资产收益率等指标有可 能在短期内会出现下降，请投资者 注意公司即期回报被摊薄的风险。 填补被摊薄即期回报的措施如下：</w:t>
            </w:r>
          </w:p>
          <w:p>
            <w:pPr>
              <w:pStyle w:val="Style2"/>
              <w:keepNext w:val="0"/>
              <w:keepLines w:val="0"/>
              <w:widowControl w:val="0"/>
              <w:shd w:val="clear" w:color="auto" w:fill="auto"/>
              <w:tabs>
                <w:tab w:pos="278" w:val="left"/>
              </w:tabs>
              <w:bidi w:val="0"/>
              <w:spacing w:before="0" w:after="10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加快募投项目实施，提升投资 回报本次募集资金拟投资于一次 设备状态检测、监测产品生产改造 项目，计量装置检测、监测设备生 产改造项目，研发中心扩建项目以 及补充营运资金，募投项目的实施 可以有效解决产能瓶颈，提升销售 规模。公司已对上述募投项目进行 可行性研究论证，符合行业发展趋 势，若募投项目顺利实施，将大幅 提高公司的盈利能力。公司将加快 募投项目实施，提升投资回报，降 低上市后即期回报被摊薄的风险。</w:t>
            </w:r>
          </w:p>
          <w:p>
            <w:pPr>
              <w:pStyle w:val="Style2"/>
              <w:keepNext w:val="0"/>
              <w:keepLines w:val="0"/>
              <w:widowControl w:val="0"/>
              <w:shd w:val="clear" w:color="auto" w:fill="auto"/>
              <w:tabs>
                <w:tab w:pos="283"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加强募集资金管理</w:t>
            </w:r>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为规范募集资金的管理和使用，确 保本次发行募集资金专款专用，公 司将根据相关法律、法规和规范性 文件的规定以及《厦门红相电力设 备股份有限公司募集资金管理制 度》的要求，将募集资金存放于董 事会指定的专用账户进行存储，做 到专款专用。同时，公司将严格按 照相关法律、法规和规范性文件的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 行中</w:t>
            </w:r>
          </w:p>
        </w:tc>
      </w:tr>
    </w:tbl>
    <w:p>
      <w:pPr>
        <w:sectPr>
          <w:footnotePr>
            <w:pos w:val="pageBottom"/>
            <w:numFmt w:val="decimal"/>
            <w:numRestart w:val="continuous"/>
          </w:footnotePr>
          <w:pgSz w:w="11900" w:h="16840"/>
          <w:pgMar w:top="1402" w:right="980" w:bottom="1436" w:left="984" w:header="0" w:footer="3" w:gutter="0"/>
          <w:cols w:space="720"/>
          <w:noEndnote/>
          <w:rtlGutter w:val="0"/>
          <w:docGrid w:linePitch="360"/>
        </w:sectPr>
      </w:pPr>
    </w:p>
    <w:tbl>
      <w:tblPr>
        <w:tblOverlap w:val="never"/>
        <w:jc w:val="center"/>
        <w:tblLayout w:type="fixed"/>
      </w:tblPr>
      <w:tblGrid>
        <w:gridCol w:w="1282"/>
        <w:gridCol w:w="1277"/>
        <w:gridCol w:w="2693"/>
        <w:gridCol w:w="994"/>
        <w:gridCol w:w="1133"/>
        <w:gridCol w:w="701"/>
      </w:tblGrid>
      <w:tr>
        <w:trPr>
          <w:trHeight w:val="47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规定以及《厦门红相电力设备股份 有限公司募集资金管理制度》的要 求使用募集资金，并接受保荐机 构、开户银行、证券交易所和其他 有权部门的监督。</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、保持并发展公司现有业务 本公司主要从事电力设备状态检 测、监测产品和电能表的研发、生 产和销售，并提供相关技术服务。 未来，公司将充分利用智能电网建 设所带来的机遇，立足自己的优势 产品，突出发展重点，保持并进一 步发展公司业务，提升公司盈利能 力，以降低上市后即期回报被摊薄 的风险。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北京市尚公律 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长江 证券承销保荐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厦门 市大学资产评 估土地房地产 估价有限责任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致同会计 师事务所（特殊 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长江保荐、致同会计师、尚公律师、 大学评估所承诺：因其为发行人本 次公开发行制作、出具的文件有虚 假记载、误导性陈述或者重大遗 漏，给他人造成损失的，将依法赔 偿投资者损失。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 行中</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杨保田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杨成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杨 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尹久远；陈 守德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陈耀高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林 庆乙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罗媛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马露 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唐炎钊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王新 火</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吴志阳</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公司全体董事、监事及高级管理人 员承诺：因发行人招股说明书及其 他信息披露资料有虚假记载、误导 性陈述或者重大遗漏，致使投资者 在证券发行和交易中遭受损失的， 将依法赔偿投资者损失。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 行中</w:t>
            </w:r>
          </w:p>
        </w:tc>
      </w:tr>
      <w:tr>
        <w:trPr>
          <w:trHeight w:val="378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发行人实际控制人做出的关于承 担发行人因社会保险及住房公积 金缴交不规范而可能受到的一切 损失的承诺针对公司可能面临 的因社会保险和住房公积金缴交 不规范而可能受到有关主管部门 追缴或处罚等情况，公司实际控制 人杨保田和杨成已作出承诺：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若 厦门红相电力设备股份有限公司 因上市前社会保险和住房公积金 缴交不规范而受到有关主管部门 的追缴或处罚，或任何利益相关方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 行中</w:t>
            </w:r>
          </w:p>
        </w:tc>
      </w:tr>
    </w:tbl>
    <w:p>
      <w:pPr>
        <w:sectPr>
          <w:footnotePr>
            <w:pos w:val="pageBottom"/>
            <w:numFmt w:val="decimal"/>
            <w:numRestart w:val="continuous"/>
          </w:footnotePr>
          <w:pgSz w:w="11900" w:h="16840"/>
          <w:pgMar w:top="1450" w:right="1001" w:bottom="1450" w:left="2821" w:header="0" w:footer="3" w:gutter="0"/>
          <w:cols w:space="720"/>
          <w:noEndnote/>
          <w:rtlGutter w:val="0"/>
          <w:docGrid w:linePitch="360"/>
        </w:sectPr>
      </w:pPr>
    </w:p>
    <w:tbl>
      <w:tblPr>
        <w:tblOverlap w:val="never"/>
        <w:jc w:val="center"/>
        <w:tblLayout w:type="fixed"/>
      </w:tblPr>
      <w:tblGrid>
        <w:gridCol w:w="1848"/>
        <w:gridCol w:w="1277"/>
        <w:gridCol w:w="1277"/>
        <w:gridCol w:w="2693"/>
        <w:gridCol w:w="994"/>
        <w:gridCol w:w="1133"/>
        <w:gridCol w:w="715"/>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以此为由向公司提出权利要求，且 该等要求获得主管部门支持，则公 司利益受到的一切损失均由杨保 田及杨成全额承担，且杨保田与杨 成之间互相承担连带责任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杨保田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本人减持公司股份的，将提前三个 交易日通知公司并予以公告，并承 诺将按照《公司法》、《证券法》、 中国证监会及深圳证券交易所相 关规定办理。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长期履行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 行中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31"/>
        <w:keepNext/>
        <w:keepLines/>
        <w:widowControl w:val="0"/>
        <w:shd w:val="clear" w:color="auto" w:fill="auto"/>
        <w:bidi w:val="0"/>
        <w:spacing w:before="0" w:after="380" w:line="322" w:lineRule="exact"/>
        <w:ind w:left="14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2</w:t>
      </w:r>
      <w:bookmarkEnd w:id="464"/>
      <w:r>
        <w:rPr>
          <w:color w:val="000000"/>
          <w:spacing w:val="0"/>
          <w:w w:val="100"/>
          <w:position w:val="0"/>
        </w:rPr>
        <w:t>、公司资产或项目存在盈利预测，且报告期仍处在盈利预测期间，公司就资产或项目达到原盈利预测及 其原因做出说明</w:t>
      </w:r>
      <w:bookmarkEnd w:id="462"/>
      <w:bookmarkEnd w:id="463"/>
      <w:bookmarkEnd w:id="465"/>
    </w:p>
    <w:p>
      <w:pPr>
        <w:pStyle w:val="Style27"/>
        <w:keepNext w:val="0"/>
        <w:keepLines w:val="0"/>
        <w:widowControl w:val="0"/>
        <w:shd w:val="clear" w:color="auto" w:fill="auto"/>
        <w:bidi w:val="0"/>
        <w:spacing w:before="0" w:after="38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657" w:val="left"/>
        </w:tabs>
        <w:bidi w:val="0"/>
        <w:spacing w:before="0" w:after="380" w:line="240" w:lineRule="auto"/>
        <w:ind w:left="0" w:right="0" w:firstLine="140"/>
        <w:jc w:val="left"/>
      </w:pPr>
      <w:bookmarkStart w:id="466" w:name="bookmark466"/>
      <w:bookmarkStart w:id="467" w:name="bookmark467"/>
      <w:bookmarkStart w:id="468" w:name="bookmark468"/>
      <w:bookmarkStart w:id="469" w:name="bookmark469"/>
      <w:r>
        <w:rPr>
          <w:color w:val="000000"/>
          <w:spacing w:val="0"/>
          <w:w w:val="100"/>
          <w:position w:val="0"/>
        </w:rPr>
        <w:t>二</w:t>
      </w:r>
      <w:bookmarkEnd w:id="468"/>
      <w:r>
        <w:rPr>
          <w:color w:val="000000"/>
          <w:spacing w:val="0"/>
          <w:w w:val="100"/>
          <w:position w:val="0"/>
        </w:rPr>
        <w:t>、</w:t>
        <w:tab/>
        <w:t>控股股东及其他关联方对上市公司的非经营性占用资金情况</w:t>
      </w:r>
      <w:bookmarkEnd w:id="466"/>
      <w:bookmarkEnd w:id="467"/>
      <w:bookmarkEnd w:id="469"/>
    </w:p>
    <w:p>
      <w:pPr>
        <w:pStyle w:val="Style27"/>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公司报告期不存在控股股东及其他关联方对上市公司的非经营性占用资金。</w:t>
      </w:r>
    </w:p>
    <w:p>
      <w:pPr>
        <w:pStyle w:val="Style23"/>
        <w:keepNext/>
        <w:keepLines/>
        <w:widowControl w:val="0"/>
        <w:shd w:val="clear" w:color="auto" w:fill="auto"/>
        <w:tabs>
          <w:tab w:pos="662" w:val="left"/>
        </w:tabs>
        <w:bidi w:val="0"/>
        <w:spacing w:before="0" w:after="380" w:line="240" w:lineRule="auto"/>
        <w:ind w:left="0" w:right="0" w:firstLine="140"/>
        <w:jc w:val="left"/>
      </w:pPr>
      <w:bookmarkStart w:id="470" w:name="bookmark470"/>
      <w:bookmarkStart w:id="471" w:name="bookmark471"/>
      <w:bookmarkStart w:id="472" w:name="bookmark472"/>
      <w:bookmarkStart w:id="473" w:name="bookmark473"/>
      <w:r>
        <w:rPr>
          <w:color w:val="000000"/>
          <w:spacing w:val="0"/>
          <w:w w:val="100"/>
          <w:position w:val="0"/>
        </w:rPr>
        <w:t>三</w:t>
      </w:r>
      <w:bookmarkEnd w:id="472"/>
      <w:r>
        <w:rPr>
          <w:color w:val="000000"/>
          <w:spacing w:val="0"/>
          <w:w w:val="100"/>
          <w:position w:val="0"/>
        </w:rPr>
        <w:t>、</w:t>
        <w:tab/>
        <w:t>违规对外担保情况</w:t>
      </w:r>
      <w:bookmarkEnd w:id="470"/>
      <w:bookmarkEnd w:id="471"/>
      <w:bookmarkEnd w:id="473"/>
    </w:p>
    <w:p>
      <w:pPr>
        <w:pStyle w:val="Style27"/>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公司报告期无违规对外担保情况。</w:t>
      </w:r>
    </w:p>
    <w:p>
      <w:pPr>
        <w:pStyle w:val="Style23"/>
        <w:keepNext/>
        <w:keepLines/>
        <w:widowControl w:val="0"/>
        <w:shd w:val="clear" w:color="auto" w:fill="auto"/>
        <w:tabs>
          <w:tab w:pos="662" w:val="left"/>
        </w:tabs>
        <w:bidi w:val="0"/>
        <w:spacing w:before="0" w:after="380" w:line="240" w:lineRule="auto"/>
        <w:ind w:left="0" w:right="0" w:firstLine="140"/>
        <w:jc w:val="left"/>
      </w:pPr>
      <w:bookmarkStart w:id="474" w:name="bookmark474"/>
      <w:bookmarkStart w:id="475" w:name="bookmark475"/>
      <w:bookmarkStart w:id="476" w:name="bookmark476"/>
      <w:bookmarkStart w:id="477" w:name="bookmark477"/>
      <w:r>
        <w:rPr>
          <w:color w:val="000000"/>
          <w:spacing w:val="0"/>
          <w:w w:val="100"/>
          <w:position w:val="0"/>
        </w:rPr>
        <w:t>四</w:t>
      </w:r>
      <w:bookmarkEnd w:id="476"/>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74"/>
      <w:bookmarkEnd w:id="475"/>
      <w:bookmarkEnd w:id="477"/>
    </w:p>
    <w:p>
      <w:pPr>
        <w:pStyle w:val="Style27"/>
        <w:keepNext w:val="0"/>
        <w:keepLines w:val="0"/>
        <w:widowControl w:val="0"/>
        <w:shd w:val="clear" w:color="auto" w:fill="auto"/>
        <w:bidi w:val="0"/>
        <w:spacing w:before="0" w:after="38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662" w:val="left"/>
        </w:tabs>
        <w:bidi w:val="0"/>
        <w:spacing w:before="0" w:after="380" w:line="240" w:lineRule="auto"/>
        <w:ind w:left="0" w:right="0" w:firstLine="140"/>
        <w:jc w:val="left"/>
      </w:pPr>
      <w:bookmarkStart w:id="478" w:name="bookmark478"/>
      <w:bookmarkStart w:id="479" w:name="bookmark479"/>
      <w:bookmarkStart w:id="480" w:name="bookmark480"/>
      <w:bookmarkStart w:id="481" w:name="bookmark481"/>
      <w:r>
        <w:rPr>
          <w:color w:val="000000"/>
          <w:spacing w:val="0"/>
          <w:w w:val="100"/>
          <w:position w:val="0"/>
        </w:rPr>
        <w:t>五</w:t>
      </w:r>
      <w:bookmarkEnd w:id="480"/>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78"/>
      <w:bookmarkEnd w:id="479"/>
      <w:bookmarkEnd w:id="481"/>
    </w:p>
    <w:p>
      <w:pPr>
        <w:pStyle w:val="Style27"/>
        <w:keepNext w:val="0"/>
        <w:keepLines w:val="0"/>
        <w:widowControl w:val="0"/>
        <w:shd w:val="clear" w:color="auto" w:fill="auto"/>
        <w:bidi w:val="0"/>
        <w:spacing w:before="0" w:after="380" w:line="240" w:lineRule="auto"/>
        <w:ind w:left="0" w:right="0" w:firstLine="14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tabs>
          <w:tab w:pos="662" w:val="left"/>
        </w:tabs>
        <w:bidi w:val="0"/>
        <w:spacing w:before="0" w:after="380" w:line="240" w:lineRule="auto"/>
        <w:ind w:left="0" w:right="0" w:firstLine="140"/>
        <w:jc w:val="left"/>
      </w:pPr>
      <w:bookmarkStart w:id="482" w:name="bookmark482"/>
      <w:bookmarkStart w:id="483" w:name="bookmark483"/>
      <w:bookmarkStart w:id="484" w:name="bookmark484"/>
      <w:bookmarkStart w:id="485" w:name="bookmark485"/>
      <w:r>
        <w:rPr>
          <w:color w:val="000000"/>
          <w:spacing w:val="0"/>
          <w:w w:val="100"/>
          <w:position w:val="0"/>
        </w:rPr>
        <w:t>六</w:t>
      </w:r>
      <w:bookmarkEnd w:id="484"/>
      <w:r>
        <w:rPr>
          <w:color w:val="000000"/>
          <w:spacing w:val="0"/>
          <w:w w:val="100"/>
          <w:position w:val="0"/>
        </w:rPr>
        <w:t>、</w:t>
        <w:tab/>
        <w:t>董事会关于报告期会计政策、会计估计变更或重大会计差错更正的说明</w:t>
      </w:r>
      <w:bookmarkEnd w:id="482"/>
      <w:bookmarkEnd w:id="483"/>
      <w:bookmarkEnd w:id="485"/>
    </w:p>
    <w:p>
      <w:pPr>
        <w:pStyle w:val="Style27"/>
        <w:keepNext w:val="0"/>
        <w:keepLines w:val="0"/>
        <w:widowControl w:val="0"/>
        <w:shd w:val="clear" w:color="auto" w:fill="auto"/>
        <w:bidi w:val="0"/>
        <w:spacing w:before="0" w:after="200" w:line="240" w:lineRule="auto"/>
        <w:ind w:left="0" w:right="0" w:firstLine="14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1"/>
        <w:keepNext w:val="0"/>
        <w:keepLines w:val="0"/>
        <w:widowControl w:val="0"/>
        <w:shd w:val="clear" w:color="auto" w:fill="auto"/>
        <w:bidi w:val="0"/>
        <w:spacing w:before="0" w:after="380" w:line="240" w:lineRule="auto"/>
        <w:ind w:left="0" w:right="0" w:firstLine="620"/>
        <w:jc w:val="left"/>
        <w:rPr>
          <w:sz w:val="22"/>
          <w:szCs w:val="22"/>
        </w:rPr>
      </w:pPr>
      <w:r>
        <w:rPr>
          <w:b/>
          <w:bCs/>
          <w:color w:val="000000"/>
          <w:spacing w:val="0"/>
          <w:w w:val="100"/>
          <w:position w:val="0"/>
          <w:sz w:val="22"/>
          <w:szCs w:val="22"/>
        </w:rPr>
        <w:t>重要会计政策、会计估计的变更</w:t>
      </w:r>
    </w:p>
    <w:p>
      <w:pPr>
        <w:pStyle w:val="Style11"/>
        <w:keepNext w:val="0"/>
        <w:keepLines w:val="0"/>
        <w:widowControl w:val="0"/>
        <w:shd w:val="clear" w:color="auto" w:fill="auto"/>
        <w:tabs>
          <w:tab w:pos="993" w:val="left"/>
        </w:tabs>
        <w:bidi w:val="0"/>
        <w:spacing w:before="0" w:after="100" w:line="314" w:lineRule="exact"/>
        <w:ind w:left="0" w:right="0" w:firstLine="500"/>
        <w:jc w:val="both"/>
      </w:pPr>
      <w:bookmarkStart w:id="486" w:name="bookmark486"/>
      <w:r>
        <w:rPr>
          <w:b/>
          <w:bCs/>
          <w:color w:val="000000"/>
          <w:spacing w:val="0"/>
          <w:w w:val="100"/>
          <w:position w:val="0"/>
        </w:rPr>
        <w:t>（</w:t>
      </w:r>
      <w:bookmarkEnd w:id="48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重要会计政策变更</w:t>
      </w:r>
    </w:p>
    <w:p>
      <w:pPr>
        <w:pStyle w:val="Style11"/>
        <w:keepNext w:val="0"/>
        <w:keepLines w:val="0"/>
        <w:widowControl w:val="0"/>
        <w:shd w:val="clear" w:color="auto" w:fill="auto"/>
        <w:bidi w:val="0"/>
        <w:spacing w:before="0" w:after="100" w:line="314" w:lineRule="exact"/>
        <w:ind w:left="0" w:right="0" w:firstLine="50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日，财政部发布了《企业会计准则第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）。要求 在境内外同时上市的企业以及在境外上市并按《国际财务报告准则》或《企业会计准则》编制财务报表的 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日起实施新租赁准则，其中母公司或子公司在境外上市且按照《国际财务报告准则》或 《企业会计准则》编制其境外财务报表的企业可以提前实施。本公司于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日执行新租赁准则，对 会计政策的相关内容进行调整，详见第十节财务报告之</w:t>
      </w:r>
      <w:r>
        <w:rPr>
          <w:rFonts w:ascii="Times New Roman" w:eastAsia="Times New Roman" w:hAnsi="Times New Roman" w:cs="Times New Roman"/>
          <w:color w:val="000000"/>
          <w:spacing w:val="0"/>
          <w:w w:val="100"/>
          <w:position w:val="0"/>
        </w:rPr>
        <w:t>“</w:t>
      </w:r>
      <w:r>
        <w:rPr>
          <w:color w:val="000000"/>
          <w:spacing w:val="0"/>
          <w:w w:val="100"/>
          <w:position w:val="0"/>
        </w:rPr>
        <w:t>附注五、重要会计政策及会计估计''之</w:t>
      </w:r>
      <w:r>
        <w:rPr>
          <w:rFonts w:ascii="Times New Roman" w:eastAsia="Times New Roman" w:hAnsi="Times New Roman" w:cs="Times New Roman"/>
          <w:color w:val="000000"/>
          <w:spacing w:val="0"/>
          <w:w w:val="100"/>
          <w:position w:val="0"/>
        </w:rPr>
        <w:t>“36</w:t>
      </w:r>
      <w:r>
        <w:rPr>
          <w:color w:val="000000"/>
          <w:spacing w:val="0"/>
          <w:w w:val="100"/>
          <w:position w:val="0"/>
        </w:rPr>
        <w:t>、租赁</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1"/>
        <w:keepNext w:val="0"/>
        <w:keepLines w:val="0"/>
        <w:widowControl w:val="0"/>
        <w:shd w:val="clear" w:color="auto" w:fill="auto"/>
        <w:tabs>
          <w:tab w:pos="993" w:val="left"/>
        </w:tabs>
        <w:bidi w:val="0"/>
        <w:spacing w:before="0" w:after="100" w:line="314" w:lineRule="exact"/>
        <w:ind w:left="0" w:right="0" w:firstLine="500"/>
        <w:jc w:val="both"/>
      </w:pPr>
      <w:bookmarkStart w:id="487" w:name="bookmark487"/>
      <w:r>
        <w:rPr>
          <w:b/>
          <w:bCs/>
          <w:color w:val="000000"/>
          <w:spacing w:val="0"/>
          <w:w w:val="100"/>
          <w:position w:val="0"/>
        </w:rPr>
        <w:t>（</w:t>
      </w:r>
      <w:bookmarkEnd w:id="48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重要会计估计变更</w:t>
      </w:r>
    </w:p>
    <w:p>
      <w:pPr>
        <w:pStyle w:val="Style11"/>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本报告期内，本公司无重大会计估计变更。</w:t>
      </w:r>
    </w:p>
    <w:p>
      <w:pPr>
        <w:pStyle w:val="Style11"/>
        <w:keepNext w:val="0"/>
        <w:keepLines w:val="0"/>
        <w:widowControl w:val="0"/>
        <w:shd w:val="clear" w:color="auto" w:fill="auto"/>
        <w:tabs>
          <w:tab w:pos="993" w:val="left"/>
        </w:tabs>
        <w:bidi w:val="0"/>
        <w:spacing w:before="0" w:after="100" w:line="314" w:lineRule="exact"/>
        <w:ind w:left="0" w:right="0" w:firstLine="500"/>
        <w:jc w:val="both"/>
      </w:pPr>
      <w:bookmarkStart w:id="488" w:name="bookmark488"/>
      <w:r>
        <w:rPr>
          <w:b/>
          <w:bCs/>
          <w:color w:val="000000"/>
          <w:spacing w:val="0"/>
          <w:w w:val="100"/>
          <w:position w:val="0"/>
        </w:rPr>
        <w:t>（</w:t>
      </w:r>
      <w:bookmarkEnd w:id="488"/>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首次执行新租赁则调整首次执行当年年初财务报表相关项目情况</w:t>
      </w:r>
    </w:p>
    <w:p>
      <w:pPr>
        <w:pStyle w:val="Style11"/>
        <w:keepNext w:val="0"/>
        <w:keepLines w:val="0"/>
        <w:widowControl w:val="0"/>
        <w:shd w:val="clear" w:color="auto" w:fill="auto"/>
        <w:bidi w:val="0"/>
        <w:spacing w:before="0" w:after="160" w:line="314" w:lineRule="exact"/>
        <w:ind w:left="0" w:right="0" w:firstLine="580"/>
        <w:jc w:val="both"/>
      </w:pPr>
      <w:r>
        <w:rPr>
          <w:b/>
          <w:bCs/>
          <w:color w:val="000000"/>
          <w:spacing w:val="0"/>
          <w:w w:val="100"/>
          <w:position w:val="0"/>
        </w:rPr>
        <w:t>①合并资产负债表</w:t>
      </w:r>
    </w:p>
    <w:tbl>
      <w:tblPr>
        <w:tblOverlap w:val="never"/>
        <w:jc w:val="center"/>
        <w:tblLayout w:type="fixed"/>
      </w:tblPr>
      <w:tblGrid>
        <w:gridCol w:w="1440"/>
        <w:gridCol w:w="2563"/>
        <w:gridCol w:w="2755"/>
        <w:gridCol w:w="2918"/>
      </w:tblGrid>
      <w:tr>
        <w:trPr>
          <w:trHeight w:val="288" w:hRule="exact"/>
        </w:trPr>
        <w:tc>
          <w:tcPr>
            <w:gridSpan w:val="3"/>
            <w:tcBorders/>
            <w:shd w:val="clear" w:color="auto" w:fill="FFFFFF"/>
            <w:vAlign w:val="top"/>
          </w:tcPr>
          <w:p>
            <w:pPr>
              <w:pStyle w:val="Style2"/>
              <w:keepNext w:val="0"/>
              <w:keepLines w:val="0"/>
              <w:widowControl w:val="0"/>
              <w:shd w:val="clear" w:color="auto" w:fill="auto"/>
              <w:tabs>
                <w:tab w:pos="1042" w:val="left"/>
              </w:tabs>
              <w:bidi w:val="0"/>
              <w:spacing w:before="0" w:after="0" w:line="240" w:lineRule="auto"/>
              <w:ind w:left="0" w:right="0" w:firstLine="0"/>
              <w:jc w:val="right"/>
              <w:rPr>
                <w:sz w:val="20"/>
                <w:szCs w:val="20"/>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tab/>
              <w:t>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伸:人民币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4,787,106.98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4,787,106.98</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4,787,106.98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4,787,106.98</w:t>
            </w:r>
          </w:p>
        </w:tc>
      </w:tr>
    </w:tbl>
    <w:p>
      <w:pPr>
        <w:widowControl w:val="0"/>
        <w:spacing w:after="159" w:line="1" w:lineRule="exact"/>
      </w:pPr>
    </w:p>
    <w:p>
      <w:pPr>
        <w:pStyle w:val="Style11"/>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②母公司资产负债表无期初调整事项</w:t>
      </w:r>
    </w:p>
    <w:p>
      <w:pPr>
        <w:pStyle w:val="Style23"/>
        <w:keepNext/>
        <w:keepLines/>
        <w:widowControl w:val="0"/>
        <w:shd w:val="clear" w:color="auto" w:fill="auto"/>
        <w:bidi w:val="0"/>
        <w:spacing w:before="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七</w:t>
      </w:r>
      <w:bookmarkEnd w:id="491"/>
      <w:r>
        <w:rPr>
          <w:color w:val="000000"/>
          <w:spacing w:val="0"/>
          <w:w w:val="100"/>
          <w:position w:val="0"/>
        </w:rPr>
        <w:t>、与上年度财务报告相比，合并报表范围发生变化的情况说明</w:t>
      </w:r>
      <w:bookmarkEnd w:id="489"/>
      <w:bookmarkEnd w:id="490"/>
      <w:bookmarkEnd w:id="492"/>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tabs>
          <w:tab w:pos="873" w:val="left"/>
        </w:tabs>
        <w:bidi w:val="0"/>
        <w:spacing w:before="0" w:after="100" w:line="314" w:lineRule="exact"/>
        <w:ind w:left="0" w:right="0" w:firstLine="500"/>
        <w:jc w:val="both"/>
      </w:pPr>
      <w:bookmarkStart w:id="493" w:name="bookmark493"/>
      <w:r>
        <w:rPr>
          <w:rFonts w:ascii="Times New Roman" w:eastAsia="Times New Roman" w:hAnsi="Times New Roman" w:cs="Times New Roman"/>
          <w:color w:val="000000"/>
          <w:spacing w:val="0"/>
          <w:w w:val="100"/>
          <w:position w:val="0"/>
        </w:rPr>
        <w:t>1</w:t>
      </w:r>
      <w:bookmarkEnd w:id="493"/>
      <w:r>
        <w:rPr>
          <w:color w:val="000000"/>
          <w:spacing w:val="0"/>
          <w:w w:val="100"/>
          <w:position w:val="0"/>
        </w:rPr>
        <w:t>、</w:t>
        <w:tab/>
        <w:t>新设子公司</w:t>
      </w:r>
    </w:p>
    <w:p>
      <w:pPr>
        <w:pStyle w:val="Style11"/>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日成立非全资子公司合肥翩翼，纳入本年度合并范围。</w:t>
      </w:r>
    </w:p>
    <w:p>
      <w:pPr>
        <w:pStyle w:val="Style1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子公司银川卧龙于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日与道达尔国际商业股份有限公司成立控股联合体公司</w:t>
      </w:r>
      <w:r>
        <w:rPr>
          <w:rFonts w:ascii="Times New Roman" w:eastAsia="Times New Roman" w:hAnsi="Times New Roman" w:cs="Times New Roman"/>
          <w:color w:val="000000"/>
          <w:spacing w:val="0"/>
          <w:w w:val="100"/>
          <w:position w:val="0"/>
        </w:rPr>
        <w:t>WOTAL</w:t>
      </w:r>
      <w:r>
        <w:rPr>
          <w:color w:val="000000"/>
          <w:spacing w:val="0"/>
          <w:w w:val="100"/>
          <w:position w:val="0"/>
        </w:rPr>
        <w:t xml:space="preserve">、 </w:t>
      </w:r>
      <w:r>
        <w:rPr>
          <w:rFonts w:ascii="Times New Roman" w:eastAsia="Times New Roman" w:hAnsi="Times New Roman" w:cs="Times New Roman"/>
          <w:color w:val="000000"/>
          <w:spacing w:val="0"/>
          <w:w w:val="100"/>
          <w:position w:val="0"/>
        </w:rPr>
        <w:t>LONGFOR</w:t>
      </w:r>
      <w:r>
        <w:rPr>
          <w:color w:val="000000"/>
          <w:spacing w:val="0"/>
          <w:w w:val="100"/>
          <w:position w:val="0"/>
        </w:rPr>
        <w:t>，</w:t>
      </w:r>
      <w:r>
        <w:rPr>
          <w:color w:val="000000"/>
          <w:spacing w:val="0"/>
          <w:w w:val="100"/>
          <w:position w:val="0"/>
        </w:rPr>
        <w:t>纳入本年度合并范围。</w:t>
      </w:r>
    </w:p>
    <w:p>
      <w:pPr>
        <w:pStyle w:val="Style11"/>
        <w:keepNext w:val="0"/>
        <w:keepLines w:val="0"/>
        <w:widowControl w:val="0"/>
        <w:shd w:val="clear" w:color="auto" w:fill="auto"/>
        <w:tabs>
          <w:tab w:pos="873" w:val="left"/>
        </w:tabs>
        <w:bidi w:val="0"/>
        <w:spacing w:before="0" w:after="100" w:line="314" w:lineRule="exact"/>
        <w:ind w:left="0" w:right="0" w:firstLine="500"/>
        <w:jc w:val="both"/>
      </w:pPr>
      <w:bookmarkStart w:id="494" w:name="bookmark494"/>
      <w:r>
        <w:rPr>
          <w:rFonts w:ascii="Times New Roman" w:eastAsia="Times New Roman" w:hAnsi="Times New Roman" w:cs="Times New Roman"/>
          <w:color w:val="000000"/>
          <w:spacing w:val="0"/>
          <w:w w:val="100"/>
          <w:position w:val="0"/>
        </w:rPr>
        <w:t>2</w:t>
      </w:r>
      <w:bookmarkEnd w:id="494"/>
      <w:r>
        <w:rPr>
          <w:color w:val="000000"/>
          <w:spacing w:val="0"/>
          <w:w w:val="100"/>
          <w:position w:val="0"/>
        </w:rPr>
        <w:t>、</w:t>
        <w:tab/>
        <w:t>转让或注销子公司</w:t>
      </w:r>
    </w:p>
    <w:p>
      <w:pPr>
        <w:pStyle w:val="Style11"/>
        <w:keepNext w:val="0"/>
        <w:keepLines w:val="0"/>
        <w:widowControl w:val="0"/>
        <w:shd w:val="clear" w:color="auto" w:fill="auto"/>
        <w:bidi w:val="0"/>
        <w:spacing w:before="0" w:after="680" w:line="317" w:lineRule="exact"/>
        <w:ind w:left="0" w:right="0" w:firstLine="500"/>
        <w:jc w:val="both"/>
      </w:pPr>
      <w:r>
        <w:rPr>
          <w:color w:val="000000"/>
          <w:spacing w:val="0"/>
          <w:w w:val="100"/>
          <w:position w:val="0"/>
        </w:rPr>
        <w:t>子公司银川卧龙于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日将全资子公司中宁新能源转让出售，并于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日办理完工商 手续。从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日起，中宁新能源不再纳入合并范围。</w:t>
      </w:r>
    </w:p>
    <w:p>
      <w:pPr>
        <w:pStyle w:val="Style23"/>
        <w:keepNext/>
        <w:keepLines/>
        <w:widowControl w:val="0"/>
        <w:shd w:val="clear" w:color="auto" w:fill="auto"/>
        <w:bidi w:val="0"/>
        <w:spacing w:before="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八</w:t>
      </w:r>
      <w:bookmarkEnd w:id="497"/>
      <w:r>
        <w:rPr>
          <w:color w:val="000000"/>
          <w:spacing w:val="0"/>
          <w:w w:val="100"/>
          <w:position w:val="0"/>
        </w:rPr>
        <w:t>、聘任、解聘会计师事务所情况</w:t>
      </w:r>
      <w:bookmarkEnd w:id="495"/>
      <w:bookmarkEnd w:id="496"/>
      <w:bookmarkEnd w:id="498"/>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林炎临、周起予</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九</w:t>
      </w:r>
      <w:bookmarkEnd w:id="501"/>
      <w:r>
        <w:rPr>
          <w:color w:val="000000"/>
          <w:spacing w:val="0"/>
          <w:w w:val="100"/>
          <w:position w:val="0"/>
        </w:rPr>
        <w:t>、年度报告披露后面临退市情况</w:t>
      </w:r>
      <w:bookmarkEnd w:id="499"/>
      <w:bookmarkEnd w:id="500"/>
      <w:bookmarkEnd w:id="502"/>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503" w:name="bookmark503"/>
      <w:bookmarkStart w:id="504" w:name="bookmark504"/>
      <w:bookmarkStart w:id="505" w:name="bookmark505"/>
      <w:r>
        <w:rPr>
          <w:color w:val="000000"/>
          <w:spacing w:val="0"/>
          <w:w w:val="100"/>
          <w:position w:val="0"/>
        </w:rPr>
        <w:t>十、破产重整相关事项</w:t>
      </w:r>
      <w:bookmarkEnd w:id="503"/>
      <w:bookmarkEnd w:id="504"/>
      <w:bookmarkEnd w:id="50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line="240" w:lineRule="auto"/>
        <w:ind w:left="0" w:right="0" w:firstLine="0"/>
        <w:jc w:val="left"/>
      </w:pPr>
      <w:bookmarkStart w:id="506" w:name="bookmark506"/>
      <w:bookmarkStart w:id="507" w:name="bookmark507"/>
      <w:bookmarkStart w:id="508" w:name="bookmark508"/>
      <w:r>
        <w:rPr>
          <w:color w:val="000000"/>
          <w:spacing w:val="0"/>
          <w:w w:val="100"/>
          <w:position w:val="0"/>
        </w:rPr>
        <w:t>十一、重大诉讼、仲裁事项</w:t>
      </w:r>
      <w:bookmarkEnd w:id="506"/>
      <w:bookmarkEnd w:id="507"/>
      <w:bookmarkEnd w:id="50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3"/>
        <w:keepNext/>
        <w:keepLines/>
        <w:widowControl w:val="0"/>
        <w:shd w:val="clear" w:color="auto" w:fill="auto"/>
        <w:bidi w:val="0"/>
        <w:spacing w:before="0" w:line="240" w:lineRule="auto"/>
        <w:ind w:left="0" w:right="0" w:firstLine="0"/>
        <w:jc w:val="left"/>
      </w:pPr>
      <w:bookmarkStart w:id="509" w:name="bookmark509"/>
      <w:bookmarkStart w:id="510" w:name="bookmark510"/>
      <w:bookmarkStart w:id="511" w:name="bookmark511"/>
      <w:r>
        <w:rPr>
          <w:color w:val="000000"/>
          <w:spacing w:val="0"/>
          <w:w w:val="100"/>
          <w:position w:val="0"/>
        </w:rPr>
        <w:t>十二、处罚及整改情况</w:t>
      </w:r>
      <w:bookmarkEnd w:id="509"/>
      <w:bookmarkEnd w:id="510"/>
      <w:bookmarkEnd w:id="511"/>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378"/>
        <w:gridCol w:w="1368"/>
        <w:gridCol w:w="1368"/>
        <w:gridCol w:w="1363"/>
        <w:gridCol w:w="1368"/>
        <w:gridCol w:w="1363"/>
        <w:gridCol w:w="13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违反了深交所</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《创业板股票上 市规则（</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月修订）》第</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条、第</w:t>
            </w:r>
            <w:r>
              <w:rPr>
                <w:rFonts w:ascii="Times New Roman" w:eastAsia="Times New Roman" w:hAnsi="Times New Roman" w:cs="Times New Roman"/>
                <w:color w:val="000000"/>
                <w:spacing w:val="0"/>
                <w:w w:val="100"/>
                <w:position w:val="0"/>
                <w:sz w:val="18"/>
                <w:szCs w:val="18"/>
              </w:rPr>
              <w:t>4.3.2</w:t>
            </w:r>
            <w:r>
              <w:rPr>
                <w:color w:val="000000"/>
                <w:spacing w:val="0"/>
                <w:w w:val="100"/>
                <w:position w:val="0"/>
              </w:rPr>
              <w:t>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《创业板上市公 司规范运作指引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年修订）》 第</w:t>
            </w:r>
            <w:r>
              <w:rPr>
                <w:rFonts w:ascii="Times New Roman" w:eastAsia="Times New Roman" w:hAnsi="Times New Roman" w:cs="Times New Roman"/>
                <w:color w:val="000000"/>
                <w:spacing w:val="0"/>
                <w:w w:val="100"/>
                <w:position w:val="0"/>
                <w:sz w:val="18"/>
                <w:szCs w:val="18"/>
              </w:rPr>
              <w:t>4.1.1</w:t>
            </w:r>
            <w:r>
              <w:rPr>
                <w:color w:val="000000"/>
                <w:spacing w:val="0"/>
                <w:w w:val="100"/>
                <w:position w:val="0"/>
              </w:rPr>
              <w:t>条、第</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4.2.1 </w:t>
            </w:r>
            <w:r>
              <w:rPr>
                <w:color w:val="000000"/>
                <w:spacing w:val="0"/>
                <w:w w:val="100"/>
                <w:position w:val="0"/>
              </w:rPr>
              <w:t xml:space="preserve">条、第 </w:t>
            </w:r>
            <w:r>
              <w:rPr>
                <w:rFonts w:ascii="Times New Roman" w:eastAsia="Times New Roman" w:hAnsi="Times New Roman" w:cs="Times New Roman"/>
                <w:color w:val="000000"/>
                <w:spacing w:val="0"/>
                <w:w w:val="100"/>
                <w:position w:val="0"/>
                <w:sz w:val="18"/>
                <w:szCs w:val="18"/>
              </w:rPr>
              <w:t xml:space="preserve">4.2.3 </w:t>
            </w:r>
            <w:r>
              <w:rPr>
                <w:color w:val="000000"/>
                <w:spacing w:val="0"/>
                <w:w w:val="100"/>
                <w:position w:val="0"/>
              </w:rPr>
              <w:t>条、第</w:t>
            </w:r>
            <w:r>
              <w:rPr>
                <w:rFonts w:ascii="Times New Roman" w:eastAsia="Times New Roman" w:hAnsi="Times New Roman" w:cs="Times New Roman"/>
                <w:color w:val="000000"/>
                <w:spacing w:val="0"/>
                <w:w w:val="100"/>
                <w:position w:val="0"/>
                <w:sz w:val="18"/>
                <w:szCs w:val="18"/>
              </w:rPr>
              <w:t>4.2.7</w:t>
            </w:r>
            <w:r>
              <w:rPr>
                <w:color w:val="000000"/>
                <w:spacing w:val="0"/>
                <w:w w:val="100"/>
                <w:position w:val="0"/>
              </w:rPr>
              <w:t>条、 第</w:t>
            </w:r>
            <w:r>
              <w:rPr>
                <w:rFonts w:ascii="Times New Roman" w:eastAsia="Times New Roman" w:hAnsi="Times New Roman" w:cs="Times New Roman"/>
                <w:color w:val="000000"/>
                <w:spacing w:val="0"/>
                <w:w w:val="100"/>
                <w:position w:val="0"/>
                <w:sz w:val="18"/>
                <w:szCs w:val="18"/>
              </w:rPr>
              <w:t>4.2.8</w:t>
            </w:r>
            <w:r>
              <w:rPr>
                <w:color w:val="000000"/>
                <w:spacing w:val="0"/>
                <w:w w:val="100"/>
                <w:position w:val="0"/>
              </w:rPr>
              <w:t>条的规 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被证券交易所采 取纪律处分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给予通报批评的 处分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深圳证券交易所 官网</w:t>
            </w:r>
          </w:p>
        </w:tc>
      </w:tr>
      <w:tr>
        <w:trPr>
          <w:trHeight w:val="28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违反了本所《创 业板股票上市规 则（</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 修订）》第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条、 第</w:t>
            </w:r>
            <w:r>
              <w:rPr>
                <w:rFonts w:ascii="Times New Roman" w:eastAsia="Times New Roman" w:hAnsi="Times New Roman" w:cs="Times New Roman"/>
                <w:color w:val="000000"/>
                <w:spacing w:val="0"/>
                <w:w w:val="100"/>
                <w:position w:val="0"/>
                <w:sz w:val="18"/>
                <w:szCs w:val="18"/>
              </w:rPr>
              <w:t>4.2.2</w:t>
            </w:r>
            <w:r>
              <w:rPr>
                <w:color w:val="000000"/>
                <w:spacing w:val="0"/>
                <w:w w:val="100"/>
                <w:position w:val="0"/>
                <w:sz w:val="17"/>
                <w:szCs w:val="17"/>
              </w:rPr>
              <w:t xml:space="preserve">条、第 </w:t>
            </w:r>
            <w:r>
              <w:rPr>
                <w:rFonts w:ascii="Times New Roman" w:eastAsia="Times New Roman" w:hAnsi="Times New Roman" w:cs="Times New Roman"/>
                <w:color w:val="000000"/>
                <w:spacing w:val="0"/>
                <w:w w:val="100"/>
                <w:position w:val="0"/>
                <w:sz w:val="18"/>
                <w:szCs w:val="18"/>
              </w:rPr>
              <w:t>4.3.2</w:t>
            </w:r>
            <w:r>
              <w:rPr>
                <w:color w:val="000000"/>
                <w:spacing w:val="0"/>
                <w:w w:val="100"/>
                <w:position w:val="0"/>
                <w:sz w:val="17"/>
                <w:szCs w:val="17"/>
              </w:rPr>
              <w:t>条，《创业板 上市公司规范运 作指引（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 修订）》第</w:t>
            </w:r>
            <w:r>
              <w:rPr>
                <w:rFonts w:ascii="Times New Roman" w:eastAsia="Times New Roman" w:hAnsi="Times New Roman" w:cs="Times New Roman"/>
                <w:color w:val="000000"/>
                <w:spacing w:val="0"/>
                <w:w w:val="100"/>
                <w:position w:val="0"/>
                <w:sz w:val="18"/>
                <w:szCs w:val="18"/>
              </w:rPr>
              <w:t>4.1.1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被证券交易所采 取纪律处分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给予通报批评的 处分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深圳证券交易所 官网</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3"/>
        <w:gridCol w:w="1382"/>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条、第</w:t>
            </w:r>
            <w:r>
              <w:rPr>
                <w:rFonts w:ascii="Times New Roman" w:eastAsia="Times New Roman" w:hAnsi="Times New Roman" w:cs="Times New Roman"/>
                <w:color w:val="000000"/>
                <w:spacing w:val="0"/>
                <w:w w:val="100"/>
                <w:position w:val="0"/>
                <w:sz w:val="18"/>
                <w:szCs w:val="18"/>
              </w:rPr>
              <w:t>4.2.1</w:t>
            </w:r>
            <w:r>
              <w:rPr>
                <w:color w:val="000000"/>
                <w:spacing w:val="0"/>
                <w:w w:val="100"/>
                <w:position w:val="0"/>
              </w:rPr>
              <w:t>条、 第</w:t>
            </w:r>
            <w:r>
              <w:rPr>
                <w:rFonts w:ascii="Times New Roman" w:eastAsia="Times New Roman" w:hAnsi="Times New Roman" w:cs="Times New Roman"/>
                <w:color w:val="000000"/>
                <w:spacing w:val="0"/>
                <w:w w:val="100"/>
                <w:position w:val="0"/>
                <w:sz w:val="18"/>
                <w:szCs w:val="18"/>
              </w:rPr>
              <w:t>4.2.3</w:t>
            </w:r>
            <w:r>
              <w:rPr>
                <w:color w:val="000000"/>
                <w:spacing w:val="0"/>
                <w:w w:val="100"/>
                <w:position w:val="0"/>
              </w:rPr>
              <w:t>条、第</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4.2.7 </w:t>
            </w:r>
            <w:r>
              <w:rPr>
                <w:color w:val="000000"/>
                <w:spacing w:val="0"/>
                <w:w w:val="100"/>
                <w:position w:val="0"/>
              </w:rPr>
              <w:t xml:space="preserve">条、第 </w:t>
            </w:r>
            <w:r>
              <w:rPr>
                <w:rFonts w:ascii="Times New Roman" w:eastAsia="Times New Roman" w:hAnsi="Times New Roman" w:cs="Times New Roman"/>
                <w:color w:val="000000"/>
                <w:spacing w:val="0"/>
                <w:w w:val="100"/>
                <w:position w:val="0"/>
                <w:sz w:val="18"/>
                <w:szCs w:val="18"/>
              </w:rPr>
              <w:t xml:space="preserve">4.2.8 </w:t>
            </w:r>
            <w:r>
              <w:rPr>
                <w:color w:val="000000"/>
                <w:spacing w:val="0"/>
                <w:w w:val="100"/>
                <w:position w:val="0"/>
              </w:rPr>
              <w:t>条的规定，且未 能恪尽职守、履 行勤勉尽责义 务，对红相股份 上述违规行为负 有重要责任。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廖雪林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红相股份财务总 监廖雪林未能恪 尽职守、履行勤 勉尽责义务，违 反了深交所《创 业板股票上市规 则（</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 修订）》第</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条、第</w:t>
            </w:r>
            <w:r>
              <w:rPr>
                <w:rFonts w:ascii="Times New Roman" w:eastAsia="Times New Roman" w:hAnsi="Times New Roman" w:cs="Times New Roman"/>
                <w:color w:val="000000"/>
                <w:spacing w:val="0"/>
                <w:w w:val="100"/>
                <w:position w:val="0"/>
                <w:sz w:val="18"/>
                <w:szCs w:val="18"/>
              </w:rPr>
              <w:t>4.2.2</w:t>
            </w:r>
            <w:r>
              <w:rPr>
                <w:color w:val="000000"/>
                <w:spacing w:val="0"/>
                <w:w w:val="100"/>
                <w:position w:val="0"/>
              </w:rPr>
              <w:t>条的 规定，对红相股 份上述违规行为 负有重要责任。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被证券交易所采 取纪律处分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给予通报批评的 处分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深圳证券交易所 官网</w:t>
            </w:r>
          </w:p>
        </w:tc>
      </w:tr>
    </w:tbl>
    <w:p>
      <w:pPr>
        <w:widowControl w:val="0"/>
        <w:spacing w:after="5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整改情况说明</w:t>
      </w:r>
    </w:p>
    <w:p>
      <w:pPr>
        <w:pStyle w:val="Style2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日，公司披露了《关于公司自查关联方非经营性资金占用的提示性公告》（公告编号： </w:t>
      </w:r>
      <w:r>
        <w:rPr>
          <w:rFonts w:ascii="Times New Roman" w:eastAsia="Times New Roman" w:hAnsi="Times New Roman" w:cs="Times New Roman"/>
          <w:color w:val="000000"/>
          <w:spacing w:val="0"/>
          <w:w w:val="100"/>
          <w:position w:val="0"/>
        </w:rPr>
        <w:t>2020-118</w:t>
      </w:r>
      <w:r>
        <w:rPr>
          <w:color w:val="000000"/>
          <w:spacing w:val="0"/>
          <w:w w:val="100"/>
          <w:position w:val="0"/>
        </w:rPr>
        <w:t>），公司在自查中发现存在实际控制人杨保田、杨成控制的厦门红相塑胶材料有限公司（以下简 称</w:t>
      </w:r>
      <w:r>
        <w:rPr>
          <w:rFonts w:ascii="Times New Roman" w:eastAsia="Times New Roman" w:hAnsi="Times New Roman" w:cs="Times New Roman"/>
          <w:color w:val="000000"/>
          <w:spacing w:val="0"/>
          <w:w w:val="100"/>
          <w:position w:val="0"/>
        </w:rPr>
        <w:t>“</w:t>
      </w:r>
      <w:r>
        <w:rPr>
          <w:color w:val="000000"/>
          <w:spacing w:val="0"/>
          <w:w w:val="100"/>
          <w:position w:val="0"/>
        </w:rPr>
        <w:t>红相塑胶</w:t>
      </w:r>
      <w:r>
        <w:rPr>
          <w:rFonts w:ascii="Times New Roman" w:eastAsia="Times New Roman" w:hAnsi="Times New Roman" w:cs="Times New Roman"/>
          <w:color w:val="000000"/>
          <w:spacing w:val="0"/>
          <w:w w:val="100"/>
          <w:position w:val="0"/>
        </w:rPr>
        <w:t>”</w:t>
      </w:r>
      <w:r>
        <w:rPr>
          <w:color w:val="000000"/>
          <w:spacing w:val="0"/>
          <w:w w:val="100"/>
          <w:position w:val="0"/>
        </w:rPr>
        <w:t>）占用资金的情形，资金占用金额合计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,804.25</w:t>
      </w:r>
      <w:r>
        <w:rPr>
          <w:color w:val="000000"/>
          <w:spacing w:val="0"/>
          <w:w w:val="100"/>
          <w:position w:val="0"/>
        </w:rPr>
        <w:t>万元。关联方红相塑胶已分别于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日归还占用资金。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日，上述资金占用费用</w:t>
      </w:r>
      <w:r>
        <w:rPr>
          <w:rFonts w:ascii="Times New Roman" w:eastAsia="Times New Roman" w:hAnsi="Times New Roman" w:cs="Times New Roman"/>
          <w:color w:val="000000"/>
          <w:spacing w:val="0"/>
          <w:w w:val="100"/>
          <w:position w:val="0"/>
        </w:rPr>
        <w:t>126.58</w:t>
      </w:r>
      <w:r>
        <w:rPr>
          <w:color w:val="000000"/>
          <w:spacing w:val="0"/>
          <w:w w:val="100"/>
          <w:position w:val="0"/>
        </w:rPr>
        <w:t>万元已全部 归还至公司账户。</w:t>
      </w:r>
    </w:p>
    <w:p>
      <w:pPr>
        <w:pStyle w:val="Style27"/>
        <w:keepNext w:val="0"/>
        <w:keepLines w:val="0"/>
        <w:widowControl w:val="0"/>
        <w:shd w:val="clear" w:color="auto" w:fill="auto"/>
        <w:bidi w:val="0"/>
        <w:spacing w:before="0" w:after="60" w:line="314"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以上的股东违规买卖公司股票情况</w:t>
      </w:r>
    </w:p>
    <w:p>
      <w:pPr>
        <w:pStyle w:val="Style27"/>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80" w:line="240" w:lineRule="auto"/>
        <w:ind w:left="0" w:right="0" w:firstLine="0"/>
        <w:jc w:val="left"/>
      </w:pPr>
      <w:bookmarkStart w:id="512" w:name="bookmark512"/>
      <w:bookmarkStart w:id="513" w:name="bookmark513"/>
      <w:bookmarkStart w:id="514" w:name="bookmark514"/>
      <w:r>
        <w:rPr>
          <w:color w:val="000000"/>
          <w:spacing w:val="0"/>
          <w:w w:val="100"/>
          <w:position w:val="0"/>
        </w:rPr>
        <w:t>十三、公司及其控股股东、实际控制人的诚信状况</w:t>
      </w:r>
      <w:bookmarkEnd w:id="512"/>
      <w:bookmarkEnd w:id="513"/>
      <w:bookmarkEnd w:id="514"/>
    </w:p>
    <w:p>
      <w:pPr>
        <w:pStyle w:val="Style27"/>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80" w:line="240" w:lineRule="auto"/>
        <w:ind w:left="0" w:right="0" w:firstLine="0"/>
        <w:jc w:val="left"/>
      </w:pPr>
      <w:bookmarkStart w:id="515" w:name="bookmark515"/>
      <w:bookmarkStart w:id="516" w:name="bookmark516"/>
      <w:bookmarkStart w:id="517" w:name="bookmark517"/>
      <w:r>
        <w:rPr>
          <w:color w:val="000000"/>
          <w:spacing w:val="0"/>
          <w:w w:val="100"/>
          <w:position w:val="0"/>
        </w:rPr>
        <w:t>十四、重大关联交易</w:t>
      </w:r>
      <w:bookmarkEnd w:id="515"/>
      <w:bookmarkEnd w:id="516"/>
      <w:bookmarkEnd w:id="517"/>
    </w:p>
    <w:p>
      <w:pPr>
        <w:pStyle w:val="Style31"/>
        <w:keepNext/>
        <w:keepLines/>
        <w:widowControl w:val="0"/>
        <w:shd w:val="clear" w:color="auto" w:fill="auto"/>
        <w:bidi w:val="0"/>
        <w:spacing w:before="0" w:after="280" w:line="314" w:lineRule="exact"/>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1</w:t>
      </w:r>
      <w:bookmarkEnd w:id="520"/>
      <w:r>
        <w:rPr>
          <w:color w:val="000000"/>
          <w:spacing w:val="0"/>
          <w:w w:val="100"/>
          <w:position w:val="0"/>
        </w:rPr>
        <w:t>、与日常经营相关的关联交易</w:t>
      </w:r>
      <w:bookmarkEnd w:id="518"/>
      <w:bookmarkEnd w:id="519"/>
      <w:bookmarkEnd w:id="521"/>
    </w:p>
    <w:p>
      <w:pPr>
        <w:pStyle w:val="Style27"/>
        <w:keepNext w:val="0"/>
        <w:keepLines w:val="0"/>
        <w:widowControl w:val="0"/>
        <w:shd w:val="clear" w:color="auto" w:fill="auto"/>
        <w:bidi w:val="0"/>
        <w:spacing w:before="0" w:after="6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关联交</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易金额</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占同类</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交易金</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额的比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获批的 交易额 度（万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是否超</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过获批</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可获得 的同类 交易市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卧龙电气 烟台东源 变压器有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持有本 公司</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股份的 股东的 控股子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采购商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变压器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平均每 台 </w:t>
            </w:r>
            <w:r>
              <w:rPr>
                <w:rFonts w:ascii="Times New Roman" w:eastAsia="Times New Roman" w:hAnsi="Times New Roman" w:cs="Times New Roman"/>
                <w:color w:val="000000"/>
                <w:spacing w:val="0"/>
                <w:w w:val="100"/>
                <w:position w:val="0"/>
                <w:sz w:val="18"/>
                <w:szCs w:val="18"/>
              </w:rPr>
              <w:t xml:space="preserve">15.32 </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款到发 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中宁县银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变新能源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个月内</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属于合</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并报表 范围内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提供劳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每季度</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135.85 </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按期结 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794.72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794.72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1"/>
        <w:keepNext/>
        <w:keepLines/>
        <w:widowControl w:val="0"/>
        <w:shd w:val="clear" w:color="auto" w:fill="auto"/>
        <w:tabs>
          <w:tab w:pos="378" w:val="left"/>
        </w:tabs>
        <w:bidi w:val="0"/>
        <w:spacing w:before="0" w:after="38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2</w:t>
      </w:r>
      <w:bookmarkEnd w:id="524"/>
      <w:r>
        <w:rPr>
          <w:color w:val="000000"/>
          <w:spacing w:val="0"/>
          <w:w w:val="100"/>
          <w:position w:val="0"/>
        </w:rPr>
        <w:t>、</w:t>
        <w:tab/>
        <w:t>资产或股权收购、出售发生的关联交易</w:t>
      </w:r>
      <w:bookmarkEnd w:id="522"/>
      <w:bookmarkEnd w:id="523"/>
      <w:bookmarkEnd w:id="52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3</w:t>
      </w:r>
      <w:bookmarkEnd w:id="528"/>
      <w:r>
        <w:rPr>
          <w:color w:val="000000"/>
          <w:spacing w:val="0"/>
          <w:w w:val="100"/>
          <w:position w:val="0"/>
        </w:rPr>
        <w:t>、</w:t>
        <w:tab/>
        <w:t>共同对外投资的关联交易</w:t>
      </w:r>
      <w:bookmarkEnd w:id="526"/>
      <w:bookmarkEnd w:id="527"/>
      <w:bookmarkEnd w:id="529"/>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4</w:t>
      </w:r>
      <w:bookmarkEnd w:id="532"/>
      <w:r>
        <w:rPr>
          <w:color w:val="000000"/>
          <w:spacing w:val="0"/>
          <w:w w:val="100"/>
          <w:position w:val="0"/>
        </w:rPr>
        <w:t>、</w:t>
        <w:tab/>
        <w:t>关联债权债务往来</w:t>
      </w:r>
      <w:bookmarkEnd w:id="530"/>
      <w:bookmarkEnd w:id="531"/>
      <w:bookmarkEnd w:id="53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5</w:t>
      </w:r>
      <w:bookmarkEnd w:id="536"/>
      <w:r>
        <w:rPr>
          <w:color w:val="000000"/>
          <w:spacing w:val="0"/>
          <w:w w:val="100"/>
          <w:position w:val="0"/>
        </w:rPr>
        <w:t>、</w:t>
        <w:tab/>
        <w:t>与存在关联关系的财务公司的往来情况</w:t>
      </w:r>
      <w:bookmarkEnd w:id="534"/>
      <w:bookmarkEnd w:id="535"/>
      <w:bookmarkEnd w:id="537"/>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6</w:t>
      </w:r>
      <w:bookmarkEnd w:id="540"/>
      <w:r>
        <w:rPr>
          <w:color w:val="000000"/>
          <w:spacing w:val="0"/>
          <w:w w:val="100"/>
          <w:position w:val="0"/>
        </w:rPr>
        <w:t>、</w:t>
        <w:tab/>
        <w:t>公司控股的财务公司与关联方的往来情况</w:t>
      </w:r>
      <w:bookmarkEnd w:id="538"/>
      <w:bookmarkEnd w:id="539"/>
      <w:bookmarkEnd w:id="541"/>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31"/>
        <w:keepNext/>
        <w:keepLines/>
        <w:widowControl w:val="0"/>
        <w:shd w:val="clear" w:color="auto" w:fill="auto"/>
        <w:tabs>
          <w:tab w:pos="373" w:val="left"/>
        </w:tabs>
        <w:bidi w:val="0"/>
        <w:spacing w:before="0" w:after="38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7</w:t>
      </w:r>
      <w:bookmarkEnd w:id="544"/>
      <w:r>
        <w:rPr>
          <w:color w:val="000000"/>
          <w:spacing w:val="0"/>
          <w:w w:val="100"/>
          <w:position w:val="0"/>
        </w:rPr>
        <w:t>、</w:t>
        <w:tab/>
        <w:t>其他重大关联交易</w:t>
      </w:r>
      <w:bookmarkEnd w:id="542"/>
      <w:bookmarkEnd w:id="543"/>
      <w:bookmarkEnd w:id="54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after="380" w:line="240" w:lineRule="auto"/>
        <w:ind w:left="0" w:right="0" w:firstLine="0"/>
        <w:jc w:val="left"/>
      </w:pPr>
      <w:bookmarkStart w:id="546" w:name="bookmark546"/>
      <w:bookmarkStart w:id="547" w:name="bookmark547"/>
      <w:bookmarkStart w:id="548" w:name="bookmark548"/>
      <w:r>
        <w:rPr>
          <w:color w:val="000000"/>
          <w:spacing w:val="0"/>
          <w:w w:val="100"/>
          <w:position w:val="0"/>
        </w:rPr>
        <w:t>十五、重大合同及其履行情况</w:t>
      </w:r>
      <w:bookmarkEnd w:id="546"/>
      <w:bookmarkEnd w:id="547"/>
      <w:bookmarkEnd w:id="548"/>
    </w:p>
    <w:p>
      <w:pPr>
        <w:pStyle w:val="Style31"/>
        <w:keepNext/>
        <w:keepLines/>
        <w:widowControl w:val="0"/>
        <w:shd w:val="clear" w:color="auto" w:fill="auto"/>
        <w:bidi w:val="0"/>
        <w:spacing w:before="0" w:after="38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1</w:t>
      </w:r>
      <w:bookmarkEnd w:id="551"/>
      <w:r>
        <w:rPr>
          <w:color w:val="000000"/>
          <w:spacing w:val="0"/>
          <w:w w:val="100"/>
          <w:position w:val="0"/>
        </w:rPr>
        <w:t>、托管、承包、租赁事项情况</w:t>
      </w:r>
      <w:bookmarkEnd w:id="549"/>
      <w:bookmarkEnd w:id="550"/>
      <w:bookmarkEnd w:id="552"/>
    </w:p>
    <w:p>
      <w:pPr>
        <w:pStyle w:val="Style40"/>
        <w:keepNext/>
        <w:keepLines/>
        <w:widowControl w:val="0"/>
        <w:shd w:val="clear" w:color="auto" w:fill="auto"/>
        <w:tabs>
          <w:tab w:pos="493" w:val="left"/>
        </w:tabs>
        <w:bidi w:val="0"/>
        <w:spacing w:before="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w:t>
      </w:r>
      <w:bookmarkEnd w:id="55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53"/>
      <w:bookmarkEnd w:id="554"/>
      <w:bookmarkEnd w:id="55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0"/>
        <w:keepNext/>
        <w:keepLines/>
        <w:widowControl w:val="0"/>
        <w:shd w:val="clear" w:color="auto" w:fill="auto"/>
        <w:tabs>
          <w:tab w:pos="493" w:val="left"/>
        </w:tabs>
        <w:bidi w:val="0"/>
        <w:spacing w:before="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rPr>
        <w:t>（</w:t>
      </w:r>
      <w:bookmarkEnd w:id="55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57"/>
      <w:bookmarkEnd w:id="558"/>
      <w:bookmarkEnd w:id="560"/>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0"/>
        <w:keepNext/>
        <w:keepLines/>
        <w:widowControl w:val="0"/>
        <w:shd w:val="clear" w:color="auto" w:fill="auto"/>
        <w:tabs>
          <w:tab w:pos="493" w:val="left"/>
        </w:tabs>
        <w:bidi w:val="0"/>
        <w:spacing w:before="0" w:line="240" w:lineRule="auto"/>
        <w:ind w:left="0" w:right="0" w:firstLine="0"/>
        <w:jc w:val="both"/>
      </w:pPr>
      <w:bookmarkStart w:id="561" w:name="bookmark561"/>
      <w:bookmarkStart w:id="562" w:name="bookmark562"/>
      <w:bookmarkStart w:id="563" w:name="bookmark563"/>
      <w:bookmarkStart w:id="564" w:name="bookmark564"/>
      <w:r>
        <w:rPr>
          <w:color w:val="000000"/>
          <w:spacing w:val="0"/>
          <w:w w:val="100"/>
          <w:position w:val="0"/>
        </w:rPr>
        <w:t>（</w:t>
      </w:r>
      <w:bookmarkEnd w:id="56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61"/>
      <w:bookmarkEnd w:id="562"/>
      <w:bookmarkEnd w:id="564"/>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租赁情况说明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报告期内，公司及子公司房屋租赁情况如下:</w:t>
      </w:r>
    </w:p>
    <w:tbl>
      <w:tblPr>
        <w:tblOverlap w:val="never"/>
        <w:jc w:val="center"/>
        <w:tblLayout w:type="fixed"/>
      </w:tblPr>
      <w:tblGrid>
        <w:gridCol w:w="701"/>
        <w:gridCol w:w="960"/>
        <w:gridCol w:w="1526"/>
        <w:gridCol w:w="2016"/>
        <w:gridCol w:w="701"/>
        <w:gridCol w:w="2098"/>
        <w:gridCol w:w="208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承租方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出租方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房屋位置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用途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租金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期限</w:t>
            </w: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红相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厦门新日精工投资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厦门市思明区南投路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1002</w:t>
            </w:r>
            <w:r>
              <w:rPr>
                <w:color w:val="000000"/>
                <w:spacing w:val="0"/>
                <w:w w:val="100"/>
                <w:position w:val="0"/>
              </w:rPr>
              <w:t>单元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办公</w:t>
            </w:r>
          </w:p>
        </w:tc>
        <w:tc>
          <w:tcPr>
            <w:tcBorders>
              <w:top w:val="single" w:sz="4"/>
              <w:left w:val="single" w:sz="4"/>
            </w:tcBorders>
            <w:shd w:val="clear" w:color="auto" w:fill="FFFFFF"/>
            <w:vAlign w:val="center"/>
          </w:tcPr>
          <w:p>
            <w:pPr>
              <w:pStyle w:val="Style2"/>
              <w:keepNext w:val="0"/>
              <w:keepLines w:val="0"/>
              <w:widowControl w:val="0"/>
              <w:numPr>
                <w:ilvl w:val="0"/>
                <w:numId w:val="1"/>
              </w:numPr>
              <w:shd w:val="clear" w:color="auto" w:fill="auto"/>
              <w:tabs>
                <w:tab w:pos="682"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2023.12.31 </w:t>
            </w:r>
            <w:r>
              <w:rPr>
                <w:color w:val="000000"/>
                <w:spacing w:val="0"/>
                <w:w w:val="100"/>
                <w:position w:val="0"/>
              </w:rPr>
              <w:t>租金</w:t>
            </w:r>
          </w:p>
          <w:p>
            <w:pPr>
              <w:pStyle w:val="Style2"/>
              <w:keepNext w:val="0"/>
              <w:keepLines w:val="0"/>
              <w:widowControl w:val="0"/>
              <w:shd w:val="clear" w:color="auto" w:fill="auto"/>
              <w:tabs>
                <w:tab w:pos="902"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102,192.2</w:t>
              <w:tab/>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月；</w:t>
            </w:r>
          </w:p>
          <w:p>
            <w:pPr>
              <w:pStyle w:val="Style2"/>
              <w:keepNext w:val="0"/>
              <w:keepLines w:val="0"/>
              <w:widowControl w:val="0"/>
              <w:numPr>
                <w:ilvl w:val="0"/>
                <w:numId w:val="3"/>
              </w:numPr>
              <w:shd w:val="clear" w:color="auto" w:fill="auto"/>
              <w:tabs>
                <w:tab w:pos="682"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2025.12.31 </w:t>
            </w:r>
            <w:r>
              <w:rPr>
                <w:color w:val="000000"/>
                <w:spacing w:val="0"/>
                <w:w w:val="100"/>
                <w:position w:val="0"/>
              </w:rPr>
              <w:t>租金</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112,411.4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2021.1.1-2025.12.31</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红相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北京瑞聚德投资有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北京市西城区广安门南滨 河路</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号华享大厦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 xml:space="preserve">718 </w:t>
            </w:r>
            <w:r>
              <w:rPr>
                <w:color w:val="000000"/>
                <w:spacing w:val="0"/>
                <w:w w:val="100"/>
                <w:position w:val="0"/>
              </w:rPr>
              <w:t>号房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8,760.0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
              <w:keepNext w:val="0"/>
              <w:keepLines w:val="0"/>
              <w:widowControl w:val="0"/>
              <w:numPr>
                <w:ilvl w:val="0"/>
                <w:numId w:val="5"/>
              </w:numPr>
              <w:shd w:val="clear" w:color="auto" w:fill="auto"/>
              <w:tabs>
                <w:tab w:pos="778"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2021.10.31</w:t>
            </w:r>
          </w:p>
          <w:p>
            <w:pPr>
              <w:pStyle w:val="Style2"/>
              <w:keepNext w:val="0"/>
              <w:keepLines w:val="0"/>
              <w:widowControl w:val="0"/>
              <w:numPr>
                <w:ilvl w:val="0"/>
                <w:numId w:val="7"/>
              </w:numPr>
              <w:shd w:val="clear" w:color="auto" w:fill="auto"/>
              <w:tabs>
                <w:tab w:pos="78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2022.10.31</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红相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刘靖华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重庆沙坪坝区大学城北路</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w:t>
            </w:r>
            <w:r>
              <w:rPr>
                <w:color w:val="000000"/>
                <w:spacing w:val="0"/>
                <w:w w:val="100"/>
                <w:position w:val="0"/>
                <w:sz w:val="17"/>
                <w:szCs w:val="17"/>
              </w:rPr>
              <w:t>号附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住宅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1,350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2020.12.5-2021.12.4</w:t>
            </w:r>
          </w:p>
        </w:tc>
      </w:tr>
      <w:tr>
        <w:trPr>
          <w:trHeight w:val="129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红相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徐志明</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广州市海珠区艺景路锦豪 街</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603</w:t>
            </w:r>
            <w:r>
              <w:rPr>
                <w:color w:val="000000"/>
                <w:spacing w:val="0"/>
                <w:w w:val="100"/>
                <w:position w:val="0"/>
              </w:rPr>
              <w:t>房号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办公</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9"/>
              </w:numPr>
              <w:shd w:val="clear" w:color="auto" w:fill="auto"/>
              <w:tabs>
                <w:tab w:pos="773"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2020.1.20 </w:t>
            </w:r>
            <w:r>
              <w:rPr>
                <w:color w:val="000000"/>
                <w:spacing w:val="0"/>
                <w:w w:val="100"/>
                <w:position w:val="0"/>
              </w:rPr>
              <w:t>租 金</w:t>
            </w:r>
          </w:p>
          <w:p>
            <w:pPr>
              <w:pStyle w:val="Style2"/>
              <w:keepNext w:val="0"/>
              <w:keepLines w:val="0"/>
              <w:widowControl w:val="0"/>
              <w:shd w:val="clear" w:color="auto" w:fill="auto"/>
              <w:tabs>
                <w:tab w:pos="658" w:val="left"/>
                <w:tab w:pos="1094" w:val="left"/>
                <w:tab w:pos="1406"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7,500</w:t>
              <w:tab/>
            </w:r>
            <w:r>
              <w:rPr>
                <w:color w:val="000000"/>
                <w:spacing w:val="0"/>
                <w:w w:val="100"/>
                <w:position w:val="0"/>
              </w:rPr>
              <w:t>元</w:t>
              <w:tab/>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月；</w:t>
            </w:r>
          </w:p>
          <w:p>
            <w:pPr>
              <w:pStyle w:val="Style2"/>
              <w:keepNext w:val="0"/>
              <w:keepLines w:val="0"/>
              <w:widowControl w:val="0"/>
              <w:numPr>
                <w:ilvl w:val="0"/>
                <w:numId w:val="11"/>
              </w:numPr>
              <w:shd w:val="clear" w:color="auto" w:fill="auto"/>
              <w:tabs>
                <w:tab w:pos="773"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2021.1.20 </w:t>
            </w:r>
            <w:r>
              <w:rPr>
                <w:color w:val="000000"/>
                <w:spacing w:val="0"/>
                <w:w w:val="100"/>
                <w:position w:val="0"/>
              </w:rPr>
              <w:t>租 金</w:t>
            </w:r>
          </w:p>
          <w:p>
            <w:pPr>
              <w:pStyle w:val="Style2"/>
              <w:keepNext w:val="0"/>
              <w:keepLines w:val="0"/>
              <w:widowControl w:val="0"/>
              <w:shd w:val="clear" w:color="auto" w:fill="auto"/>
              <w:tabs>
                <w:tab w:pos="658" w:val="left"/>
                <w:tab w:pos="1094" w:val="left"/>
                <w:tab w:pos="1406"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8,000</w:t>
              <w:tab/>
            </w:r>
            <w:r>
              <w:rPr>
                <w:color w:val="000000"/>
                <w:spacing w:val="0"/>
                <w:w w:val="100"/>
                <w:position w:val="0"/>
              </w:rPr>
              <w:t>元</w:t>
              <w:tab/>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2019.1.21-2023.1.20</w:t>
            </w:r>
          </w:p>
        </w:tc>
      </w:tr>
    </w:tbl>
    <w:p>
      <w:pPr>
        <w:spacing w:lineRule="exact" w:line="1"/>
        <w:rPr>
          <w:sz w:val="2"/>
          <w:szCs w:val="2"/>
        </w:rPr>
      </w:pPr>
      <w:r>
        <w:br w:type="page"/>
      </w:r>
    </w:p>
    <w:tbl>
      <w:tblPr>
        <w:tblOverlap w:val="never"/>
        <w:jc w:val="center"/>
        <w:tblLayout w:type="fixed"/>
      </w:tblPr>
      <w:tblGrid>
        <w:gridCol w:w="701"/>
        <w:gridCol w:w="960"/>
        <w:gridCol w:w="1526"/>
        <w:gridCol w:w="2016"/>
        <w:gridCol w:w="701"/>
        <w:gridCol w:w="2098"/>
        <w:gridCol w:w="2083"/>
      </w:tblGrid>
      <w:tr>
        <w:trPr>
          <w:trHeight w:val="129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numPr>
                <w:ilvl w:val="0"/>
                <w:numId w:val="13"/>
              </w:numPr>
              <w:shd w:val="clear" w:color="auto" w:fill="auto"/>
              <w:tabs>
                <w:tab w:pos="773"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2022.1.20 </w:t>
            </w:r>
            <w:r>
              <w:rPr>
                <w:color w:val="000000"/>
                <w:spacing w:val="0"/>
                <w:w w:val="100"/>
                <w:position w:val="0"/>
              </w:rPr>
              <w:t>租 金</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8,500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p>
            <w:pPr>
              <w:pStyle w:val="Style2"/>
              <w:keepNext w:val="0"/>
              <w:keepLines w:val="0"/>
              <w:widowControl w:val="0"/>
              <w:numPr>
                <w:ilvl w:val="0"/>
                <w:numId w:val="15"/>
              </w:numPr>
              <w:shd w:val="clear" w:color="auto" w:fill="auto"/>
              <w:tabs>
                <w:tab w:pos="773"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2023.1.20 </w:t>
            </w:r>
            <w:r>
              <w:rPr>
                <w:color w:val="000000"/>
                <w:spacing w:val="0"/>
                <w:w w:val="100"/>
                <w:position w:val="0"/>
              </w:rPr>
              <w:t>租 金</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8,800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红相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赵逢生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济南市槐萌区阳光新路</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号阳光国际新城</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 楼</w:t>
            </w:r>
            <w:r>
              <w:rPr>
                <w:rFonts w:ascii="Times New Roman" w:eastAsia="Times New Roman" w:hAnsi="Times New Roman" w:cs="Times New Roman"/>
                <w:color w:val="000000"/>
                <w:spacing w:val="0"/>
                <w:w w:val="100"/>
                <w:position w:val="0"/>
                <w:sz w:val="18"/>
                <w:szCs w:val="18"/>
              </w:rPr>
              <w:t>1-2404</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2020.9.20-2022.9.20</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红相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刘春妙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广东省韶关市武江区韶关 大道</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号恒大城</w:t>
            </w:r>
            <w:r>
              <w:rPr>
                <w:rFonts w:ascii="Times New Roman" w:eastAsia="Times New Roman" w:hAnsi="Times New Roman" w:cs="Times New Roman"/>
                <w:color w:val="000000"/>
                <w:spacing w:val="0"/>
                <w:w w:val="100"/>
                <w:position w:val="0"/>
                <w:sz w:val="18"/>
                <w:szCs w:val="18"/>
              </w:rPr>
              <w:t>87</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 xml:space="preserve">203 </w:t>
            </w:r>
            <w:r>
              <w:rPr>
                <w:color w:val="000000"/>
                <w:spacing w:val="0"/>
                <w:w w:val="100"/>
                <w:position w:val="0"/>
              </w:rPr>
              <w:t>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2021.3.24-2023.3.21</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红相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李少东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广东省揭阳市东山区黄岐 山大道以西建阳路以南金 城广场二期</w:t>
            </w:r>
            <w:r>
              <w:rPr>
                <w:rFonts w:ascii="Times New Roman" w:eastAsia="Times New Roman" w:hAnsi="Times New Roman" w:cs="Times New Roman"/>
                <w:color w:val="000000"/>
                <w:spacing w:val="0"/>
                <w:w w:val="100"/>
                <w:position w:val="0"/>
                <w:sz w:val="18"/>
                <w:szCs w:val="18"/>
              </w:rPr>
              <w:t>2306</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2021.3.24-2023.3.18</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红相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李霞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海口市琼山区凤翔西路</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号帝和华庭</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号楼一单元 </w:t>
            </w:r>
            <w:r>
              <w:rPr>
                <w:rFonts w:ascii="Times New Roman" w:eastAsia="Times New Roman" w:hAnsi="Times New Roman" w:cs="Times New Roman"/>
                <w:color w:val="000000"/>
                <w:spacing w:val="0"/>
                <w:w w:val="100"/>
                <w:position w:val="0"/>
                <w:sz w:val="18"/>
                <w:szCs w:val="18"/>
              </w:rPr>
              <w:t>801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2020.10.3-2022.10.2</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红相股份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黄艳丽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南宁市江南区星光大道</w:t>
            </w:r>
            <w:r>
              <w:rPr>
                <w:rFonts w:ascii="Times New Roman" w:eastAsia="Times New Roman" w:hAnsi="Times New Roman" w:cs="Times New Roman"/>
                <w:color w:val="000000"/>
                <w:spacing w:val="0"/>
                <w:w w:val="100"/>
                <w:position w:val="0"/>
                <w:sz w:val="18"/>
                <w:szCs w:val="18"/>
              </w:rPr>
              <w:t xml:space="preserve">46 </w:t>
            </w:r>
            <w:r>
              <w:rPr>
                <w:color w:val="000000"/>
                <w:spacing w:val="0"/>
                <w:w w:val="100"/>
                <w:position w:val="0"/>
              </w:rPr>
              <w:t>号江南馨园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单元 </w:t>
            </w:r>
            <w:r>
              <w:rPr>
                <w:rFonts w:ascii="Times New Roman" w:eastAsia="Times New Roman" w:hAnsi="Times New Roman" w:cs="Times New Roman"/>
                <w:color w:val="000000"/>
                <w:spacing w:val="0"/>
                <w:w w:val="100"/>
                <w:position w:val="0"/>
                <w:sz w:val="18"/>
                <w:szCs w:val="18"/>
              </w:rPr>
              <w:t>1102</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居住</w:t>
            </w:r>
          </w:p>
        </w:tc>
        <w:tc>
          <w:tcPr>
            <w:tcBorders>
              <w:top w:val="single" w:sz="4"/>
              <w:left w:val="single" w:sz="4"/>
            </w:tcBorders>
            <w:shd w:val="clear" w:color="auto" w:fill="FFFFFF"/>
            <w:vAlign w:val="center"/>
          </w:tcPr>
          <w:p>
            <w:pPr>
              <w:pStyle w:val="Style2"/>
              <w:keepNext w:val="0"/>
              <w:keepLines w:val="0"/>
              <w:widowControl w:val="0"/>
              <w:numPr>
                <w:ilvl w:val="0"/>
                <w:numId w:val="17"/>
              </w:numPr>
              <w:shd w:val="clear" w:color="auto" w:fill="auto"/>
              <w:tabs>
                <w:tab w:pos="773" w:val="left"/>
                <w:tab w:pos="1584" w:val="left"/>
                <w:tab w:pos="1877"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2022.1.20</w:t>
              <w:tab/>
            </w:r>
            <w:r>
              <w:rPr>
                <w:color w:val="000000"/>
                <w:spacing w:val="0"/>
                <w:w w:val="100"/>
                <w:position w:val="0"/>
              </w:rPr>
              <w:t>租</w:t>
              <w:tab/>
              <w:t>金</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4,200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p>
            <w:pPr>
              <w:pStyle w:val="Style2"/>
              <w:keepNext w:val="0"/>
              <w:keepLines w:val="0"/>
              <w:widowControl w:val="0"/>
              <w:numPr>
                <w:ilvl w:val="0"/>
                <w:numId w:val="19"/>
              </w:numPr>
              <w:shd w:val="clear" w:color="auto" w:fill="auto"/>
              <w:tabs>
                <w:tab w:pos="773" w:val="left"/>
                <w:tab w:pos="1584" w:val="left"/>
                <w:tab w:pos="1877"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2024.1.20</w:t>
              <w:tab/>
            </w:r>
            <w:r>
              <w:rPr>
                <w:color w:val="000000"/>
                <w:spacing w:val="0"/>
                <w:w w:val="100"/>
                <w:position w:val="0"/>
              </w:rPr>
              <w:t>租</w:t>
              <w:tab/>
              <w:t>金</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4,350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2020.1.11-2024.1.10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红相股份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陈定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贵阳市南明区南厂路南岳 大院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2020.6.26-2022.6.25</w:t>
            </w:r>
          </w:p>
        </w:tc>
      </w:tr>
      <w:tr>
        <w:trPr>
          <w:trHeight w:val="25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红相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米仲凯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昆明市官渡区吴井路</w:t>
            </w:r>
            <w:r>
              <w:rPr>
                <w:rFonts w:ascii="Times New Roman" w:eastAsia="Times New Roman" w:hAnsi="Times New Roman" w:cs="Times New Roman"/>
                <w:color w:val="000000"/>
                <w:spacing w:val="0"/>
                <w:w w:val="100"/>
                <w:position w:val="0"/>
                <w:sz w:val="18"/>
                <w:szCs w:val="18"/>
              </w:rPr>
              <w:t xml:space="preserve">209 </w:t>
            </w:r>
            <w:r>
              <w:rPr>
                <w:color w:val="000000"/>
                <w:spacing w:val="0"/>
                <w:w w:val="100"/>
                <w:position w:val="0"/>
              </w:rPr>
              <w:t xml:space="preserve">号新华商厦（新摩尔中心）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1001</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住宅</w:t>
            </w:r>
          </w:p>
        </w:tc>
        <w:tc>
          <w:tcPr>
            <w:tcBorders>
              <w:top w:val="single" w:sz="4"/>
              <w:left w:val="single" w:sz="4"/>
            </w:tcBorders>
            <w:shd w:val="clear" w:color="auto" w:fill="FFFFFF"/>
            <w:vAlign w:val="center"/>
          </w:tcPr>
          <w:p>
            <w:pPr>
              <w:pStyle w:val="Style2"/>
              <w:keepNext w:val="0"/>
              <w:keepLines w:val="0"/>
              <w:widowControl w:val="0"/>
              <w:numPr>
                <w:ilvl w:val="0"/>
                <w:numId w:val="21"/>
              </w:numPr>
              <w:shd w:val="clear" w:color="auto" w:fill="auto"/>
              <w:tabs>
                <w:tab w:pos="773"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2022.10.31 </w:t>
            </w:r>
            <w:r>
              <w:rPr>
                <w:color w:val="000000"/>
                <w:spacing w:val="0"/>
                <w:w w:val="100"/>
                <w:position w:val="0"/>
              </w:rPr>
              <w:t>租金</w:t>
            </w:r>
          </w:p>
          <w:p>
            <w:pPr>
              <w:pStyle w:val="Style2"/>
              <w:keepNext w:val="0"/>
              <w:keepLines w:val="0"/>
              <w:widowControl w:val="0"/>
              <w:shd w:val="clear" w:color="auto" w:fill="auto"/>
              <w:tabs>
                <w:tab w:pos="658" w:val="left"/>
                <w:tab w:pos="1104" w:val="left"/>
                <w:tab w:pos="1435"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6,500</w:t>
              <w:tab/>
            </w:r>
            <w:r>
              <w:rPr>
                <w:color w:val="000000"/>
                <w:spacing w:val="0"/>
                <w:w w:val="100"/>
                <w:position w:val="0"/>
              </w:rPr>
              <w:t>元</w:t>
              <w:tab/>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月；</w:t>
            </w:r>
          </w:p>
          <w:p>
            <w:pPr>
              <w:pStyle w:val="Style2"/>
              <w:keepNext w:val="0"/>
              <w:keepLines w:val="0"/>
              <w:widowControl w:val="0"/>
              <w:numPr>
                <w:ilvl w:val="0"/>
                <w:numId w:val="23"/>
              </w:numPr>
              <w:shd w:val="clear" w:color="auto" w:fill="auto"/>
              <w:tabs>
                <w:tab w:pos="773"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2023.10.31 </w:t>
            </w:r>
            <w:r>
              <w:rPr>
                <w:color w:val="000000"/>
                <w:spacing w:val="0"/>
                <w:w w:val="100"/>
                <w:position w:val="0"/>
              </w:rPr>
              <w:t>租金</w:t>
            </w:r>
          </w:p>
          <w:p>
            <w:pPr>
              <w:pStyle w:val="Style2"/>
              <w:keepNext w:val="0"/>
              <w:keepLines w:val="0"/>
              <w:widowControl w:val="0"/>
              <w:shd w:val="clear" w:color="auto" w:fill="auto"/>
              <w:tabs>
                <w:tab w:pos="658" w:val="left"/>
                <w:tab w:pos="1104" w:val="left"/>
                <w:tab w:pos="1435"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6,695</w:t>
              <w:tab/>
            </w:r>
            <w:r>
              <w:rPr>
                <w:color w:val="000000"/>
                <w:spacing w:val="0"/>
                <w:w w:val="100"/>
                <w:position w:val="0"/>
              </w:rPr>
              <w:t>元</w:t>
              <w:tab/>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月；</w:t>
            </w:r>
          </w:p>
          <w:p>
            <w:pPr>
              <w:pStyle w:val="Style2"/>
              <w:keepNext w:val="0"/>
              <w:keepLines w:val="0"/>
              <w:widowControl w:val="0"/>
              <w:numPr>
                <w:ilvl w:val="0"/>
                <w:numId w:val="25"/>
              </w:numPr>
              <w:shd w:val="clear" w:color="auto" w:fill="auto"/>
              <w:tabs>
                <w:tab w:pos="773"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2024.10.31 </w:t>
            </w:r>
            <w:r>
              <w:rPr>
                <w:color w:val="000000"/>
                <w:spacing w:val="0"/>
                <w:w w:val="100"/>
                <w:position w:val="0"/>
              </w:rPr>
              <w:t>租金</w:t>
            </w:r>
          </w:p>
          <w:p>
            <w:pPr>
              <w:pStyle w:val="Style2"/>
              <w:keepNext w:val="0"/>
              <w:keepLines w:val="0"/>
              <w:widowControl w:val="0"/>
              <w:shd w:val="clear" w:color="auto" w:fill="auto"/>
              <w:tabs>
                <w:tab w:pos="830" w:val="left"/>
                <w:tab w:pos="1421" w:val="left"/>
                <w:tab w:pos="1901"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6,895</w:t>
              <w:tab/>
            </w:r>
            <w:r>
              <w:rPr>
                <w:color w:val="000000"/>
                <w:spacing w:val="0"/>
                <w:w w:val="100"/>
                <w:position w:val="0"/>
              </w:rPr>
              <w:t>元</w:t>
              <w:tab/>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月</w:t>
            </w:r>
          </w:p>
          <w:p>
            <w:pPr>
              <w:pStyle w:val="Style2"/>
              <w:keepNext w:val="0"/>
              <w:keepLines w:val="0"/>
              <w:widowControl w:val="0"/>
              <w:numPr>
                <w:ilvl w:val="0"/>
                <w:numId w:val="27"/>
              </w:numPr>
              <w:shd w:val="clear" w:color="auto" w:fill="auto"/>
              <w:tabs>
                <w:tab w:pos="773"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2025.10.31 </w:t>
            </w:r>
            <w:r>
              <w:rPr>
                <w:color w:val="000000"/>
                <w:spacing w:val="0"/>
                <w:w w:val="100"/>
                <w:position w:val="0"/>
              </w:rPr>
              <w:t>租金</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7,102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2020.10.15-2025.10.31</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红相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宋倩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昆明市官渡区春城路</w:t>
            </w:r>
            <w:r>
              <w:rPr>
                <w:rFonts w:ascii="Times New Roman" w:eastAsia="Times New Roman" w:hAnsi="Times New Roman" w:cs="Times New Roman"/>
                <w:color w:val="000000"/>
                <w:spacing w:val="0"/>
                <w:w w:val="100"/>
                <w:position w:val="0"/>
                <w:sz w:val="18"/>
                <w:szCs w:val="18"/>
              </w:rPr>
              <w:t>64</w:t>
            </w:r>
            <w:r>
              <w:rPr>
                <w:color w:val="000000"/>
                <w:spacing w:val="0"/>
                <w:w w:val="100"/>
                <w:position w:val="0"/>
                <w:sz w:val="17"/>
                <w:szCs w:val="17"/>
              </w:rPr>
              <w:t>号 米兰国际</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1503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2020.5.26-2021.5.2</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红相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夏秀玉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沈阳市铁西区云峰北街</w:t>
            </w:r>
            <w:r>
              <w:rPr>
                <w:rFonts w:ascii="Times New Roman" w:eastAsia="Times New Roman" w:hAnsi="Times New Roman" w:cs="Times New Roman"/>
                <w:color w:val="000000"/>
                <w:spacing w:val="0"/>
                <w:w w:val="100"/>
                <w:position w:val="0"/>
                <w:sz w:val="18"/>
                <w:szCs w:val="18"/>
              </w:rPr>
              <w:t xml:space="preserve">62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1911</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2021.12.1-2023.11.30</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林晓峰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厦门市思明区水仙路</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21A</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7772.1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29"/>
              </w:numPr>
              <w:shd w:val="clear" w:color="auto" w:fill="auto"/>
              <w:tabs>
                <w:tab w:pos="686"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2021.2.28</w:t>
            </w:r>
          </w:p>
          <w:p>
            <w:pPr>
              <w:pStyle w:val="Style2"/>
              <w:keepNext w:val="0"/>
              <w:keepLines w:val="0"/>
              <w:widowControl w:val="0"/>
              <w:numPr>
                <w:ilvl w:val="0"/>
                <w:numId w:val="31"/>
              </w:numPr>
              <w:shd w:val="clear" w:color="auto" w:fill="auto"/>
              <w:tabs>
                <w:tab w:pos="686"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2021.5.31</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厦门市臻跃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维光美业有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厦门市思明区水仙路</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E </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办公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2021.6.16-2021.7.31 </w:t>
            </w:r>
            <w:r>
              <w:rPr>
                <w:color w:val="000000"/>
                <w:spacing w:val="0"/>
                <w:w w:val="100"/>
                <w:position w:val="0"/>
              </w:rPr>
              <w:t>为装修 免租期；</w:t>
            </w:r>
            <w:r>
              <w:rPr>
                <w:rFonts w:ascii="Times New Roman" w:eastAsia="Times New Roman" w:hAnsi="Times New Roman" w:cs="Times New Roman"/>
                <w:color w:val="000000"/>
                <w:spacing w:val="0"/>
                <w:w w:val="100"/>
                <w:position w:val="0"/>
                <w:sz w:val="18"/>
                <w:szCs w:val="18"/>
              </w:rPr>
              <w:t xml:space="preserve">2021.8.1-2027.7.31 </w:t>
            </w:r>
            <w:r>
              <w:rPr>
                <w:color w:val="000000"/>
                <w:spacing w:val="0"/>
                <w:w w:val="100"/>
                <w:position w:val="0"/>
              </w:rPr>
              <w:t>租金</w:t>
            </w:r>
            <w:r>
              <w:rPr>
                <w:rFonts w:ascii="Times New Roman" w:eastAsia="Times New Roman" w:hAnsi="Times New Roman" w:cs="Times New Roman"/>
                <w:color w:val="000000"/>
                <w:spacing w:val="0"/>
                <w:w w:val="100"/>
                <w:position w:val="0"/>
                <w:sz w:val="18"/>
                <w:szCs w:val="18"/>
              </w:rPr>
              <w:t>:12146.4</w:t>
            </w:r>
            <w:r>
              <w:rPr>
                <w:color w:val="000000"/>
                <w:spacing w:val="0"/>
                <w:w w:val="100"/>
                <w:position w:val="0"/>
              </w:rPr>
              <w:t>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2021.6.16-2021.12.1</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厦门舒菲娅 化妆品有限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美溪道思明工业园</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 xml:space="preserve">302 </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单元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tabs>
                <w:tab w:pos="1910"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2021.1.1-2022.12.31</w:t>
              <w:tab/>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165,127.75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2017.1.1-2022.12.31</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窦同力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上海市长宁区长宁路</w:t>
            </w:r>
            <w:r>
              <w:rPr>
                <w:rFonts w:ascii="Times New Roman" w:eastAsia="Times New Roman" w:hAnsi="Times New Roman" w:cs="Times New Roman"/>
                <w:color w:val="000000"/>
                <w:spacing w:val="0"/>
                <w:w w:val="100"/>
                <w:position w:val="0"/>
                <w:sz w:val="18"/>
                <w:szCs w:val="18"/>
              </w:rPr>
              <w:t>1661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住宅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2018.12.1-2023.12.31</w:t>
            </w:r>
          </w:p>
        </w:tc>
      </w:tr>
    </w:tbl>
    <w:p>
      <w:pPr>
        <w:spacing w:lineRule="exact" w:line="1"/>
        <w:rPr>
          <w:sz w:val="2"/>
          <w:szCs w:val="2"/>
        </w:rPr>
      </w:pPr>
      <w:r>
        <w:br w:type="page"/>
      </w:r>
    </w:p>
    <w:tbl>
      <w:tblPr>
        <w:tblOverlap w:val="never"/>
        <w:jc w:val="center"/>
        <w:tblLayout w:type="fixed"/>
      </w:tblPr>
      <w:tblGrid>
        <w:gridCol w:w="701"/>
        <w:gridCol w:w="960"/>
        <w:gridCol w:w="1526"/>
        <w:gridCol w:w="2016"/>
        <w:gridCol w:w="701"/>
        <w:gridCol w:w="2098"/>
        <w:gridCol w:w="2083"/>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红相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204</w:t>
            </w:r>
            <w:r>
              <w:rPr>
                <w:color w:val="000000"/>
                <w:spacing w:val="0"/>
                <w:w w:val="100"/>
                <w:position w:val="0"/>
              </w:rPr>
              <w:t>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成都亚光电子系统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成都市高新区天虹路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 亚光高新产业园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办公</w:t>
            </w:r>
          </w:p>
        </w:tc>
        <w:tc>
          <w:tcPr>
            <w:tcBorders>
              <w:top w:val="single" w:sz="4"/>
              <w:left w:val="single" w:sz="4"/>
            </w:tcBorders>
            <w:shd w:val="clear" w:color="auto" w:fill="FFFFFF"/>
            <w:vAlign w:val="center"/>
          </w:tcPr>
          <w:p>
            <w:pPr>
              <w:pStyle w:val="Style2"/>
              <w:keepNext w:val="0"/>
              <w:keepLines w:val="0"/>
              <w:widowControl w:val="0"/>
              <w:numPr>
                <w:ilvl w:val="0"/>
                <w:numId w:val="33"/>
              </w:numPr>
              <w:shd w:val="clear" w:color="auto" w:fill="auto"/>
              <w:tabs>
                <w:tab w:pos="682" w:val="left"/>
                <w:tab w:pos="1896"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2022.6.30</w:t>
              <w:tab/>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月</w:t>
            </w:r>
            <w:r>
              <w:rPr>
                <w:color w:val="000000"/>
                <w:spacing w:val="0"/>
                <w:w w:val="100"/>
                <w:position w:val="0"/>
                <w:sz w:val="18"/>
                <w:szCs w:val="18"/>
              </w:rPr>
              <w:t>；</w:t>
            </w:r>
          </w:p>
          <w:p>
            <w:pPr>
              <w:pStyle w:val="Style2"/>
              <w:keepNext w:val="0"/>
              <w:keepLines w:val="0"/>
              <w:widowControl w:val="0"/>
              <w:numPr>
                <w:ilvl w:val="0"/>
                <w:numId w:val="35"/>
              </w:numPr>
              <w:shd w:val="clear" w:color="auto" w:fill="auto"/>
              <w:tabs>
                <w:tab w:pos="691" w:val="left"/>
                <w:tab w:pos="1906"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2023.6.30</w:t>
              <w:tab/>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月</w:t>
            </w:r>
            <w:r>
              <w:rPr>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2023.71-2024.6.30:10,000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2021.7.1-2024.6.30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涵普电力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北京自如生活资产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北京市丰台翠林里</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号楼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501</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71,160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2020.9.16-2021.10.24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2021.10.25-2022.10.24</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涵普电力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苏州正普电力科技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苏州新区润捷大厦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号楼 </w:t>
            </w:r>
            <w:r>
              <w:rPr>
                <w:rFonts w:ascii="Times New Roman" w:eastAsia="Times New Roman" w:hAnsi="Times New Roman" w:cs="Times New Roman"/>
                <w:color w:val="000000"/>
                <w:spacing w:val="0"/>
                <w:w w:val="100"/>
                <w:position w:val="0"/>
                <w:sz w:val="18"/>
                <w:szCs w:val="18"/>
              </w:rPr>
              <w:t>1903-1906</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388,856.4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2021.1.1-2022.12.31</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涵普三维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宁波三维电测设备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宁波市江北区林沐路</w:t>
            </w:r>
            <w:r>
              <w:rPr>
                <w:rFonts w:ascii="Times New Roman" w:eastAsia="Times New Roman" w:hAnsi="Times New Roman" w:cs="Times New Roman"/>
                <w:color w:val="000000"/>
                <w:spacing w:val="0"/>
                <w:w w:val="100"/>
                <w:position w:val="0"/>
                <w:sz w:val="18"/>
                <w:szCs w:val="18"/>
              </w:rPr>
              <w:t xml:space="preserve">191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2020.1.1-2022.12.31</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浙江涵普软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件信息工程</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浙江涵普电力科技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浙江省嘉兴市海盐县长安 北路</w:t>
            </w:r>
            <w:r>
              <w:rPr>
                <w:rFonts w:ascii="Times New Roman" w:eastAsia="Times New Roman" w:hAnsi="Times New Roman" w:cs="Times New Roman"/>
                <w:color w:val="000000"/>
                <w:spacing w:val="0"/>
                <w:w w:val="100"/>
                <w:position w:val="0"/>
                <w:sz w:val="18"/>
                <w:szCs w:val="18"/>
              </w:rPr>
              <w:t>678</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129,600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2020.6.29-2023.6.28</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银川变压器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宁夏宁北夏都假日 酒店有限公司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宁北大院五号宿舍楼四楼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2021.10.06-2022.10.06</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银川变压器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周树林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银川市唐徕花园</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区</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15#-3-1202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2021.11.1-2022.10.31</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李顺民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银川变压器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银川市兴庆区凤凰北街北 安小区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营业房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营业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2020.8.1 -2023.7.30</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宁夏新中科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医疗器械有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银川变压器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银川市兴庆区清河北街</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号一层营业房屋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营业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2021.4.1-2024.3.31</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田浩春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银川变压器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银川市兴庆区清河北街</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号二层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营业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67,000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2019.11.1 -2022.12.10</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宁夏泰博跆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拳道文化传</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媒有限公司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银川变压器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both"/>
            </w:pPr>
            <w:r>
              <w:rPr>
                <w:color w:val="000000"/>
                <w:spacing w:val="0"/>
                <w:w w:val="100"/>
                <w:position w:val="0"/>
              </w:rPr>
              <w:t>银川市兴庆区清河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北街</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号三层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营业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年租金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2020.9.1-2021.7.10</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宁夏泰博跆 拳道文化传 媒有限公司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银川变压器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both"/>
            </w:pPr>
            <w:r>
              <w:rPr>
                <w:color w:val="000000"/>
                <w:spacing w:val="0"/>
                <w:w w:val="100"/>
                <w:position w:val="0"/>
              </w:rPr>
              <w:t>银川市兴庆区清河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北街</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号四层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营业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年租金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2020.9.1-2021.7.10</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星波通信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合肥星波电子有限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both"/>
            </w:pPr>
            <w:r>
              <w:rPr>
                <w:color w:val="000000"/>
                <w:spacing w:val="0"/>
                <w:w w:val="100"/>
                <w:position w:val="0"/>
              </w:rPr>
              <w:t>安徽省合肥市高新区梦园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路</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科研、生 产及办 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11,450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2021.2.1-2022.1.31</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星波通信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孙庆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7"/>
                <w:szCs w:val="17"/>
              </w:rPr>
              <w:t>绿城桂花园小区云栖苑</w:t>
            </w: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608</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2021.11.1-2022.10.31</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合肥雷科电</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子科技有限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星波通信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安徽省合肥市高新区玉兰 大道</w:t>
            </w:r>
            <w:r>
              <w:rPr>
                <w:rFonts w:ascii="Times New Roman" w:eastAsia="Times New Roman" w:hAnsi="Times New Roman" w:cs="Times New Roman"/>
                <w:color w:val="000000"/>
                <w:spacing w:val="0"/>
                <w:w w:val="100"/>
                <w:position w:val="0"/>
                <w:sz w:val="18"/>
                <w:szCs w:val="18"/>
              </w:rPr>
              <w:t>767</w:t>
            </w:r>
            <w:r>
              <w:rPr>
                <w:color w:val="000000"/>
                <w:spacing w:val="0"/>
                <w:w w:val="100"/>
                <w:position w:val="0"/>
              </w:rPr>
              <w:t>号机电产业园西 四路</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科研、生 产及办 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56,174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2018.3.1-2028.2.29</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成都鼎屹信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成都亚光电子系统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成都市高新区天虹路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/m7</w:t>
            </w:r>
            <w:r>
              <w:rPr>
                <w:color w:val="000000"/>
                <w:spacing w:val="0"/>
                <w:w w:val="100"/>
                <w:position w:val="0"/>
              </w:rPr>
              <w:t>月（第三年起每年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2019.7.1-2024.6.30</w:t>
            </w:r>
          </w:p>
        </w:tc>
      </w:tr>
    </w:tbl>
    <w:p>
      <w:pPr>
        <w:spacing w:lineRule="exact" w:line="1"/>
        <w:rPr>
          <w:sz w:val="2"/>
          <w:szCs w:val="2"/>
        </w:rPr>
      </w:pPr>
      <w:r>
        <w:br w:type="page"/>
      </w:r>
    </w:p>
    <w:tbl>
      <w:tblPr>
        <w:tblOverlap w:val="never"/>
        <w:jc w:val="center"/>
        <w:tblLayout w:type="fixed"/>
      </w:tblPr>
      <w:tblGrid>
        <w:gridCol w:w="701"/>
        <w:gridCol w:w="960"/>
        <w:gridCol w:w="1526"/>
        <w:gridCol w:w="2016"/>
        <w:gridCol w:w="701"/>
        <w:gridCol w:w="2098"/>
        <w:gridCol w:w="2083"/>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息技术有限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亚光高新产业园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澳洲红相</w:t>
            </w:r>
          </w:p>
        </w:tc>
        <w:tc>
          <w:tcPr>
            <w:tcBorders>
              <w:top w:val="single" w:sz="4"/>
              <w:left w:val="single" w:sz="4"/>
            </w:tcBorders>
            <w:shd w:val="clear" w:color="auto" w:fill="FFFFFF"/>
            <w:vAlign w:val="top"/>
          </w:tcPr>
          <w:p>
            <w:pPr>
              <w:pStyle w:val="Style2"/>
              <w:keepNext w:val="0"/>
              <w:keepLines w:val="0"/>
              <w:widowControl w:val="0"/>
              <w:shd w:val="clear" w:color="auto" w:fill="auto"/>
              <w:tabs>
                <w:tab w:pos="610"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Brett</w:t>
              <w:tab/>
              <w:t>Behmer&amp;Tr</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evor Wright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 Ceylon Street,Nunawading ,V i ctoria 3131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110,790.96</w:t>
            </w:r>
            <w:r>
              <w:rPr>
                <w:color w:val="000000"/>
                <w:spacing w:val="0"/>
                <w:w w:val="100"/>
                <w:position w:val="0"/>
              </w:rPr>
              <w:t>澳元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2020.5.1-2021.1.30</w:t>
            </w:r>
          </w:p>
        </w:tc>
      </w:tr>
      <w:tr>
        <w:trPr>
          <w:trHeight w:val="223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澳洲红相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tabs>
                <w:tab w:pos="1037"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FRANCIS</w:t>
              <w:tab/>
              <w:t>ROSS</w:t>
            </w:r>
          </w:p>
          <w:p>
            <w:pPr>
              <w:pStyle w:val="Style2"/>
              <w:keepNext w:val="0"/>
              <w:keepLines w:val="0"/>
              <w:widowControl w:val="0"/>
              <w:shd w:val="clear" w:color="auto" w:fill="auto"/>
              <w:tabs>
                <w:tab w:pos="1234"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SELLENGER</w:t>
              <w:tab/>
              <w:t>and</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DIANA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ELIZABETH</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SELLENGER</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Ceylon Street,Nunawading</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办公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第一年：</w:t>
            </w:r>
            <w:r>
              <w:rPr>
                <w:rFonts w:ascii="Times New Roman" w:eastAsia="Times New Roman" w:hAnsi="Times New Roman" w:cs="Times New Roman"/>
                <w:color w:val="000000"/>
                <w:spacing w:val="0"/>
                <w:w w:val="100"/>
                <w:position w:val="0"/>
                <w:sz w:val="18"/>
                <w:szCs w:val="18"/>
              </w:rPr>
              <w:t>124350</w:t>
            </w:r>
            <w:r>
              <w:rPr>
                <w:color w:val="000000"/>
                <w:spacing w:val="0"/>
                <w:w w:val="100"/>
                <w:position w:val="0"/>
              </w:rPr>
              <w:t>澳元；</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第二年：</w:t>
            </w:r>
            <w:r>
              <w:rPr>
                <w:rFonts w:ascii="Times New Roman" w:eastAsia="Times New Roman" w:hAnsi="Times New Roman" w:cs="Times New Roman"/>
                <w:color w:val="000000"/>
                <w:spacing w:val="0"/>
                <w:w w:val="100"/>
                <w:position w:val="0"/>
                <w:sz w:val="18"/>
                <w:szCs w:val="18"/>
              </w:rPr>
              <w:t>127458.75</w:t>
            </w:r>
            <w:r>
              <w:rPr>
                <w:color w:val="000000"/>
                <w:spacing w:val="0"/>
                <w:w w:val="100"/>
                <w:position w:val="0"/>
              </w:rPr>
              <w:t>澳元；</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第三年：</w:t>
            </w:r>
            <w:r>
              <w:rPr>
                <w:rFonts w:ascii="Times New Roman" w:eastAsia="Times New Roman" w:hAnsi="Times New Roman" w:cs="Times New Roman"/>
                <w:color w:val="000000"/>
                <w:spacing w:val="0"/>
                <w:w w:val="100"/>
                <w:position w:val="0"/>
                <w:sz w:val="18"/>
                <w:szCs w:val="18"/>
              </w:rPr>
              <w:t>130645.22</w:t>
            </w:r>
            <w:r>
              <w:rPr>
                <w:color w:val="000000"/>
                <w:spacing w:val="0"/>
                <w:w w:val="100"/>
                <w:position w:val="0"/>
              </w:rPr>
              <w:t>澳元；</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第四年：</w:t>
            </w:r>
            <w:r>
              <w:rPr>
                <w:rFonts w:ascii="Times New Roman" w:eastAsia="Times New Roman" w:hAnsi="Times New Roman" w:cs="Times New Roman"/>
                <w:color w:val="000000"/>
                <w:spacing w:val="0"/>
                <w:w w:val="100"/>
                <w:position w:val="0"/>
                <w:sz w:val="18"/>
                <w:szCs w:val="18"/>
              </w:rPr>
              <w:t>133911.35</w:t>
            </w:r>
            <w:r>
              <w:rPr>
                <w:color w:val="000000"/>
                <w:spacing w:val="0"/>
                <w:w w:val="100"/>
                <w:position w:val="0"/>
              </w:rPr>
              <w:t>澳元；</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第五年：</w:t>
            </w:r>
            <w:r>
              <w:rPr>
                <w:rFonts w:ascii="Times New Roman" w:eastAsia="Times New Roman" w:hAnsi="Times New Roman" w:cs="Times New Roman"/>
                <w:color w:val="000000"/>
                <w:spacing w:val="0"/>
                <w:w w:val="100"/>
                <w:position w:val="0"/>
                <w:sz w:val="18"/>
                <w:szCs w:val="18"/>
              </w:rPr>
              <w:t>137259.13</w:t>
            </w:r>
            <w:r>
              <w:rPr>
                <w:color w:val="000000"/>
                <w:spacing w:val="0"/>
                <w:w w:val="100"/>
                <w:position w:val="0"/>
              </w:rPr>
              <w:t>澳元；</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日免租）</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2020.12.15-2025.12.15</w:t>
            </w:r>
          </w:p>
        </w:tc>
      </w:tr>
    </w:tbl>
    <w:p>
      <w:pPr>
        <w:widowControl w:val="0"/>
        <w:spacing w:after="59" w:line="1" w:lineRule="exact"/>
      </w:pPr>
    </w:p>
    <w:p>
      <w:pPr>
        <w:pStyle w:val="Style11"/>
        <w:keepNext w:val="0"/>
        <w:keepLines w:val="0"/>
        <w:widowControl w:val="0"/>
        <w:shd w:val="clear" w:color="auto" w:fill="auto"/>
        <w:bidi w:val="0"/>
        <w:spacing w:before="0" w:after="60" w:line="240" w:lineRule="auto"/>
        <w:ind w:left="0" w:right="0" w:firstLine="0"/>
        <w:jc w:val="both"/>
      </w:pPr>
      <w:r>
        <w:rPr>
          <w:color w:val="000000"/>
          <w:spacing w:val="0"/>
          <w:w w:val="100"/>
          <w:position w:val="0"/>
        </w:rPr>
        <w:t>注：</w:t>
      </w:r>
    </w:p>
    <w:p>
      <w:pPr>
        <w:pStyle w:val="Style11"/>
        <w:keepNext w:val="0"/>
        <w:keepLines w:val="0"/>
        <w:widowControl w:val="0"/>
        <w:numPr>
          <w:ilvl w:val="0"/>
          <w:numId w:val="37"/>
        </w:numPr>
        <w:shd w:val="clear" w:color="auto" w:fill="auto"/>
        <w:tabs>
          <w:tab w:pos="350" w:val="left"/>
        </w:tabs>
        <w:bidi w:val="0"/>
        <w:spacing w:before="0" w:after="60" w:line="240" w:lineRule="auto"/>
        <w:ind w:left="0" w:right="0" w:firstLine="0"/>
        <w:jc w:val="both"/>
      </w:pPr>
      <w:bookmarkStart w:id="565" w:name="bookmark565"/>
      <w:bookmarkEnd w:id="565"/>
      <w:r>
        <w:rPr>
          <w:color w:val="000000"/>
          <w:spacing w:val="0"/>
          <w:w w:val="100"/>
          <w:position w:val="0"/>
        </w:rPr>
        <w:t>报告期内，第</w:t>
      </w:r>
      <w:r>
        <w:rPr>
          <w:rFonts w:ascii="Times New Roman" w:eastAsia="Times New Roman" w:hAnsi="Times New Roman" w:cs="Times New Roman"/>
          <w:color w:val="000000"/>
          <w:spacing w:val="0"/>
          <w:w w:val="100"/>
          <w:position w:val="0"/>
        </w:rPr>
        <w:t>3</w:t>
      </w:r>
      <w:r>
        <w:rPr>
          <w:color w:val="000000"/>
          <w:spacing w:val="0"/>
          <w:w w:val="100"/>
          <w:position w:val="0"/>
        </w:rPr>
        <w:t>号房屋、第</w:t>
      </w:r>
      <w:r>
        <w:rPr>
          <w:rFonts w:ascii="Times New Roman" w:eastAsia="Times New Roman" w:hAnsi="Times New Roman" w:cs="Times New Roman"/>
          <w:color w:val="000000"/>
          <w:spacing w:val="0"/>
          <w:w w:val="100"/>
          <w:position w:val="0"/>
        </w:rPr>
        <w:t>12</w:t>
      </w:r>
      <w:r>
        <w:rPr>
          <w:color w:val="000000"/>
          <w:spacing w:val="0"/>
          <w:w w:val="100"/>
          <w:position w:val="0"/>
        </w:rPr>
        <w:t>号房屋、第</w:t>
      </w:r>
      <w:r>
        <w:rPr>
          <w:rFonts w:ascii="Times New Roman" w:eastAsia="Times New Roman" w:hAnsi="Times New Roman" w:cs="Times New Roman"/>
          <w:color w:val="000000"/>
          <w:spacing w:val="0"/>
          <w:w w:val="100"/>
          <w:position w:val="0"/>
        </w:rPr>
        <w:t>28</w:t>
      </w:r>
      <w:r>
        <w:rPr>
          <w:color w:val="000000"/>
          <w:spacing w:val="0"/>
          <w:w w:val="100"/>
          <w:position w:val="0"/>
        </w:rPr>
        <w:t>号房屋、第</w:t>
      </w:r>
      <w:r>
        <w:rPr>
          <w:rFonts w:ascii="Times New Roman" w:eastAsia="Times New Roman" w:hAnsi="Times New Roman" w:cs="Times New Roman"/>
          <w:color w:val="000000"/>
          <w:spacing w:val="0"/>
          <w:w w:val="100"/>
          <w:position w:val="0"/>
        </w:rPr>
        <w:t>29</w:t>
      </w:r>
      <w:r>
        <w:rPr>
          <w:color w:val="000000"/>
          <w:spacing w:val="0"/>
          <w:w w:val="100"/>
          <w:position w:val="0"/>
        </w:rPr>
        <w:t>号、第</w:t>
      </w:r>
      <w:r>
        <w:rPr>
          <w:rFonts w:ascii="Times New Roman" w:eastAsia="Times New Roman" w:hAnsi="Times New Roman" w:cs="Times New Roman"/>
          <w:color w:val="000000"/>
          <w:spacing w:val="0"/>
          <w:w w:val="100"/>
          <w:position w:val="0"/>
        </w:rPr>
        <w:t>30</w:t>
      </w:r>
      <w:r>
        <w:rPr>
          <w:color w:val="000000"/>
          <w:spacing w:val="0"/>
          <w:w w:val="100"/>
          <w:position w:val="0"/>
        </w:rPr>
        <w:t>号房屋合同到期后不再续租。</w:t>
      </w:r>
    </w:p>
    <w:p>
      <w:pPr>
        <w:pStyle w:val="Style11"/>
        <w:keepNext w:val="0"/>
        <w:keepLines w:val="0"/>
        <w:widowControl w:val="0"/>
        <w:numPr>
          <w:ilvl w:val="0"/>
          <w:numId w:val="37"/>
        </w:numPr>
        <w:shd w:val="clear" w:color="auto" w:fill="auto"/>
        <w:tabs>
          <w:tab w:pos="350" w:val="left"/>
        </w:tabs>
        <w:bidi w:val="0"/>
        <w:spacing w:before="0" w:after="60" w:line="240" w:lineRule="auto"/>
        <w:ind w:left="0" w:right="0" w:firstLine="0"/>
        <w:jc w:val="both"/>
      </w:pPr>
      <w:bookmarkStart w:id="566" w:name="bookmark566"/>
      <w:bookmarkEnd w:id="566"/>
      <w:r>
        <w:rPr>
          <w:color w:val="000000"/>
          <w:spacing w:val="0"/>
          <w:w w:val="100"/>
          <w:position w:val="0"/>
        </w:rPr>
        <w:t>报告期内，第</w:t>
      </w:r>
      <w:r>
        <w:rPr>
          <w:rFonts w:ascii="Times New Roman" w:eastAsia="Times New Roman" w:hAnsi="Times New Roman" w:cs="Times New Roman"/>
          <w:color w:val="000000"/>
          <w:spacing w:val="0"/>
          <w:w w:val="100"/>
          <w:position w:val="0"/>
        </w:rPr>
        <w:t>14</w:t>
      </w:r>
      <w:r>
        <w:rPr>
          <w:color w:val="000000"/>
          <w:spacing w:val="0"/>
          <w:w w:val="100"/>
          <w:position w:val="0"/>
        </w:rPr>
        <w:t>号房屋合同到期后，租客不再续租，系租客更换租赁地点。</w:t>
      </w:r>
    </w:p>
    <w:p>
      <w:pPr>
        <w:pStyle w:val="Style11"/>
        <w:keepNext w:val="0"/>
        <w:keepLines w:val="0"/>
        <w:widowControl w:val="0"/>
        <w:numPr>
          <w:ilvl w:val="0"/>
          <w:numId w:val="37"/>
        </w:numPr>
        <w:shd w:val="clear" w:color="auto" w:fill="auto"/>
        <w:tabs>
          <w:tab w:pos="350" w:val="left"/>
        </w:tabs>
        <w:bidi w:val="0"/>
        <w:spacing w:before="0" w:after="60" w:line="240" w:lineRule="auto"/>
        <w:ind w:left="0" w:right="0" w:firstLine="0"/>
        <w:jc w:val="both"/>
      </w:pPr>
      <w:bookmarkStart w:id="567" w:name="bookmark567"/>
      <w:bookmarkEnd w:id="567"/>
      <w:r>
        <w:rPr>
          <w:color w:val="000000"/>
          <w:spacing w:val="0"/>
          <w:w w:val="100"/>
          <w:position w:val="0"/>
        </w:rPr>
        <w:t>报告期内，第</w:t>
      </w:r>
      <w:r>
        <w:rPr>
          <w:rFonts w:ascii="Times New Roman" w:eastAsia="Times New Roman" w:hAnsi="Times New Roman" w:cs="Times New Roman"/>
          <w:color w:val="000000"/>
          <w:spacing w:val="0"/>
          <w:w w:val="100"/>
          <w:position w:val="0"/>
        </w:rPr>
        <w:t>15</w:t>
      </w:r>
      <w:r>
        <w:rPr>
          <w:color w:val="000000"/>
          <w:spacing w:val="0"/>
          <w:w w:val="100"/>
          <w:position w:val="0"/>
        </w:rPr>
        <w:t>号房屋提前解除合同，系公司出售房屋不再租赁。</w:t>
      </w:r>
    </w:p>
    <w:p>
      <w:pPr>
        <w:pStyle w:val="Style11"/>
        <w:keepNext w:val="0"/>
        <w:keepLines w:val="0"/>
        <w:widowControl w:val="0"/>
        <w:numPr>
          <w:ilvl w:val="0"/>
          <w:numId w:val="37"/>
        </w:numPr>
        <w:shd w:val="clear" w:color="auto" w:fill="auto"/>
        <w:tabs>
          <w:tab w:pos="350" w:val="left"/>
        </w:tabs>
        <w:bidi w:val="0"/>
        <w:spacing w:before="0" w:after="120" w:line="240" w:lineRule="auto"/>
        <w:ind w:left="0" w:right="0" w:firstLine="0"/>
        <w:jc w:val="both"/>
      </w:pPr>
      <w:bookmarkStart w:id="568" w:name="bookmark568"/>
      <w:bookmarkEnd w:id="568"/>
      <w:r>
        <w:rPr>
          <w:color w:val="000000"/>
          <w:spacing w:val="0"/>
          <w:w w:val="100"/>
          <w:position w:val="0"/>
        </w:rPr>
        <w:t>报告期内，公司没有重大房屋租赁情况。</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1"/>
        <w:keepNext/>
        <w:keepLines/>
        <w:widowControl w:val="0"/>
        <w:shd w:val="clear" w:color="auto" w:fill="auto"/>
        <w:bidi w:val="0"/>
        <w:spacing w:before="0" w:after="360" w:line="240" w:lineRule="auto"/>
        <w:ind w:left="0" w:right="0" w:firstLine="0"/>
        <w:jc w:val="both"/>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2</w:t>
      </w:r>
      <w:bookmarkEnd w:id="571"/>
      <w:r>
        <w:rPr>
          <w:color w:val="000000"/>
          <w:spacing w:val="0"/>
          <w:w w:val="100"/>
          <w:position w:val="0"/>
        </w:rPr>
        <w:t>、重大担保</w:t>
      </w:r>
      <w:bookmarkEnd w:id="569"/>
      <w:bookmarkEnd w:id="570"/>
      <w:bookmarkEnd w:id="572"/>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《综合授 信协议》 项下的每 一笔具体 授信业务 的保证期 间单独计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算，自具 体授信业 务合同或 协议约定 的授信人 履行债务 期限届满</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之日起两 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根据主合 同项下债 权人对债 务人所提 供的每笔 融资分别 计算，就 每笔融资 而言，保 证期间为 该笔融资 项下债务 履行期限 届满之日 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根据主合 同项下债 权人对债 务人所提 供的每笔 融资分别 计算，就 每笔融资 而言，保 证期间为 该笔融资 项下债务 履行期限 届满之日 起三年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自保证合 同签署之 日始至租 赁合同项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下主债务 履行其届 满之日起 满两年的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根据主合 同约定的 各笔主债 务的债务 履行期限 分别计 算，每一 笔主债务 项下的保 证期间 为，自该 笔债务履 行期限届 满之日 起，计至 全部主合 同项下最 后到期的 主债务的 债务履行 期限届满 之日后三 年止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主债权发 生期间届 满之日起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本合同项 下所担保 的债务逐 笔单独计 算保证期 间，各债 务保证期 间为该笔 债务履行 期限届满 之日起三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自主合同 项下借款 期限届满 之次日起 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自主合同 项下借款 期限届满 之次日起 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即自单笔 授信业务 的主合同 签订之日 起至债务 人在该主 合同项下 的债务履 行期限届 满日后三 年止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中宁新能 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主合同项 目下债务 的履行期 限届满之 日起两年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78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星波通信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根据主合 同项下债 权人对债 务人所提 供的每笔 融资分别 计算，就 每笔融资 而言，保 证期间为 该笔融资 项下债务 履行期限 届满之日 起两年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ectPr>
          <w:footnotePr>
            <w:pos w:val="pageBottom"/>
            <w:numFmt w:val="decimal"/>
            <w:numRestart w:val="continuous"/>
          </w:footnotePr>
          <w:pgSz w:w="11900" w:h="16840"/>
          <w:pgMar w:top="1417" w:right="786" w:bottom="1475" w:left="1014"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09" w:header="0" w:footer="3" w:gutter="0"/>
          <w:cols w:space="720"/>
          <w:noEndnote/>
          <w:rtlGutter w:val="0"/>
          <w:docGrid w:linePitch="360"/>
        </w:sectPr>
      </w:pPr>
    </w:p>
    <w:tbl>
      <w:tblPr>
        <w:tblOverlap w:val="never"/>
        <w:jc w:val="left"/>
        <w:tblLayout w:type="fixed"/>
      </w:tblPr>
      <w:tblGrid>
        <w:gridCol w:w="946"/>
        <w:gridCol w:w="931"/>
        <w:gridCol w:w="571"/>
        <w:gridCol w:w="355"/>
        <w:gridCol w:w="931"/>
        <w:gridCol w:w="941"/>
      </w:tblGrid>
      <w:tr>
        <w:trPr>
          <w:trHeight w:val="6331" w:hRule="exact"/>
        </w:trPr>
        <w:tc>
          <w:tcPr>
            <w:tcBorders>
              <w:top w:val="single" w:sz="4"/>
              <w:left w:val="single" w:sz="4"/>
            </w:tcBorders>
            <w:shd w:val="clear" w:color="auto" w:fill="FFFFFF"/>
            <w:vAlign w:val="center"/>
          </w:tcPr>
          <w:p>
            <w:pPr>
              <w:pStyle w:val="Style2"/>
              <w:keepNext w:val="0"/>
              <w:keepLines w:val="0"/>
              <w:framePr w:w="4675" w:h="12768"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星波通信</w:t>
            </w:r>
          </w:p>
        </w:tc>
        <w:tc>
          <w:tcPr>
            <w:tcBorders>
              <w:top w:val="single" w:sz="4"/>
              <w:left w:val="single" w:sz="4"/>
            </w:tcBorders>
            <w:shd w:val="clear" w:color="auto" w:fill="FFFFFF"/>
            <w:vAlign w:val="center"/>
          </w:tcPr>
          <w:p>
            <w:pPr>
              <w:pStyle w:val="Style2"/>
              <w:keepNext w:val="0"/>
              <w:keepLines w:val="0"/>
              <w:framePr w:w="4675" w:h="12768" w:wrap="none" w:vAnchor="text" w:hAnchor="page" w:x="1120"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framePr w:w="4675" w:h="12768" w:wrap="none" w:vAnchor="text" w:hAnchor="page" w:x="1120" w:y="21"/>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framePr w:w="4675" w:h="12768" w:wrap="none" w:vAnchor="text" w:hAnchor="page" w:x="1120"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framePr w:w="4675" w:h="12768" w:wrap="none" w:vAnchor="text" w:hAnchor="page" w:x="1120" w:y="21"/>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framePr w:w="4675" w:h="12768" w:wrap="none" w:vAnchor="text" w:hAnchor="page" w:x="1120" w:y="21"/>
              <w:widowControl w:val="0"/>
              <w:shd w:val="clear" w:color="auto" w:fill="auto"/>
              <w:bidi w:val="0"/>
              <w:spacing w:before="0" w:after="100" w:line="240" w:lineRule="auto"/>
              <w:ind w:left="0" w:right="0" w:firstLine="0"/>
              <w:jc w:val="left"/>
            </w:pPr>
            <w:r>
              <w:rPr>
                <w:color w:val="000000"/>
                <w:spacing w:val="0"/>
                <w:w w:val="100"/>
                <w:position w:val="0"/>
              </w:rPr>
              <w:t>报告期内审批对子公司</w:t>
            </w:r>
          </w:p>
          <w:p>
            <w:pPr>
              <w:pStyle w:val="Style2"/>
              <w:keepNext w:val="0"/>
              <w:keepLines w:val="0"/>
              <w:framePr w:w="4675" w:h="12768"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framePr w:w="4675" w:h="12768" w:wrap="none" w:vAnchor="text" w:hAnchor="page" w:x="1120"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84,200</w:t>
            </w:r>
          </w:p>
        </w:tc>
        <w:tc>
          <w:tcPr>
            <w:tcBorders>
              <w:top w:val="single" w:sz="4"/>
              <w:left w:val="single" w:sz="4"/>
            </w:tcBorders>
            <w:shd w:val="clear" w:color="auto" w:fill="D3D3D3"/>
            <w:vAlign w:val="center"/>
          </w:tcPr>
          <w:p>
            <w:pPr>
              <w:pStyle w:val="Style2"/>
              <w:keepNext w:val="0"/>
              <w:keepLines w:val="0"/>
              <w:framePr w:w="4675" w:h="12768" w:wrap="none" w:vAnchor="text" w:hAnchor="page" w:x="1120" w:y="21"/>
              <w:widowControl w:val="0"/>
              <w:shd w:val="clear" w:color="auto" w:fill="auto"/>
              <w:bidi w:val="0"/>
              <w:spacing w:before="0" w:after="120" w:line="240" w:lineRule="auto"/>
              <w:ind w:left="0" w:right="0" w:firstLine="0"/>
              <w:jc w:val="both"/>
            </w:pPr>
            <w:r>
              <w:rPr>
                <w:color w:val="000000"/>
                <w:spacing w:val="0"/>
                <w:w w:val="100"/>
                <w:position w:val="0"/>
              </w:rPr>
              <w:t>报告期内对</w:t>
            </w:r>
          </w:p>
          <w:p>
            <w:pPr>
              <w:pStyle w:val="Style2"/>
              <w:keepNext w:val="0"/>
              <w:keepLines w:val="0"/>
              <w:framePr w:w="4675" w:h="12768" w:wrap="none" w:vAnchor="text" w:hAnchor="page" w:x="1120" w:y="21"/>
              <w:widowControl w:val="0"/>
              <w:shd w:val="clear" w:color="auto" w:fill="auto"/>
              <w:bidi w:val="0"/>
              <w:spacing w:before="0" w:after="0" w:line="240" w:lineRule="auto"/>
              <w:ind w:left="0" w:right="0" w:firstLine="0"/>
              <w:jc w:val="both"/>
            </w:pPr>
            <w:r>
              <w:rPr>
                <w:color w:val="000000"/>
                <w:spacing w:val="0"/>
                <w:w w:val="100"/>
                <w:position w:val="0"/>
              </w:rPr>
              <w:t>实际发生额</w:t>
            </w:r>
          </w:p>
        </w:tc>
      </w:tr>
      <w:tr>
        <w:trPr>
          <w:trHeight w:val="1027" w:hRule="exact"/>
        </w:trPr>
        <w:tc>
          <w:tcPr>
            <w:gridSpan w:val="2"/>
            <w:tcBorders>
              <w:top w:val="single" w:sz="4"/>
              <w:left w:val="single" w:sz="4"/>
            </w:tcBorders>
            <w:shd w:val="clear" w:color="auto" w:fill="D3D3D3"/>
            <w:vAlign w:val="center"/>
          </w:tcPr>
          <w:p>
            <w:pPr>
              <w:pStyle w:val="Style2"/>
              <w:keepNext w:val="0"/>
              <w:keepLines w:val="0"/>
              <w:framePr w:w="4675" w:h="12768" w:wrap="none" w:vAnchor="text" w:hAnchor="page" w:x="1120" w:y="21"/>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
              <w:keepNext w:val="0"/>
              <w:keepLines w:val="0"/>
              <w:framePr w:w="4675" w:h="12768" w:wrap="none" w:vAnchor="text" w:hAnchor="page" w:x="1120" w:y="21"/>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
              <w:keepNext w:val="0"/>
              <w:keepLines w:val="0"/>
              <w:framePr w:w="4675" w:h="12768" w:wrap="none" w:vAnchor="text" w:hAnchor="page" w:x="1120" w:y="21"/>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framePr w:w="4675" w:h="12768" w:wrap="none" w:vAnchor="text" w:hAnchor="page" w:x="1120"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139,200</w:t>
            </w:r>
          </w:p>
        </w:tc>
        <w:tc>
          <w:tcPr>
            <w:tcBorders>
              <w:top w:val="single" w:sz="4"/>
              <w:left w:val="single" w:sz="4"/>
            </w:tcBorders>
            <w:shd w:val="clear" w:color="auto" w:fill="D3D3D3"/>
            <w:vAlign w:val="center"/>
          </w:tcPr>
          <w:p>
            <w:pPr>
              <w:pStyle w:val="Style2"/>
              <w:keepNext w:val="0"/>
              <w:keepLines w:val="0"/>
              <w:framePr w:w="4675" w:h="12768" w:wrap="none" w:vAnchor="text" w:hAnchor="page" w:x="1120" w:y="21"/>
              <w:widowControl w:val="0"/>
              <w:shd w:val="clear" w:color="auto" w:fill="auto"/>
              <w:bidi w:val="0"/>
              <w:spacing w:before="0" w:after="120" w:line="240" w:lineRule="auto"/>
              <w:ind w:left="0" w:right="0" w:firstLine="0"/>
              <w:jc w:val="both"/>
            </w:pPr>
            <w:r>
              <w:rPr>
                <w:color w:val="000000"/>
                <w:spacing w:val="0"/>
                <w:w w:val="100"/>
                <w:position w:val="0"/>
              </w:rPr>
              <w:t>报告期末对</w:t>
            </w:r>
          </w:p>
          <w:p>
            <w:pPr>
              <w:pStyle w:val="Style2"/>
              <w:keepNext w:val="0"/>
              <w:keepLines w:val="0"/>
              <w:framePr w:w="4675" w:h="12768" w:wrap="none" w:vAnchor="text" w:hAnchor="page" w:x="1120" w:y="21"/>
              <w:widowControl w:val="0"/>
              <w:shd w:val="clear" w:color="auto" w:fill="auto"/>
              <w:bidi w:val="0"/>
              <w:spacing w:before="0" w:after="0" w:line="240" w:lineRule="auto"/>
              <w:ind w:left="0" w:right="0" w:firstLine="0"/>
              <w:jc w:val="both"/>
            </w:pPr>
            <w:r>
              <w:rPr>
                <w:color w:val="000000"/>
                <w:spacing w:val="0"/>
                <w:w w:val="100"/>
                <w:position w:val="0"/>
              </w:rPr>
              <w:t>担保余额合</w:t>
            </w:r>
          </w:p>
        </w:tc>
      </w:tr>
      <w:tr>
        <w:trPr>
          <w:trHeight w:val="403" w:hRule="exact"/>
        </w:trPr>
        <w:tc>
          <w:tcPr>
            <w:gridSpan w:val="6"/>
            <w:tcBorders>
              <w:top w:val="single" w:sz="4"/>
              <w:left w:val="single" w:sz="4"/>
            </w:tcBorders>
            <w:shd w:val="clear" w:color="auto" w:fill="D3D3D3"/>
            <w:vAlign w:val="center"/>
          </w:tcPr>
          <w:p>
            <w:pPr>
              <w:pStyle w:val="Style2"/>
              <w:keepNext w:val="0"/>
              <w:keepLines w:val="0"/>
              <w:framePr w:w="4675" w:h="12768" w:wrap="none" w:vAnchor="text" w:hAnchor="page" w:x="1120" w:y="21"/>
              <w:widowControl w:val="0"/>
              <w:shd w:val="clear" w:color="auto" w:fill="auto"/>
              <w:bidi w:val="0"/>
              <w:spacing w:before="0" w:after="0" w:line="240" w:lineRule="auto"/>
              <w:ind w:left="0" w:right="0" w:firstLine="0"/>
              <w:jc w:val="center"/>
            </w:pPr>
            <w:r>
              <w:rPr>
                <w:color w:val="000000"/>
                <w:spacing w:val="0"/>
                <w:w w:val="100"/>
                <w:position w:val="0"/>
              </w:rPr>
              <w:t>子公司对子，</w:t>
            </w:r>
          </w:p>
        </w:tc>
      </w:tr>
      <w:tr>
        <w:trPr>
          <w:trHeight w:val="1334" w:hRule="exact"/>
        </w:trPr>
        <w:tc>
          <w:tcPr>
            <w:tcBorders>
              <w:top w:val="single" w:sz="4"/>
              <w:left w:val="single" w:sz="4"/>
            </w:tcBorders>
            <w:shd w:val="clear" w:color="auto" w:fill="D3D3D3"/>
            <w:vAlign w:val="center"/>
          </w:tcPr>
          <w:p>
            <w:pPr>
              <w:pStyle w:val="Style2"/>
              <w:keepNext w:val="0"/>
              <w:keepLines w:val="0"/>
              <w:framePr w:w="4675" w:h="12768" w:wrap="none" w:vAnchor="text" w:hAnchor="page" w:x="1120" w:y="21"/>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framePr w:w="4675" w:h="12768" w:wrap="none" w:vAnchor="text" w:hAnchor="page" w:x="1120" w:y="21"/>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framePr w:w="4675" w:h="12768" w:wrap="none" w:vAnchor="text" w:hAnchor="page" w:x="1120" w:y="21"/>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framePr w:w="4675" w:h="12768" w:wrap="none" w:vAnchor="text" w:hAnchor="page" w:x="1120" w:y="21"/>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framePr w:w="4675" w:h="12768"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framePr w:w="4675" w:h="12768" w:wrap="none" w:vAnchor="text" w:hAnchor="page" w:x="1120" w:y="21"/>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right w:val="single" w:sz="4"/>
            </w:tcBorders>
            <w:shd w:val="clear" w:color="auto" w:fill="D3D3D3"/>
            <w:vAlign w:val="center"/>
          </w:tcPr>
          <w:p>
            <w:pPr>
              <w:pStyle w:val="Style2"/>
              <w:keepNext w:val="0"/>
              <w:keepLines w:val="0"/>
              <w:framePr w:w="4675" w:h="12768" w:wrap="none" w:vAnchor="text" w:hAnchor="page" w:x="1120" w:y="21"/>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r>
      <w:tr>
        <w:trPr>
          <w:trHeight w:val="403" w:hRule="exact"/>
        </w:trPr>
        <w:tc>
          <w:tcPr>
            <w:gridSpan w:val="6"/>
            <w:tcBorders>
              <w:top w:val="single" w:sz="4"/>
              <w:left w:val="single" w:sz="4"/>
            </w:tcBorders>
            <w:shd w:val="clear" w:color="auto" w:fill="D3D3D3"/>
            <w:vAlign w:val="center"/>
          </w:tcPr>
          <w:p>
            <w:pPr>
              <w:pStyle w:val="Style2"/>
              <w:keepNext w:val="0"/>
              <w:keepLines w:val="0"/>
              <w:framePr w:w="4675" w:h="12768"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
              <w:keepNext w:val="0"/>
              <w:keepLines w:val="0"/>
              <w:framePr w:w="4675" w:h="12768" w:wrap="none" w:vAnchor="text" w:hAnchor="page" w:x="1120" w:y="21"/>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framePr w:w="4675" w:h="12768"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framePr w:w="4675" w:h="12768" w:wrap="none" w:vAnchor="text" w:hAnchor="page" w:x="1120"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84,200</w:t>
            </w:r>
          </w:p>
        </w:tc>
        <w:tc>
          <w:tcPr>
            <w:tcBorders>
              <w:top w:val="single" w:sz="4"/>
              <w:left w:val="single" w:sz="4"/>
            </w:tcBorders>
            <w:shd w:val="clear" w:color="auto" w:fill="D3D3D3"/>
            <w:vAlign w:val="center"/>
          </w:tcPr>
          <w:p>
            <w:pPr>
              <w:pStyle w:val="Style2"/>
              <w:keepNext w:val="0"/>
              <w:keepLines w:val="0"/>
              <w:framePr w:w="4675" w:h="12768" w:wrap="none" w:vAnchor="text" w:hAnchor="page" w:x="1120" w:y="21"/>
              <w:widowControl w:val="0"/>
              <w:shd w:val="clear" w:color="auto" w:fill="auto"/>
              <w:bidi w:val="0"/>
              <w:spacing w:before="0" w:after="100" w:line="240" w:lineRule="auto"/>
              <w:ind w:left="0" w:right="0" w:firstLine="0"/>
              <w:jc w:val="both"/>
            </w:pPr>
            <w:r>
              <w:rPr>
                <w:color w:val="000000"/>
                <w:spacing w:val="0"/>
                <w:w w:val="100"/>
                <w:position w:val="0"/>
              </w:rPr>
              <w:t>报告期内担</w:t>
            </w:r>
          </w:p>
          <w:p>
            <w:pPr>
              <w:pStyle w:val="Style2"/>
              <w:keepNext w:val="0"/>
              <w:keepLines w:val="0"/>
              <w:framePr w:w="4675" w:h="12768" w:wrap="none" w:vAnchor="text" w:hAnchor="page" w:x="1120" w:y="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A2</w:t>
            </w:r>
          </w:p>
        </w:tc>
      </w:tr>
      <w:tr>
        <w:trPr>
          <w:trHeight w:val="715" w:hRule="exact"/>
        </w:trPr>
        <w:tc>
          <w:tcPr>
            <w:gridSpan w:val="3"/>
            <w:tcBorders>
              <w:top w:val="single" w:sz="4"/>
              <w:left w:val="single" w:sz="4"/>
            </w:tcBorders>
            <w:shd w:val="clear" w:color="auto" w:fill="D3D3D3"/>
            <w:vAlign w:val="center"/>
          </w:tcPr>
          <w:p>
            <w:pPr>
              <w:pStyle w:val="Style2"/>
              <w:keepNext w:val="0"/>
              <w:keepLines w:val="0"/>
              <w:framePr w:w="4675" w:h="12768" w:wrap="none" w:vAnchor="text" w:hAnchor="page" w:x="1120" w:y="21"/>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
              <w:keepNext w:val="0"/>
              <w:keepLines w:val="0"/>
              <w:framePr w:w="4675" w:h="12768"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framePr w:w="4675" w:h="12768" w:wrap="none" w:vAnchor="text" w:hAnchor="page" w:x="1120"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139,200</w:t>
            </w:r>
          </w:p>
        </w:tc>
        <w:tc>
          <w:tcPr>
            <w:tcBorders>
              <w:top w:val="single" w:sz="4"/>
              <w:left w:val="single" w:sz="4"/>
            </w:tcBorders>
            <w:shd w:val="clear" w:color="auto" w:fill="D3D3D3"/>
            <w:vAlign w:val="center"/>
          </w:tcPr>
          <w:p>
            <w:pPr>
              <w:pStyle w:val="Style2"/>
              <w:keepNext w:val="0"/>
              <w:keepLines w:val="0"/>
              <w:framePr w:w="4675" w:h="12768" w:wrap="none" w:vAnchor="text" w:hAnchor="page" w:x="1120" w:y="21"/>
              <w:widowControl w:val="0"/>
              <w:shd w:val="clear" w:color="auto" w:fill="auto"/>
              <w:bidi w:val="0"/>
              <w:spacing w:before="0" w:after="100" w:line="240" w:lineRule="auto"/>
              <w:ind w:left="0" w:right="0" w:firstLine="0"/>
              <w:jc w:val="both"/>
            </w:pPr>
            <w:r>
              <w:rPr>
                <w:color w:val="000000"/>
                <w:spacing w:val="0"/>
                <w:w w:val="100"/>
                <w:position w:val="0"/>
              </w:rPr>
              <w:t>报告期末实</w:t>
            </w:r>
          </w:p>
          <w:p>
            <w:pPr>
              <w:pStyle w:val="Style2"/>
              <w:keepNext w:val="0"/>
              <w:keepLines w:val="0"/>
              <w:framePr w:w="4675" w:h="12768" w:wrap="none" w:vAnchor="text" w:hAnchor="page" w:x="1120" w:y="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A4+I</w:t>
            </w:r>
          </w:p>
        </w:tc>
      </w:tr>
      <w:tr>
        <w:trPr>
          <w:trHeight w:val="710" w:hRule="exact"/>
        </w:trPr>
        <w:tc>
          <w:tcPr>
            <w:gridSpan w:val="5"/>
            <w:tcBorders>
              <w:top w:val="single" w:sz="4"/>
              <w:left w:val="single" w:sz="4"/>
            </w:tcBorders>
            <w:shd w:val="clear" w:color="auto" w:fill="D3D3D3"/>
            <w:vAlign w:val="center"/>
          </w:tcPr>
          <w:p>
            <w:pPr>
              <w:pStyle w:val="Style2"/>
              <w:keepNext w:val="0"/>
              <w:keepLines w:val="0"/>
              <w:framePr w:w="4675" w:h="12768" w:wrap="none" w:vAnchor="text" w:hAnchor="page" w:x="1120" w:y="21"/>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 的比例</w:t>
            </w:r>
          </w:p>
        </w:tc>
        <w:tc>
          <w:tcPr>
            <w:tcBorders>
              <w:top w:val="single" w:sz="4"/>
              <w:left w:val="single" w:sz="4"/>
            </w:tcBorders>
            <w:shd w:val="clear" w:color="auto" w:fill="FFFFFF"/>
            <w:vAlign w:val="top"/>
          </w:tcPr>
          <w:p>
            <w:pPr>
              <w:framePr w:w="4675" w:h="12768" w:wrap="none" w:vAnchor="text" w:hAnchor="page" w:x="1120" w:y="21"/>
              <w:widowControl w:val="0"/>
              <w:rPr>
                <w:sz w:val="10"/>
                <w:szCs w:val="10"/>
              </w:rPr>
            </w:pPr>
          </w:p>
        </w:tc>
      </w:tr>
      <w:tr>
        <w:trPr>
          <w:trHeight w:val="413" w:hRule="exact"/>
        </w:trPr>
        <w:tc>
          <w:tcPr>
            <w:gridSpan w:val="6"/>
            <w:tcBorders>
              <w:top w:val="single" w:sz="4"/>
              <w:left w:val="single" w:sz="4"/>
              <w:bottom w:val="single" w:sz="4"/>
            </w:tcBorders>
            <w:shd w:val="clear" w:color="auto" w:fill="D3D3D3"/>
            <w:vAlign w:val="center"/>
          </w:tcPr>
          <w:p>
            <w:pPr>
              <w:pStyle w:val="Style2"/>
              <w:keepNext w:val="0"/>
              <w:keepLines w:val="0"/>
              <w:framePr w:w="4675" w:h="12768"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framePr w:w="4675" w:h="12768" w:wrap="none" w:vAnchor="text" w:hAnchor="page" w:x="1120" w:y="21"/>
        <w:widowControl w:val="0"/>
        <w:spacing w:line="1" w:lineRule="exact"/>
      </w:pPr>
    </w:p>
    <w:tbl>
      <w:tblPr>
        <w:tblOverlap w:val="never"/>
        <w:jc w:val="left"/>
        <w:tblLayout w:type="fixed"/>
      </w:tblPr>
      <w:tblGrid>
        <w:gridCol w:w="941"/>
        <w:gridCol w:w="931"/>
        <w:gridCol w:w="662"/>
        <w:gridCol w:w="797"/>
        <w:gridCol w:w="802"/>
        <w:gridCol w:w="802"/>
      </w:tblGrid>
      <w:tr>
        <w:trPr>
          <w:trHeight w:val="6331" w:hRule="exact"/>
        </w:trPr>
        <w:tc>
          <w:tcPr>
            <w:tcBorders>
              <w:top w:val="single" w:sz="4"/>
              <w:left w:val="single" w:sz="4"/>
            </w:tcBorders>
            <w:shd w:val="clear" w:color="auto" w:fill="FFFFFF"/>
            <w:vAlign w:val="center"/>
          </w:tcPr>
          <w:p>
            <w:pPr>
              <w:pStyle w:val="Style2"/>
              <w:keepNext w:val="0"/>
              <w:keepLines w:val="0"/>
              <w:framePr w:w="4934" w:h="12768" w:wrap="none" w:vAnchor="text" w:hAnchor="page" w:x="5776" w:y="21"/>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framePr w:w="4934" w:h="12768" w:wrap="none" w:vAnchor="text" w:hAnchor="page" w:x="5776" w:y="21"/>
              <w:widowControl w:val="0"/>
              <w:rPr>
                <w:sz w:val="10"/>
                <w:szCs w:val="10"/>
              </w:rPr>
            </w:pPr>
          </w:p>
        </w:tc>
        <w:tc>
          <w:tcPr>
            <w:tcBorders>
              <w:top w:val="single" w:sz="4"/>
              <w:left w:val="single" w:sz="4"/>
            </w:tcBorders>
            <w:shd w:val="clear" w:color="auto" w:fill="FFFFFF"/>
            <w:vAlign w:val="top"/>
          </w:tcPr>
          <w:p>
            <w:pPr>
              <w:framePr w:w="4934" w:h="12768" w:wrap="none" w:vAnchor="text" w:hAnchor="page" w:x="5776" w:y="21"/>
              <w:widowControl w:val="0"/>
              <w:rPr>
                <w:sz w:val="10"/>
                <w:szCs w:val="10"/>
              </w:rPr>
            </w:pPr>
          </w:p>
        </w:tc>
        <w:tc>
          <w:tcPr>
            <w:tcBorders>
              <w:top w:val="single" w:sz="4"/>
              <w:left w:val="single" w:sz="4"/>
            </w:tcBorders>
            <w:shd w:val="clear" w:color="auto" w:fill="FFFFFF"/>
            <w:vAlign w:val="center"/>
          </w:tcPr>
          <w:p>
            <w:pPr>
              <w:pStyle w:val="Style2"/>
              <w:keepNext w:val="0"/>
              <w:keepLines w:val="0"/>
              <w:framePr w:w="4934" w:h="12768" w:wrap="none" w:vAnchor="text" w:hAnchor="page" w:x="5776" w:y="21"/>
              <w:widowControl w:val="0"/>
              <w:shd w:val="clear" w:color="auto" w:fill="auto"/>
              <w:bidi w:val="0"/>
              <w:spacing w:before="0" w:after="0" w:line="312" w:lineRule="exact"/>
              <w:ind w:left="0" w:right="0" w:firstLine="0"/>
              <w:jc w:val="both"/>
            </w:pPr>
            <w:r>
              <w:rPr>
                <w:color w:val="000000"/>
                <w:spacing w:val="0"/>
                <w:w w:val="100"/>
                <w:position w:val="0"/>
              </w:rPr>
              <w:t>本合同项 下的保证 期间为主 合同项下 债务履行 期限届满 之日起三 年，即自 债务人依 具体业务 合同约定 的债务履 行期限届 满之日起 三年。每 一具体业 务合同项 下的保证 期间单独 计算。</w:t>
            </w:r>
          </w:p>
        </w:tc>
        <w:tc>
          <w:tcPr>
            <w:tcBorders>
              <w:top w:val="single" w:sz="4"/>
              <w:left w:val="single" w:sz="4"/>
            </w:tcBorders>
            <w:shd w:val="clear" w:color="auto" w:fill="FFFFFF"/>
            <w:vAlign w:val="center"/>
          </w:tcPr>
          <w:p>
            <w:pPr>
              <w:pStyle w:val="Style2"/>
              <w:keepNext w:val="0"/>
              <w:keepLines w:val="0"/>
              <w:framePr w:w="4934" w:h="12768" w:wrap="none" w:vAnchor="text" w:hAnchor="page" w:x="5776" w:y="21"/>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framePr w:w="4934" w:h="12768" w:wrap="none" w:vAnchor="text" w:hAnchor="page" w:x="5776" w:y="21"/>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tcBorders>
            <w:shd w:val="clear" w:color="auto" w:fill="D3D3D3"/>
            <w:vAlign w:val="center"/>
          </w:tcPr>
          <w:p>
            <w:pPr>
              <w:pStyle w:val="Style2"/>
              <w:keepNext w:val="0"/>
              <w:keepLines w:val="0"/>
              <w:framePr w:w="4934" w:h="12768" w:wrap="none" w:vAnchor="text" w:hAnchor="page" w:x="5776" w:y="21"/>
              <w:widowControl w:val="0"/>
              <w:shd w:val="clear" w:color="auto" w:fill="auto"/>
              <w:bidi w:val="0"/>
              <w:spacing w:before="0" w:after="100" w:line="240" w:lineRule="auto"/>
              <w:ind w:left="0" w:right="0" w:firstLine="0"/>
              <w:jc w:val="left"/>
            </w:pPr>
            <w:r>
              <w:rPr>
                <w:color w:val="000000"/>
                <w:spacing w:val="0"/>
                <w:w w:val="100"/>
                <w:position w:val="0"/>
              </w:rPr>
              <w:t>子公司担保</w:t>
            </w:r>
          </w:p>
          <w:p>
            <w:pPr>
              <w:pStyle w:val="Style2"/>
              <w:keepNext w:val="0"/>
              <w:keepLines w:val="0"/>
              <w:framePr w:w="4934" w:h="12768" w:wrap="none" w:vAnchor="text" w:hAnchor="page" w:x="5776" w:y="21"/>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framePr w:w="4934" w:h="12768" w:wrap="none" w:vAnchor="text" w:hAnchor="page" w:x="5776"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28,530.85</w:t>
            </w:r>
          </w:p>
        </w:tc>
      </w:tr>
      <w:tr>
        <w:trPr>
          <w:trHeight w:val="1027" w:hRule="exact"/>
        </w:trPr>
        <w:tc>
          <w:tcPr>
            <w:tcBorders>
              <w:top w:val="single" w:sz="4"/>
            </w:tcBorders>
            <w:shd w:val="clear" w:color="auto" w:fill="D3D3D3"/>
            <w:vAlign w:val="center"/>
          </w:tcPr>
          <w:p>
            <w:pPr>
              <w:pStyle w:val="Style2"/>
              <w:keepNext w:val="0"/>
              <w:keepLines w:val="0"/>
              <w:framePr w:w="4934" w:h="12768" w:wrap="none" w:vAnchor="text" w:hAnchor="page" w:x="5776" w:y="21"/>
              <w:widowControl w:val="0"/>
              <w:shd w:val="clear" w:color="auto" w:fill="auto"/>
              <w:bidi w:val="0"/>
              <w:spacing w:before="0" w:after="100" w:line="240" w:lineRule="auto"/>
              <w:ind w:left="0" w:right="0" w:firstLine="0"/>
              <w:jc w:val="left"/>
            </w:pPr>
            <w:r>
              <w:rPr>
                <w:color w:val="000000"/>
                <w:spacing w:val="0"/>
                <w:w w:val="100"/>
                <w:position w:val="0"/>
              </w:rPr>
              <w:t>子公司实际</w:t>
            </w:r>
          </w:p>
          <w:p>
            <w:pPr>
              <w:pStyle w:val="Style2"/>
              <w:keepNext w:val="0"/>
              <w:keepLines w:val="0"/>
              <w:framePr w:w="4934" w:h="12768" w:wrap="none" w:vAnchor="text" w:hAnchor="page" w:x="5776" w:y="21"/>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framePr w:w="4934" w:h="12768" w:wrap="none" w:vAnchor="text" w:hAnchor="page" w:x="5776"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28,990.97</w:t>
            </w:r>
          </w:p>
        </w:tc>
      </w:tr>
      <w:tr>
        <w:trPr>
          <w:trHeight w:val="403" w:hRule="exact"/>
        </w:trPr>
        <w:tc>
          <w:tcPr>
            <w:gridSpan w:val="6"/>
            <w:tcBorders>
              <w:top w:val="single" w:sz="4"/>
              <w:right w:val="single" w:sz="4"/>
            </w:tcBorders>
            <w:shd w:val="clear" w:color="auto" w:fill="D3D3D3"/>
            <w:vAlign w:val="center"/>
          </w:tcPr>
          <w:p>
            <w:pPr>
              <w:pStyle w:val="Style2"/>
              <w:keepNext w:val="0"/>
              <w:keepLines w:val="0"/>
              <w:framePr w:w="4934" w:h="12768" w:wrap="none" w:vAnchor="text" w:hAnchor="page" w:x="5776" w:y="21"/>
              <w:widowControl w:val="0"/>
              <w:shd w:val="clear" w:color="auto" w:fill="auto"/>
              <w:bidi w:val="0"/>
              <w:spacing w:before="0" w:after="0" w:line="240" w:lineRule="auto"/>
              <w:ind w:left="0" w:right="0" w:firstLine="0"/>
              <w:jc w:val="left"/>
            </w:pPr>
            <w:r>
              <w:rPr>
                <w:color w:val="000000"/>
                <w:spacing w:val="0"/>
                <w:w w:val="100"/>
                <w:position w:val="0"/>
              </w:rPr>
              <w:t>公司的担保情况</w:t>
            </w:r>
          </w:p>
        </w:tc>
      </w:tr>
      <w:tr>
        <w:trPr>
          <w:trHeight w:val="1334" w:hRule="exact"/>
        </w:trPr>
        <w:tc>
          <w:tcPr>
            <w:tcBorders>
              <w:top w:val="single" w:sz="4"/>
              <w:left w:val="single" w:sz="4"/>
            </w:tcBorders>
            <w:shd w:val="clear" w:color="auto" w:fill="D3D3D3"/>
            <w:vAlign w:val="center"/>
          </w:tcPr>
          <w:p>
            <w:pPr>
              <w:pStyle w:val="Style2"/>
              <w:keepNext w:val="0"/>
              <w:keepLines w:val="0"/>
              <w:framePr w:w="4934" w:h="12768" w:wrap="none" w:vAnchor="text" w:hAnchor="page" w:x="5776" w:y="21"/>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framePr w:w="4934" w:h="12768" w:wrap="none" w:vAnchor="text" w:hAnchor="page" w:x="5776" w:y="21"/>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
              <w:keepNext w:val="0"/>
              <w:keepLines w:val="0"/>
              <w:framePr w:w="4934" w:h="12768" w:wrap="none" w:vAnchor="text" w:hAnchor="page" w:x="5776" w:y="21"/>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framePr w:w="4934" w:h="12768" w:wrap="none" w:vAnchor="text" w:hAnchor="page" w:x="5776" w:y="21"/>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
              <w:keepNext w:val="0"/>
              <w:keepLines w:val="0"/>
              <w:framePr w:w="4934" w:h="12768" w:wrap="none" w:vAnchor="text" w:hAnchor="page" w:x="5776" w:y="21"/>
              <w:widowControl w:val="0"/>
              <w:shd w:val="clear" w:color="auto" w:fill="auto"/>
              <w:bidi w:val="0"/>
              <w:spacing w:before="0" w:after="120" w:line="240" w:lineRule="auto"/>
              <w:ind w:left="0" w:right="0" w:firstLine="140"/>
              <w:jc w:val="left"/>
            </w:pPr>
            <w:r>
              <w:rPr>
                <w:color w:val="000000"/>
                <w:spacing w:val="0"/>
                <w:w w:val="100"/>
                <w:position w:val="0"/>
              </w:rPr>
              <w:t>情况</w:t>
            </w:r>
          </w:p>
          <w:p>
            <w:pPr>
              <w:pStyle w:val="Style2"/>
              <w:keepNext w:val="0"/>
              <w:keepLines w:val="0"/>
              <w:framePr w:w="4934" w:h="12768" w:wrap="none" w:vAnchor="text" w:hAnchor="page" w:x="5776" w:y="21"/>
              <w:widowControl w:val="0"/>
              <w:shd w:val="clear" w:color="auto" w:fill="auto"/>
              <w:bidi w:val="0"/>
              <w:spacing w:before="0" w:after="120" w:line="240" w:lineRule="auto"/>
              <w:ind w:left="0" w:right="0" w:firstLine="140"/>
              <w:jc w:val="left"/>
            </w:pPr>
            <w:r>
              <w:rPr>
                <w:color w:val="000000"/>
                <w:spacing w:val="0"/>
                <w:w w:val="100"/>
                <w:position w:val="0"/>
              </w:rPr>
              <w:t>（如</w:t>
            </w:r>
          </w:p>
          <w:p>
            <w:pPr>
              <w:pStyle w:val="Style2"/>
              <w:keepNext w:val="0"/>
              <w:keepLines w:val="0"/>
              <w:framePr w:w="4934" w:h="12768" w:wrap="none" w:vAnchor="text" w:hAnchor="page" w:x="5776" w:y="21"/>
              <w:widowControl w:val="0"/>
              <w:shd w:val="clear" w:color="auto" w:fill="auto"/>
              <w:bidi w:val="0"/>
              <w:spacing w:before="0" w:after="12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framePr w:w="4934" w:h="12768" w:wrap="none" w:vAnchor="text" w:hAnchor="page" w:x="5776" w:y="21"/>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framePr w:w="4934" w:h="12768" w:wrap="none" w:vAnchor="text" w:hAnchor="page" w:x="5776" w:y="21"/>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framePr w:w="4934" w:h="12768" w:wrap="none" w:vAnchor="text" w:hAnchor="page" w:x="5776" w:y="21"/>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framePr w:w="4934" w:h="12768" w:wrap="none" w:vAnchor="text" w:hAnchor="page" w:x="5776" w:y="21"/>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6"/>
            <w:tcBorders>
              <w:top w:val="single" w:sz="4"/>
              <w:right w:val="single" w:sz="4"/>
            </w:tcBorders>
            <w:shd w:val="clear" w:color="auto" w:fill="D3D3D3"/>
            <w:vAlign w:val="top"/>
          </w:tcPr>
          <w:p>
            <w:pPr>
              <w:framePr w:w="4934" w:h="12768" w:wrap="none" w:vAnchor="text" w:hAnchor="page" w:x="5776" w:y="21"/>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framePr w:w="4934" w:h="12768" w:wrap="none" w:vAnchor="text" w:hAnchor="page" w:x="5776" w:y="21"/>
              <w:widowControl w:val="0"/>
              <w:shd w:val="clear" w:color="auto" w:fill="auto"/>
              <w:bidi w:val="0"/>
              <w:spacing w:before="0" w:after="100" w:line="240" w:lineRule="auto"/>
              <w:ind w:left="0" w:right="0" w:firstLine="0"/>
              <w:jc w:val="left"/>
            </w:pPr>
            <w:r>
              <w:rPr>
                <w:color w:val="000000"/>
                <w:spacing w:val="0"/>
                <w:w w:val="100"/>
                <w:position w:val="0"/>
              </w:rPr>
              <w:t>保实际发生</w:t>
            </w:r>
          </w:p>
          <w:p>
            <w:pPr>
              <w:pStyle w:val="Style2"/>
              <w:keepNext w:val="0"/>
              <w:keepLines w:val="0"/>
              <w:framePr w:w="4934" w:h="12768" w:wrap="none" w:vAnchor="text" w:hAnchor="page" w:x="5776"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framePr w:w="4934" w:h="12768" w:wrap="none" w:vAnchor="text" w:hAnchor="page" w:x="5776"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28,530.85</w:t>
            </w:r>
          </w:p>
        </w:tc>
      </w:tr>
      <w:tr>
        <w:trPr>
          <w:trHeight w:val="715" w:hRule="exact"/>
        </w:trPr>
        <w:tc>
          <w:tcPr>
            <w:tcBorders>
              <w:top w:val="single" w:sz="4"/>
            </w:tcBorders>
            <w:shd w:val="clear" w:color="auto" w:fill="D3D3D3"/>
            <w:vAlign w:val="center"/>
          </w:tcPr>
          <w:p>
            <w:pPr>
              <w:pStyle w:val="Style2"/>
              <w:keepNext w:val="0"/>
              <w:keepLines w:val="0"/>
              <w:framePr w:w="4934" w:h="12768" w:wrap="none" w:vAnchor="text" w:hAnchor="page" w:x="5776" w:y="21"/>
              <w:widowControl w:val="0"/>
              <w:shd w:val="clear" w:color="auto" w:fill="auto"/>
              <w:bidi w:val="0"/>
              <w:spacing w:before="0" w:after="100" w:line="240" w:lineRule="auto"/>
              <w:ind w:left="0" w:right="0" w:firstLine="0"/>
              <w:jc w:val="left"/>
            </w:pPr>
            <w:r>
              <w:rPr>
                <w:color w:val="000000"/>
                <w:spacing w:val="0"/>
                <w:w w:val="100"/>
                <w:position w:val="0"/>
              </w:rPr>
              <w:t>际担保余额</w:t>
            </w:r>
          </w:p>
          <w:p>
            <w:pPr>
              <w:pStyle w:val="Style2"/>
              <w:keepNext w:val="0"/>
              <w:keepLines w:val="0"/>
              <w:framePr w:w="4934" w:h="12768" w:wrap="none" w:vAnchor="text" w:hAnchor="page" w:x="5776"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framePr w:w="4934" w:h="12768" w:wrap="none" w:vAnchor="text" w:hAnchor="page" w:x="5776"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28,990.97</w:t>
            </w:r>
          </w:p>
        </w:tc>
      </w:tr>
      <w:tr>
        <w:trPr>
          <w:trHeight w:val="710" w:hRule="exact"/>
        </w:trPr>
        <w:tc>
          <w:tcPr>
            <w:gridSpan w:val="6"/>
            <w:tcBorders>
              <w:top w:val="single" w:sz="4"/>
              <w:right w:val="single" w:sz="4"/>
            </w:tcBorders>
            <w:shd w:val="clear" w:color="auto" w:fill="FFFFFF"/>
            <w:vAlign w:val="center"/>
          </w:tcPr>
          <w:p>
            <w:pPr>
              <w:pStyle w:val="Style2"/>
              <w:keepNext w:val="0"/>
              <w:keepLines w:val="0"/>
              <w:framePr w:w="4934" w:h="12768" w:wrap="none" w:vAnchor="text" w:hAnchor="page" w:x="5776"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w:t>
            </w:r>
          </w:p>
        </w:tc>
      </w:tr>
      <w:tr>
        <w:trPr>
          <w:trHeight w:val="413" w:hRule="exact"/>
        </w:trPr>
        <w:tc>
          <w:tcPr>
            <w:gridSpan w:val="6"/>
            <w:tcBorders>
              <w:top w:val="single" w:sz="4"/>
              <w:bottom w:val="single" w:sz="4"/>
              <w:right w:val="single" w:sz="4"/>
            </w:tcBorders>
            <w:shd w:val="clear" w:color="auto" w:fill="D3D3D3"/>
            <w:vAlign w:val="top"/>
          </w:tcPr>
          <w:p>
            <w:pPr>
              <w:framePr w:w="4934" w:h="12768" w:wrap="none" w:vAnchor="text" w:hAnchor="page" w:x="5776" w:y="21"/>
              <w:widowControl w:val="0"/>
              <w:rPr>
                <w:sz w:val="10"/>
                <w:szCs w:val="10"/>
              </w:rPr>
            </w:pPr>
          </w:p>
        </w:tc>
      </w:tr>
    </w:tbl>
    <w:p>
      <w:pPr>
        <w:framePr w:w="4934" w:h="12768" w:wrap="none" w:vAnchor="text" w:hAnchor="page" w:x="5776" w:y="21"/>
        <w:widowControl w:val="0"/>
        <w:spacing w:line="1" w:lineRule="exact"/>
      </w:pPr>
    </w:p>
    <w:p>
      <w:pPr>
        <w:pStyle w:val="Style27"/>
        <w:keepNext w:val="0"/>
        <w:keepLines w:val="0"/>
        <w:framePr w:w="2736" w:h="235" w:wrap="none" w:vAnchor="text" w:hAnchor="page" w:x="1110" w:y="12851"/>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4" w:line="1" w:lineRule="exact"/>
      </w:pPr>
    </w:p>
    <w:p>
      <w:pPr>
        <w:widowControl w:val="0"/>
        <w:spacing w:line="1" w:lineRule="exact"/>
        <w:sectPr>
          <w:footnotePr>
            <w:pos w:val="pageBottom"/>
            <w:numFmt w:val="decimal"/>
            <w:numRestart w:val="continuous"/>
          </w:footnotePr>
          <w:type w:val="continuous"/>
          <w:pgSz w:w="11900" w:h="16840"/>
          <w:pgMar w:top="1152" w:right="1138" w:bottom="1162" w:left="1109" w:header="0" w:footer="3" w:gutter="0"/>
          <w:cols w:space="720"/>
          <w:noEndnote/>
          <w:rtlGutter w:val="0"/>
          <w:docGrid w:linePitch="360"/>
        </w:sectPr>
      </w:pPr>
    </w:p>
    <w:p>
      <w:pPr>
        <w:pStyle w:val="Style31"/>
        <w:keepNext/>
        <w:keepLines/>
        <w:widowControl w:val="0"/>
        <w:shd w:val="clear" w:color="auto" w:fill="auto"/>
        <w:tabs>
          <w:tab w:pos="378" w:val="left"/>
        </w:tabs>
        <w:bidi w:val="0"/>
        <w:spacing w:before="0" w:after="38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3</w:t>
      </w:r>
      <w:bookmarkEnd w:id="575"/>
      <w:r>
        <w:rPr>
          <w:color w:val="000000"/>
          <w:spacing w:val="0"/>
          <w:w w:val="100"/>
          <w:position w:val="0"/>
        </w:rPr>
        <w:t>、</w:t>
        <w:tab/>
        <w:t>委托他人进行现金资产管理情况</w:t>
      </w:r>
      <w:bookmarkEnd w:id="573"/>
      <w:bookmarkEnd w:id="574"/>
      <w:bookmarkEnd w:id="576"/>
    </w:p>
    <w:p>
      <w:pPr>
        <w:pStyle w:val="Style40"/>
        <w:keepNext/>
        <w:keepLines/>
        <w:widowControl w:val="0"/>
        <w:numPr>
          <w:ilvl w:val="0"/>
          <w:numId w:val="39"/>
        </w:numPr>
        <w:shd w:val="clear" w:color="auto" w:fill="auto"/>
        <w:tabs>
          <w:tab w:pos="493" w:val="left"/>
        </w:tabs>
        <w:bidi w:val="0"/>
        <w:spacing w:before="0" w:line="240" w:lineRule="auto"/>
        <w:ind w:left="0" w:right="0" w:firstLine="0"/>
        <w:jc w:val="left"/>
      </w:pPr>
      <w:bookmarkStart w:id="577" w:name="bookmark577"/>
      <w:bookmarkStart w:id="578" w:name="bookmark578"/>
      <w:bookmarkStart w:id="579" w:name="bookmark579"/>
      <w:bookmarkStart w:id="580" w:name="bookmark580"/>
      <w:bookmarkEnd w:id="579"/>
      <w:r>
        <w:rPr>
          <w:color w:val="000000"/>
          <w:spacing w:val="0"/>
          <w:w w:val="100"/>
          <w:position w:val="0"/>
        </w:rPr>
        <w:t>委托理财情况</w:t>
      </w:r>
      <w:bookmarkEnd w:id="577"/>
      <w:bookmarkEnd w:id="578"/>
      <w:bookmarkEnd w:id="580"/>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40"/>
        <w:keepNext/>
        <w:keepLines/>
        <w:widowControl w:val="0"/>
        <w:numPr>
          <w:ilvl w:val="0"/>
          <w:numId w:val="39"/>
        </w:numPr>
        <w:shd w:val="clear" w:color="auto" w:fill="auto"/>
        <w:tabs>
          <w:tab w:pos="493" w:val="left"/>
        </w:tabs>
        <w:bidi w:val="0"/>
        <w:spacing w:before="0" w:line="240" w:lineRule="auto"/>
        <w:ind w:left="0" w:right="0" w:firstLine="0"/>
        <w:jc w:val="left"/>
      </w:pPr>
      <w:bookmarkStart w:id="581" w:name="bookmark581"/>
      <w:bookmarkStart w:id="582" w:name="bookmark582"/>
      <w:bookmarkStart w:id="583" w:name="bookmark583"/>
      <w:bookmarkStart w:id="584" w:name="bookmark584"/>
      <w:bookmarkEnd w:id="583"/>
      <w:r>
        <w:rPr>
          <w:color w:val="000000"/>
          <w:spacing w:val="0"/>
          <w:w w:val="100"/>
          <w:position w:val="0"/>
        </w:rPr>
        <w:t>委托贷款情况</w:t>
      </w:r>
      <w:bookmarkEnd w:id="581"/>
      <w:bookmarkEnd w:id="582"/>
      <w:bookmarkEnd w:id="58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4</w:t>
      </w:r>
      <w:bookmarkEnd w:id="587"/>
      <w:r>
        <w:rPr>
          <w:color w:val="000000"/>
          <w:spacing w:val="0"/>
          <w:w w:val="100"/>
          <w:position w:val="0"/>
        </w:rPr>
        <w:t>、</w:t>
        <w:tab/>
        <w:t>其他重大合同</w:t>
      </w:r>
      <w:bookmarkEnd w:id="585"/>
      <w:bookmarkEnd w:id="586"/>
      <w:bookmarkEnd w:id="58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380" w:line="240" w:lineRule="auto"/>
        <w:ind w:left="0" w:right="0" w:firstLine="0"/>
        <w:jc w:val="left"/>
      </w:pPr>
      <w:bookmarkStart w:id="589" w:name="bookmark589"/>
      <w:bookmarkStart w:id="590" w:name="bookmark590"/>
      <w:bookmarkStart w:id="591" w:name="bookmark591"/>
      <w:r>
        <w:rPr>
          <w:color w:val="000000"/>
          <w:spacing w:val="0"/>
          <w:w w:val="100"/>
          <w:position w:val="0"/>
        </w:rPr>
        <w:t>十六、其他重大事项的说明</w:t>
      </w:r>
      <w:bookmarkEnd w:id="589"/>
      <w:bookmarkEnd w:id="590"/>
      <w:bookmarkEnd w:id="591"/>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5410"/>
        <w:gridCol w:w="2107"/>
        <w:gridCol w:w="2160"/>
      </w:tblGrid>
      <w:tr>
        <w:trPr>
          <w:trHeight w:val="78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重要事项概述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center"/>
              <w:rPr>
                <w:sz w:val="20"/>
                <w:szCs w:val="20"/>
              </w:rPr>
            </w:pPr>
            <w:r>
              <w:rPr>
                <w:color w:val="000000"/>
                <w:spacing w:val="0"/>
                <w:w w:val="100"/>
                <w:position w:val="0"/>
                <w:sz w:val="20"/>
                <w:szCs w:val="20"/>
              </w:rPr>
              <w:t>临时报告披露网站 查询索引</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关于收到深圳证券交易所中止审核通知的公告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关于发行股份及支付现金购买资产并募集配套资金申请恢 复审核的公告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关于终止发行股份及支付现金购买资产并募集配套资金暨 关联交易事项并撤回申请文件的公告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红相股份有限公司关于终止资产重组事项相关内幕信息知 情人自查期间买卖公司股票情况的自查报告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红相股份有限公司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年度业绩预告修正公告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关于董事会换届选举的公告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关于监事会换届选举的公告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关于选举产生第五届监事会职工代表监事的公告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红相股份有限公司可转换公司债券付息公告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巨潮资讯网</w:t>
            </w:r>
          </w:p>
        </w:tc>
      </w:tr>
    </w:tbl>
    <w:p>
      <w:pPr>
        <w:widowControl w:val="0"/>
        <w:spacing w:line="1" w:lineRule="exact"/>
      </w:pPr>
      <w:r>
        <w:br w:type="page"/>
      </w:r>
    </w:p>
    <w:tbl>
      <w:tblPr>
        <w:tblOverlap w:val="never"/>
        <w:jc w:val="center"/>
        <w:tblLayout w:type="fixed"/>
      </w:tblPr>
      <w:tblGrid>
        <w:gridCol w:w="5410"/>
        <w:gridCol w:w="2107"/>
        <w:gridCol w:w="2160"/>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红相股份有限公司关于变更签字注册会计师的公告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红相股份有限公司关于控股股东减持股份比例达到</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的公 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红相股份有限公司关于完成董事会换届选举的公告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红相股份有限公司关于完成监事会换届选举的公告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红相股份有限公司关于聘任公司高级管理人员、证券事务代 表及内部审计部经理的公告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红相股份有限公司关于筹划出售资产的提示性公告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年第一季度可转换公司债券转股情况公告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关于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年度利润分配预案的公告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关于公司、各子公司为子公司、孙公司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年度申请综合授 信提供担保的公告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关于公司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年度申请综合授信额度的公告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关于变更经营范围暨修订《公司章程》的公告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关于全资子公司收到《中标通知书》的公告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关于会计政策变更的公告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关于完成工商变更登记的公告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关于红相转债暂停转股的提示性公告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关于可转债转股价格调整的公告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年年度权益分派实施公告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关于红相转债恢复转股的提示性公告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bl>
    <w:p>
      <w:pPr>
        <w:widowControl w:val="0"/>
        <w:spacing w:line="1" w:lineRule="exact"/>
      </w:pPr>
      <w:r>
        <w:br w:type="page"/>
      </w:r>
    </w:p>
    <w:tbl>
      <w:tblPr>
        <w:tblOverlap w:val="never"/>
        <w:jc w:val="center"/>
        <w:tblLayout w:type="fixed"/>
      </w:tblPr>
      <w:tblGrid>
        <w:gridCol w:w="5410"/>
        <w:gridCol w:w="2107"/>
        <w:gridCol w:w="2160"/>
      </w:tblGrid>
      <w:tr>
        <w:trPr>
          <w:trHeight w:val="7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公开发行可转换公司债券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年跟踪评级报告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关于全资子公司中标项目签署合同的进展公告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关于控股股东、实际控制人减持股份的预披露公告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关于全资子公司签订重大合同的进展公告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关于控股股东、实际控制人减持股份比例达到</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关于出售孙公司中宁县银变新能源有限公司</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股权的公 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关于出售孙公司中宁县银变新能源有限公司</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股权进展 暨完成过户的公告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关于发行股份及支付现金购买资产部分限售股份解除限售 上市流通的提示性公告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关于获得政府补助的公告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红相股份有限公司关于续聘公司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年度审计机构的公告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关于控股股东、实际控制人减持股份比例达到</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关于全资子公司投资建设年产</w:t>
            </w:r>
            <w:r>
              <w:rPr>
                <w:rFonts w:ascii="Times New Roman" w:eastAsia="Times New Roman" w:hAnsi="Times New Roman" w:cs="Times New Roman"/>
                <w:color w:val="000000"/>
                <w:spacing w:val="0"/>
                <w:w w:val="100"/>
                <w:position w:val="0"/>
                <w:sz w:val="20"/>
                <w:szCs w:val="20"/>
              </w:rPr>
              <w:t>1,500</w:t>
            </w:r>
            <w:r>
              <w:rPr>
                <w:color w:val="000000"/>
                <w:spacing w:val="0"/>
                <w:w w:val="100"/>
                <w:position w:val="0"/>
                <w:sz w:val="20"/>
                <w:szCs w:val="20"/>
              </w:rPr>
              <w:t>套配网智能成套设备及 承装电力设施工程技改项目的公告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关于调整部分募集资金投资项目实施进度的公告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关于全资子公司签订重大合同的进展公告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关于披露简式权益变动报告书的提示性公告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bl>
    <w:p>
      <w:pPr>
        <w:widowControl w:val="0"/>
        <w:spacing w:after="639" w:line="1" w:lineRule="exact"/>
      </w:pPr>
    </w:p>
    <w:p>
      <w:pPr>
        <w:pStyle w:val="Style23"/>
        <w:keepNext/>
        <w:keepLines/>
        <w:widowControl w:val="0"/>
        <w:shd w:val="clear" w:color="auto" w:fill="auto"/>
        <w:bidi w:val="0"/>
        <w:spacing w:before="0" w:after="380" w:line="240" w:lineRule="auto"/>
        <w:ind w:left="0" w:right="0" w:firstLine="0"/>
        <w:jc w:val="left"/>
      </w:pPr>
      <w:bookmarkStart w:id="592" w:name="bookmark592"/>
      <w:bookmarkStart w:id="593" w:name="bookmark593"/>
      <w:bookmarkStart w:id="594" w:name="bookmark594"/>
      <w:r>
        <w:rPr>
          <w:color w:val="000000"/>
          <w:spacing w:val="0"/>
          <w:w w:val="100"/>
          <w:position w:val="0"/>
        </w:rPr>
        <w:t>十七、公司子公司重大事项</w:t>
      </w:r>
      <w:bookmarkEnd w:id="592"/>
      <w:bookmarkEnd w:id="593"/>
      <w:bookmarkEnd w:id="594"/>
    </w:p>
    <w:p>
      <w:pPr>
        <w:pStyle w:val="Style27"/>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9"/>
        <w:keepNext/>
        <w:keepLines/>
        <w:widowControl w:val="0"/>
        <w:shd w:val="clear" w:color="auto" w:fill="auto"/>
        <w:bidi w:val="0"/>
        <w:spacing w:before="0" w:line="240" w:lineRule="auto"/>
        <w:ind w:left="0" w:right="0" w:firstLine="0"/>
        <w:jc w:val="center"/>
      </w:pPr>
      <w:bookmarkStart w:id="595" w:name="bookmark595"/>
      <w:bookmarkStart w:id="596" w:name="bookmark596"/>
      <w:bookmarkStart w:id="597" w:name="bookmark597"/>
      <w:r>
        <w:rPr>
          <w:color w:val="000000"/>
          <w:spacing w:val="0"/>
          <w:w w:val="100"/>
          <w:position w:val="0"/>
        </w:rPr>
        <w:t>第七节股份变动及股东情况</w:t>
      </w:r>
      <w:bookmarkEnd w:id="595"/>
      <w:bookmarkEnd w:id="596"/>
      <w:bookmarkEnd w:id="597"/>
    </w:p>
    <w:p>
      <w:pPr>
        <w:pStyle w:val="Style23"/>
        <w:keepNext/>
        <w:keepLines/>
        <w:widowControl w:val="0"/>
        <w:shd w:val="clear" w:color="auto" w:fill="auto"/>
        <w:bidi w:val="0"/>
        <w:spacing w:before="0" w:line="240" w:lineRule="auto"/>
        <w:ind w:left="0" w:right="0" w:firstLine="0"/>
        <w:jc w:val="left"/>
      </w:pPr>
      <w:bookmarkStart w:id="598" w:name="bookmark598"/>
      <w:bookmarkStart w:id="599" w:name="bookmark599"/>
      <w:bookmarkStart w:id="600" w:name="bookmark600"/>
      <w:bookmarkStart w:id="601" w:name="bookmark601"/>
      <w:bookmarkStart w:id="602" w:name="bookmark602"/>
      <w:r>
        <w:rPr>
          <w:color w:val="000000"/>
          <w:spacing w:val="0"/>
          <w:w w:val="100"/>
          <w:position w:val="0"/>
        </w:rPr>
        <w:t>一</w:t>
      </w:r>
      <w:bookmarkEnd w:id="601"/>
      <w:r>
        <w:rPr>
          <w:color w:val="000000"/>
          <w:spacing w:val="0"/>
          <w:w w:val="100"/>
          <w:position w:val="0"/>
        </w:rPr>
        <w:t>、股份变动情况</w:t>
      </w:r>
      <w:bookmarkEnd w:id="599"/>
      <w:bookmarkEnd w:id="600"/>
      <w:bookmarkEnd w:id="602"/>
      <w:bookmarkEnd w:id="598"/>
    </w:p>
    <w:p>
      <w:pPr>
        <w:pStyle w:val="Style31"/>
        <w:keepNext/>
        <w:keepLines/>
        <w:widowControl w:val="0"/>
        <w:shd w:val="clear" w:color="auto" w:fill="auto"/>
        <w:bidi w:val="0"/>
        <w:spacing w:before="0" w:after="360" w:line="240" w:lineRule="auto"/>
        <w:ind w:left="0" w:right="0" w:firstLine="0"/>
        <w:jc w:val="both"/>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1</w:t>
      </w:r>
      <w:bookmarkEnd w:id="605"/>
      <w:r>
        <w:rPr>
          <w:color w:val="000000"/>
          <w:spacing w:val="0"/>
          <w:w w:val="100"/>
          <w:position w:val="0"/>
        </w:rPr>
        <w:t>、股份变动情况</w:t>
      </w:r>
      <w:bookmarkEnd w:id="603"/>
      <w:bookmarkEnd w:id="604"/>
      <w:bookmarkEnd w:id="606"/>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42,718,44</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-2,420,64</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40,297,79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42,718,44</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-2,420,64</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40,297,79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1,329,720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41,388,72</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-1,850,76</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39,537,95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317,503,2</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319,926,3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317,503,2</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319,926,3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360,221,6</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360,224,1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2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after="240" w:line="314"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、经中国证监会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[2020]136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文核准，公司于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日公开发行了</w:t>
      </w:r>
      <w:r>
        <w:rPr>
          <w:rFonts w:ascii="Times New Roman" w:eastAsia="Times New Roman" w:hAnsi="Times New Roman" w:cs="Times New Roman"/>
          <w:color w:val="000000"/>
          <w:spacing w:val="0"/>
          <w:w w:val="100"/>
          <w:position w:val="0"/>
        </w:rPr>
        <w:t>585</w:t>
      </w:r>
      <w:r>
        <w:rPr>
          <w:color w:val="000000"/>
          <w:spacing w:val="0"/>
          <w:w w:val="100"/>
          <w:position w:val="0"/>
        </w:rPr>
        <w:t>万张可转换公 司债券，根据《红相股份创业板公开发行可转换公司债券募集说明书》等相关规定，公司可转换债券于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日起开始转股，本报告期内累计转股数量为</w:t>
      </w:r>
      <w:r>
        <w:rPr>
          <w:rFonts w:ascii="Times New Roman" w:eastAsia="Times New Roman" w:hAnsi="Times New Roman" w:cs="Times New Roman"/>
          <w:color w:val="000000"/>
          <w:spacing w:val="0"/>
          <w:w w:val="100"/>
          <w:position w:val="0"/>
        </w:rPr>
        <w:t>2,441</w:t>
      </w:r>
      <w:r>
        <w:rPr>
          <w:color w:val="000000"/>
          <w:spacing w:val="0"/>
          <w:w w:val="100"/>
          <w:position w:val="0"/>
        </w:rPr>
        <w:t>股。</w:t>
      </w:r>
    </w:p>
    <w:p>
      <w:pPr>
        <w:pStyle w:val="Style11"/>
        <w:keepNext w:val="0"/>
        <w:keepLines w:val="0"/>
        <w:widowControl w:val="0"/>
        <w:shd w:val="clear" w:color="auto" w:fill="auto"/>
        <w:tabs>
          <w:tab w:pos="1070" w:val="left"/>
        </w:tabs>
        <w:bidi w:val="0"/>
        <w:spacing w:before="0" w:after="0" w:line="314" w:lineRule="exact"/>
        <w:ind w:left="280" w:right="0" w:firstLine="420"/>
        <w:jc w:val="both"/>
      </w:pPr>
      <w:bookmarkStart w:id="607" w:name="bookmark607"/>
      <w:r>
        <w:rPr>
          <w:rFonts w:ascii="Times New Roman" w:eastAsia="Times New Roman" w:hAnsi="Times New Roman" w:cs="Times New Roman"/>
          <w:color w:val="000000"/>
          <w:spacing w:val="0"/>
          <w:w w:val="100"/>
          <w:position w:val="0"/>
        </w:rPr>
        <w:t>2</w:t>
      </w:r>
      <w:bookmarkEnd w:id="607"/>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日，公司共有</w:t>
      </w:r>
      <w:r>
        <w:rPr>
          <w:rFonts w:ascii="Times New Roman" w:eastAsia="Times New Roman" w:hAnsi="Times New Roman" w:cs="Times New Roman"/>
          <w:color w:val="000000"/>
          <w:spacing w:val="0"/>
          <w:w w:val="100"/>
          <w:position w:val="0"/>
        </w:rPr>
        <w:t>19</w:t>
      </w:r>
      <w:r>
        <w:rPr>
          <w:color w:val="000000"/>
          <w:spacing w:val="0"/>
          <w:w w:val="100"/>
          <w:position w:val="0"/>
        </w:rPr>
        <w:t>名首发后限售股股东解除限售股份</w:t>
      </w:r>
      <w:r>
        <w:rPr>
          <w:rFonts w:ascii="Times New Roman" w:eastAsia="Times New Roman" w:hAnsi="Times New Roman" w:cs="Times New Roman"/>
          <w:color w:val="000000"/>
          <w:spacing w:val="0"/>
          <w:w w:val="100"/>
          <w:position w:val="0"/>
        </w:rPr>
        <w:t>3,162,637</w:t>
      </w:r>
      <w:r>
        <w:rPr>
          <w:color w:val="000000"/>
          <w:spacing w:val="0"/>
          <w:w w:val="100"/>
          <w:position w:val="0"/>
        </w:rPr>
        <w:t>股，即首发后限售股股 份减少</w:t>
      </w:r>
      <w:r>
        <w:rPr>
          <w:rFonts w:ascii="Times New Roman" w:eastAsia="Times New Roman" w:hAnsi="Times New Roman" w:cs="Times New Roman"/>
          <w:color w:val="000000"/>
          <w:spacing w:val="0"/>
          <w:w w:val="100"/>
          <w:position w:val="0"/>
        </w:rPr>
        <w:t>3,162,637</w:t>
      </w:r>
      <w:r>
        <w:rPr>
          <w:color w:val="000000"/>
          <w:spacing w:val="0"/>
          <w:w w:val="100"/>
          <w:position w:val="0"/>
        </w:rPr>
        <w:t>股。具体内容详见公司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日在巨潮资讯网披露的《关于发行股份及支付现金购 买资产部分限售股份解除限售上市流通的提示性公告》（公告编号：</w:t>
      </w:r>
      <w:r>
        <w:rPr>
          <w:rFonts w:ascii="Times New Roman" w:eastAsia="Times New Roman" w:hAnsi="Times New Roman" w:cs="Times New Roman"/>
          <w:color w:val="000000"/>
          <w:spacing w:val="0"/>
          <w:w w:val="100"/>
          <w:position w:val="0"/>
        </w:rPr>
        <w:t>2021-091</w:t>
      </w:r>
      <w:r>
        <w:rPr>
          <w:color w:val="000000"/>
          <w:spacing w:val="0"/>
          <w:w w:val="100"/>
          <w:position w:val="0"/>
        </w:rPr>
        <w:t>）。</w:t>
      </w:r>
    </w:p>
    <w:p>
      <w:pPr>
        <w:pStyle w:val="Style11"/>
        <w:keepNext w:val="0"/>
        <w:keepLines w:val="0"/>
        <w:widowControl w:val="0"/>
        <w:shd w:val="clear" w:color="auto" w:fill="auto"/>
        <w:tabs>
          <w:tab w:pos="1070" w:val="left"/>
        </w:tabs>
        <w:bidi w:val="0"/>
        <w:spacing w:before="0" w:after="460" w:line="314" w:lineRule="exact"/>
        <w:ind w:left="280" w:right="0" w:firstLine="420"/>
        <w:jc w:val="both"/>
      </w:pPr>
      <w:bookmarkStart w:id="608" w:name="bookmark608"/>
      <w:r>
        <w:rPr>
          <w:rFonts w:ascii="Times New Roman" w:eastAsia="Times New Roman" w:hAnsi="Times New Roman" w:cs="Times New Roman"/>
          <w:color w:val="000000"/>
          <w:spacing w:val="0"/>
          <w:w w:val="100"/>
          <w:position w:val="0"/>
        </w:rPr>
        <w:t>3</w:t>
      </w:r>
      <w:bookmarkEnd w:id="608"/>
      <w:r>
        <w:rPr>
          <w:color w:val="000000"/>
          <w:spacing w:val="0"/>
          <w:w w:val="100"/>
          <w:position w:val="0"/>
        </w:rPr>
        <w:t>、</w:t>
        <w:tab/>
        <w:t>因董事吴志阳于</w:t>
      </w:r>
      <w:r>
        <w:rPr>
          <w:rFonts w:ascii="Times New Roman" w:eastAsia="Times New Roman" w:hAnsi="Times New Roman" w:cs="Times New Roman"/>
          <w:color w:val="000000"/>
          <w:spacing w:val="0"/>
          <w:w w:val="100"/>
          <w:position w:val="0"/>
        </w:rPr>
        <w:t>2020</w:t>
      </w:r>
      <w:r>
        <w:rPr>
          <w:color w:val="000000"/>
          <w:spacing w:val="0"/>
          <w:w w:val="100"/>
          <w:position w:val="0"/>
        </w:rPr>
        <w:t>年累计减持</w:t>
      </w:r>
      <w:r>
        <w:rPr>
          <w:rFonts w:ascii="Times New Roman" w:eastAsia="Times New Roman" w:hAnsi="Times New Roman" w:cs="Times New Roman"/>
          <w:color w:val="000000"/>
          <w:spacing w:val="0"/>
          <w:w w:val="100"/>
          <w:position w:val="0"/>
        </w:rPr>
        <w:t>170</w:t>
      </w:r>
      <w:r>
        <w:rPr>
          <w:color w:val="000000"/>
          <w:spacing w:val="0"/>
          <w:w w:val="100"/>
          <w:position w:val="0"/>
        </w:rPr>
        <w:t>万股，其持股数量减少，</w:t>
      </w:r>
      <w:r>
        <w:rPr>
          <w:rFonts w:ascii="Times New Roman" w:eastAsia="Times New Roman" w:hAnsi="Times New Roman" w:cs="Times New Roman"/>
          <w:color w:val="000000"/>
          <w:spacing w:val="0"/>
          <w:w w:val="100"/>
          <w:position w:val="0"/>
        </w:rPr>
        <w:t>2021</w:t>
      </w:r>
      <w:r>
        <w:rPr>
          <w:color w:val="000000"/>
          <w:spacing w:val="0"/>
          <w:w w:val="100"/>
          <w:position w:val="0"/>
        </w:rPr>
        <w:t>年初高管锁定股按照董监高人员 持有股份总数的</w:t>
      </w:r>
      <w:r>
        <w:rPr>
          <w:rFonts w:ascii="Times New Roman" w:eastAsia="Times New Roman" w:hAnsi="Times New Roman" w:cs="Times New Roman"/>
          <w:color w:val="000000"/>
          <w:spacing w:val="0"/>
          <w:w w:val="100"/>
          <w:position w:val="0"/>
        </w:rPr>
        <w:t>75%</w:t>
      </w:r>
      <w:r>
        <w:rPr>
          <w:color w:val="000000"/>
          <w:spacing w:val="0"/>
          <w:w w:val="100"/>
          <w:position w:val="0"/>
        </w:rPr>
        <w:t>重新核算，减少高管锁定股合计</w:t>
      </w:r>
      <w:r>
        <w:rPr>
          <w:rFonts w:ascii="Times New Roman" w:eastAsia="Times New Roman" w:hAnsi="Times New Roman" w:cs="Times New Roman"/>
          <w:color w:val="000000"/>
          <w:spacing w:val="0"/>
          <w:w w:val="100"/>
          <w:position w:val="0"/>
        </w:rPr>
        <w:t>127.5</w:t>
      </w:r>
      <w:r>
        <w:rPr>
          <w:color w:val="000000"/>
          <w:spacing w:val="0"/>
          <w:w w:val="100"/>
          <w:position w:val="0"/>
        </w:rPr>
        <w:t>万股；公司于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日完成换届选举，新 聘高级管理人员共持有股份</w:t>
      </w:r>
      <w:r>
        <w:rPr>
          <w:rFonts w:ascii="Times New Roman" w:eastAsia="Times New Roman" w:hAnsi="Times New Roman" w:cs="Times New Roman"/>
          <w:color w:val="000000"/>
          <w:spacing w:val="0"/>
          <w:w w:val="100"/>
          <w:position w:val="0"/>
        </w:rPr>
        <w:t>444,224</w:t>
      </w:r>
      <w:r>
        <w:rPr>
          <w:color w:val="000000"/>
          <w:spacing w:val="0"/>
          <w:w w:val="100"/>
          <w:position w:val="0"/>
        </w:rPr>
        <w:t>股，锁定</w:t>
      </w:r>
      <w:r>
        <w:rPr>
          <w:rFonts w:ascii="Times New Roman" w:eastAsia="Times New Roman" w:hAnsi="Times New Roman" w:cs="Times New Roman"/>
          <w:color w:val="000000"/>
          <w:spacing w:val="0"/>
          <w:w w:val="100"/>
          <w:position w:val="0"/>
        </w:rPr>
        <w:t>75%</w:t>
      </w:r>
      <w:r>
        <w:rPr>
          <w:color w:val="000000"/>
          <w:spacing w:val="0"/>
          <w:w w:val="100"/>
          <w:position w:val="0"/>
        </w:rPr>
        <w:t>，即新增高管锁定股共计</w:t>
      </w:r>
      <w:r>
        <w:rPr>
          <w:rFonts w:ascii="Times New Roman" w:eastAsia="Times New Roman" w:hAnsi="Times New Roman" w:cs="Times New Roman"/>
          <w:color w:val="000000"/>
          <w:spacing w:val="0"/>
          <w:w w:val="100"/>
          <w:position w:val="0"/>
        </w:rPr>
        <w:t>333,168</w:t>
      </w:r>
      <w:r>
        <w:rPr>
          <w:color w:val="000000"/>
          <w:spacing w:val="0"/>
          <w:w w:val="100"/>
          <w:position w:val="0"/>
        </w:rPr>
        <w:t>股；董事张青持有公司股 份</w:t>
      </w:r>
      <w:r>
        <w:rPr>
          <w:rFonts w:ascii="Times New Roman" w:eastAsia="Times New Roman" w:hAnsi="Times New Roman" w:cs="Times New Roman"/>
          <w:color w:val="000000"/>
          <w:spacing w:val="0"/>
          <w:w w:val="100"/>
          <w:position w:val="0"/>
        </w:rPr>
        <w:t>6,314,332</w:t>
      </w:r>
      <w:r>
        <w:rPr>
          <w:color w:val="000000"/>
          <w:spacing w:val="0"/>
          <w:w w:val="100"/>
          <w:position w:val="0"/>
        </w:rPr>
        <w:t>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日解除限售</w:t>
      </w:r>
      <w:r>
        <w:rPr>
          <w:rFonts w:ascii="Times New Roman" w:eastAsia="Times New Roman" w:hAnsi="Times New Roman" w:cs="Times New Roman"/>
          <w:color w:val="000000"/>
          <w:spacing w:val="0"/>
          <w:w w:val="100"/>
          <w:position w:val="0"/>
        </w:rPr>
        <w:t>1,683,822</w:t>
      </w:r>
      <w:r>
        <w:rPr>
          <w:color w:val="000000"/>
          <w:spacing w:val="0"/>
          <w:w w:val="100"/>
          <w:position w:val="0"/>
        </w:rPr>
        <w:t>股，本次解除限售前其持有的流通股数量为</w:t>
      </w:r>
      <w:r>
        <w:rPr>
          <w:rFonts w:ascii="Times New Roman" w:eastAsia="Times New Roman" w:hAnsi="Times New Roman" w:cs="Times New Roman"/>
          <w:color w:val="000000"/>
          <w:spacing w:val="0"/>
          <w:w w:val="100"/>
          <w:position w:val="0"/>
        </w:rPr>
        <w:t xml:space="preserve">1,578,583 </w:t>
      </w:r>
      <w:r>
        <w:rPr>
          <w:color w:val="000000"/>
          <w:spacing w:val="0"/>
          <w:w w:val="100"/>
          <w:position w:val="0"/>
        </w:rPr>
        <w:t>股，占其持有公司股份数量的</w:t>
      </w:r>
      <w:r>
        <w:rPr>
          <w:rFonts w:ascii="Times New Roman" w:eastAsia="Times New Roman" w:hAnsi="Times New Roman" w:cs="Times New Roman"/>
          <w:color w:val="000000"/>
          <w:spacing w:val="0"/>
          <w:w w:val="100"/>
          <w:position w:val="0"/>
        </w:rPr>
        <w:t>25%</w:t>
      </w:r>
      <w:r>
        <w:rPr>
          <w:color w:val="000000"/>
          <w:spacing w:val="0"/>
          <w:w w:val="100"/>
          <w:position w:val="0"/>
        </w:rPr>
        <w:t>，本次解除的首发后限售股</w:t>
      </w:r>
      <w:r>
        <w:rPr>
          <w:rFonts w:ascii="Times New Roman" w:eastAsia="Times New Roman" w:hAnsi="Times New Roman" w:cs="Times New Roman"/>
          <w:color w:val="000000"/>
          <w:spacing w:val="0"/>
          <w:w w:val="100"/>
          <w:position w:val="0"/>
        </w:rPr>
        <w:t>1,683,822</w:t>
      </w:r>
      <w:r>
        <w:rPr>
          <w:color w:val="000000"/>
          <w:spacing w:val="0"/>
          <w:w w:val="100"/>
          <w:position w:val="0"/>
        </w:rPr>
        <w:t>股转为高管锁定股，即新增高管锁 定股</w:t>
      </w:r>
      <w:r>
        <w:rPr>
          <w:rFonts w:ascii="Times New Roman" w:eastAsia="Times New Roman" w:hAnsi="Times New Roman" w:cs="Times New Roman"/>
          <w:color w:val="000000"/>
          <w:spacing w:val="0"/>
          <w:w w:val="100"/>
          <w:position w:val="0"/>
        </w:rPr>
        <w:t>1,683,822</w:t>
      </w:r>
      <w:r>
        <w:rPr>
          <w:color w:val="000000"/>
          <w:spacing w:val="0"/>
          <w:w w:val="100"/>
          <w:position w:val="0"/>
        </w:rPr>
        <w:t>股。综上，报告期内高管锁定股新增</w:t>
      </w:r>
      <w:r>
        <w:rPr>
          <w:rFonts w:ascii="Times New Roman" w:eastAsia="Times New Roman" w:hAnsi="Times New Roman" w:cs="Times New Roman"/>
          <w:color w:val="000000"/>
          <w:spacing w:val="0"/>
          <w:w w:val="100"/>
          <w:position w:val="0"/>
        </w:rPr>
        <w:t>741,990</w:t>
      </w:r>
      <w:r>
        <w:rPr>
          <w:color w:val="000000"/>
          <w:spacing w:val="0"/>
          <w:w w:val="100"/>
          <w:position w:val="0"/>
        </w:rPr>
        <w:t>股。</w:t>
      </w:r>
    </w:p>
    <w:p>
      <w:pPr>
        <w:pStyle w:val="Style27"/>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股份变动的批准情况</w:t>
      </w:r>
    </w:p>
    <w:p>
      <w:pPr>
        <w:pStyle w:val="Style27"/>
        <w:keepNext w:val="0"/>
        <w:keepLines w:val="0"/>
        <w:widowControl w:val="0"/>
        <w:shd w:val="clear" w:color="auto" w:fill="auto"/>
        <w:bidi w:val="0"/>
        <w:spacing w:before="0" w:after="40" w:line="240" w:lineRule="auto"/>
        <w:ind w:left="0" w:right="0" w:firstLine="2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after="40" w:line="312" w:lineRule="exact"/>
        <w:ind w:left="280" w:right="0" w:firstLine="420"/>
        <w:jc w:val="both"/>
      </w:pPr>
      <w:bookmarkStart w:id="609" w:name="bookmark609"/>
      <w:r>
        <w:rPr>
          <w:rFonts w:ascii="Times New Roman" w:eastAsia="Times New Roman" w:hAnsi="Times New Roman" w:cs="Times New Roman"/>
          <w:color w:val="000000"/>
          <w:spacing w:val="0"/>
          <w:w w:val="100"/>
          <w:position w:val="0"/>
        </w:rPr>
        <w:t>1</w:t>
      </w:r>
      <w:bookmarkEnd w:id="609"/>
      <w:r>
        <w:rPr>
          <w:color w:val="000000"/>
          <w:spacing w:val="0"/>
          <w:w w:val="100"/>
          <w:position w:val="0"/>
        </w:rPr>
        <w:t>、 经中国证券监督管理委员会证监许可</w:t>
      </w:r>
      <w:r>
        <w:rPr>
          <w:rFonts w:ascii="Times New Roman" w:eastAsia="Times New Roman" w:hAnsi="Times New Roman" w:cs="Times New Roman"/>
          <w:color w:val="000000"/>
          <w:spacing w:val="0"/>
          <w:w w:val="100"/>
          <w:position w:val="0"/>
        </w:rPr>
        <w:t>[2020]136</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日公开发行了</w:t>
      </w:r>
      <w:r>
        <w:rPr>
          <w:rFonts w:ascii="Times New Roman" w:eastAsia="Times New Roman" w:hAnsi="Times New Roman" w:cs="Times New Roman"/>
          <w:color w:val="000000"/>
          <w:spacing w:val="0"/>
          <w:w w:val="100"/>
          <w:position w:val="0"/>
        </w:rPr>
        <w:t xml:space="preserve">585.00 </w:t>
      </w:r>
      <w:r>
        <w:rPr>
          <w:color w:val="000000"/>
          <w:spacing w:val="0"/>
          <w:w w:val="100"/>
          <w:position w:val="0"/>
        </w:rPr>
        <w:t>万张（</w:t>
      </w:r>
      <w:r>
        <w:rPr>
          <w:rFonts w:ascii="Times New Roman" w:eastAsia="Times New Roman" w:hAnsi="Times New Roman" w:cs="Times New Roman"/>
          <w:color w:val="000000"/>
          <w:spacing w:val="0"/>
          <w:w w:val="100"/>
          <w:position w:val="0"/>
        </w:rPr>
        <w:t>58,500.00</w:t>
      </w:r>
      <w:r>
        <w:rPr>
          <w:color w:val="000000"/>
          <w:spacing w:val="0"/>
          <w:w w:val="100"/>
          <w:position w:val="0"/>
        </w:rPr>
        <w:t>万元）可转换公司债券，发行价格</w:t>
      </w:r>
      <w:r>
        <w:rPr>
          <w:rFonts w:ascii="Times New Roman" w:eastAsia="Times New Roman" w:hAnsi="Times New Roman" w:cs="Times New Roman"/>
          <w:color w:val="000000"/>
          <w:spacing w:val="0"/>
          <w:w w:val="100"/>
          <w:position w:val="0"/>
        </w:rPr>
        <w:t>100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张，募集资金总额</w:t>
      </w:r>
      <w:r>
        <w:rPr>
          <w:rFonts w:ascii="Times New Roman" w:eastAsia="Times New Roman" w:hAnsi="Times New Roman" w:cs="Times New Roman"/>
          <w:color w:val="000000"/>
          <w:spacing w:val="0"/>
          <w:w w:val="100"/>
          <w:position w:val="0"/>
        </w:rPr>
        <w:t>58,500.00</w:t>
      </w:r>
      <w:r>
        <w:rPr>
          <w:color w:val="000000"/>
          <w:spacing w:val="0"/>
          <w:w w:val="100"/>
          <w:position w:val="0"/>
        </w:rPr>
        <w:t>万元。</w:t>
      </w:r>
    </w:p>
    <w:p>
      <w:pPr>
        <w:pStyle w:val="Style11"/>
        <w:keepNext w:val="0"/>
        <w:keepLines w:val="0"/>
        <w:widowControl w:val="0"/>
        <w:shd w:val="clear" w:color="auto" w:fill="auto"/>
        <w:tabs>
          <w:tab w:pos="1056" w:val="left"/>
        </w:tabs>
        <w:bidi w:val="0"/>
        <w:spacing w:before="0" w:after="460" w:line="317" w:lineRule="exact"/>
        <w:ind w:left="280" w:right="0" w:firstLine="420"/>
        <w:jc w:val="both"/>
      </w:pPr>
      <w:bookmarkStart w:id="610" w:name="bookmark610"/>
      <w:r>
        <w:rPr>
          <w:rFonts w:ascii="Times New Roman" w:eastAsia="Times New Roman" w:hAnsi="Times New Roman" w:cs="Times New Roman"/>
          <w:color w:val="000000"/>
          <w:spacing w:val="0"/>
          <w:w w:val="100"/>
          <w:position w:val="0"/>
        </w:rPr>
        <w:t>2</w:t>
      </w:r>
      <w:bookmarkEnd w:id="610"/>
      <w:r>
        <w:rPr>
          <w:color w:val="000000"/>
          <w:spacing w:val="0"/>
          <w:w w:val="100"/>
          <w:position w:val="0"/>
        </w:rPr>
        <w:t>、</w:t>
        <w:tab/>
        <w:t>经深圳证券交易所</w:t>
      </w:r>
      <w:r>
        <w:rPr>
          <w:rFonts w:ascii="Times New Roman" w:eastAsia="Times New Roman" w:hAnsi="Times New Roman" w:cs="Times New Roman"/>
          <w:color w:val="000000"/>
          <w:spacing w:val="0"/>
          <w:w w:val="100"/>
          <w:position w:val="0"/>
        </w:rPr>
        <w:t>“</w:t>
      </w:r>
      <w:r>
        <w:rPr>
          <w:color w:val="000000"/>
          <w:spacing w:val="0"/>
          <w:w w:val="100"/>
          <w:position w:val="0"/>
        </w:rPr>
        <w:t>深证上</w:t>
      </w:r>
      <w:r>
        <w:rPr>
          <w:rFonts w:ascii="Times New Roman" w:eastAsia="Times New Roman" w:hAnsi="Times New Roman" w:cs="Times New Roman"/>
          <w:color w:val="000000"/>
          <w:spacing w:val="0"/>
          <w:w w:val="100"/>
          <w:position w:val="0"/>
        </w:rPr>
        <w:t>[2020]247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文同意，公司</w:t>
      </w:r>
      <w:r>
        <w:rPr>
          <w:rFonts w:ascii="Times New Roman" w:eastAsia="Times New Roman" w:hAnsi="Times New Roman" w:cs="Times New Roman"/>
          <w:color w:val="000000"/>
          <w:spacing w:val="0"/>
          <w:w w:val="100"/>
          <w:position w:val="0"/>
        </w:rPr>
        <w:t>58,500.00</w:t>
      </w:r>
      <w:r>
        <w:rPr>
          <w:color w:val="000000"/>
          <w:spacing w:val="0"/>
          <w:w w:val="100"/>
          <w:position w:val="0"/>
        </w:rPr>
        <w:t>万元可转换公司债券于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日起在深交所挂牌交易，债券简称</w:t>
      </w:r>
      <w:r>
        <w:rPr>
          <w:rFonts w:ascii="Times New Roman" w:eastAsia="Times New Roman" w:hAnsi="Times New Roman" w:cs="Times New Roman"/>
          <w:color w:val="000000"/>
          <w:spacing w:val="0"/>
          <w:w w:val="100"/>
          <w:position w:val="0"/>
        </w:rPr>
        <w:t>“</w:t>
      </w:r>
      <w:r>
        <w:rPr>
          <w:color w:val="000000"/>
          <w:spacing w:val="0"/>
          <w:w w:val="100"/>
          <w:position w:val="0"/>
        </w:rPr>
        <w:t>红相转债</w:t>
      </w:r>
      <w:r>
        <w:rPr>
          <w:rFonts w:ascii="Times New Roman" w:eastAsia="Times New Roman" w:hAnsi="Times New Roman" w:cs="Times New Roman"/>
          <w:color w:val="000000"/>
          <w:spacing w:val="0"/>
          <w:w w:val="100"/>
          <w:position w:val="0"/>
        </w:rPr>
        <w:t>''</w:t>
      </w:r>
      <w:r>
        <w:rPr>
          <w:color w:val="000000"/>
          <w:spacing w:val="0"/>
          <w:w w:val="100"/>
          <w:position w:val="0"/>
        </w:rPr>
        <w:t>，债券代码</w:t>
      </w:r>
      <w:r>
        <w:rPr>
          <w:rFonts w:ascii="Times New Roman" w:eastAsia="Times New Roman" w:hAnsi="Times New Roman" w:cs="Times New Roman"/>
          <w:color w:val="000000"/>
          <w:spacing w:val="0"/>
          <w:w w:val="100"/>
          <w:position w:val="0"/>
        </w:rPr>
        <w:t>“123044”</w:t>
      </w:r>
      <w:r>
        <w:rPr>
          <w:color w:val="000000"/>
          <w:spacing w:val="0"/>
          <w:w w:val="100"/>
          <w:position w:val="0"/>
        </w:rPr>
        <w:t>。</w:t>
      </w:r>
    </w:p>
    <w:p>
      <w:pPr>
        <w:pStyle w:val="Style27"/>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股份变动的过户情况</w:t>
      </w:r>
    </w:p>
    <w:p>
      <w:pPr>
        <w:pStyle w:val="Style27"/>
        <w:keepNext w:val="0"/>
        <w:keepLines w:val="0"/>
        <w:widowControl w:val="0"/>
        <w:shd w:val="clear" w:color="auto" w:fill="auto"/>
        <w:bidi w:val="0"/>
        <w:spacing w:before="0" w:after="14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14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30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314" w:lineRule="exact"/>
        <w:ind w:left="0" w:right="0" w:firstLine="280"/>
        <w:jc w:val="both"/>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2</w:t>
      </w:r>
      <w:bookmarkEnd w:id="613"/>
      <w:r>
        <w:rPr>
          <w:color w:val="000000"/>
          <w:spacing w:val="0"/>
          <w:w w:val="100"/>
          <w:position w:val="0"/>
        </w:rPr>
        <w:t>、限售股份变动情况</w:t>
      </w:r>
      <w:bookmarkEnd w:id="611"/>
      <w:bookmarkEnd w:id="612"/>
      <w:bookmarkEnd w:id="614"/>
    </w:p>
    <w:p>
      <w:pPr>
        <w:pStyle w:val="Style25"/>
        <w:keepNext w:val="0"/>
        <w:keepLines w:val="0"/>
        <w:widowControl w:val="0"/>
        <w:shd w:val="clear" w:color="auto" w:fill="auto"/>
        <w:bidi w:val="0"/>
        <w:spacing w:before="0" w:after="0" w:line="240" w:lineRule="auto"/>
        <w:ind w:left="264"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54"/>
        <w:gridCol w:w="1277"/>
        <w:gridCol w:w="1277"/>
        <w:gridCol w:w="1272"/>
        <w:gridCol w:w="1277"/>
        <w:gridCol w:w="1416"/>
        <w:gridCol w:w="249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21,854,876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每年初按持股总数</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 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6,148,468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6,148,468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每年初按持股总数</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 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5,490,158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5,490,158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每年初按持股总数</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 售</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4,735,749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4,735,749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首发后个人类限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售及高管锁定股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、首发后个人类限售股自</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日上市起至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日，每年按取得股份的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、累计的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、累计的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 累计的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、剩余股份的比例</w:t>
            </w:r>
          </w:p>
        </w:tc>
      </w:tr>
    </w:tbl>
    <w:p>
      <w:pPr>
        <w:widowControl w:val="0"/>
        <w:spacing w:line="1" w:lineRule="exact"/>
      </w:pPr>
      <w:r>
        <w:br w:type="page"/>
      </w:r>
    </w:p>
    <w:tbl>
      <w:tblPr>
        <w:tblOverlap w:val="never"/>
        <w:jc w:val="center"/>
        <w:tblLayout w:type="fixed"/>
      </w:tblPr>
      <w:tblGrid>
        <w:gridCol w:w="854"/>
        <w:gridCol w:w="1277"/>
        <w:gridCol w:w="1277"/>
        <w:gridCol w:w="1272"/>
        <w:gridCol w:w="1277"/>
        <w:gridCol w:w="1416"/>
        <w:gridCol w:w="249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分批解锁（如满足解锁条件）；</w:t>
            </w:r>
          </w:p>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、高管锁定股每年初按持股总 数</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合肥星睿 股权投资 合伙企业 （有限合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首发后限售股，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日，每 年按取得股份的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、累计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、剩余股份的比例分批解锁</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（如满足解锁条件）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何东武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每年初按持股总数</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 售</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首发后个人类限售股自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日上市起至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日，每年按取得股份的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、累计的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、累计的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 累计的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、剩余股份的比例 分批解锁（如满足解锁条件）；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首发后个人类限售股自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日上市起至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日，每年按取得股份的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、累计的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、累计的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 累计的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、剩余股份的比例 分批解锁（如满足解锁条件）；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首发后个人类限售股自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日上市起至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日，每年按取得股份的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、累计的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、累计的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 累计的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、剩余股份的比例 分批解锁（如满足解锁条件）；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首发后个人类限售股自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日上市起至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日，每年按取得股份的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、累计的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、累计的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 累计的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、剩余股份的比例 分批解锁（如满足解锁条件）；</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王长乐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首发后个人类限售股自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日上市起至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日，每年按取得股份的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、累计的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、累计的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 累计的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、剩余股份的比例 分批解锁（如满足解锁条件）；</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左克刚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首发后个人类限售股，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p>
        </w:tc>
      </w:tr>
    </w:tbl>
    <w:p>
      <w:pPr>
        <w:widowControl w:val="0"/>
        <w:spacing w:line="1" w:lineRule="exact"/>
      </w:pPr>
      <w:r>
        <w:br w:type="page"/>
      </w:r>
    </w:p>
    <w:tbl>
      <w:tblPr>
        <w:tblOverlap w:val="never"/>
        <w:jc w:val="center"/>
        <w:tblLayout w:type="fixed"/>
      </w:tblPr>
      <w:tblGrid>
        <w:gridCol w:w="854"/>
        <w:gridCol w:w="1277"/>
        <w:gridCol w:w="1277"/>
        <w:gridCol w:w="1272"/>
        <w:gridCol w:w="1277"/>
        <w:gridCol w:w="1416"/>
        <w:gridCol w:w="249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日，每年按取得股份的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、剩余股份的比例分 批解锁（如满足解锁条件）；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胡万云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日，每年按取得股份的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、剩余股份的比例分 批解锁（如满足解锁条件）；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谢安安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日，每年按取得股份的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、剩余股份的比例分 批解锁（如满足解锁条件）；</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王加玉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日，每年按取得股份的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、剩余股份的比例分 批解锁（如满足解锁条件）；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王延慧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日，每年按取得股份的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、剩余股份的比例分 批解锁（如满足解锁条件）；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日，每年按取得股份的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、剩余股份的比例分 批解锁（如满足解锁条件）；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日，每年按取得股份的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、剩余股份的比例分 批解锁（如满足解锁条件）；</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袁长亮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日，每年按取得股份的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、剩余股份的比例分 批解锁（如满足解锁条件）；</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日，每年按取得股份的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、剩余股份的比例分</w:t>
            </w:r>
          </w:p>
        </w:tc>
      </w:tr>
    </w:tbl>
    <w:p>
      <w:pPr>
        <w:widowControl w:val="0"/>
        <w:spacing w:line="1" w:lineRule="exact"/>
      </w:pPr>
      <w:r>
        <w:br w:type="page"/>
      </w:r>
    </w:p>
    <w:tbl>
      <w:tblPr>
        <w:tblOverlap w:val="never"/>
        <w:jc w:val="center"/>
        <w:tblLayout w:type="fixed"/>
      </w:tblPr>
      <w:tblGrid>
        <w:gridCol w:w="854"/>
        <w:gridCol w:w="1277"/>
        <w:gridCol w:w="1277"/>
        <w:gridCol w:w="1272"/>
        <w:gridCol w:w="1277"/>
        <w:gridCol w:w="1416"/>
        <w:gridCol w:w="249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批解锁（如满足解锁条件）；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奚银春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日，每年按取得股份的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、剩余股份的比例分 批解锁（如满足解锁条件）；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魏京保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日，每年按取得股份的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、剩余股份的比例分 批解锁（如满足解锁条件）；</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邢成林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日，每年按取得股份的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、剩余股份的比例分 批解锁（如满足解锁条件）；</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41,443,445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40,297,798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280"/>
        <w:jc w:val="left"/>
      </w:pPr>
      <w:bookmarkStart w:id="615" w:name="bookmark615"/>
      <w:bookmarkStart w:id="616" w:name="bookmark616"/>
      <w:bookmarkStart w:id="617" w:name="bookmark617"/>
      <w:bookmarkStart w:id="618" w:name="bookmark618"/>
      <w:r>
        <w:rPr>
          <w:color w:val="000000"/>
          <w:spacing w:val="0"/>
          <w:w w:val="100"/>
          <w:position w:val="0"/>
        </w:rPr>
        <w:t>二</w:t>
      </w:r>
      <w:bookmarkEnd w:id="617"/>
      <w:r>
        <w:rPr>
          <w:color w:val="000000"/>
          <w:spacing w:val="0"/>
          <w:w w:val="100"/>
          <w:position w:val="0"/>
        </w:rPr>
        <w:t>、证券发行与上市情况</w:t>
      </w:r>
      <w:bookmarkEnd w:id="615"/>
      <w:bookmarkEnd w:id="616"/>
      <w:bookmarkEnd w:id="618"/>
    </w:p>
    <w:p>
      <w:pPr>
        <w:pStyle w:val="Style31"/>
        <w:keepNext/>
        <w:keepLines/>
        <w:widowControl w:val="0"/>
        <w:shd w:val="clear" w:color="auto" w:fill="auto"/>
        <w:bidi w:val="0"/>
        <w:spacing w:before="0" w:after="360" w:line="240" w:lineRule="auto"/>
        <w:ind w:left="0" w:right="0" w:firstLine="28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1</w:t>
      </w:r>
      <w:bookmarkEnd w:id="621"/>
      <w:r>
        <w:rPr>
          <w:color w:val="000000"/>
          <w:spacing w:val="0"/>
          <w:w w:val="100"/>
          <w:position w:val="0"/>
        </w:rPr>
        <w:t>、报告期内证券发行（不含优先股）情况</w:t>
      </w:r>
      <w:bookmarkEnd w:id="619"/>
      <w:bookmarkEnd w:id="620"/>
      <w:bookmarkEnd w:id="622"/>
    </w:p>
    <w:p>
      <w:pPr>
        <w:pStyle w:val="Style27"/>
        <w:keepNext w:val="0"/>
        <w:keepLines w:val="0"/>
        <w:widowControl w:val="0"/>
        <w:shd w:val="clear" w:color="auto" w:fill="auto"/>
        <w:bidi w:val="0"/>
        <w:spacing w:before="0" w:after="32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60" w:line="312" w:lineRule="exact"/>
        <w:ind w:left="0" w:right="0" w:firstLine="28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2</w:t>
      </w:r>
      <w:bookmarkEnd w:id="625"/>
      <w:r>
        <w:rPr>
          <w:color w:val="000000"/>
          <w:spacing w:val="0"/>
          <w:w w:val="100"/>
          <w:position w:val="0"/>
        </w:rPr>
        <w:t>、公司股份总数及股东结构的变动、公司资产和负债结构的变动情况说明</w:t>
      </w:r>
      <w:bookmarkEnd w:id="623"/>
      <w:bookmarkEnd w:id="624"/>
      <w:bookmarkEnd w:id="626"/>
    </w:p>
    <w:p>
      <w:pPr>
        <w:pStyle w:val="Style27"/>
        <w:keepNext w:val="0"/>
        <w:keepLines w:val="0"/>
        <w:widowControl w:val="0"/>
        <w:shd w:val="clear" w:color="auto" w:fill="auto"/>
        <w:bidi w:val="0"/>
        <w:spacing w:before="0" w:after="40" w:line="240" w:lineRule="auto"/>
        <w:ind w:left="0" w:right="0" w:firstLine="2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after="680" w:line="312" w:lineRule="exact"/>
        <w:ind w:left="280" w:right="0" w:firstLine="42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[2020]136</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日公开发行了</w:t>
      </w:r>
      <w:r>
        <w:rPr>
          <w:rFonts w:ascii="Times New Roman" w:eastAsia="Times New Roman" w:hAnsi="Times New Roman" w:cs="Times New Roman"/>
          <w:color w:val="000000"/>
          <w:spacing w:val="0"/>
          <w:w w:val="100"/>
          <w:position w:val="0"/>
        </w:rPr>
        <w:t>585.00</w:t>
      </w:r>
      <w:r>
        <w:rPr>
          <w:color w:val="000000"/>
          <w:spacing w:val="0"/>
          <w:w w:val="100"/>
          <w:position w:val="0"/>
        </w:rPr>
        <w:t>万 张（</w:t>
      </w:r>
      <w:r>
        <w:rPr>
          <w:rFonts w:ascii="Times New Roman" w:eastAsia="Times New Roman" w:hAnsi="Times New Roman" w:cs="Times New Roman"/>
          <w:color w:val="000000"/>
          <w:spacing w:val="0"/>
          <w:w w:val="100"/>
          <w:position w:val="0"/>
        </w:rPr>
        <w:t>58,500.00</w:t>
      </w:r>
      <w:r>
        <w:rPr>
          <w:color w:val="000000"/>
          <w:spacing w:val="0"/>
          <w:w w:val="100"/>
          <w:position w:val="0"/>
        </w:rPr>
        <w:t>万元）可转换公司债券，发行价格</w:t>
      </w:r>
      <w:r>
        <w:rPr>
          <w:rFonts w:ascii="Times New Roman" w:eastAsia="Times New Roman" w:hAnsi="Times New Roman" w:cs="Times New Roman"/>
          <w:color w:val="000000"/>
          <w:spacing w:val="0"/>
          <w:w w:val="100"/>
          <w:position w:val="0"/>
        </w:rPr>
        <w:t>100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张，募集资金总额</w:t>
      </w:r>
      <w:r>
        <w:rPr>
          <w:rFonts w:ascii="Times New Roman" w:eastAsia="Times New Roman" w:hAnsi="Times New Roman" w:cs="Times New Roman"/>
          <w:color w:val="000000"/>
          <w:spacing w:val="0"/>
          <w:w w:val="100"/>
          <w:position w:val="0"/>
        </w:rPr>
        <w:t>58,500.00</w:t>
      </w:r>
      <w:r>
        <w:rPr>
          <w:color w:val="000000"/>
          <w:spacing w:val="0"/>
          <w:w w:val="100"/>
          <w:position w:val="0"/>
        </w:rPr>
        <w:t>万元。经深圳证券交易 所</w:t>
      </w:r>
      <w:r>
        <w:rPr>
          <w:rFonts w:ascii="Times New Roman" w:eastAsia="Times New Roman" w:hAnsi="Times New Roman" w:cs="Times New Roman"/>
          <w:color w:val="000000"/>
          <w:spacing w:val="0"/>
          <w:w w:val="100"/>
          <w:position w:val="0"/>
        </w:rPr>
        <w:t>“</w:t>
      </w:r>
      <w:r>
        <w:rPr>
          <w:color w:val="000000"/>
          <w:spacing w:val="0"/>
          <w:w w:val="100"/>
          <w:position w:val="0"/>
        </w:rPr>
        <w:t>深证上</w:t>
      </w:r>
      <w:r>
        <w:rPr>
          <w:rFonts w:ascii="Times New Roman" w:eastAsia="Times New Roman" w:hAnsi="Times New Roman" w:cs="Times New Roman"/>
          <w:color w:val="000000"/>
          <w:spacing w:val="0"/>
          <w:w w:val="100"/>
          <w:position w:val="0"/>
        </w:rPr>
        <w:t>[2020]247</w:t>
      </w:r>
      <w:r>
        <w:rPr>
          <w:color w:val="000000"/>
          <w:spacing w:val="0"/>
          <w:w w:val="100"/>
          <w:position w:val="0"/>
        </w:rPr>
        <w:t>号''文同意，公司</w:t>
      </w:r>
      <w:r>
        <w:rPr>
          <w:rFonts w:ascii="Times New Roman" w:eastAsia="Times New Roman" w:hAnsi="Times New Roman" w:cs="Times New Roman"/>
          <w:color w:val="000000"/>
          <w:spacing w:val="0"/>
          <w:w w:val="100"/>
          <w:position w:val="0"/>
        </w:rPr>
        <w:t>58,500.00</w:t>
      </w:r>
      <w:r>
        <w:rPr>
          <w:color w:val="000000"/>
          <w:spacing w:val="0"/>
          <w:w w:val="100"/>
          <w:position w:val="0"/>
        </w:rPr>
        <w:t>万元可转换公司债券于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日起在深交所挂牌交 易，债券简称</w:t>
      </w:r>
      <w:r>
        <w:rPr>
          <w:rFonts w:ascii="Times New Roman" w:eastAsia="Times New Roman" w:hAnsi="Times New Roman" w:cs="Times New Roman"/>
          <w:color w:val="000000"/>
          <w:spacing w:val="0"/>
          <w:w w:val="100"/>
          <w:position w:val="0"/>
        </w:rPr>
        <w:t>“</w:t>
      </w:r>
      <w:r>
        <w:rPr>
          <w:color w:val="000000"/>
          <w:spacing w:val="0"/>
          <w:w w:val="100"/>
          <w:position w:val="0"/>
        </w:rPr>
        <w:t>红相转债''，债券代码</w:t>
      </w:r>
      <w:r>
        <w:rPr>
          <w:rFonts w:ascii="Times New Roman" w:eastAsia="Times New Roman" w:hAnsi="Times New Roman" w:cs="Times New Roman"/>
          <w:color w:val="000000"/>
          <w:spacing w:val="0"/>
          <w:w w:val="100"/>
          <w:position w:val="0"/>
        </w:rPr>
        <w:t>“123044”</w:t>
      </w:r>
      <w:r>
        <w:rPr>
          <w:color w:val="000000"/>
          <w:spacing w:val="0"/>
          <w:w w:val="100"/>
          <w:position w:val="0"/>
        </w:rPr>
        <w:t>。根据《红相股份创业板公开发行可转换公司债券募集说明 书》等相关规定，</w:t>
      </w:r>
      <w:r>
        <w:rPr>
          <w:rFonts w:ascii="Times New Roman" w:eastAsia="Times New Roman" w:hAnsi="Times New Roman" w:cs="Times New Roman"/>
          <w:color w:val="000000"/>
          <w:spacing w:val="0"/>
          <w:w w:val="100"/>
          <w:position w:val="0"/>
        </w:rPr>
        <w:t>“</w:t>
      </w:r>
      <w:r>
        <w:rPr>
          <w:color w:val="000000"/>
          <w:spacing w:val="0"/>
          <w:w w:val="100"/>
          <w:position w:val="0"/>
        </w:rPr>
        <w:t>红相转债</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日起开始转股。报告期内，</w:t>
      </w:r>
      <w:r>
        <w:rPr>
          <w:rFonts w:ascii="Times New Roman" w:eastAsia="Times New Roman" w:hAnsi="Times New Roman" w:cs="Times New Roman"/>
          <w:color w:val="000000"/>
          <w:spacing w:val="0"/>
          <w:w w:val="100"/>
          <w:position w:val="0"/>
        </w:rPr>
        <w:t>“</w:t>
      </w:r>
      <w:r>
        <w:rPr>
          <w:color w:val="000000"/>
          <w:spacing w:val="0"/>
          <w:w w:val="100"/>
          <w:position w:val="0"/>
        </w:rPr>
        <w:t>红相转债</w:t>
      </w:r>
      <w:r>
        <w:rPr>
          <w:rFonts w:ascii="Times New Roman" w:eastAsia="Times New Roman" w:hAnsi="Times New Roman" w:cs="Times New Roman"/>
          <w:color w:val="000000"/>
          <w:spacing w:val="0"/>
          <w:w w:val="100"/>
          <w:position w:val="0"/>
        </w:rPr>
        <w:t>”</w:t>
      </w:r>
      <w:r>
        <w:rPr>
          <w:color w:val="000000"/>
          <w:spacing w:val="0"/>
          <w:w w:val="100"/>
          <w:position w:val="0"/>
        </w:rPr>
        <w:t>累计转股数量为</w:t>
      </w:r>
      <w:r>
        <w:rPr>
          <w:rFonts w:ascii="Times New Roman" w:eastAsia="Times New Roman" w:hAnsi="Times New Roman" w:cs="Times New Roman"/>
          <w:color w:val="000000"/>
          <w:spacing w:val="0"/>
          <w:w w:val="100"/>
          <w:position w:val="0"/>
        </w:rPr>
        <w:t xml:space="preserve">1,296 </w:t>
      </w:r>
      <w:r>
        <w:rPr>
          <w:color w:val="000000"/>
          <w:spacing w:val="0"/>
          <w:w w:val="100"/>
          <w:position w:val="0"/>
        </w:rPr>
        <w:t>股。截止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日，累计转股数量为</w:t>
      </w:r>
      <w:r>
        <w:rPr>
          <w:rFonts w:ascii="Times New Roman" w:eastAsia="Times New Roman" w:hAnsi="Times New Roman" w:cs="Times New Roman"/>
          <w:color w:val="000000"/>
          <w:spacing w:val="0"/>
          <w:w w:val="100"/>
          <w:position w:val="0"/>
        </w:rPr>
        <w:t>1,883,350</w:t>
      </w:r>
      <w:r>
        <w:rPr>
          <w:color w:val="000000"/>
          <w:spacing w:val="0"/>
          <w:w w:val="100"/>
          <w:position w:val="0"/>
        </w:rPr>
        <w:t>股。</w:t>
      </w:r>
    </w:p>
    <w:p>
      <w:pPr>
        <w:pStyle w:val="Style31"/>
        <w:keepNext/>
        <w:keepLines/>
        <w:widowControl w:val="0"/>
        <w:shd w:val="clear" w:color="auto" w:fill="auto"/>
        <w:bidi w:val="0"/>
        <w:spacing w:before="0" w:after="360" w:line="240" w:lineRule="auto"/>
        <w:ind w:left="0" w:right="0" w:firstLine="28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3</w:t>
      </w:r>
      <w:bookmarkEnd w:id="629"/>
      <w:r>
        <w:rPr>
          <w:color w:val="000000"/>
          <w:spacing w:val="0"/>
          <w:w w:val="100"/>
          <w:position w:val="0"/>
        </w:rPr>
        <w:t>、现存的内部职工股情况</w:t>
      </w:r>
      <w:bookmarkEnd w:id="627"/>
      <w:bookmarkEnd w:id="628"/>
      <w:bookmarkEnd w:id="630"/>
    </w:p>
    <w:p>
      <w:pPr>
        <w:pStyle w:val="Style27"/>
        <w:keepNext w:val="0"/>
        <w:keepLines w:val="0"/>
        <w:widowControl w:val="0"/>
        <w:shd w:val="clear" w:color="auto" w:fill="auto"/>
        <w:bidi w:val="0"/>
        <w:spacing w:before="0" w:after="36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line="240" w:lineRule="auto"/>
        <w:ind w:left="0" w:right="0" w:firstLine="260"/>
        <w:jc w:val="left"/>
      </w:pPr>
      <w:bookmarkStart w:id="631" w:name="bookmark631"/>
      <w:bookmarkStart w:id="632" w:name="bookmark632"/>
      <w:bookmarkStart w:id="633" w:name="bookmark633"/>
      <w:bookmarkStart w:id="634" w:name="bookmark634"/>
      <w:r>
        <w:rPr>
          <w:color w:val="000000"/>
          <w:spacing w:val="0"/>
          <w:w w:val="100"/>
          <w:position w:val="0"/>
        </w:rPr>
        <w:t>三</w:t>
      </w:r>
      <w:bookmarkEnd w:id="633"/>
      <w:r>
        <w:rPr>
          <w:color w:val="000000"/>
          <w:spacing w:val="0"/>
          <w:w w:val="100"/>
          <w:position w:val="0"/>
        </w:rPr>
        <w:t>、股东和实际控制人情况</w:t>
      </w:r>
      <w:bookmarkEnd w:id="631"/>
      <w:bookmarkEnd w:id="632"/>
      <w:bookmarkEnd w:id="634"/>
    </w:p>
    <w:p>
      <w:pPr>
        <w:pStyle w:val="Style31"/>
        <w:keepNext/>
        <w:keepLines/>
        <w:widowControl w:val="0"/>
        <w:shd w:val="clear" w:color="auto" w:fill="auto"/>
        <w:bidi w:val="0"/>
        <w:spacing w:before="0" w:after="360" w:line="240" w:lineRule="auto"/>
        <w:ind w:left="0" w:right="0" w:firstLine="26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1</w:t>
      </w:r>
      <w:bookmarkEnd w:id="637"/>
      <w:r>
        <w:rPr>
          <w:color w:val="000000"/>
          <w:spacing w:val="0"/>
          <w:w w:val="100"/>
          <w:position w:val="0"/>
        </w:rPr>
        <w:t>、公司股东数量及持股情况</w:t>
      </w:r>
      <w:bookmarkEnd w:id="635"/>
      <w:bookmarkEnd w:id="636"/>
      <w:bookmarkEnd w:id="63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79"/>
        <w:gridCol w:w="758"/>
        <w:gridCol w:w="874"/>
        <w:gridCol w:w="941"/>
        <w:gridCol w:w="994"/>
        <w:gridCol w:w="850"/>
        <w:gridCol w:w="586"/>
        <w:gridCol w:w="869"/>
        <w:gridCol w:w="864"/>
        <w:gridCol w:w="878"/>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27,181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21,594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表决权恢</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复的优先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股股东总 数（如有）</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（参见注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年度报告披露日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前上一月末表决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权恢复的优先股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股东总数（如有）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84,996,163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-12,271,281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84,996,16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卧龙电气驱</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动集团股份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45,013,368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45,013,36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27,039,835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5,184,959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8,197,958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2,049,490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7,320,211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1,830,053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6,314,332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1,578,583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朱雅娟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严月珍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合肥星睿股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权投资合伙</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854,860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郑斌林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1,504,466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1,504,466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1,504,466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08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 致行动的说明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杨保田与杨成系父子，杨成与杨力系兄弟关系。杨保田、杨成两人合计持有公司</w:t>
            </w:r>
            <w:r>
              <w:rPr>
                <w:rFonts w:ascii="Times New Roman" w:eastAsia="Times New Roman" w:hAnsi="Times New Roman" w:cs="Times New Roman"/>
                <w:color w:val="000000"/>
                <w:spacing w:val="0"/>
                <w:w w:val="100"/>
                <w:position w:val="0"/>
                <w:sz w:val="18"/>
                <w:szCs w:val="18"/>
              </w:rPr>
              <w:t xml:space="preserve">112,035,998 </w:t>
            </w:r>
            <w:r>
              <w:rPr>
                <w:color w:val="000000"/>
                <w:spacing w:val="0"/>
                <w:w w:val="100"/>
                <w:position w:val="0"/>
              </w:rPr>
              <w:t>股股份，占公司股本总额的</w:t>
            </w:r>
            <w:r>
              <w:rPr>
                <w:rFonts w:ascii="Times New Roman" w:eastAsia="Times New Roman" w:hAnsi="Times New Roman" w:cs="Times New Roman"/>
                <w:color w:val="000000"/>
                <w:spacing w:val="0"/>
                <w:w w:val="100"/>
                <w:position w:val="0"/>
                <w:sz w:val="18"/>
                <w:szCs w:val="18"/>
              </w:rPr>
              <w:t>31.10%</w:t>
            </w:r>
            <w:r>
              <w:rPr>
                <w:color w:val="000000"/>
                <w:spacing w:val="0"/>
                <w:w w:val="100"/>
                <w:position w:val="0"/>
              </w:rPr>
              <w:t>，是公司的实际控制人。</w:t>
            </w:r>
          </w:p>
          <w:p>
            <w:pPr>
              <w:pStyle w:val="Style2"/>
              <w:keepNext w:val="0"/>
              <w:keepLines w:val="0"/>
              <w:widowControl w:val="0"/>
              <w:shd w:val="clear" w:color="auto" w:fill="auto"/>
              <w:bidi w:val="0"/>
              <w:spacing w:before="0" w:after="6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名股东与公司两名控股股东、实际控制人杨成、杨保田及关联方杨力，不存在任何 关联关系。</w:t>
            </w:r>
          </w:p>
          <w:p>
            <w:pPr>
              <w:pStyle w:val="Style2"/>
              <w:keepNext w:val="0"/>
              <w:keepLines w:val="0"/>
              <w:widowControl w:val="0"/>
              <w:shd w:val="clear" w:color="auto" w:fill="auto"/>
              <w:tabs>
                <w:tab w:pos="283" w:val="left"/>
              </w:tabs>
              <w:bidi w:val="0"/>
              <w:spacing w:before="0" w:after="6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除前述股东外，公司未知前十名股东之间是否存在关联关系或是否属于《上市公司股东持股 变动信息披露管理办法》规定的一致行动人。</w:t>
            </w:r>
          </w:p>
        </w:tc>
      </w:tr>
      <w:tr>
        <w:trPr>
          <w:trHeight w:val="686"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1973"/>
        <w:gridCol w:w="4416"/>
        <w:gridCol w:w="1454"/>
        <w:gridCol w:w="174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的说明</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84,996,163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84,996,163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卧龙电气驱动集团股份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45,013,368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45,013,368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5,184,959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朱雅娟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2,049,490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严月珍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1,830,053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1,578,583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郑斌林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1,504,466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1,393,000</w:t>
            </w:r>
          </w:p>
        </w:tc>
      </w:tr>
      <w:tr>
        <w:trPr>
          <w:trHeight w:val="173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9" w:val="left"/>
              </w:tabs>
              <w:bidi w:val="0"/>
              <w:spacing w:before="0" w:after="8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公司前十名无限售流通股股东与公司两名控股股东、实际控制人杨成、杨保田及关联方杨力， 不存在任何关联关系。</w:t>
            </w:r>
          </w:p>
          <w:p>
            <w:pPr>
              <w:pStyle w:val="Style2"/>
              <w:keepNext w:val="0"/>
              <w:keepLines w:val="0"/>
              <w:widowControl w:val="0"/>
              <w:shd w:val="clear" w:color="auto" w:fill="auto"/>
              <w:tabs>
                <w:tab w:pos="29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除前述情况外，公司未知前十名无限售流通股股东之间，以及前十名无限售流通股股东和其 他前十名股东之间是否存在关联关系或是否属于《上市公司股东持股变动信息披露管理办法》规 定的一致行动人。</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公司是否具有表决权差异安排</w:t>
      </w:r>
    </w:p>
    <w:p>
      <w:pPr>
        <w:pStyle w:val="Style27"/>
        <w:keepNext w:val="0"/>
        <w:keepLines w:val="0"/>
        <w:widowControl w:val="0"/>
        <w:shd w:val="clear" w:color="auto" w:fill="auto"/>
        <w:bidi w:val="0"/>
        <w:spacing w:before="0" w:after="12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7"/>
        <w:keepNext w:val="0"/>
        <w:keepLines w:val="0"/>
        <w:widowControl w:val="0"/>
        <w:shd w:val="clear" w:color="auto" w:fill="auto"/>
        <w:bidi w:val="0"/>
        <w:spacing w:before="0" w:after="12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220" w:line="240" w:lineRule="auto"/>
        <w:ind w:left="0" w:right="0" w:firstLine="26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2</w:t>
      </w:r>
      <w:bookmarkEnd w:id="641"/>
      <w:r>
        <w:rPr>
          <w:color w:val="000000"/>
          <w:spacing w:val="0"/>
          <w:w w:val="100"/>
          <w:position w:val="0"/>
        </w:rPr>
        <w:t>、公司控股股东情况</w:t>
      </w:r>
      <w:bookmarkEnd w:id="639"/>
      <w:bookmarkEnd w:id="640"/>
      <w:bookmarkEnd w:id="642"/>
    </w:p>
    <w:p>
      <w:pPr>
        <w:pStyle w:val="Style27"/>
        <w:keepNext w:val="0"/>
        <w:keepLines w:val="0"/>
        <w:widowControl w:val="0"/>
        <w:shd w:val="clear" w:color="auto" w:fill="auto"/>
        <w:bidi w:val="0"/>
        <w:spacing w:before="0" w:after="120" w:line="360" w:lineRule="exact"/>
        <w:ind w:left="260" w:right="0" w:firstLine="20"/>
        <w:jc w:val="left"/>
      </w:pPr>
      <w:r>
        <w:rPr>
          <w:color w:val="000000"/>
          <w:spacing w:val="0"/>
          <w:w w:val="100"/>
          <w:position w:val="0"/>
        </w:rPr>
        <w:t>控股股东性质：自然人控股 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、杨保田先生：中国籍，无境外居留权，</w:t>
            </w:r>
            <w:r>
              <w:rPr>
                <w:rFonts w:ascii="Times New Roman" w:eastAsia="Times New Roman" w:hAnsi="Times New Roman" w:cs="Times New Roman"/>
                <w:color w:val="000000"/>
                <w:spacing w:val="0"/>
                <w:w w:val="100"/>
                <w:position w:val="0"/>
                <w:sz w:val="18"/>
                <w:szCs w:val="18"/>
              </w:rPr>
              <w:t>1930</w:t>
            </w:r>
            <w:r>
              <w:rPr>
                <w:color w:val="000000"/>
                <w:spacing w:val="0"/>
                <w:w w:val="100"/>
                <w:position w:val="0"/>
              </w:rPr>
              <w:t>年出生，厦门大学计划统计专 业本科。杨保田先生于</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年退休，退休前一直任教于厦门大学；曾任公司 执行董事、总经理、法定代表人，</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月任红相有限法定 代表人、执行董事兼总经理，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月任红相有限董事、 副总经理，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月任公司董事。</w:t>
            </w:r>
          </w:p>
        </w:tc>
      </w:tr>
    </w:tbl>
    <w:p>
      <w:pPr>
        <w:widowControl w:val="0"/>
        <w:spacing w:line="1" w:lineRule="exact"/>
      </w:pPr>
      <w:r>
        <w:br w:type="page"/>
      </w:r>
    </w:p>
    <w:tbl>
      <w:tblPr>
        <w:tblOverlap w:val="never"/>
        <w:jc w:val="center"/>
        <w:tblLayout w:type="fixed"/>
      </w:tblPr>
      <w:tblGrid>
        <w:gridCol w:w="3427"/>
        <w:gridCol w:w="6158"/>
      </w:tblGrid>
      <w:tr>
        <w:trPr>
          <w:trHeight w:val="227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、杨成：董事长兼总经理，男，中国籍，无境外居留权，</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年出生，厦门 大学统计学硕士。曾先后任厦门红相电力设备有限公司副总经理、厦门红相电 力设备进出口有限公司（以下简称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红相有限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，红相股份前身）副总经理、红 相有限董事长、总经理、中宁县银变新能源有限公司执行董事。现任公司董事 长、总经理，兼任厦门红相软件有限公司执行董事、厦门红相信息科技有限公 司执行董事兼总经理、卧龙电气银川变压器有限公司董事长、红相电力（上海） 有限公司董事长、厦门红相智能科技有限公司执行董事。</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260" w:right="0" w:firstLine="2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140" w:line="240" w:lineRule="auto"/>
        <w:ind w:left="260" w:right="0" w:firstLine="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260" w:right="0" w:firstLine="2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240" w:line="240" w:lineRule="auto"/>
        <w:ind w:left="260" w:right="0" w:firstLine="2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3</w:t>
      </w:r>
      <w:bookmarkEnd w:id="645"/>
      <w:r>
        <w:rPr>
          <w:color w:val="000000"/>
          <w:spacing w:val="0"/>
          <w:w w:val="100"/>
          <w:position w:val="0"/>
        </w:rPr>
        <w:t>、公司实际控制人及其一致行动人</w:t>
      </w:r>
      <w:bookmarkEnd w:id="643"/>
      <w:bookmarkEnd w:id="644"/>
      <w:bookmarkEnd w:id="646"/>
    </w:p>
    <w:p>
      <w:pPr>
        <w:pStyle w:val="Style27"/>
        <w:keepNext w:val="0"/>
        <w:keepLines w:val="0"/>
        <w:widowControl w:val="0"/>
        <w:shd w:val="clear" w:color="auto" w:fill="auto"/>
        <w:bidi w:val="0"/>
        <w:spacing w:before="0" w:after="80" w:line="350" w:lineRule="exact"/>
        <w:ind w:left="260" w:right="0" w:firstLine="2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一致行动（含协议、亲属、同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9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tabs>
                <w:tab w:pos="269" w:val="left"/>
              </w:tabs>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杨保田先生：中国籍，无境外居留权，</w:t>
            </w:r>
            <w:r>
              <w:rPr>
                <w:rFonts w:ascii="Times New Roman" w:eastAsia="Times New Roman" w:hAnsi="Times New Roman" w:cs="Times New Roman"/>
                <w:color w:val="000000"/>
                <w:spacing w:val="0"/>
                <w:w w:val="100"/>
                <w:position w:val="0"/>
                <w:sz w:val="18"/>
                <w:szCs w:val="18"/>
              </w:rPr>
              <w:t>1930</w:t>
            </w:r>
            <w:r>
              <w:rPr>
                <w:color w:val="000000"/>
                <w:spacing w:val="0"/>
                <w:w w:val="100"/>
                <w:position w:val="0"/>
              </w:rPr>
              <w:t>年出生，厦门大学计划统计专业本科。杨保 田先生于</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年退休，退休前一直任教于厦门大学；曾任公司执行董事、总经理、法定代 表人，</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月任红相有限法定代表人、执行董事兼总经理，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月任红相有限董事、副总经理，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月任公司董事。</w:t>
            </w:r>
          </w:p>
          <w:p>
            <w:pPr>
              <w:pStyle w:val="Style2"/>
              <w:keepNext w:val="0"/>
              <w:keepLines w:val="0"/>
              <w:widowControl w:val="0"/>
              <w:shd w:val="clear" w:color="auto" w:fill="auto"/>
              <w:tabs>
                <w:tab w:pos="27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杨成：董事长兼总经理，男，中国籍，无境外居留权，</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年出生，厦门大学统计学硕 士。曾先后任厦门红相电力设备有限公司副总经理、厦门红相电力设备进出口有限公司（以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红相有限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，红相股份前身）副总经理、红相有限董事长、总经理、中宁县银变新能 源有限公司执行董事。现任公司董事长、总经理，兼任厦门红相软件有限公司执行董事、厦 门红相信息科技有限公司执行董事兼总经理、卧龙电气银川变压器有限公司董事长、红相电 力（上海）有限公司董事长、厦门红相智能科技有限公司执行董事。</w:t>
            </w:r>
          </w:p>
          <w:p>
            <w:pPr>
              <w:pStyle w:val="Style2"/>
              <w:keepNext w:val="0"/>
              <w:keepLines w:val="0"/>
              <w:widowControl w:val="0"/>
              <w:shd w:val="clear" w:color="auto" w:fill="auto"/>
              <w:tabs>
                <w:tab w:pos="25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杨力：董事，男，中国籍，无境外居留权，</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年出生，厦门大学计算机应用专业毕业。 曾任职于厦门建发股份有限公司和厦门海外旅游公司、曾任厦门红相电力设备有限公司监 事、红相有限监事、董事。现任公司董事、红相电力（上海）有限公司董事、厦门红相塑胶 材料有限公司执行董事及总经理、香港红相实业有限公司董事。</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r>
        <w:br w:type="page"/>
      </w:r>
    </w:p>
    <w:p>
      <w:pPr>
        <w:pStyle w:val="Style27"/>
        <w:keepNext w:val="0"/>
        <w:keepLines w:val="0"/>
        <w:widowControl w:val="0"/>
        <w:shd w:val="clear" w:color="auto" w:fill="auto"/>
        <w:bidi w:val="0"/>
        <w:spacing w:before="0" w:after="14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320" w:line="240" w:lineRule="auto"/>
        <w:ind w:left="0" w:right="0" w:firstLine="26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627630" cy="19081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627630" cy="1908175"/>
                    </a:xfrm>
                    <a:prstGeom prst="rect"/>
                  </pic:spPr>
                </pic:pic>
              </a:graphicData>
            </a:graphic>
          </wp:inline>
        </w:drawing>
      </w:r>
    </w:p>
    <w:p>
      <w:pPr>
        <w:widowControl w:val="0"/>
        <w:spacing w:after="319" w:line="1" w:lineRule="exact"/>
      </w:pPr>
    </w:p>
    <w:p>
      <w:pPr>
        <w:pStyle w:val="Style27"/>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38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638" w:val="left"/>
        </w:tabs>
        <w:bidi w:val="0"/>
        <w:spacing w:before="0" w:after="380" w:line="240" w:lineRule="auto"/>
        <w:ind w:left="0" w:right="0" w:firstLine="26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4</w:t>
      </w:r>
      <w:bookmarkEnd w:id="649"/>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47"/>
      <w:bookmarkEnd w:id="648"/>
      <w:bookmarkEnd w:id="650"/>
    </w:p>
    <w:p>
      <w:pPr>
        <w:pStyle w:val="Style27"/>
        <w:keepNext w:val="0"/>
        <w:keepLines w:val="0"/>
        <w:widowControl w:val="0"/>
        <w:shd w:val="clear" w:color="auto" w:fill="auto"/>
        <w:bidi w:val="0"/>
        <w:spacing w:before="0" w:after="38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638" w:val="left"/>
        </w:tabs>
        <w:bidi w:val="0"/>
        <w:spacing w:before="0" w:after="380" w:line="240" w:lineRule="auto"/>
        <w:ind w:left="0" w:right="0" w:firstLine="26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5</w:t>
      </w:r>
      <w:bookmarkEnd w:id="65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51"/>
      <w:bookmarkEnd w:id="652"/>
      <w:bookmarkEnd w:id="654"/>
    </w:p>
    <w:p>
      <w:pPr>
        <w:pStyle w:val="Style27"/>
        <w:keepNext w:val="0"/>
        <w:keepLines w:val="0"/>
        <w:widowControl w:val="0"/>
        <w:shd w:val="clear" w:color="auto" w:fill="auto"/>
        <w:bidi w:val="0"/>
        <w:spacing w:before="0" w:after="80" w:line="240" w:lineRule="auto"/>
        <w:ind w:left="0" w:right="0" w:firstLine="26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2587"/>
        <w:gridCol w:w="1814"/>
        <w:gridCol w:w="1416"/>
        <w:gridCol w:w="1632"/>
        <w:gridCol w:w="213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主要经营业务或管理活动</w:t>
            </w:r>
          </w:p>
        </w:tc>
      </w:tr>
      <w:tr>
        <w:trPr>
          <w:trHeight w:val="415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卧龙电气驱动集团股份有限公司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庞欣元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131526.2586 </w:t>
            </w:r>
            <w:r>
              <w:rPr>
                <w:color w:val="000000"/>
                <w:spacing w:val="0"/>
                <w:w w:val="100"/>
                <w:position w:val="0"/>
              </w:rPr>
              <w:t>万元人 民币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开展对外承包工程业务</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（范围详见商务部批文）。 电机、发电机、驱动与控 制器、变频器、软启动器、 励磁装置、整流与逆变装 置、变压器、变配电装置、 电气系统成套设备、工业 自动化装备、振动机械、 蓄电池、电源设备的研发、 制造、销售、安装；经营 进出口业务。（依法须经批 准的项目，经相关部门批 准后方可开展经营活动）</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26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6</w:t>
      </w:r>
      <w:bookmarkEnd w:id="657"/>
      <w:r>
        <w:rPr>
          <w:color w:val="000000"/>
          <w:spacing w:val="0"/>
          <w:w w:val="100"/>
          <w:position w:val="0"/>
        </w:rPr>
        <w:t>、控股股东、实际控制人、重组方及其他承诺主体股份限制减持情况</w:t>
      </w:r>
      <w:bookmarkEnd w:id="655"/>
      <w:bookmarkEnd w:id="656"/>
      <w:bookmarkEnd w:id="658"/>
    </w:p>
    <w:p>
      <w:pPr>
        <w:pStyle w:val="Style27"/>
        <w:keepNext w:val="0"/>
        <w:keepLines w:val="0"/>
        <w:widowControl w:val="0"/>
        <w:shd w:val="clear" w:color="auto" w:fill="auto"/>
        <w:bidi w:val="0"/>
        <w:spacing w:before="0" w:after="320" w:line="240" w:lineRule="auto"/>
        <w:ind w:left="0" w:right="0" w:firstLine="26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280"/>
        <w:jc w:val="left"/>
      </w:pPr>
      <w:bookmarkStart w:id="659" w:name="bookmark659"/>
      <w:bookmarkStart w:id="660" w:name="bookmark660"/>
      <w:bookmarkStart w:id="661" w:name="bookmark661"/>
      <w:bookmarkStart w:id="662" w:name="bookmark662"/>
      <w:r>
        <w:rPr>
          <w:color w:val="000000"/>
          <w:spacing w:val="0"/>
          <w:w w:val="100"/>
          <w:position w:val="0"/>
        </w:rPr>
        <w:t>四</w:t>
      </w:r>
      <w:bookmarkEnd w:id="661"/>
      <w:r>
        <w:rPr>
          <w:color w:val="000000"/>
          <w:spacing w:val="0"/>
          <w:w w:val="100"/>
          <w:position w:val="0"/>
        </w:rPr>
        <w:t>、股份回购在报告期的具体实施情况</w:t>
      </w:r>
      <w:bookmarkEnd w:id="659"/>
      <w:bookmarkEnd w:id="660"/>
      <w:bookmarkEnd w:id="662"/>
    </w:p>
    <w:p>
      <w:pPr>
        <w:pStyle w:val="Style27"/>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股份回购的实施进展情况</w:t>
      </w:r>
    </w:p>
    <w:p>
      <w:pPr>
        <w:pStyle w:val="Style27"/>
        <w:keepNext w:val="0"/>
        <w:keepLines w:val="0"/>
        <w:widowControl w:val="0"/>
        <w:shd w:val="clear" w:color="auto" w:fill="auto"/>
        <w:bidi w:val="0"/>
        <w:spacing w:before="0" w:after="14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采用集中竞价方式减持回购股份的实施进展情况</w:t>
      </w:r>
    </w:p>
    <w:p>
      <w:pPr>
        <w:pStyle w:val="Style27"/>
        <w:keepNext w:val="0"/>
        <w:keepLines w:val="0"/>
        <w:widowControl w:val="0"/>
        <w:shd w:val="clear" w:color="auto" w:fill="auto"/>
        <w:bidi w:val="0"/>
        <w:spacing w:before="0" w:after="140" w:line="240" w:lineRule="auto"/>
        <w:ind w:left="0" w:right="0" w:firstLine="280"/>
        <w:jc w:val="left"/>
        <w:sectPr>
          <w:footnotePr>
            <w:pos w:val="pageBottom"/>
            <w:numFmt w:val="decimal"/>
            <w:numRestart w:val="continuous"/>
          </w:footnotePr>
          <w:pgSz w:w="11900" w:h="16840"/>
          <w:pgMar w:top="1402" w:right="1075" w:bottom="1455" w:left="87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2" name="Shape 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9"/>
                              <w:keepNext/>
                              <w:keepLines/>
                              <w:widowControl w:val="0"/>
                              <w:shd w:val="clear" w:color="auto" w:fill="auto"/>
                              <w:bidi w:val="0"/>
                              <w:spacing w:before="0" w:after="0" w:line="240" w:lineRule="auto"/>
                              <w:ind w:left="0" w:right="0" w:firstLine="0"/>
                              <w:jc w:val="center"/>
                            </w:pPr>
                            <w:bookmarkStart w:id="663" w:name="bookmark663"/>
                            <w:bookmarkStart w:id="664" w:name="bookmark664"/>
                            <w:bookmarkStart w:id="665" w:name="bookmark665"/>
                            <w:r>
                              <w:rPr>
                                <w:color w:val="000000"/>
                                <w:spacing w:val="0"/>
                                <w:w w:val="100"/>
                                <w:position w:val="0"/>
                              </w:rPr>
                              <w:t>第八节优先股相关情况</w:t>
                            </w:r>
                            <w:bookmarkEnd w:id="663"/>
                            <w:bookmarkEnd w:id="664"/>
                            <w:bookmarkEnd w:id="665"/>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9"/>
                        <w:keepNext/>
                        <w:keepLines/>
                        <w:widowControl w:val="0"/>
                        <w:shd w:val="clear" w:color="auto" w:fill="auto"/>
                        <w:bidi w:val="0"/>
                        <w:spacing w:before="0" w:after="0" w:line="240" w:lineRule="auto"/>
                        <w:ind w:left="0" w:right="0" w:firstLine="0"/>
                        <w:jc w:val="center"/>
                      </w:pPr>
                      <w:bookmarkStart w:id="663" w:name="bookmark663"/>
                      <w:bookmarkStart w:id="664" w:name="bookmark664"/>
                      <w:bookmarkStart w:id="665" w:name="bookmark665"/>
                      <w:r>
                        <w:rPr>
                          <w:color w:val="000000"/>
                          <w:spacing w:val="0"/>
                          <w:w w:val="100"/>
                          <w:position w:val="0"/>
                        </w:rPr>
                        <w:t>第八节优先股相关情况</w:t>
                      </w:r>
                      <w:bookmarkEnd w:id="663"/>
                      <w:bookmarkEnd w:id="664"/>
                      <w:bookmarkEnd w:id="665"/>
                    </w:p>
                  </w:txbxContent>
                </v:textbox>
                <w10:wrap type="topAndBottom" anchorx="page"/>
              </v:shape>
            </w:pict>
          </mc:Fallback>
        </mc:AlternateContent>
      </w:r>
    </w:p>
    <w:p>
      <w:pPr>
        <w:pStyle w:val="Style27"/>
        <w:keepNext w:val="0"/>
        <w:keepLines w:val="0"/>
        <w:widowControl w:val="0"/>
        <w:shd w:val="clear" w:color="auto" w:fill="auto"/>
        <w:bidi w:val="0"/>
        <w:spacing w:before="0" w:after="140" w:line="240" w:lineRule="auto"/>
        <w:ind w:left="0" w:right="0" w:firstLine="280"/>
        <w:jc w:val="left"/>
      </w:pPr>
      <w:bookmarkStart w:id="666" w:name="bookmark66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66"/>
    </w:p>
    <w:p>
      <w:pPr>
        <w:pStyle w:val="Style27"/>
        <w:keepNext w:val="0"/>
        <w:keepLines w:val="0"/>
        <w:widowControl w:val="0"/>
        <w:shd w:val="clear" w:color="auto" w:fill="auto"/>
        <w:bidi w:val="0"/>
        <w:spacing w:before="0" w:after="0" w:line="240" w:lineRule="auto"/>
        <w:ind w:left="0" w:right="0" w:firstLine="280"/>
        <w:jc w:val="left"/>
        <w:sectPr>
          <w:footnotePr>
            <w:pos w:val="pageBottom"/>
            <w:numFmt w:val="decimal"/>
            <w:numRestart w:val="continuous"/>
          </w:footnotePr>
          <w:pgSz w:w="11900" w:h="16840"/>
          <w:pgMar w:top="1930" w:right="1109" w:bottom="1930" w:left="841" w:header="0" w:footer="3" w:gutter="0"/>
          <w:cols w:space="720"/>
          <w:noEndnote/>
          <w:rtlGutter w:val="0"/>
          <w:docGrid w:linePitch="360"/>
        </w:sectPr>
      </w:pPr>
      <w:r>
        <w:rPr>
          <w:color w:val="000000"/>
          <w:spacing w:val="0"/>
          <w:w w:val="100"/>
          <w:position w:val="0"/>
        </w:rPr>
        <w:t>报告期公司不存在优先股。</w:t>
      </w:r>
    </w:p>
    <w:p>
      <w:pPr>
        <w:pStyle w:val="Style9"/>
        <w:keepNext/>
        <w:keepLines/>
        <w:widowControl w:val="0"/>
        <w:shd w:val="clear" w:color="auto" w:fill="auto"/>
        <w:bidi w:val="0"/>
        <w:spacing w:before="480" w:line="240" w:lineRule="auto"/>
        <w:ind w:left="0" w:right="0" w:firstLine="0"/>
        <w:jc w:val="center"/>
      </w:pPr>
      <w:bookmarkStart w:id="667" w:name="bookmark667"/>
      <w:bookmarkStart w:id="668" w:name="bookmark668"/>
      <w:bookmarkStart w:id="669" w:name="bookmark669"/>
      <w:r>
        <w:rPr>
          <w:color w:val="000000"/>
          <w:spacing w:val="0"/>
          <w:w w:val="100"/>
          <w:position w:val="0"/>
        </w:rPr>
        <w:t>第九节债券相关情况</w:t>
      </w:r>
      <w:bookmarkEnd w:id="667"/>
      <w:bookmarkEnd w:id="668"/>
      <w:bookmarkEnd w:id="669"/>
    </w:p>
    <w:p>
      <w:pPr>
        <w:pStyle w:val="Style27"/>
        <w:keepNext w:val="0"/>
        <w:keepLines w:val="0"/>
        <w:widowControl w:val="0"/>
        <w:shd w:val="clear" w:color="auto" w:fill="auto"/>
        <w:bidi w:val="0"/>
        <w:spacing w:before="0" w:after="380" w:line="240" w:lineRule="auto"/>
        <w:ind w:left="0" w:right="0" w:firstLine="0"/>
        <w:jc w:val="left"/>
      </w:pPr>
      <w:bookmarkStart w:id="670" w:name="bookmark670"/>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bookmarkEnd w:id="670"/>
    </w:p>
    <w:p>
      <w:pPr>
        <w:pStyle w:val="Style23"/>
        <w:keepNext/>
        <w:keepLines/>
        <w:widowControl w:val="0"/>
        <w:shd w:val="clear" w:color="auto" w:fill="auto"/>
        <w:tabs>
          <w:tab w:pos="517" w:val="left"/>
        </w:tabs>
        <w:bidi w:val="0"/>
        <w:spacing w:before="0" w:after="380" w:line="240" w:lineRule="auto"/>
        <w:ind w:left="0" w:right="0" w:firstLine="0"/>
        <w:jc w:val="left"/>
      </w:pPr>
      <w:bookmarkStart w:id="671" w:name="bookmark671"/>
      <w:bookmarkStart w:id="672" w:name="bookmark672"/>
      <w:bookmarkStart w:id="673" w:name="bookmark673"/>
      <w:bookmarkStart w:id="674" w:name="bookmark674"/>
      <w:r>
        <w:rPr>
          <w:color w:val="000000"/>
          <w:spacing w:val="0"/>
          <w:w w:val="100"/>
          <w:position w:val="0"/>
        </w:rPr>
        <w:t>一</w:t>
      </w:r>
      <w:bookmarkEnd w:id="673"/>
      <w:r>
        <w:rPr>
          <w:color w:val="000000"/>
          <w:spacing w:val="0"/>
          <w:w w:val="100"/>
          <w:position w:val="0"/>
        </w:rPr>
        <w:t>、</w:t>
        <w:tab/>
        <w:t>企业债券</w:t>
      </w:r>
      <w:bookmarkEnd w:id="671"/>
      <w:bookmarkEnd w:id="672"/>
      <w:bookmarkEnd w:id="67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报告期公司不存在企业债券。</w:t>
      </w:r>
    </w:p>
    <w:p>
      <w:pPr>
        <w:pStyle w:val="Style23"/>
        <w:keepNext/>
        <w:keepLines/>
        <w:widowControl w:val="0"/>
        <w:shd w:val="clear" w:color="auto" w:fill="auto"/>
        <w:tabs>
          <w:tab w:pos="517" w:val="left"/>
        </w:tabs>
        <w:bidi w:val="0"/>
        <w:spacing w:before="0" w:after="38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rPr>
        <w:t>二</w:t>
      </w:r>
      <w:bookmarkEnd w:id="677"/>
      <w:r>
        <w:rPr>
          <w:color w:val="000000"/>
          <w:spacing w:val="0"/>
          <w:w w:val="100"/>
          <w:position w:val="0"/>
        </w:rPr>
        <w:t>、</w:t>
        <w:tab/>
        <w:t>公司债券</w:t>
      </w:r>
      <w:bookmarkEnd w:id="675"/>
      <w:bookmarkEnd w:id="676"/>
      <w:bookmarkEnd w:id="67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报告期公司不存在公司债券。</w:t>
      </w:r>
    </w:p>
    <w:p>
      <w:pPr>
        <w:pStyle w:val="Style23"/>
        <w:keepNext/>
        <w:keepLines/>
        <w:widowControl w:val="0"/>
        <w:shd w:val="clear" w:color="auto" w:fill="auto"/>
        <w:tabs>
          <w:tab w:pos="522" w:val="left"/>
        </w:tabs>
        <w:bidi w:val="0"/>
        <w:spacing w:before="0" w:after="380" w:line="240" w:lineRule="auto"/>
        <w:ind w:left="0" w:right="0" w:firstLine="0"/>
        <w:jc w:val="left"/>
      </w:pPr>
      <w:bookmarkStart w:id="679" w:name="bookmark679"/>
      <w:bookmarkStart w:id="680" w:name="bookmark680"/>
      <w:bookmarkStart w:id="681" w:name="bookmark681"/>
      <w:bookmarkStart w:id="682" w:name="bookmark682"/>
      <w:r>
        <w:rPr>
          <w:color w:val="000000"/>
          <w:spacing w:val="0"/>
          <w:w w:val="100"/>
          <w:position w:val="0"/>
        </w:rPr>
        <w:t>三</w:t>
      </w:r>
      <w:bookmarkEnd w:id="681"/>
      <w:r>
        <w:rPr>
          <w:color w:val="000000"/>
          <w:spacing w:val="0"/>
          <w:w w:val="100"/>
          <w:position w:val="0"/>
        </w:rPr>
        <w:t>、</w:t>
        <w:tab/>
        <w:t>非金融企业债务融资工具</w:t>
      </w:r>
      <w:bookmarkEnd w:id="679"/>
      <w:bookmarkEnd w:id="680"/>
      <w:bookmarkEnd w:id="682"/>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报告期公司不存在非金融企业债务融资工具。</w:t>
      </w:r>
    </w:p>
    <w:p>
      <w:pPr>
        <w:pStyle w:val="Style23"/>
        <w:keepNext/>
        <w:keepLines/>
        <w:widowControl w:val="0"/>
        <w:shd w:val="clear" w:color="auto" w:fill="auto"/>
        <w:tabs>
          <w:tab w:pos="522" w:val="left"/>
        </w:tabs>
        <w:bidi w:val="0"/>
        <w:spacing w:before="0" w:after="380" w:line="240" w:lineRule="auto"/>
        <w:ind w:left="0" w:right="0" w:firstLine="0"/>
        <w:jc w:val="left"/>
      </w:pPr>
      <w:bookmarkStart w:id="683" w:name="bookmark683"/>
      <w:bookmarkStart w:id="684" w:name="bookmark684"/>
      <w:bookmarkStart w:id="685" w:name="bookmark685"/>
      <w:bookmarkStart w:id="686" w:name="bookmark686"/>
      <w:r>
        <w:rPr>
          <w:color w:val="000000"/>
          <w:spacing w:val="0"/>
          <w:w w:val="100"/>
          <w:position w:val="0"/>
        </w:rPr>
        <w:t>四</w:t>
      </w:r>
      <w:bookmarkEnd w:id="685"/>
      <w:r>
        <w:rPr>
          <w:color w:val="000000"/>
          <w:spacing w:val="0"/>
          <w:w w:val="100"/>
          <w:position w:val="0"/>
        </w:rPr>
        <w:t>、</w:t>
        <w:tab/>
        <w:t>可转换公司债券</w:t>
      </w:r>
      <w:bookmarkEnd w:id="683"/>
      <w:bookmarkEnd w:id="684"/>
      <w:bookmarkEnd w:id="686"/>
    </w:p>
    <w:p>
      <w:pPr>
        <w:pStyle w:val="Style27"/>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1"/>
        <w:keepNext/>
        <w:keepLines/>
        <w:widowControl w:val="0"/>
        <w:shd w:val="clear" w:color="auto" w:fill="auto"/>
        <w:bidi w:val="0"/>
        <w:spacing w:before="0" w:after="200" w:line="468" w:lineRule="exact"/>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1</w:t>
      </w:r>
      <w:bookmarkEnd w:id="689"/>
      <w:r>
        <w:rPr>
          <w:color w:val="000000"/>
          <w:spacing w:val="0"/>
          <w:w w:val="100"/>
          <w:position w:val="0"/>
        </w:rPr>
        <w:t>、转股价格历次调整情况</w:t>
      </w:r>
      <w:bookmarkEnd w:id="687"/>
      <w:bookmarkEnd w:id="688"/>
      <w:bookmarkEnd w:id="690"/>
    </w:p>
    <w:p>
      <w:pPr>
        <w:pStyle w:val="Style11"/>
        <w:keepNext w:val="0"/>
        <w:keepLines w:val="0"/>
        <w:widowControl w:val="0"/>
        <w:shd w:val="clear" w:color="auto" w:fill="auto"/>
        <w:bidi w:val="0"/>
        <w:spacing w:before="0" w:after="0" w:line="468"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月，公司实施</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年年度权益分派方案，以公司总股本</w:t>
      </w:r>
      <w:r>
        <w:rPr>
          <w:rFonts w:ascii="Times New Roman" w:eastAsia="Times New Roman" w:hAnsi="Times New Roman" w:cs="Times New Roman"/>
          <w:color w:val="000000"/>
          <w:spacing w:val="0"/>
          <w:w w:val="100"/>
          <w:position w:val="0"/>
        </w:rPr>
        <w:t>358,340,754</w:t>
      </w:r>
      <w:r>
        <w:rPr>
          <w:color w:val="000000"/>
          <w:spacing w:val="0"/>
          <w:w w:val="100"/>
          <w:position w:val="0"/>
        </w:rPr>
        <w:t>股为基数，以未分配利润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1.32</w:t>
      </w:r>
      <w:r>
        <w:rPr>
          <w:color w:val="000000"/>
          <w:spacing w:val="0"/>
          <w:w w:val="100"/>
          <w:position w:val="0"/>
        </w:rPr>
        <w:t>元（含税）。根据《红相股份有限公司创业板公开发行可转换公司债 券募集说明书》的有关约定以及中国证监会关于可转换公司债券发行的有关规定，</w:t>
      </w:r>
      <w:r>
        <w:rPr>
          <w:rFonts w:ascii="Times New Roman" w:eastAsia="Times New Roman" w:hAnsi="Times New Roman" w:cs="Times New Roman"/>
          <w:color w:val="000000"/>
          <w:spacing w:val="0"/>
          <w:w w:val="100"/>
          <w:position w:val="0"/>
        </w:rPr>
        <w:t>“</w:t>
      </w:r>
      <w:r>
        <w:rPr>
          <w:color w:val="000000"/>
          <w:spacing w:val="0"/>
          <w:w w:val="100"/>
          <w:position w:val="0"/>
        </w:rPr>
        <w:t>红相转债''的转股价格 由原来的</w:t>
      </w:r>
      <w:r>
        <w:rPr>
          <w:rFonts w:ascii="Times New Roman" w:eastAsia="Times New Roman" w:hAnsi="Times New Roman" w:cs="Times New Roman"/>
          <w:color w:val="000000"/>
          <w:spacing w:val="0"/>
          <w:w w:val="100"/>
          <w:position w:val="0"/>
        </w:rPr>
        <w:t>18.93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18.80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股，调整后的转股价格于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日起生效。具体内容详见公司于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日在中国证监会指定信息披露网站巨潮资讯网上披露的《关于可转债转股价格调整的公告》（公 告编号：</w:t>
      </w:r>
      <w:r>
        <w:rPr>
          <w:rFonts w:ascii="Times New Roman" w:eastAsia="Times New Roman" w:hAnsi="Times New Roman" w:cs="Times New Roman"/>
          <w:color w:val="000000"/>
          <w:spacing w:val="0"/>
          <w:w w:val="100"/>
          <w:position w:val="0"/>
        </w:rPr>
        <w:t>2020-066</w:t>
      </w:r>
      <w:r>
        <w:rPr>
          <w:color w:val="000000"/>
          <w:spacing w:val="0"/>
          <w:w w:val="100"/>
          <w:position w:val="0"/>
        </w:rPr>
        <w:t>）。</w:t>
      </w:r>
    </w:p>
    <w:p>
      <w:pPr>
        <w:pStyle w:val="Style11"/>
        <w:keepNext w:val="0"/>
        <w:keepLines w:val="0"/>
        <w:widowControl w:val="0"/>
        <w:shd w:val="clear" w:color="auto" w:fill="auto"/>
        <w:bidi w:val="0"/>
        <w:spacing w:before="0" w:after="440" w:line="468"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月，公司实施</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年年度权益分派方案，以公司总股本</w:t>
      </w:r>
      <w:r>
        <w:rPr>
          <w:rFonts w:ascii="Times New Roman" w:eastAsia="Times New Roman" w:hAnsi="Times New Roman" w:cs="Times New Roman"/>
          <w:color w:val="000000"/>
          <w:spacing w:val="0"/>
          <w:w w:val="100"/>
          <w:position w:val="0"/>
        </w:rPr>
        <w:t>360,223,180</w:t>
      </w:r>
      <w:r>
        <w:rPr>
          <w:color w:val="000000"/>
          <w:spacing w:val="0"/>
          <w:w w:val="100"/>
          <w:position w:val="0"/>
        </w:rPr>
        <w:t xml:space="preserve">股为基数，向全体股东每 </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.299999</w:t>
      </w:r>
      <w:r>
        <w:rPr>
          <w:color w:val="000000"/>
          <w:spacing w:val="0"/>
          <w:w w:val="100"/>
          <w:position w:val="0"/>
        </w:rPr>
        <w:t>元（含税），不送红股，不以资本公积金转增股本。根据《红相股份有 限公司创业板公开发行可转换公司债券募集说明书》的相关条款及中国证监会关于可转换公司债券发行的 有关规定，结合权益分派实施情况，</w:t>
      </w:r>
      <w:r>
        <w:rPr>
          <w:rFonts w:ascii="Times New Roman" w:eastAsia="Times New Roman" w:hAnsi="Times New Roman" w:cs="Times New Roman"/>
          <w:color w:val="000000"/>
          <w:spacing w:val="0"/>
          <w:w w:val="100"/>
          <w:position w:val="0"/>
        </w:rPr>
        <w:t>“</w:t>
      </w:r>
      <w:r>
        <w:rPr>
          <w:color w:val="000000"/>
          <w:spacing w:val="0"/>
          <w:w w:val="100"/>
          <w:position w:val="0"/>
        </w:rPr>
        <w:t>红相转债</w:t>
      </w:r>
      <w:r>
        <w:rPr>
          <w:rFonts w:ascii="Times New Roman" w:eastAsia="Times New Roman" w:hAnsi="Times New Roman" w:cs="Times New Roman"/>
          <w:color w:val="000000"/>
          <w:spacing w:val="0"/>
          <w:w w:val="100"/>
          <w:position w:val="0"/>
        </w:rPr>
        <w:t>''</w:t>
      </w:r>
      <w:r>
        <w:rPr>
          <w:color w:val="000000"/>
          <w:spacing w:val="0"/>
          <w:w w:val="100"/>
          <w:position w:val="0"/>
        </w:rPr>
        <w:t>转股价格由原来的</w:t>
      </w:r>
      <w:r>
        <w:rPr>
          <w:rFonts w:ascii="Times New Roman" w:eastAsia="Times New Roman" w:hAnsi="Times New Roman" w:cs="Times New Roman"/>
          <w:color w:val="000000"/>
          <w:spacing w:val="0"/>
          <w:w w:val="100"/>
          <w:position w:val="0"/>
        </w:rPr>
        <w:t>18.8</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18.67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股，调整后的 转股价格自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日（除权除息日）起生效。具体内容详见公司于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日在中国证监会指定</w:t>
        <w:br w:type="page"/>
      </w:r>
      <w:r>
        <w:rPr>
          <w:color w:val="000000"/>
          <w:spacing w:val="0"/>
          <w:w w:val="100"/>
          <w:position w:val="0"/>
        </w:rPr>
        <w:t>信息披露网站巨潮资讯网上披露的《关于可转债转股价格调整的公告》（公告编号：</w:t>
      </w:r>
      <w:r>
        <w:rPr>
          <w:rFonts w:ascii="Times New Roman" w:eastAsia="Times New Roman" w:hAnsi="Times New Roman" w:cs="Times New Roman"/>
          <w:color w:val="000000"/>
          <w:spacing w:val="0"/>
          <w:w w:val="100"/>
          <w:position w:val="0"/>
        </w:rPr>
        <w:t>2021-066</w:t>
      </w:r>
      <w:r>
        <w:rPr>
          <w:color w:val="000000"/>
          <w:spacing w:val="0"/>
          <w:w w:val="100"/>
          <w:position w:val="0"/>
        </w:rPr>
        <w:t>）。</w:t>
      </w:r>
    </w:p>
    <w:p>
      <w:pPr>
        <w:pStyle w:val="Style31"/>
        <w:keepNext/>
        <w:keepLines/>
        <w:widowControl w:val="0"/>
        <w:shd w:val="clear" w:color="auto" w:fill="auto"/>
        <w:bidi w:val="0"/>
        <w:spacing w:before="0" w:after="38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bookmarkEnd w:id="693"/>
      <w:r>
        <w:rPr>
          <w:color w:val="000000"/>
          <w:spacing w:val="0"/>
          <w:w w:val="100"/>
          <w:position w:val="0"/>
        </w:rPr>
        <w:t>、累计转股情况</w:t>
      </w:r>
      <w:bookmarkEnd w:id="691"/>
      <w:bookmarkEnd w:id="692"/>
      <w:bookmarkEnd w:id="694"/>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6"/>
        <w:gridCol w:w="1061"/>
        <w:gridCol w:w="1066"/>
        <w:gridCol w:w="1066"/>
        <w:gridCol w:w="1061"/>
        <w:gridCol w:w="1066"/>
        <w:gridCol w:w="1066"/>
        <w:gridCol w:w="106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转债简称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转股起止日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发行总量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累计转股金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累计转股数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转股数量占</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转股开始日</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前公司已发 行股份总额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尚未转股金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未转股金额</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占发行总金</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额的比例</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红相转债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549,592,000.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3</w:t>
      </w:r>
      <w:bookmarkEnd w:id="697"/>
      <w:r>
        <w:rPr>
          <w:color w:val="000000"/>
          <w:spacing w:val="0"/>
          <w:w w:val="100"/>
          <w:position w:val="0"/>
        </w:rPr>
        <w:t>、前十名可转债持有人情况</w:t>
      </w:r>
      <w:bookmarkEnd w:id="695"/>
      <w:bookmarkEnd w:id="696"/>
      <w:bookmarkEnd w:id="69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715"/>
        <w:gridCol w:w="2837"/>
        <w:gridCol w:w="1238"/>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可转债持有人名称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可转债持有人 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报告期末持有可转</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债数量（张）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报告期末持有可转</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报告期末持有可转 债占比</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中国光大银行股份有限公司一博时 转债增强债券型证券投资基金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38,156,100.00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MERRILL LYNCH</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32,950,900.00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国寿养老安享鑫祺混合型养老金产 品一中国工商银行股份有限公司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29,046,000.00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西北投资管理（香港）有限公司一 西北飞龙基金有限公司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23,065,600.00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银华坤利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号固定收益型养老金产 品一中信银行股份有限公司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21,665,000.00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法国巴黎银行一自有资金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兴业银行股份有限公司一天弘永利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18,117,600.00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招商银行股份有限公司一博道嘉瑞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16,757,000.00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中国光大银行股份有限公司一博道 嘉泰回报混合型证券投资基金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15,703,100.00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中国工商银行股份有限公司一汇添 富可转换债券债券型证券投资基金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13,886,800.00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2.53%</w:t>
            </w:r>
          </w:p>
        </w:tc>
      </w:tr>
    </w:tbl>
    <w:p>
      <w:pPr>
        <w:pStyle w:val="Style31"/>
        <w:keepNext/>
        <w:keepLines/>
        <w:widowControl w:val="0"/>
        <w:shd w:val="clear" w:color="auto" w:fill="auto"/>
        <w:tabs>
          <w:tab w:pos="392" w:val="left"/>
        </w:tabs>
        <w:bidi w:val="0"/>
        <w:spacing w:before="0" w:after="38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4</w:t>
      </w:r>
      <w:bookmarkEnd w:id="701"/>
      <w:r>
        <w:rPr>
          <w:color w:val="000000"/>
          <w:spacing w:val="0"/>
          <w:w w:val="100"/>
          <w:position w:val="0"/>
        </w:rPr>
        <w:t>、</w:t>
        <w:tab/>
        <w:t>担保人盈利能力、资产状况和信用状况发生重大变化的情况</w:t>
      </w:r>
      <w:bookmarkEnd w:id="699"/>
      <w:bookmarkEnd w:id="700"/>
      <w:bookmarkEnd w:id="702"/>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92" w:val="left"/>
        </w:tabs>
        <w:bidi w:val="0"/>
        <w:spacing w:before="0" w:after="38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5</w:t>
      </w:r>
      <w:bookmarkEnd w:id="705"/>
      <w:r>
        <w:rPr>
          <w:color w:val="000000"/>
          <w:spacing w:val="0"/>
          <w:w w:val="100"/>
          <w:position w:val="0"/>
        </w:rPr>
        <w:t>、</w:t>
        <w:tab/>
        <w:t>报告期末公司的负债情况、资信变化情况以及在未来年度还债的现金安排</w:t>
      </w:r>
      <w:bookmarkEnd w:id="703"/>
      <w:bookmarkEnd w:id="704"/>
      <w:bookmarkEnd w:id="70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）报告期内获得的银行授信情况、使用情况以及偿还银行贷款的情况</w:t>
      </w:r>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单位（万元）</w:t>
      </w:r>
    </w:p>
    <w:tbl>
      <w:tblPr>
        <w:tblOverlap w:val="never"/>
        <w:jc w:val="center"/>
        <w:tblLayout w:type="fixed"/>
      </w:tblPr>
      <w:tblGrid>
        <w:gridCol w:w="1392"/>
        <w:gridCol w:w="1378"/>
        <w:gridCol w:w="1382"/>
        <w:gridCol w:w="1378"/>
        <w:gridCol w:w="1382"/>
        <w:gridCol w:w="1378"/>
        <w:gridCol w:w="1387"/>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截至报告期末</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授信总额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期初借款余额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本期新增借款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本期偿还借款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本期处置子公 司转移债务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截至报告期末 借款余额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红相股份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92,950.00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58,997.59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37,001.89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37,350.37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58,649.11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浙江涵普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49,300.00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82,088.38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37,866.21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46,722.17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18,200.00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星波通信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159,250.00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144,585.97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63,301.89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81,316.58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46,722.17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79,849.11</w:t>
            </w:r>
          </w:p>
        </w:tc>
      </w:tr>
    </w:tbl>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）报告期末可转债资产负债率、利息保障倍数、贷款偿还率、利息偿付率等相关指标以及同期对比变动情况详见本节之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 截至报告期末公司近两年的主要会计数据和财务指标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38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的主要原因：①报告期，</w:t>
      </w: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全部债务比较上年同期减少</w:t>
      </w:r>
      <w:r>
        <w:rPr>
          <w:rFonts w:ascii="Times New Roman" w:eastAsia="Times New Roman" w:hAnsi="Times New Roman" w:cs="Times New Roman"/>
          <w:color w:val="000000"/>
          <w:spacing w:val="0"/>
          <w:w w:val="100"/>
          <w:position w:val="0"/>
          <w:sz w:val="18"/>
          <w:szCs w:val="18"/>
        </w:rPr>
        <w:t>79.94%</w:t>
      </w:r>
      <w:r>
        <w:rPr>
          <w:color w:val="000000"/>
          <w:spacing w:val="0"/>
          <w:w w:val="100"/>
          <w:position w:val="0"/>
          <w:sz w:val="18"/>
          <w:szCs w:val="18"/>
        </w:rPr>
        <w:t>，</w:t>
      </w:r>
      <w:r>
        <w:rPr>
          <w:color w:val="000000"/>
          <w:spacing w:val="0"/>
          <w:w w:val="100"/>
          <w:position w:val="0"/>
        </w:rPr>
        <w:t>主要 由于报告期息税折旧摊销前利润减少，且报告期末公司全部债务金额较期初下降</w:t>
      </w:r>
      <w:r>
        <w:rPr>
          <w:rFonts w:ascii="Times New Roman" w:eastAsia="Times New Roman" w:hAnsi="Times New Roman" w:cs="Times New Roman"/>
          <w:color w:val="000000"/>
          <w:spacing w:val="0"/>
          <w:w w:val="100"/>
          <w:position w:val="0"/>
          <w:sz w:val="18"/>
          <w:szCs w:val="18"/>
        </w:rPr>
        <w:t>40.40%</w:t>
      </w:r>
      <w:r>
        <w:rPr>
          <w:color w:val="000000"/>
          <w:spacing w:val="0"/>
          <w:w w:val="100"/>
          <w:position w:val="0"/>
        </w:rPr>
        <w:t>。②报告期，利息保障倍数和</w:t>
      </w:r>
      <w:r>
        <w:rPr>
          <w:rFonts w:ascii="Times New Roman" w:eastAsia="Times New Roman" w:hAnsi="Times New Roman" w:cs="Times New Roman"/>
          <w:color w:val="000000"/>
          <w:spacing w:val="0"/>
          <w:w w:val="100"/>
          <w:position w:val="0"/>
          <w:sz w:val="18"/>
          <w:szCs w:val="18"/>
        </w:rPr>
        <w:t xml:space="preserve">EBITDA </w:t>
      </w:r>
      <w:r>
        <w:rPr>
          <w:color w:val="000000"/>
          <w:spacing w:val="0"/>
          <w:w w:val="100"/>
          <w:position w:val="0"/>
        </w:rPr>
        <w:t>利息保障倍数较上年同期分别下滑</w:t>
      </w:r>
      <w:r>
        <w:rPr>
          <w:rFonts w:ascii="Times New Roman" w:eastAsia="Times New Roman" w:hAnsi="Times New Roman" w:cs="Times New Roman"/>
          <w:color w:val="000000"/>
          <w:spacing w:val="0"/>
          <w:w w:val="100"/>
          <w:position w:val="0"/>
          <w:sz w:val="18"/>
          <w:szCs w:val="18"/>
        </w:rPr>
        <w:t>266.29%</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204.13%</w:t>
      </w:r>
      <w:r>
        <w:rPr>
          <w:color w:val="000000"/>
          <w:spacing w:val="0"/>
          <w:w w:val="100"/>
          <w:position w:val="0"/>
        </w:rPr>
        <w:t>。报告期，息税前利润和息税折旧摊销前利润较上年同期减少，主要 原因是利润总额的减少，利润总额减少主要公司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年度经营业绩下滑，销售推广费增加以及计提子公司银川卧龙的商誉减 值和长期资产的减值。</w:t>
      </w:r>
    </w:p>
    <w:p>
      <w:pPr>
        <w:pStyle w:val="Style23"/>
        <w:keepNext/>
        <w:keepLines/>
        <w:widowControl w:val="0"/>
        <w:shd w:val="clear" w:color="auto" w:fill="auto"/>
        <w:bidi w:val="0"/>
        <w:spacing w:before="0" w:after="320" w:line="240" w:lineRule="auto"/>
        <w:ind w:left="0" w:right="0" w:firstLine="0"/>
        <w:jc w:val="both"/>
        <w:rPr>
          <w:sz w:val="24"/>
          <w:szCs w:val="24"/>
        </w:rPr>
      </w:pPr>
      <w:bookmarkStart w:id="707" w:name="bookmark707"/>
      <w:bookmarkStart w:id="708" w:name="bookmark708"/>
      <w:bookmarkStart w:id="709" w:name="bookmark709"/>
      <w:bookmarkStart w:id="710" w:name="bookmark710"/>
      <w:r>
        <w:rPr>
          <w:color w:val="000000"/>
          <w:spacing w:val="0"/>
          <w:w w:val="100"/>
          <w:position w:val="0"/>
          <w:sz w:val="22"/>
          <w:szCs w:val="22"/>
        </w:rPr>
        <w:t>五</w:t>
      </w:r>
      <w:bookmarkEnd w:id="709"/>
      <w:r>
        <w:rPr>
          <w:color w:val="000000"/>
          <w:spacing w:val="0"/>
          <w:w w:val="100"/>
          <w:position w:val="0"/>
          <w:sz w:val="22"/>
          <w:szCs w:val="22"/>
        </w:rPr>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707"/>
      <w:bookmarkEnd w:id="708"/>
      <w:bookmarkEnd w:id="710"/>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亏损情况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亏损原因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对公司生产经营和偿债能力 的影响</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红相股份合并报表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本报告期归母净利润亏损</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63,584.95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计提子公司银川卧龙商誉减 值准备和长期资产减值准备。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不会对公司生产经营和偿债 能力产生影响，扣除减值影 响，实际不亏损。</w:t>
            </w:r>
          </w:p>
        </w:tc>
      </w:tr>
    </w:tbl>
    <w:p>
      <w:pPr>
        <w:widowControl w:val="0"/>
        <w:spacing w:after="319" w:line="1" w:lineRule="exact"/>
      </w:pPr>
    </w:p>
    <w:p>
      <w:pPr>
        <w:pStyle w:val="Style23"/>
        <w:keepNext/>
        <w:keepLines/>
        <w:widowControl w:val="0"/>
        <w:shd w:val="clear" w:color="auto" w:fill="auto"/>
        <w:tabs>
          <w:tab w:pos="517" w:val="left"/>
        </w:tabs>
        <w:bidi w:val="0"/>
        <w:spacing w:before="0" w:after="380" w:line="240" w:lineRule="auto"/>
        <w:ind w:left="0" w:right="0" w:firstLine="0"/>
        <w:jc w:val="both"/>
      </w:pPr>
      <w:bookmarkStart w:id="711" w:name="bookmark711"/>
      <w:bookmarkStart w:id="712" w:name="bookmark712"/>
      <w:bookmarkStart w:id="713" w:name="bookmark713"/>
      <w:bookmarkStart w:id="714" w:name="bookmark714"/>
      <w:r>
        <w:rPr>
          <w:color w:val="000000"/>
          <w:spacing w:val="0"/>
          <w:w w:val="100"/>
          <w:position w:val="0"/>
        </w:rPr>
        <w:t>六</w:t>
      </w:r>
      <w:bookmarkEnd w:id="713"/>
      <w:r>
        <w:rPr>
          <w:color w:val="000000"/>
          <w:spacing w:val="0"/>
          <w:w w:val="100"/>
          <w:position w:val="0"/>
        </w:rPr>
        <w:t>、</w:t>
        <w:tab/>
        <w:t>报告期末除债券外的有息债务逾期情况</w:t>
      </w:r>
      <w:bookmarkEnd w:id="711"/>
      <w:bookmarkEnd w:id="712"/>
      <w:bookmarkEnd w:id="714"/>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380" w:line="240" w:lineRule="auto"/>
        <w:ind w:left="0" w:right="0" w:firstLine="0"/>
        <w:jc w:val="both"/>
      </w:pPr>
      <w:bookmarkStart w:id="715" w:name="bookmark715"/>
      <w:bookmarkStart w:id="716" w:name="bookmark716"/>
      <w:bookmarkStart w:id="717" w:name="bookmark717"/>
      <w:bookmarkStart w:id="718" w:name="bookmark718"/>
      <w:r>
        <w:rPr>
          <w:color w:val="000000"/>
          <w:spacing w:val="0"/>
          <w:w w:val="100"/>
          <w:position w:val="0"/>
        </w:rPr>
        <w:t>七</w:t>
      </w:r>
      <w:bookmarkEnd w:id="717"/>
      <w:r>
        <w:rPr>
          <w:color w:val="000000"/>
          <w:spacing w:val="0"/>
          <w:w w:val="100"/>
          <w:position w:val="0"/>
        </w:rPr>
        <w:t>、</w:t>
        <w:tab/>
        <w:t>报告期内是否有违反规章制度的情况</w:t>
      </w:r>
      <w:bookmarkEnd w:id="715"/>
      <w:bookmarkEnd w:id="716"/>
      <w:bookmarkEnd w:id="718"/>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3"/>
        <w:keepNext/>
        <w:keepLines/>
        <w:widowControl w:val="0"/>
        <w:shd w:val="clear" w:color="auto" w:fill="auto"/>
        <w:bidi w:val="0"/>
        <w:spacing w:before="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rPr>
        <w:t>八</w:t>
      </w:r>
      <w:bookmarkEnd w:id="721"/>
      <w:r>
        <w:rPr>
          <w:color w:val="000000"/>
          <w:spacing w:val="0"/>
          <w:w w:val="100"/>
          <w:position w:val="0"/>
        </w:rPr>
        <w:t>、截至报告期末公司近两年的主要会计数据和财务指标</w:t>
      </w:r>
      <w:bookmarkEnd w:id="719"/>
      <w:bookmarkEnd w:id="720"/>
      <w:bookmarkEnd w:id="72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本报告期末比上年末增减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本报告期比上年同期增减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-680,166,750.48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199,436,190.42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91.32%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r>
    </w:tbl>
    <w:p>
      <w:pPr>
        <w:sectPr>
          <w:footnotePr>
            <w:pos w:val="pageBottom"/>
            <w:numFmt w:val="decimal"/>
            <w:numRestart w:val="continuous"/>
          </w:footnotePr>
          <w:pgSz w:w="11900" w:h="16840"/>
          <w:pgMar w:top="1455" w:right="1064" w:bottom="1781" w:left="1063" w:header="0" w:footer="3" w:gutter="0"/>
          <w:cols w:space="720"/>
          <w:noEndnote/>
          <w:rtlGutter w:val="0"/>
          <w:docGrid w:linePitch="360"/>
        </w:sectPr>
      </w:pPr>
    </w:p>
    <w:p>
      <w:pPr>
        <w:pStyle w:val="Style9"/>
        <w:keepNext/>
        <w:keepLines/>
        <w:widowControl w:val="0"/>
        <w:shd w:val="clear" w:color="auto" w:fill="auto"/>
        <w:bidi w:val="0"/>
        <w:spacing w:before="560" w:after="520" w:line="240" w:lineRule="auto"/>
        <w:ind w:left="0" w:right="0" w:firstLine="0"/>
        <w:jc w:val="center"/>
      </w:pPr>
      <w:bookmarkStart w:id="723" w:name="bookmark723"/>
      <w:bookmarkStart w:id="724" w:name="bookmark724"/>
      <w:bookmarkStart w:id="725" w:name="bookmark725"/>
      <w:r>
        <w:rPr>
          <w:color w:val="000000"/>
          <w:spacing w:val="0"/>
          <w:w w:val="100"/>
          <w:position w:val="0"/>
        </w:rPr>
        <w:t>第十节财务报告</w:t>
      </w:r>
      <w:bookmarkEnd w:id="723"/>
      <w:bookmarkEnd w:id="724"/>
      <w:bookmarkEnd w:id="725"/>
    </w:p>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726" w:name="bookmark726"/>
      <w:bookmarkStart w:id="727" w:name="bookmark727"/>
      <w:r>
        <w:rPr>
          <w:b/>
          <w:bCs/>
          <w:color w:val="000000"/>
          <w:spacing w:val="0"/>
          <w:w w:val="100"/>
          <w:position w:val="0"/>
          <w:sz w:val="22"/>
          <w:szCs w:val="22"/>
        </w:rPr>
        <w:t>一、审计报告</w:t>
      </w:r>
      <w:bookmarkEnd w:id="727"/>
      <w:bookmarkEnd w:id="72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容诚审字</w:t>
            </w:r>
            <w:r>
              <w:rPr>
                <w:rFonts w:ascii="Times New Roman" w:eastAsia="Times New Roman" w:hAnsi="Times New Roman" w:cs="Times New Roman"/>
                <w:color w:val="000000"/>
                <w:spacing w:val="0"/>
                <w:w w:val="100"/>
                <w:position w:val="0"/>
                <w:sz w:val="18"/>
                <w:szCs w:val="18"/>
              </w:rPr>
              <w:t>[2022]361Z0048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林炎临、周起予</w:t>
            </w:r>
          </w:p>
        </w:tc>
      </w:tr>
    </w:tbl>
    <w:p>
      <w:pPr>
        <w:pStyle w:val="Style25"/>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219" w:line="1" w:lineRule="exact"/>
      </w:pPr>
    </w:p>
    <w:p>
      <w:pPr>
        <w:pStyle w:val="Style52"/>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54"/>
        <w:keepNext w:val="0"/>
        <w:keepLines w:val="0"/>
        <w:widowControl w:val="0"/>
        <w:shd w:val="clear" w:color="auto" w:fill="auto"/>
        <w:bidi w:val="0"/>
        <w:spacing w:before="0" w:after="600" w:line="240" w:lineRule="auto"/>
        <w:ind w:left="0" w:right="0" w:firstLine="0"/>
        <w:jc w:val="right"/>
        <w:rPr>
          <w:sz w:val="22"/>
          <w:szCs w:val="22"/>
        </w:rPr>
      </w:pPr>
      <w:r>
        <w:rPr>
          <w:rFonts w:ascii="SimSun" w:eastAsia="SimSun" w:hAnsi="SimSun" w:cs="SimSun"/>
          <w:color w:val="000000"/>
          <w:spacing w:val="0"/>
          <w:w w:val="100"/>
          <w:position w:val="0"/>
          <w:sz w:val="22"/>
          <w:szCs w:val="22"/>
        </w:rPr>
        <w:t>容诚审字</w:t>
      </w:r>
      <w:r>
        <w:rPr>
          <w:color w:val="000000"/>
          <w:spacing w:val="0"/>
          <w:w w:val="100"/>
          <w:position w:val="0"/>
          <w:sz w:val="24"/>
          <w:szCs w:val="24"/>
        </w:rPr>
        <w:t>[2022]361Z0048</w:t>
      </w:r>
      <w:r>
        <w:rPr>
          <w:rFonts w:ascii="SimSun" w:eastAsia="SimSun" w:hAnsi="SimSun" w:cs="SimSun"/>
          <w:color w:val="000000"/>
          <w:spacing w:val="0"/>
          <w:w w:val="100"/>
          <w:position w:val="0"/>
          <w:sz w:val="22"/>
          <w:szCs w:val="22"/>
        </w:rPr>
        <w:t>号</w:t>
      </w:r>
    </w:p>
    <w:p>
      <w:pPr>
        <w:pStyle w:val="Style11"/>
        <w:keepNext w:val="0"/>
        <w:keepLines w:val="0"/>
        <w:widowControl w:val="0"/>
        <w:shd w:val="clear" w:color="auto" w:fill="auto"/>
        <w:bidi w:val="0"/>
        <w:spacing w:before="0" w:after="140" w:line="312" w:lineRule="exact"/>
        <w:ind w:left="0" w:right="0" w:firstLine="0"/>
        <w:jc w:val="both"/>
        <w:rPr>
          <w:sz w:val="22"/>
          <w:szCs w:val="22"/>
        </w:rPr>
      </w:pPr>
      <w:r>
        <w:rPr>
          <w:color w:val="000000"/>
          <w:spacing w:val="0"/>
          <w:w w:val="100"/>
          <w:position w:val="0"/>
          <w:sz w:val="22"/>
          <w:szCs w:val="22"/>
        </w:rPr>
        <w:t>红相股份有限公司全体股东：</w:t>
      </w:r>
    </w:p>
    <w:p>
      <w:pPr>
        <w:pStyle w:val="Style11"/>
        <w:keepNext w:val="0"/>
        <w:keepLines w:val="0"/>
        <w:widowControl w:val="0"/>
        <w:shd w:val="clear" w:color="auto" w:fill="auto"/>
        <w:tabs>
          <w:tab w:pos="1017" w:val="left"/>
        </w:tabs>
        <w:bidi w:val="0"/>
        <w:spacing w:before="0" w:after="140" w:line="312" w:lineRule="exact"/>
        <w:ind w:left="0" w:right="0" w:firstLine="500"/>
        <w:jc w:val="both"/>
        <w:rPr>
          <w:sz w:val="22"/>
          <w:szCs w:val="22"/>
        </w:rPr>
      </w:pPr>
      <w:bookmarkStart w:id="728" w:name="bookmark728"/>
      <w:r>
        <w:rPr>
          <w:b/>
          <w:bCs/>
          <w:color w:val="000000"/>
          <w:spacing w:val="0"/>
          <w:w w:val="100"/>
          <w:position w:val="0"/>
          <w:sz w:val="22"/>
          <w:szCs w:val="22"/>
        </w:rPr>
        <w:t>一</w:t>
      </w:r>
      <w:bookmarkEnd w:id="728"/>
      <w:r>
        <w:rPr>
          <w:b/>
          <w:bCs/>
          <w:color w:val="000000"/>
          <w:spacing w:val="0"/>
          <w:w w:val="100"/>
          <w:position w:val="0"/>
          <w:sz w:val="22"/>
          <w:szCs w:val="22"/>
        </w:rPr>
        <w:t>、</w:t>
        <w:tab/>
        <w:t>审计意见</w:t>
      </w:r>
    </w:p>
    <w:p>
      <w:pPr>
        <w:pStyle w:val="Style11"/>
        <w:keepNext w:val="0"/>
        <w:keepLines w:val="0"/>
        <w:widowControl w:val="0"/>
        <w:shd w:val="clear" w:color="auto" w:fill="auto"/>
        <w:bidi w:val="0"/>
        <w:spacing w:before="0" w:after="140" w:line="319" w:lineRule="exact"/>
        <w:ind w:left="0" w:right="0" w:firstLine="500"/>
        <w:jc w:val="both"/>
        <w:rPr>
          <w:sz w:val="22"/>
          <w:szCs w:val="22"/>
        </w:rPr>
      </w:pPr>
      <w:r>
        <w:rPr>
          <w:color w:val="000000"/>
          <w:spacing w:val="0"/>
          <w:w w:val="100"/>
          <w:position w:val="0"/>
          <w:sz w:val="22"/>
          <w:szCs w:val="22"/>
        </w:rPr>
        <w:t>我们审计了红相股份有限公司（以下简称红相股份公司）财务报表，包括</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sz w:val="22"/>
          <w:szCs w:val="22"/>
        </w:rPr>
        <w:t>日的合并及母公司资产负债表，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年度的合并及母公司利润表、合并及母公司现金流量表、 合并及母公司所有者权益变动表以及相关财务报表附注。</w:t>
      </w:r>
    </w:p>
    <w:p>
      <w:pPr>
        <w:pStyle w:val="Style11"/>
        <w:keepNext w:val="0"/>
        <w:keepLines w:val="0"/>
        <w:widowControl w:val="0"/>
        <w:shd w:val="clear" w:color="auto" w:fill="auto"/>
        <w:bidi w:val="0"/>
        <w:spacing w:before="0" w:after="140" w:line="312" w:lineRule="exact"/>
        <w:ind w:left="0" w:right="0" w:firstLine="500"/>
        <w:jc w:val="both"/>
        <w:rPr>
          <w:sz w:val="22"/>
          <w:szCs w:val="22"/>
        </w:rPr>
      </w:pPr>
      <w:r>
        <w:rPr>
          <w:color w:val="000000"/>
          <w:spacing w:val="0"/>
          <w:w w:val="100"/>
          <w:position w:val="0"/>
          <w:sz w:val="22"/>
          <w:szCs w:val="22"/>
        </w:rPr>
        <w:t>我们认为，后附的财务报表在所有重大方面按照企业会计准则的规定编制，公允反映了 红相股份公司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日的合并及母公司财务状况以及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年度的合并及母公司经营成 果和现金流量。</w:t>
      </w:r>
    </w:p>
    <w:p>
      <w:pPr>
        <w:pStyle w:val="Style11"/>
        <w:keepNext w:val="0"/>
        <w:keepLines w:val="0"/>
        <w:widowControl w:val="0"/>
        <w:shd w:val="clear" w:color="auto" w:fill="auto"/>
        <w:tabs>
          <w:tab w:pos="1017" w:val="left"/>
        </w:tabs>
        <w:bidi w:val="0"/>
        <w:spacing w:before="0" w:after="140" w:line="312" w:lineRule="exact"/>
        <w:ind w:left="0" w:right="0" w:firstLine="500"/>
        <w:jc w:val="both"/>
        <w:rPr>
          <w:sz w:val="22"/>
          <w:szCs w:val="22"/>
        </w:rPr>
      </w:pPr>
      <w:bookmarkStart w:id="729" w:name="bookmark729"/>
      <w:r>
        <w:rPr>
          <w:b/>
          <w:bCs/>
          <w:color w:val="000000"/>
          <w:spacing w:val="0"/>
          <w:w w:val="100"/>
          <w:position w:val="0"/>
          <w:sz w:val="22"/>
          <w:szCs w:val="22"/>
        </w:rPr>
        <w:t>二</w:t>
      </w:r>
      <w:bookmarkEnd w:id="729"/>
      <w:r>
        <w:rPr>
          <w:b/>
          <w:bCs/>
          <w:color w:val="000000"/>
          <w:spacing w:val="0"/>
          <w:w w:val="100"/>
          <w:position w:val="0"/>
          <w:sz w:val="22"/>
          <w:szCs w:val="22"/>
        </w:rPr>
        <w:t>、</w:t>
        <w:tab/>
        <w:t>形成审计意见的基础</w:t>
      </w:r>
    </w:p>
    <w:p>
      <w:pPr>
        <w:pStyle w:val="Style11"/>
        <w:keepNext w:val="0"/>
        <w:keepLines w:val="0"/>
        <w:widowControl w:val="0"/>
        <w:shd w:val="clear" w:color="auto" w:fill="auto"/>
        <w:bidi w:val="0"/>
        <w:spacing w:before="0" w:after="140" w:line="310" w:lineRule="exact"/>
        <w:ind w:left="0" w:right="0" w:firstLine="500"/>
        <w:jc w:val="both"/>
        <w:rPr>
          <w:sz w:val="22"/>
          <w:szCs w:val="22"/>
        </w:rPr>
      </w:pPr>
      <w:r>
        <w:rPr>
          <w:color w:val="000000"/>
          <w:spacing w:val="0"/>
          <w:w w:val="100"/>
          <w:position w:val="0"/>
          <w:sz w:val="22"/>
          <w:szCs w:val="22"/>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注册会计师对财 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部分进一步阐述了我们在这些准则下的责任。按照中国注册会计师职业道 德守则，我们独立于红相股份公司，并履行了职业道德方面的其他责任。我们相信，我们获 取的审计证据是充分、适当的，为发表审计意见提供了基础。</w:t>
      </w:r>
    </w:p>
    <w:p>
      <w:pPr>
        <w:pStyle w:val="Style11"/>
        <w:keepNext w:val="0"/>
        <w:keepLines w:val="0"/>
        <w:widowControl w:val="0"/>
        <w:shd w:val="clear" w:color="auto" w:fill="auto"/>
        <w:tabs>
          <w:tab w:pos="1022" w:val="left"/>
        </w:tabs>
        <w:bidi w:val="0"/>
        <w:spacing w:before="0" w:after="140" w:line="312" w:lineRule="exact"/>
        <w:ind w:left="0" w:right="0" w:firstLine="500"/>
        <w:jc w:val="both"/>
        <w:rPr>
          <w:sz w:val="22"/>
          <w:szCs w:val="22"/>
        </w:rPr>
      </w:pPr>
      <w:bookmarkStart w:id="730" w:name="bookmark730"/>
      <w:r>
        <w:rPr>
          <w:b/>
          <w:bCs/>
          <w:color w:val="000000"/>
          <w:spacing w:val="0"/>
          <w:w w:val="100"/>
          <w:position w:val="0"/>
          <w:sz w:val="22"/>
          <w:szCs w:val="22"/>
        </w:rPr>
        <w:t>三</w:t>
      </w:r>
      <w:bookmarkEnd w:id="730"/>
      <w:r>
        <w:rPr>
          <w:b/>
          <w:bCs/>
          <w:color w:val="000000"/>
          <w:spacing w:val="0"/>
          <w:w w:val="100"/>
          <w:position w:val="0"/>
          <w:sz w:val="22"/>
          <w:szCs w:val="22"/>
        </w:rPr>
        <w:t>、</w:t>
        <w:tab/>
        <w:t>关键审计事项</w:t>
      </w:r>
    </w:p>
    <w:p>
      <w:pPr>
        <w:pStyle w:val="Style11"/>
        <w:keepNext w:val="0"/>
        <w:keepLines w:val="0"/>
        <w:widowControl w:val="0"/>
        <w:shd w:val="clear" w:color="auto" w:fill="auto"/>
        <w:bidi w:val="0"/>
        <w:spacing w:before="0" w:after="220" w:line="312" w:lineRule="exact"/>
        <w:ind w:left="0" w:right="0" w:firstLine="500"/>
        <w:jc w:val="both"/>
        <w:rPr>
          <w:sz w:val="22"/>
          <w:szCs w:val="22"/>
        </w:rPr>
      </w:pPr>
      <w:r>
        <w:rPr>
          <w:color w:val="000000"/>
          <w:spacing w:val="0"/>
          <w:w w:val="100"/>
          <w:position w:val="0"/>
          <w:sz w:val="22"/>
          <w:szCs w:val="22"/>
        </w:rPr>
        <w:t>关键审计事项是我们根据职业判断，认为对本期财务报表审计最为重要的事项。这些事 项的应对以对财务报表整体进行审计并形成审计意见为背景，我们不对这些事项单独发表意 见。</w:t>
      </w:r>
    </w:p>
    <w:p>
      <w:pPr>
        <w:pStyle w:val="Style11"/>
        <w:keepNext w:val="0"/>
        <w:keepLines w:val="0"/>
        <w:widowControl w:val="0"/>
        <w:numPr>
          <w:ilvl w:val="0"/>
          <w:numId w:val="41"/>
        </w:numPr>
        <w:shd w:val="clear" w:color="auto" w:fill="auto"/>
        <w:bidi w:val="0"/>
        <w:spacing w:before="0" w:after="80" w:line="298" w:lineRule="auto"/>
        <w:ind w:left="0" w:right="0" w:firstLine="0"/>
        <w:jc w:val="both"/>
        <w:rPr>
          <w:sz w:val="22"/>
          <w:szCs w:val="22"/>
        </w:rPr>
      </w:pPr>
      <w:bookmarkStart w:id="731" w:name="bookmark731"/>
      <w:bookmarkEnd w:id="731"/>
      <w:r>
        <w:rPr>
          <w:color w:val="000000"/>
          <w:spacing w:val="0"/>
          <w:w w:val="100"/>
          <w:position w:val="0"/>
          <w:sz w:val="22"/>
          <w:szCs w:val="22"/>
        </w:rPr>
        <w:t>应收账款预期信用损失</w:t>
      </w:r>
    </w:p>
    <w:p>
      <w:pPr>
        <w:pStyle w:val="Style11"/>
        <w:keepNext w:val="0"/>
        <w:keepLines w:val="0"/>
        <w:widowControl w:val="0"/>
        <w:shd w:val="clear" w:color="auto" w:fill="auto"/>
        <w:bidi w:val="0"/>
        <w:spacing w:before="0" w:after="220" w:line="312" w:lineRule="exact"/>
        <w:ind w:left="0" w:right="0" w:firstLine="840"/>
        <w:jc w:val="both"/>
        <w:rPr>
          <w:sz w:val="22"/>
          <w:szCs w:val="22"/>
        </w:rPr>
      </w:pPr>
      <w:r>
        <w:rPr>
          <w:color w:val="000000"/>
          <w:spacing w:val="0"/>
          <w:w w:val="100"/>
          <w:position w:val="0"/>
          <w:sz w:val="22"/>
          <w:szCs w:val="22"/>
        </w:rPr>
        <w:t>相关信息披露详见财务报表附注三之</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、附注五之</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r>
    </w:p>
    <w:p>
      <w:pPr>
        <w:pStyle w:val="Style11"/>
        <w:keepNext w:val="0"/>
        <w:keepLines w:val="0"/>
        <w:widowControl w:val="0"/>
        <w:shd w:val="clear" w:color="auto" w:fill="auto"/>
        <w:bidi w:val="0"/>
        <w:spacing w:before="0" w:after="140" w:line="271" w:lineRule="auto"/>
        <w:ind w:left="0" w:right="0" w:firstLine="840"/>
        <w:jc w:val="both"/>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、事项描述</w:t>
      </w:r>
    </w:p>
    <w:p>
      <w:pPr>
        <w:pStyle w:val="Style11"/>
        <w:keepNext w:val="0"/>
        <w:keepLines w:val="0"/>
        <w:widowControl w:val="0"/>
        <w:shd w:val="clear" w:color="auto" w:fill="auto"/>
        <w:bidi w:val="0"/>
        <w:spacing w:before="0" w:after="140" w:line="315" w:lineRule="exact"/>
        <w:ind w:left="360" w:right="0" w:firstLine="480"/>
        <w:jc w:val="both"/>
        <w:rPr>
          <w:sz w:val="22"/>
          <w:szCs w:val="22"/>
        </w:r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日止，红相股份应收账款账面余额为人民币</w:t>
      </w:r>
      <w:r>
        <w:rPr>
          <w:rFonts w:ascii="Times New Roman" w:eastAsia="Times New Roman" w:hAnsi="Times New Roman" w:cs="Times New Roman"/>
          <w:color w:val="000000"/>
          <w:spacing w:val="0"/>
          <w:w w:val="100"/>
          <w:position w:val="0"/>
          <w:sz w:val="24"/>
          <w:szCs w:val="24"/>
        </w:rPr>
        <w:t>8.30</w:t>
      </w:r>
      <w:r>
        <w:rPr>
          <w:color w:val="000000"/>
          <w:spacing w:val="0"/>
          <w:w w:val="100"/>
          <w:position w:val="0"/>
          <w:sz w:val="22"/>
          <w:szCs w:val="22"/>
        </w:rPr>
        <w:t>亿元，计提坏账准 备人民币</w:t>
      </w:r>
      <w:r>
        <w:rPr>
          <w:rFonts w:ascii="Times New Roman" w:eastAsia="Times New Roman" w:hAnsi="Times New Roman" w:cs="Times New Roman"/>
          <w:color w:val="000000"/>
          <w:spacing w:val="0"/>
          <w:w w:val="100"/>
          <w:position w:val="0"/>
          <w:sz w:val="24"/>
          <w:szCs w:val="24"/>
        </w:rPr>
        <w:t>0.93</w:t>
      </w:r>
      <w:r>
        <w:rPr>
          <w:color w:val="000000"/>
          <w:spacing w:val="0"/>
          <w:w w:val="100"/>
          <w:position w:val="0"/>
          <w:sz w:val="22"/>
          <w:szCs w:val="22"/>
        </w:rPr>
        <w:t>亿元，应收账款期末净值占期末总资产</w:t>
      </w:r>
      <w:r>
        <w:rPr>
          <w:rFonts w:ascii="Times New Roman" w:eastAsia="Times New Roman" w:hAnsi="Times New Roman" w:cs="Times New Roman"/>
          <w:color w:val="000000"/>
          <w:spacing w:val="0"/>
          <w:w w:val="100"/>
          <w:position w:val="0"/>
          <w:sz w:val="24"/>
          <w:szCs w:val="24"/>
        </w:rPr>
        <w:t>18.94%</w:t>
      </w:r>
      <w:r>
        <w:rPr>
          <w:color w:val="000000"/>
          <w:spacing w:val="0"/>
          <w:w w:val="100"/>
          <w:position w:val="0"/>
          <w:sz w:val="22"/>
          <w:szCs w:val="22"/>
        </w:rPr>
        <w:t>。红相股份的应收账款主要来 自于两大电网公司及其下属企业、发电企业及化工等用电企业、铁路总公司及相关铁路建 设企业、国内军工科研院所、军工厂、军事院校等单位。</w:t>
      </w:r>
    </w:p>
    <w:p>
      <w:pPr>
        <w:pStyle w:val="Style11"/>
        <w:keepNext w:val="0"/>
        <w:keepLines w:val="0"/>
        <w:widowControl w:val="0"/>
        <w:shd w:val="clear" w:color="auto" w:fill="auto"/>
        <w:bidi w:val="0"/>
        <w:spacing w:before="0" w:after="140" w:line="309" w:lineRule="exact"/>
        <w:ind w:left="360" w:right="0" w:firstLine="480"/>
        <w:jc w:val="both"/>
        <w:rPr>
          <w:sz w:val="22"/>
          <w:szCs w:val="22"/>
        </w:rPr>
      </w:pPr>
      <w:r>
        <w:rPr>
          <w:color w:val="000000"/>
          <w:spacing w:val="0"/>
          <w:w w:val="100"/>
          <w:position w:val="0"/>
          <w:sz w:val="22"/>
          <w:szCs w:val="22"/>
        </w:rPr>
        <w:t>当存在客观证据表明应收账款存在减值时，管理层通过估计预期收回的现金流量单独 确定预期信用损失。对于不存在减值客观证据的应收账款，管理层根据信用风险特征将其 分为若干组合进行评估确定预期信用损失。管理层结合当前状况以及对未来经济状况的预 测，编制应收账款信用期与整个存续期预期信用损失率对照表，计算预期信用损失。</w:t>
      </w:r>
    </w:p>
    <w:p>
      <w:pPr>
        <w:pStyle w:val="Style11"/>
        <w:keepNext w:val="0"/>
        <w:keepLines w:val="0"/>
        <w:widowControl w:val="0"/>
        <w:shd w:val="clear" w:color="auto" w:fill="auto"/>
        <w:bidi w:val="0"/>
        <w:spacing w:before="0" w:after="140" w:line="322" w:lineRule="exact"/>
        <w:ind w:left="360" w:right="0" w:firstLine="480"/>
        <w:jc w:val="both"/>
        <w:rPr>
          <w:sz w:val="22"/>
          <w:szCs w:val="22"/>
        </w:rPr>
      </w:pPr>
      <w:r>
        <w:rPr>
          <w:color w:val="000000"/>
          <w:spacing w:val="0"/>
          <w:w w:val="100"/>
          <w:position w:val="0"/>
          <w:sz w:val="22"/>
          <w:szCs w:val="22"/>
        </w:rPr>
        <w:t>由于应收账款金额重大，且管理层在确定应收账款的减值时涉及重大判断，我们将应 收账款预期信用损失的计量确定为关键审计事项。</w:t>
      </w:r>
    </w:p>
    <w:p>
      <w:pPr>
        <w:pStyle w:val="Style11"/>
        <w:keepNext w:val="0"/>
        <w:keepLines w:val="0"/>
        <w:widowControl w:val="0"/>
        <w:shd w:val="clear" w:color="auto" w:fill="auto"/>
        <w:bidi w:val="0"/>
        <w:spacing w:before="0" w:after="140" w:line="317" w:lineRule="exact"/>
        <w:ind w:left="0" w:right="0" w:firstLine="840"/>
        <w:jc w:val="both"/>
        <w:rPr>
          <w:sz w:val="22"/>
          <w:szCs w:val="22"/>
        </w:rPr>
      </w:pPr>
      <w:bookmarkStart w:id="732" w:name="bookmark732"/>
      <w:r>
        <w:rPr>
          <w:rFonts w:ascii="Times New Roman" w:eastAsia="Times New Roman" w:hAnsi="Times New Roman" w:cs="Times New Roman"/>
          <w:color w:val="000000"/>
          <w:spacing w:val="0"/>
          <w:w w:val="100"/>
          <w:position w:val="0"/>
          <w:sz w:val="24"/>
          <w:szCs w:val="24"/>
        </w:rPr>
        <w:t>2</w:t>
      </w:r>
      <w:bookmarkEnd w:id="732"/>
      <w:r>
        <w:rPr>
          <w:color w:val="000000"/>
          <w:spacing w:val="0"/>
          <w:w w:val="100"/>
          <w:position w:val="0"/>
          <w:sz w:val="22"/>
          <w:szCs w:val="22"/>
        </w:rPr>
        <w:t>、审计应对</w:t>
      </w:r>
    </w:p>
    <w:p>
      <w:pPr>
        <w:pStyle w:val="Style11"/>
        <w:keepNext w:val="0"/>
        <w:keepLines w:val="0"/>
        <w:widowControl w:val="0"/>
        <w:shd w:val="clear" w:color="auto" w:fill="auto"/>
        <w:bidi w:val="0"/>
        <w:spacing w:before="0" w:after="140" w:line="317" w:lineRule="exact"/>
        <w:ind w:left="0" w:right="0" w:firstLine="840"/>
        <w:jc w:val="left"/>
        <w:rPr>
          <w:sz w:val="22"/>
          <w:szCs w:val="22"/>
        </w:rPr>
      </w:pPr>
      <w:r>
        <w:rPr>
          <w:color w:val="000000"/>
          <w:spacing w:val="0"/>
          <w:w w:val="100"/>
          <w:position w:val="0"/>
          <w:sz w:val="22"/>
          <w:szCs w:val="22"/>
        </w:rPr>
        <w:t>针对应收账款预期信用损失的计量，我们执行了以下程序：</w:t>
      </w:r>
    </w:p>
    <w:p>
      <w:pPr>
        <w:pStyle w:val="Style11"/>
        <w:keepNext w:val="0"/>
        <w:keepLines w:val="0"/>
        <w:widowControl w:val="0"/>
        <w:shd w:val="clear" w:color="auto" w:fill="auto"/>
        <w:tabs>
          <w:tab w:pos="1016" w:val="left"/>
        </w:tabs>
        <w:bidi w:val="0"/>
        <w:spacing w:before="0" w:after="0" w:line="317" w:lineRule="exact"/>
        <w:ind w:left="360" w:right="0" w:firstLine="0"/>
        <w:jc w:val="both"/>
        <w:rPr>
          <w:sz w:val="22"/>
          <w:szCs w:val="22"/>
        </w:rPr>
      </w:pPr>
      <w:bookmarkStart w:id="733" w:name="bookmark733"/>
      <w:r>
        <w:rPr>
          <w:color w:val="000000"/>
          <w:spacing w:val="0"/>
          <w:w w:val="100"/>
          <w:position w:val="0"/>
          <w:sz w:val="22"/>
          <w:szCs w:val="22"/>
        </w:rPr>
        <w:t>（</w:t>
      </w:r>
      <w:bookmarkEnd w:id="73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对公司信用政策及应收账款管理相关的内部控制的设计和运行有效性进行了评估和 测试；</w:t>
      </w:r>
    </w:p>
    <w:p>
      <w:pPr>
        <w:pStyle w:val="Style11"/>
        <w:keepNext w:val="0"/>
        <w:keepLines w:val="0"/>
        <w:widowControl w:val="0"/>
        <w:shd w:val="clear" w:color="auto" w:fill="auto"/>
        <w:tabs>
          <w:tab w:pos="1016" w:val="left"/>
        </w:tabs>
        <w:bidi w:val="0"/>
        <w:spacing w:before="0" w:after="0" w:line="322" w:lineRule="exact"/>
        <w:ind w:left="360" w:right="0" w:firstLine="0"/>
        <w:jc w:val="both"/>
        <w:rPr>
          <w:sz w:val="22"/>
          <w:szCs w:val="22"/>
        </w:rPr>
      </w:pPr>
      <w:bookmarkStart w:id="734" w:name="bookmark734"/>
      <w:r>
        <w:rPr>
          <w:color w:val="000000"/>
          <w:spacing w:val="0"/>
          <w:w w:val="100"/>
          <w:position w:val="0"/>
          <w:sz w:val="22"/>
          <w:szCs w:val="22"/>
        </w:rPr>
        <w:t>（</w:t>
      </w:r>
      <w:bookmarkEnd w:id="73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检查预期信用损失的计量模型，评估模型中重大假设和关键参数的合理性以及信用 风险组合划分方法的恰当性，评估管理层对整个存续期信用损失预计的恰当性；；</w:t>
      </w:r>
    </w:p>
    <w:p>
      <w:pPr>
        <w:pStyle w:val="Style11"/>
        <w:keepNext w:val="0"/>
        <w:keepLines w:val="0"/>
        <w:widowControl w:val="0"/>
        <w:shd w:val="clear" w:color="auto" w:fill="auto"/>
        <w:tabs>
          <w:tab w:pos="1016" w:val="left"/>
        </w:tabs>
        <w:bidi w:val="0"/>
        <w:spacing w:before="0" w:after="0" w:line="322" w:lineRule="exact"/>
        <w:ind w:left="360" w:right="0" w:firstLine="0"/>
        <w:jc w:val="both"/>
        <w:rPr>
          <w:sz w:val="22"/>
          <w:szCs w:val="22"/>
        </w:rPr>
      </w:pPr>
      <w:bookmarkStart w:id="735" w:name="bookmark735"/>
      <w:r>
        <w:rPr>
          <w:color w:val="000000"/>
          <w:spacing w:val="0"/>
          <w:w w:val="100"/>
          <w:position w:val="0"/>
          <w:sz w:val="22"/>
          <w:szCs w:val="22"/>
        </w:rPr>
        <w:t>（</w:t>
      </w:r>
      <w:bookmarkEnd w:id="735"/>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关注存在减值迹象的应收账款，独立测试其可收回性，检查相关的支持性证据，包 括期后收款、客户的信用历史、经营情况和还款能力；</w:t>
      </w:r>
    </w:p>
    <w:p>
      <w:pPr>
        <w:pStyle w:val="Style11"/>
        <w:keepNext w:val="0"/>
        <w:keepLines w:val="0"/>
        <w:widowControl w:val="0"/>
        <w:shd w:val="clear" w:color="auto" w:fill="auto"/>
        <w:tabs>
          <w:tab w:pos="1011" w:val="left"/>
        </w:tabs>
        <w:bidi w:val="0"/>
        <w:spacing w:before="0" w:after="0" w:line="326" w:lineRule="exact"/>
        <w:ind w:left="360" w:right="0" w:firstLine="0"/>
        <w:jc w:val="both"/>
        <w:rPr>
          <w:sz w:val="22"/>
          <w:szCs w:val="22"/>
        </w:rPr>
      </w:pPr>
      <w:bookmarkStart w:id="736" w:name="bookmark736"/>
      <w:r>
        <w:rPr>
          <w:color w:val="000000"/>
          <w:spacing w:val="0"/>
          <w:w w:val="100"/>
          <w:position w:val="0"/>
          <w:sz w:val="22"/>
          <w:szCs w:val="22"/>
        </w:rPr>
        <w:t>（</w:t>
      </w:r>
      <w:bookmarkEnd w:id="736"/>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w:t>
        <w:tab/>
        <w:t>执行应收账款函证程序，并根据公司性质与历史回款记录等资料，评价应收账款预 期信用损失的计量的合理性。</w:t>
      </w:r>
    </w:p>
    <w:p>
      <w:pPr>
        <w:pStyle w:val="Style11"/>
        <w:keepNext w:val="0"/>
        <w:keepLines w:val="0"/>
        <w:widowControl w:val="0"/>
        <w:numPr>
          <w:ilvl w:val="0"/>
          <w:numId w:val="43"/>
        </w:numPr>
        <w:shd w:val="clear" w:color="auto" w:fill="auto"/>
        <w:bidi w:val="0"/>
        <w:spacing w:before="0" w:after="140" w:line="317" w:lineRule="exact"/>
        <w:ind w:left="0" w:right="0" w:firstLine="0"/>
        <w:jc w:val="left"/>
        <w:rPr>
          <w:sz w:val="22"/>
          <w:szCs w:val="22"/>
        </w:rPr>
      </w:pPr>
      <w:bookmarkStart w:id="737" w:name="bookmark737"/>
      <w:bookmarkEnd w:id="737"/>
      <w:r>
        <w:rPr>
          <w:color w:val="000000"/>
          <w:spacing w:val="0"/>
          <w:w w:val="100"/>
          <w:position w:val="0"/>
          <w:sz w:val="22"/>
          <w:szCs w:val="22"/>
        </w:rPr>
        <w:t>商誉减值</w:t>
      </w:r>
    </w:p>
    <w:p>
      <w:pPr>
        <w:pStyle w:val="Style11"/>
        <w:keepNext w:val="0"/>
        <w:keepLines w:val="0"/>
        <w:widowControl w:val="0"/>
        <w:shd w:val="clear" w:color="auto" w:fill="auto"/>
        <w:bidi w:val="0"/>
        <w:spacing w:before="0" w:after="140" w:line="317" w:lineRule="exact"/>
        <w:ind w:left="0" w:right="0" w:firstLine="480"/>
        <w:jc w:val="left"/>
        <w:rPr>
          <w:sz w:val="22"/>
          <w:szCs w:val="22"/>
        </w:rPr>
      </w:pPr>
      <w:r>
        <w:rPr>
          <w:color w:val="000000"/>
          <w:spacing w:val="0"/>
          <w:w w:val="100"/>
          <w:position w:val="0"/>
          <w:sz w:val="22"/>
          <w:szCs w:val="22"/>
        </w:rPr>
        <w:t>相关信息披露详见财务报表附注三之</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2"/>
          <w:szCs w:val="22"/>
        </w:rPr>
        <w:t>、附注五之</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2"/>
          <w:szCs w:val="22"/>
        </w:rPr>
        <w:t>。</w:t>
      </w:r>
    </w:p>
    <w:p>
      <w:pPr>
        <w:pStyle w:val="Style11"/>
        <w:keepNext w:val="0"/>
        <w:keepLines w:val="0"/>
        <w:widowControl w:val="0"/>
        <w:shd w:val="clear" w:color="auto" w:fill="auto"/>
        <w:tabs>
          <w:tab w:pos="943" w:val="left"/>
        </w:tabs>
        <w:bidi w:val="0"/>
        <w:spacing w:before="0" w:after="140" w:line="317" w:lineRule="exact"/>
        <w:ind w:left="0" w:right="0" w:firstLine="480"/>
        <w:jc w:val="both"/>
        <w:rPr>
          <w:sz w:val="22"/>
          <w:szCs w:val="22"/>
        </w:rPr>
      </w:pPr>
      <w:bookmarkStart w:id="738" w:name="bookmark738"/>
      <w:r>
        <w:rPr>
          <w:rFonts w:ascii="Times New Roman" w:eastAsia="Times New Roman" w:hAnsi="Times New Roman" w:cs="Times New Roman"/>
          <w:color w:val="000000"/>
          <w:spacing w:val="0"/>
          <w:w w:val="100"/>
          <w:position w:val="0"/>
          <w:sz w:val="24"/>
          <w:szCs w:val="24"/>
        </w:rPr>
        <w:t>1</w:t>
      </w:r>
      <w:bookmarkEnd w:id="738"/>
      <w:r>
        <w:rPr>
          <w:color w:val="000000"/>
          <w:spacing w:val="0"/>
          <w:w w:val="100"/>
          <w:position w:val="0"/>
          <w:sz w:val="22"/>
          <w:szCs w:val="22"/>
        </w:rPr>
        <w:t>、</w:t>
        <w:tab/>
        <w:t>事项描述</w:t>
      </w:r>
    </w:p>
    <w:p>
      <w:pPr>
        <w:pStyle w:val="Style11"/>
        <w:keepNext w:val="0"/>
        <w:keepLines w:val="0"/>
        <w:widowControl w:val="0"/>
        <w:shd w:val="clear" w:color="auto" w:fill="auto"/>
        <w:bidi w:val="0"/>
        <w:spacing w:before="0" w:after="140" w:line="317" w:lineRule="exact"/>
        <w:ind w:left="0" w:right="0" w:firstLine="480"/>
        <w:jc w:val="both"/>
        <w:rPr>
          <w:sz w:val="22"/>
          <w:szCs w:val="22"/>
        </w:r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日止，红相股份商誉余额为人民币</w:t>
      </w:r>
      <w:r>
        <w:rPr>
          <w:rFonts w:ascii="Times New Roman" w:eastAsia="Times New Roman" w:hAnsi="Times New Roman" w:cs="Times New Roman"/>
          <w:color w:val="000000"/>
          <w:spacing w:val="0"/>
          <w:w w:val="100"/>
          <w:position w:val="0"/>
          <w:sz w:val="24"/>
          <w:szCs w:val="24"/>
        </w:rPr>
        <w:t>4.03</w:t>
      </w:r>
      <w:r>
        <w:rPr>
          <w:color w:val="000000"/>
          <w:spacing w:val="0"/>
          <w:w w:val="100"/>
          <w:position w:val="0"/>
          <w:sz w:val="22"/>
          <w:szCs w:val="22"/>
        </w:rPr>
        <w:t>亿元，占期末总资产的</w:t>
      </w:r>
      <w:r>
        <w:rPr>
          <w:rFonts w:ascii="Times New Roman" w:eastAsia="Times New Roman" w:hAnsi="Times New Roman" w:cs="Times New Roman"/>
          <w:color w:val="000000"/>
          <w:spacing w:val="0"/>
          <w:w w:val="100"/>
          <w:position w:val="0"/>
          <w:sz w:val="24"/>
          <w:szCs w:val="24"/>
        </w:rPr>
        <w:t>10.36%</w:t>
      </w:r>
      <w:r>
        <w:rPr>
          <w:color w:val="000000"/>
          <w:spacing w:val="0"/>
          <w:w w:val="100"/>
          <w:position w:val="0"/>
          <w:sz w:val="22"/>
          <w:szCs w:val="22"/>
        </w:rPr>
        <w:t>， 主要为红相股份于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年非同一控制下企业合并收购卧龙电气银川变压器有限公司及合肥星 波通信技术有限公司股权所产生的商誉，红相股份根据商誉减值测试结果对卧龙电气银川变 压器有限公司的商誉全额计提减值准备，合肥星波通信技术有限公司商誉未计提减值准备。</w:t>
      </w:r>
    </w:p>
    <w:p>
      <w:pPr>
        <w:pStyle w:val="Style11"/>
        <w:keepNext w:val="0"/>
        <w:keepLines w:val="0"/>
        <w:widowControl w:val="0"/>
        <w:shd w:val="clear" w:color="auto" w:fill="auto"/>
        <w:bidi w:val="0"/>
        <w:spacing w:before="0" w:after="140" w:line="317" w:lineRule="exact"/>
        <w:ind w:left="0" w:right="0" w:firstLine="480"/>
        <w:jc w:val="both"/>
        <w:rPr>
          <w:sz w:val="22"/>
          <w:szCs w:val="22"/>
        </w:rPr>
      </w:pPr>
      <w:r>
        <w:rPr>
          <w:color w:val="000000"/>
          <w:spacing w:val="0"/>
          <w:w w:val="100"/>
          <w:position w:val="0"/>
          <w:sz w:val="22"/>
          <w:szCs w:val="22"/>
        </w:rPr>
        <w:t>商誉的账面价值对财务报表影响重大，减值测试评估涉及确定折现率等评估参数及对未 来若干年的经营和财务情况的假设，包括未来若干年的销售增长率和毛利率等，上述判断具 有一定的复杂性和主观性，因此我们将该事项作为关键审计事项。</w:t>
      </w:r>
    </w:p>
    <w:p>
      <w:pPr>
        <w:pStyle w:val="Style11"/>
        <w:keepNext w:val="0"/>
        <w:keepLines w:val="0"/>
        <w:widowControl w:val="0"/>
        <w:shd w:val="clear" w:color="auto" w:fill="auto"/>
        <w:tabs>
          <w:tab w:pos="943" w:val="left"/>
        </w:tabs>
        <w:bidi w:val="0"/>
        <w:spacing w:before="0" w:after="140" w:line="317" w:lineRule="exact"/>
        <w:ind w:left="0" w:right="0" w:firstLine="480"/>
        <w:jc w:val="left"/>
        <w:rPr>
          <w:sz w:val="22"/>
          <w:szCs w:val="22"/>
        </w:rPr>
      </w:pPr>
      <w:bookmarkStart w:id="739" w:name="bookmark739"/>
      <w:r>
        <w:rPr>
          <w:rFonts w:ascii="Times New Roman" w:eastAsia="Times New Roman" w:hAnsi="Times New Roman" w:cs="Times New Roman"/>
          <w:color w:val="000000"/>
          <w:spacing w:val="0"/>
          <w:w w:val="100"/>
          <w:position w:val="0"/>
          <w:sz w:val="24"/>
          <w:szCs w:val="24"/>
        </w:rPr>
        <w:t>2</w:t>
      </w:r>
      <w:bookmarkEnd w:id="739"/>
      <w:r>
        <w:rPr>
          <w:color w:val="000000"/>
          <w:spacing w:val="0"/>
          <w:w w:val="100"/>
          <w:position w:val="0"/>
          <w:sz w:val="22"/>
          <w:szCs w:val="22"/>
        </w:rPr>
        <w:t>、</w:t>
        <w:tab/>
        <w:t>审计应对</w:t>
      </w:r>
    </w:p>
    <w:p>
      <w:pPr>
        <w:pStyle w:val="Style11"/>
        <w:keepNext w:val="0"/>
        <w:keepLines w:val="0"/>
        <w:widowControl w:val="0"/>
        <w:shd w:val="clear" w:color="auto" w:fill="auto"/>
        <w:bidi w:val="0"/>
        <w:spacing w:before="0" w:after="140" w:line="317" w:lineRule="exact"/>
        <w:ind w:left="0" w:right="0" w:firstLine="480"/>
        <w:jc w:val="left"/>
        <w:rPr>
          <w:sz w:val="22"/>
          <w:szCs w:val="22"/>
        </w:rPr>
      </w:pPr>
      <w:r>
        <w:rPr>
          <w:color w:val="000000"/>
          <w:spacing w:val="0"/>
          <w:w w:val="100"/>
          <w:position w:val="0"/>
          <w:sz w:val="22"/>
          <w:szCs w:val="22"/>
        </w:rPr>
        <w:t>我们针对商誉减值主要执行了以下审计程序：</w:t>
      </w:r>
    </w:p>
    <w:p>
      <w:pPr>
        <w:pStyle w:val="Style11"/>
        <w:keepNext w:val="0"/>
        <w:keepLines w:val="0"/>
        <w:widowControl w:val="0"/>
        <w:shd w:val="clear" w:color="auto" w:fill="auto"/>
        <w:tabs>
          <w:tab w:pos="1006" w:val="left"/>
        </w:tabs>
        <w:bidi w:val="0"/>
        <w:spacing w:before="0" w:after="140" w:line="317" w:lineRule="exact"/>
        <w:ind w:left="0" w:right="0" w:firstLine="480"/>
        <w:jc w:val="left"/>
        <w:rPr>
          <w:sz w:val="22"/>
          <w:szCs w:val="22"/>
        </w:rPr>
      </w:pPr>
      <w:bookmarkStart w:id="740" w:name="bookmark740"/>
      <w:r>
        <w:rPr>
          <w:color w:val="000000"/>
          <w:spacing w:val="0"/>
          <w:w w:val="100"/>
          <w:position w:val="0"/>
          <w:sz w:val="22"/>
          <w:szCs w:val="22"/>
        </w:rPr>
        <w:t>（</w:t>
      </w:r>
      <w:bookmarkEnd w:id="74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评价与商誉减值测试相关的内部控制的设计及执行有效性；</w:t>
      </w:r>
    </w:p>
    <w:p>
      <w:pPr>
        <w:pStyle w:val="Style11"/>
        <w:keepNext w:val="0"/>
        <w:keepLines w:val="0"/>
        <w:widowControl w:val="0"/>
        <w:shd w:val="clear" w:color="auto" w:fill="auto"/>
        <w:tabs>
          <w:tab w:pos="1006" w:val="left"/>
        </w:tabs>
        <w:bidi w:val="0"/>
        <w:spacing w:before="0" w:after="140" w:line="317" w:lineRule="exact"/>
        <w:ind w:left="0" w:right="0" w:firstLine="480"/>
        <w:jc w:val="left"/>
        <w:rPr>
          <w:sz w:val="22"/>
          <w:szCs w:val="22"/>
        </w:rPr>
      </w:pPr>
      <w:bookmarkStart w:id="741" w:name="bookmark741"/>
      <w:r>
        <w:rPr>
          <w:color w:val="000000"/>
          <w:spacing w:val="0"/>
          <w:w w:val="100"/>
          <w:position w:val="0"/>
          <w:sz w:val="22"/>
          <w:szCs w:val="22"/>
        </w:rPr>
        <w:t>（</w:t>
      </w:r>
      <w:bookmarkEnd w:id="74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评价评估机构的独立性与胜任能力；</w:t>
      </w:r>
    </w:p>
    <w:p>
      <w:pPr>
        <w:pStyle w:val="Style11"/>
        <w:keepNext w:val="0"/>
        <w:keepLines w:val="0"/>
        <w:widowControl w:val="0"/>
        <w:shd w:val="clear" w:color="auto" w:fill="auto"/>
        <w:tabs>
          <w:tab w:pos="1136" w:val="left"/>
        </w:tabs>
        <w:bidi w:val="0"/>
        <w:spacing w:before="0" w:after="140" w:line="302" w:lineRule="exact"/>
        <w:ind w:left="0" w:right="0" w:firstLine="480"/>
        <w:jc w:val="both"/>
        <w:rPr>
          <w:sz w:val="22"/>
          <w:szCs w:val="22"/>
        </w:rPr>
      </w:pPr>
      <w:bookmarkStart w:id="742" w:name="bookmark742"/>
      <w:r>
        <w:rPr>
          <w:color w:val="000000"/>
          <w:spacing w:val="0"/>
          <w:w w:val="100"/>
          <w:position w:val="0"/>
          <w:sz w:val="22"/>
          <w:szCs w:val="22"/>
        </w:rPr>
        <w:t>（</w:t>
      </w:r>
      <w:bookmarkEnd w:id="742"/>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获取管理层编制的商誉减值测试表及相关预测资料，获取评估机构的估值报告及资 料与商誉减值测试相关的重大判断和关键假设的合理性；</w:t>
      </w:r>
    </w:p>
    <w:p>
      <w:pPr>
        <w:pStyle w:val="Style11"/>
        <w:keepNext w:val="0"/>
        <w:keepLines w:val="0"/>
        <w:widowControl w:val="0"/>
        <w:shd w:val="clear" w:color="auto" w:fill="auto"/>
        <w:bidi w:val="0"/>
        <w:spacing w:before="0" w:after="140" w:line="312" w:lineRule="exact"/>
        <w:ind w:left="0" w:right="0" w:firstLine="480"/>
        <w:jc w:val="left"/>
        <w:rPr>
          <w:sz w:val="22"/>
          <w:szCs w:val="22"/>
        </w:rPr>
      </w:pPr>
      <w:bookmarkStart w:id="743" w:name="bookmark743"/>
      <w:r>
        <w:rPr>
          <w:color w:val="000000"/>
          <w:spacing w:val="0"/>
          <w:w w:val="100"/>
          <w:position w:val="0"/>
          <w:sz w:val="22"/>
          <w:szCs w:val="22"/>
        </w:rPr>
        <w:t>（</w:t>
      </w:r>
      <w:bookmarkEnd w:id="743"/>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）执行重新计算程序，确认商誉减值测试所涉及到的计算过程准确性；</w:t>
      </w:r>
    </w:p>
    <w:p>
      <w:pPr>
        <w:pStyle w:val="Style11"/>
        <w:keepNext w:val="0"/>
        <w:keepLines w:val="0"/>
        <w:widowControl w:val="0"/>
        <w:shd w:val="clear" w:color="auto" w:fill="auto"/>
        <w:bidi w:val="0"/>
        <w:spacing w:before="0" w:after="140" w:line="312" w:lineRule="exact"/>
        <w:ind w:left="0" w:right="0" w:firstLine="660"/>
        <w:jc w:val="left"/>
        <w:rPr>
          <w:sz w:val="22"/>
          <w:szCs w:val="22"/>
        </w:rPr>
      </w:pPr>
      <w:r>
        <w:rPr>
          <w:i/>
          <w:iCs/>
          <w:color w:val="000000"/>
          <w:spacing w:val="0"/>
          <w:w w:val="100"/>
          <w:position w:val="0"/>
          <w:sz w:val="24"/>
          <w:szCs w:val="24"/>
        </w:rPr>
        <w:t>（</w:t>
      </w:r>
      <w:r>
        <w:rPr>
          <w:rFonts w:ascii="Times New Roman" w:eastAsia="Times New Roman" w:hAnsi="Times New Roman" w:cs="Times New Roman"/>
          <w:i/>
          <w:iCs/>
          <w:color w:val="000000"/>
          <w:spacing w:val="0"/>
          <w:w w:val="100"/>
          <w:position w:val="0"/>
          <w:sz w:val="24"/>
          <w:szCs w:val="24"/>
        </w:rPr>
        <w:t xml:space="preserve">5 </w:t>
      </w:r>
      <w:r>
        <w:rPr>
          <w:i/>
          <w:iCs/>
          <w:color w:val="000000"/>
          <w:spacing w:val="0"/>
          <w:w w:val="100"/>
          <w:position w:val="0"/>
          <w:sz w:val="22"/>
          <w:szCs w:val="22"/>
        </w:rPr>
        <w:t>）利用估值专家对评估机构出具的企业商誉估值报告进行复核。</w:t>
      </w:r>
    </w:p>
    <w:p>
      <w:pPr>
        <w:pStyle w:val="Style11"/>
        <w:keepNext w:val="0"/>
        <w:keepLines w:val="0"/>
        <w:widowControl w:val="0"/>
        <w:shd w:val="clear" w:color="auto" w:fill="auto"/>
        <w:tabs>
          <w:tab w:pos="991" w:val="left"/>
        </w:tabs>
        <w:bidi w:val="0"/>
        <w:spacing w:before="0" w:after="140" w:line="312" w:lineRule="exact"/>
        <w:ind w:left="0" w:right="0" w:firstLine="480"/>
        <w:jc w:val="left"/>
        <w:rPr>
          <w:sz w:val="22"/>
          <w:szCs w:val="22"/>
        </w:rPr>
      </w:pPr>
      <w:bookmarkStart w:id="744" w:name="bookmark744"/>
      <w:r>
        <w:rPr>
          <w:b/>
          <w:bCs/>
          <w:color w:val="000000"/>
          <w:spacing w:val="0"/>
          <w:w w:val="100"/>
          <w:position w:val="0"/>
          <w:sz w:val="22"/>
          <w:szCs w:val="22"/>
        </w:rPr>
        <w:t>四</w:t>
      </w:r>
      <w:bookmarkEnd w:id="744"/>
      <w:r>
        <w:rPr>
          <w:b/>
          <w:bCs/>
          <w:color w:val="000000"/>
          <w:spacing w:val="0"/>
          <w:w w:val="100"/>
          <w:position w:val="0"/>
          <w:sz w:val="22"/>
          <w:szCs w:val="22"/>
        </w:rPr>
        <w:t>、</w:t>
        <w:tab/>
        <w:t>其他信息</w:t>
      </w:r>
    </w:p>
    <w:p>
      <w:pPr>
        <w:pStyle w:val="Style11"/>
        <w:keepNext w:val="0"/>
        <w:keepLines w:val="0"/>
        <w:widowControl w:val="0"/>
        <w:shd w:val="clear" w:color="auto" w:fill="auto"/>
        <w:bidi w:val="0"/>
        <w:spacing w:before="0" w:after="140" w:line="298" w:lineRule="exact"/>
        <w:ind w:left="0" w:right="0" w:firstLine="500"/>
        <w:jc w:val="both"/>
        <w:rPr>
          <w:sz w:val="22"/>
          <w:szCs w:val="22"/>
        </w:rPr>
      </w:pPr>
      <w:r>
        <w:rPr>
          <w:color w:val="000000"/>
          <w:spacing w:val="0"/>
          <w:w w:val="100"/>
          <w:position w:val="0"/>
          <w:sz w:val="22"/>
          <w:szCs w:val="22"/>
        </w:rPr>
        <w:t xml:space="preserve">红相股份公司管理层（以下简称管理层）对其他信息负责。其他信息包括红相股份公司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年度报告中涵盖的信息，但不包括财务报表和我们的审计报告。</w:t>
      </w:r>
    </w:p>
    <w:p>
      <w:pPr>
        <w:pStyle w:val="Style11"/>
        <w:keepNext w:val="0"/>
        <w:keepLines w:val="0"/>
        <w:widowControl w:val="0"/>
        <w:shd w:val="clear" w:color="auto" w:fill="auto"/>
        <w:bidi w:val="0"/>
        <w:spacing w:before="0" w:after="140" w:line="302" w:lineRule="exact"/>
        <w:ind w:left="0" w:right="0" w:firstLine="500"/>
        <w:jc w:val="both"/>
        <w:rPr>
          <w:sz w:val="22"/>
          <w:szCs w:val="22"/>
        </w:rPr>
      </w:pPr>
      <w:r>
        <w:rPr>
          <w:color w:val="000000"/>
          <w:spacing w:val="0"/>
          <w:w w:val="100"/>
          <w:position w:val="0"/>
          <w:sz w:val="22"/>
          <w:szCs w:val="22"/>
        </w:rPr>
        <w:t>我们对财务报表发表的审计意见不涵盖其他信息，我们也不对其他信息发表任何形式的 鉴证结论。</w:t>
      </w:r>
    </w:p>
    <w:p>
      <w:pPr>
        <w:pStyle w:val="Style11"/>
        <w:keepNext w:val="0"/>
        <w:keepLines w:val="0"/>
        <w:widowControl w:val="0"/>
        <w:shd w:val="clear" w:color="auto" w:fill="auto"/>
        <w:bidi w:val="0"/>
        <w:spacing w:before="0" w:after="140" w:line="312" w:lineRule="exact"/>
        <w:ind w:left="0" w:right="0" w:firstLine="500"/>
        <w:jc w:val="both"/>
        <w:rPr>
          <w:sz w:val="22"/>
          <w:szCs w:val="22"/>
        </w:rPr>
      </w:pPr>
      <w:r>
        <w:rPr>
          <w:color w:val="000000"/>
          <w:spacing w:val="0"/>
          <w:w w:val="100"/>
          <w:position w:val="0"/>
          <w:sz w:val="22"/>
          <w:szCs w:val="22"/>
        </w:rPr>
        <w:t>结合我们对财务报表的审计，我们的责任是阅读其他信息，在此过程中，考虑其他信息 是否与财务报表或我们在审计过程中了解到的情况存在重大不一致或者似乎存在重大错报。</w:t>
      </w:r>
    </w:p>
    <w:p>
      <w:pPr>
        <w:pStyle w:val="Style11"/>
        <w:keepNext w:val="0"/>
        <w:keepLines w:val="0"/>
        <w:widowControl w:val="0"/>
        <w:shd w:val="clear" w:color="auto" w:fill="auto"/>
        <w:bidi w:val="0"/>
        <w:spacing w:before="0" w:after="140" w:line="312" w:lineRule="exact"/>
        <w:ind w:left="0" w:right="0" w:firstLine="500"/>
        <w:jc w:val="both"/>
        <w:rPr>
          <w:sz w:val="22"/>
          <w:szCs w:val="22"/>
        </w:rPr>
      </w:pPr>
      <w:r>
        <w:rPr>
          <w:color w:val="000000"/>
          <w:spacing w:val="0"/>
          <w:w w:val="100"/>
          <w:position w:val="0"/>
          <w:sz w:val="22"/>
          <w:szCs w:val="22"/>
        </w:rPr>
        <w:t>基于我们已执行的工作，如果我们确定其他信息存在重大错报，我们应当报告该事实。 在这方面，我们无任何事项需要报告。</w:t>
      </w:r>
    </w:p>
    <w:p>
      <w:pPr>
        <w:pStyle w:val="Style11"/>
        <w:keepNext w:val="0"/>
        <w:keepLines w:val="0"/>
        <w:widowControl w:val="0"/>
        <w:shd w:val="clear" w:color="auto" w:fill="auto"/>
        <w:tabs>
          <w:tab w:pos="1017" w:val="left"/>
        </w:tabs>
        <w:bidi w:val="0"/>
        <w:spacing w:before="0" w:after="140" w:line="312" w:lineRule="exact"/>
        <w:ind w:left="0" w:right="0" w:firstLine="500"/>
        <w:jc w:val="both"/>
        <w:rPr>
          <w:sz w:val="22"/>
          <w:szCs w:val="22"/>
        </w:rPr>
      </w:pPr>
      <w:bookmarkStart w:id="745" w:name="bookmark745"/>
      <w:r>
        <w:rPr>
          <w:b/>
          <w:bCs/>
          <w:color w:val="000000"/>
          <w:spacing w:val="0"/>
          <w:w w:val="100"/>
          <w:position w:val="0"/>
          <w:sz w:val="22"/>
          <w:szCs w:val="22"/>
        </w:rPr>
        <w:t>五</w:t>
      </w:r>
      <w:bookmarkEnd w:id="745"/>
      <w:r>
        <w:rPr>
          <w:b/>
          <w:bCs/>
          <w:color w:val="000000"/>
          <w:spacing w:val="0"/>
          <w:w w:val="100"/>
          <w:position w:val="0"/>
          <w:sz w:val="22"/>
          <w:szCs w:val="22"/>
        </w:rPr>
        <w:t>、</w:t>
        <w:tab/>
        <w:t>管理层和治理层对财务报表的责任</w:t>
      </w:r>
    </w:p>
    <w:p>
      <w:pPr>
        <w:pStyle w:val="Style11"/>
        <w:keepNext w:val="0"/>
        <w:keepLines w:val="0"/>
        <w:widowControl w:val="0"/>
        <w:shd w:val="clear" w:color="auto" w:fill="auto"/>
        <w:bidi w:val="0"/>
        <w:spacing w:before="0" w:after="140" w:line="307" w:lineRule="exact"/>
        <w:ind w:left="0" w:right="0" w:firstLine="500"/>
        <w:jc w:val="both"/>
        <w:rPr>
          <w:sz w:val="22"/>
          <w:szCs w:val="22"/>
        </w:rPr>
      </w:pPr>
      <w:r>
        <w:rPr>
          <w:color w:val="000000"/>
          <w:spacing w:val="0"/>
          <w:w w:val="100"/>
          <w:position w:val="0"/>
          <w:sz w:val="22"/>
          <w:szCs w:val="22"/>
        </w:rPr>
        <w:t>红相股份公司管理层负责按照企业会计准则的规定编制财务报表，使其实现公允反映， 并设计、执行和维护必要的内部控制，以使财务报表不存在由于舞弊或错误导致的重大错报。</w:t>
      </w:r>
    </w:p>
    <w:p>
      <w:pPr>
        <w:pStyle w:val="Style11"/>
        <w:keepNext w:val="0"/>
        <w:keepLines w:val="0"/>
        <w:widowControl w:val="0"/>
        <w:shd w:val="clear" w:color="auto" w:fill="auto"/>
        <w:bidi w:val="0"/>
        <w:spacing w:before="0" w:after="140" w:line="314" w:lineRule="exact"/>
        <w:ind w:left="0" w:right="0" w:firstLine="500"/>
        <w:jc w:val="both"/>
        <w:rPr>
          <w:sz w:val="22"/>
          <w:szCs w:val="22"/>
        </w:rPr>
      </w:pPr>
      <w:r>
        <w:rPr>
          <w:color w:val="000000"/>
          <w:spacing w:val="0"/>
          <w:w w:val="100"/>
          <w:position w:val="0"/>
          <w:sz w:val="22"/>
          <w:szCs w:val="22"/>
        </w:rPr>
        <w:t>在编制财务报表时，管理层负责评估红相股份公司的持续经营能力，披露与持续经营相 关的事项（如适用），并运用持续经营假设，除非管理层计划清算红相股份公司、终止运营 或别无其他现实的选择。</w:t>
      </w:r>
    </w:p>
    <w:p>
      <w:pPr>
        <w:pStyle w:val="Style11"/>
        <w:keepNext w:val="0"/>
        <w:keepLines w:val="0"/>
        <w:widowControl w:val="0"/>
        <w:shd w:val="clear" w:color="auto" w:fill="auto"/>
        <w:bidi w:val="0"/>
        <w:spacing w:before="0" w:after="140" w:line="312" w:lineRule="exact"/>
        <w:ind w:left="0" w:right="0" w:firstLine="480"/>
        <w:jc w:val="left"/>
        <w:rPr>
          <w:sz w:val="22"/>
          <w:szCs w:val="22"/>
        </w:rPr>
      </w:pPr>
      <w:r>
        <w:rPr>
          <w:color w:val="000000"/>
          <w:spacing w:val="0"/>
          <w:w w:val="100"/>
          <w:position w:val="0"/>
          <w:sz w:val="22"/>
          <w:szCs w:val="22"/>
        </w:rPr>
        <w:t>治理层负责监督红相股份公司的财务报告过程。</w:t>
      </w:r>
    </w:p>
    <w:p>
      <w:pPr>
        <w:pStyle w:val="Style11"/>
        <w:keepNext w:val="0"/>
        <w:keepLines w:val="0"/>
        <w:widowControl w:val="0"/>
        <w:shd w:val="clear" w:color="auto" w:fill="auto"/>
        <w:tabs>
          <w:tab w:pos="1002" w:val="left"/>
        </w:tabs>
        <w:bidi w:val="0"/>
        <w:spacing w:before="0" w:after="140" w:line="312" w:lineRule="exact"/>
        <w:ind w:left="0" w:right="0" w:firstLine="480"/>
        <w:jc w:val="left"/>
        <w:rPr>
          <w:sz w:val="22"/>
          <w:szCs w:val="22"/>
        </w:rPr>
      </w:pPr>
      <w:bookmarkStart w:id="746" w:name="bookmark746"/>
      <w:r>
        <w:rPr>
          <w:b/>
          <w:bCs/>
          <w:color w:val="000000"/>
          <w:spacing w:val="0"/>
          <w:w w:val="100"/>
          <w:position w:val="0"/>
          <w:sz w:val="22"/>
          <w:szCs w:val="22"/>
        </w:rPr>
        <w:t>六</w:t>
      </w:r>
      <w:bookmarkEnd w:id="746"/>
      <w:r>
        <w:rPr>
          <w:b/>
          <w:bCs/>
          <w:color w:val="000000"/>
          <w:spacing w:val="0"/>
          <w:w w:val="100"/>
          <w:position w:val="0"/>
          <w:sz w:val="22"/>
          <w:szCs w:val="22"/>
        </w:rPr>
        <w:t>、</w:t>
        <w:tab/>
        <w:t>注册会计师对财务报表审计的责任</w:t>
      </w:r>
    </w:p>
    <w:p>
      <w:pPr>
        <w:pStyle w:val="Style11"/>
        <w:keepNext w:val="0"/>
        <w:keepLines w:val="0"/>
        <w:widowControl w:val="0"/>
        <w:shd w:val="clear" w:color="auto" w:fill="auto"/>
        <w:bidi w:val="0"/>
        <w:spacing w:before="0" w:after="140" w:line="311" w:lineRule="exact"/>
        <w:ind w:left="0" w:right="0" w:firstLine="500"/>
        <w:jc w:val="both"/>
        <w:rPr>
          <w:sz w:val="22"/>
          <w:szCs w:val="22"/>
        </w:rPr>
      </w:pPr>
      <w:r>
        <w:rPr>
          <w:color w:val="000000"/>
          <w:spacing w:val="0"/>
          <w:w w:val="100"/>
          <w:position w:val="0"/>
          <w:sz w:val="22"/>
          <w:szCs w:val="22"/>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11"/>
        <w:keepNext w:val="0"/>
        <w:keepLines w:val="0"/>
        <w:widowControl w:val="0"/>
        <w:shd w:val="clear" w:color="auto" w:fill="auto"/>
        <w:bidi w:val="0"/>
        <w:spacing w:before="0" w:after="140" w:line="317" w:lineRule="exact"/>
        <w:ind w:left="0" w:right="0" w:firstLine="500"/>
        <w:jc w:val="both"/>
        <w:rPr>
          <w:sz w:val="22"/>
          <w:szCs w:val="22"/>
        </w:rPr>
      </w:pPr>
      <w:r>
        <w:rPr>
          <w:color w:val="000000"/>
          <w:spacing w:val="0"/>
          <w:w w:val="100"/>
          <w:position w:val="0"/>
          <w:sz w:val="22"/>
          <w:szCs w:val="22"/>
        </w:rPr>
        <w:t>在按照审计准则执行审计工作的过程中，我们运用职业判断，并保持职业怀疑。同时， 我们也执行以下工作：</w:t>
      </w:r>
    </w:p>
    <w:p>
      <w:pPr>
        <w:pStyle w:val="Style11"/>
        <w:keepNext w:val="0"/>
        <w:keepLines w:val="0"/>
        <w:widowControl w:val="0"/>
        <w:shd w:val="clear" w:color="auto" w:fill="auto"/>
        <w:tabs>
          <w:tab w:pos="1136" w:val="left"/>
        </w:tabs>
        <w:bidi w:val="0"/>
        <w:spacing w:before="0" w:after="140" w:line="312" w:lineRule="exact"/>
        <w:ind w:left="0" w:right="0" w:firstLine="500"/>
        <w:jc w:val="both"/>
        <w:rPr>
          <w:sz w:val="22"/>
          <w:szCs w:val="22"/>
        </w:rPr>
      </w:pPr>
      <w:bookmarkStart w:id="747" w:name="bookmark747"/>
      <w:r>
        <w:rPr>
          <w:color w:val="000000"/>
          <w:spacing w:val="0"/>
          <w:w w:val="100"/>
          <w:position w:val="0"/>
          <w:sz w:val="22"/>
          <w:szCs w:val="22"/>
        </w:rPr>
        <w:t>（</w:t>
      </w:r>
      <w:bookmarkEnd w:id="74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11"/>
        <w:keepNext w:val="0"/>
        <w:keepLines w:val="0"/>
        <w:widowControl w:val="0"/>
        <w:shd w:val="clear" w:color="auto" w:fill="auto"/>
        <w:bidi w:val="0"/>
        <w:spacing w:before="0" w:after="140" w:line="326" w:lineRule="exact"/>
        <w:ind w:left="0" w:right="0" w:firstLine="500"/>
        <w:jc w:val="both"/>
        <w:rPr>
          <w:sz w:val="22"/>
          <w:szCs w:val="22"/>
        </w:rPr>
      </w:pPr>
      <w:bookmarkStart w:id="748" w:name="bookmark748"/>
      <w:r>
        <w:rPr>
          <w:i/>
          <w:iCs/>
          <w:color w:val="000000"/>
          <w:spacing w:val="0"/>
          <w:w w:val="100"/>
          <w:position w:val="0"/>
          <w:sz w:val="22"/>
          <w:szCs w:val="22"/>
        </w:rPr>
        <w:t>（</w:t>
      </w:r>
      <w:bookmarkEnd w:id="748"/>
      <w:r>
        <w:rPr>
          <w:rFonts w:ascii="Times New Roman" w:eastAsia="Times New Roman" w:hAnsi="Times New Roman" w:cs="Times New Roman"/>
          <w:i/>
          <w:iCs/>
          <w:color w:val="000000"/>
          <w:spacing w:val="0"/>
          <w:w w:val="100"/>
          <w:position w:val="0"/>
          <w:sz w:val="24"/>
          <w:szCs w:val="24"/>
        </w:rPr>
        <w:t>2</w:t>
      </w:r>
      <w:r>
        <w:rPr>
          <w:i/>
          <w:iCs/>
          <w:color w:val="000000"/>
          <w:spacing w:val="0"/>
          <w:w w:val="100"/>
          <w:position w:val="0"/>
          <w:sz w:val="22"/>
          <w:szCs w:val="22"/>
        </w:rPr>
        <w:t>） 了解与审计相关的内部控制，以设计恰当的审计程序，但目的并非对内部控制的有 效性发表意见。</w:t>
      </w:r>
    </w:p>
    <w:p>
      <w:pPr>
        <w:pStyle w:val="Style11"/>
        <w:keepNext w:val="0"/>
        <w:keepLines w:val="0"/>
        <w:widowControl w:val="0"/>
        <w:shd w:val="clear" w:color="auto" w:fill="auto"/>
        <w:tabs>
          <w:tab w:pos="1016" w:val="left"/>
        </w:tabs>
        <w:bidi w:val="0"/>
        <w:spacing w:before="0" w:after="140" w:line="312" w:lineRule="exact"/>
        <w:ind w:left="0" w:right="0" w:firstLine="480"/>
        <w:jc w:val="left"/>
        <w:rPr>
          <w:sz w:val="22"/>
          <w:szCs w:val="22"/>
        </w:rPr>
      </w:pPr>
      <w:bookmarkStart w:id="749" w:name="bookmark749"/>
      <w:r>
        <w:rPr>
          <w:color w:val="000000"/>
          <w:spacing w:val="0"/>
          <w:w w:val="100"/>
          <w:position w:val="0"/>
          <w:sz w:val="22"/>
          <w:szCs w:val="22"/>
        </w:rPr>
        <w:t>（</w:t>
      </w:r>
      <w:bookmarkEnd w:id="749"/>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评价管理层选用会计政策的恰当性和作出会计估计及相关披露的合理性。</w:t>
      </w:r>
    </w:p>
    <w:p>
      <w:pPr>
        <w:pStyle w:val="Style11"/>
        <w:keepNext w:val="0"/>
        <w:keepLines w:val="0"/>
        <w:widowControl w:val="0"/>
        <w:shd w:val="clear" w:color="auto" w:fill="auto"/>
        <w:tabs>
          <w:tab w:pos="1141" w:val="left"/>
        </w:tabs>
        <w:bidi w:val="0"/>
        <w:spacing w:before="0" w:after="140" w:line="317" w:lineRule="exact"/>
        <w:ind w:left="0" w:right="0" w:firstLine="500"/>
        <w:jc w:val="both"/>
        <w:rPr>
          <w:sz w:val="22"/>
          <w:szCs w:val="22"/>
        </w:rPr>
      </w:pPr>
      <w:bookmarkStart w:id="750" w:name="bookmark750"/>
      <w:r>
        <w:rPr>
          <w:color w:val="000000"/>
          <w:spacing w:val="0"/>
          <w:w w:val="100"/>
          <w:position w:val="0"/>
          <w:sz w:val="22"/>
          <w:szCs w:val="22"/>
        </w:rPr>
        <w:t>（</w:t>
      </w:r>
      <w:bookmarkEnd w:id="750"/>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w:t>
        <w:tab/>
        <w:t xml:space="preserve">对管理层使用持续经营假设的恰当性得出结论。同时，根据获取的审计证据，就可 能导致对红相股份公司持续经营能力产生重大疑虑的事项或情况是否存在重大不确定性得出 结论。如果我们得出结论认为存在重大不确定性，审计准则要求我们在审计报告中提请报表 </w:t>
      </w:r>
      <w:r>
        <w:rPr>
          <w:color w:val="000000"/>
          <w:spacing w:val="0"/>
          <w:w w:val="100"/>
          <w:position w:val="0"/>
          <w:sz w:val="22"/>
          <w:szCs w:val="22"/>
        </w:rPr>
        <w:t>使用者注意财务报表中的相关披露；如果披露不充分，我们应当发表非无保留意见。我们的 结论基于截至审计报告日可获得的信息。然而，未来的事项或情况可能导致红相股份公司不 能持续经营。</w:t>
      </w:r>
    </w:p>
    <w:p>
      <w:pPr>
        <w:pStyle w:val="Style11"/>
        <w:keepNext w:val="0"/>
        <w:keepLines w:val="0"/>
        <w:widowControl w:val="0"/>
        <w:shd w:val="clear" w:color="auto" w:fill="auto"/>
        <w:bidi w:val="0"/>
        <w:spacing w:before="0" w:after="140" w:line="322" w:lineRule="exact"/>
        <w:ind w:left="0" w:right="0" w:firstLine="500"/>
        <w:jc w:val="both"/>
        <w:rPr>
          <w:sz w:val="22"/>
          <w:szCs w:val="22"/>
        </w:rPr>
      </w:pPr>
      <w:bookmarkStart w:id="751" w:name="bookmark751"/>
      <w:r>
        <w:rPr>
          <w:color w:val="000000"/>
          <w:spacing w:val="0"/>
          <w:w w:val="100"/>
          <w:position w:val="0"/>
          <w:sz w:val="22"/>
          <w:szCs w:val="22"/>
        </w:rPr>
        <w:t>（</w:t>
      </w:r>
      <w:bookmarkEnd w:id="751"/>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 评价财务报表的总体列报、结构和内容，并评价财务报表是否公允反映相关交易和 事项。</w:t>
      </w:r>
    </w:p>
    <w:p>
      <w:pPr>
        <w:pStyle w:val="Style11"/>
        <w:keepNext w:val="0"/>
        <w:keepLines w:val="0"/>
        <w:widowControl w:val="0"/>
        <w:shd w:val="clear" w:color="auto" w:fill="auto"/>
        <w:tabs>
          <w:tab w:pos="1136" w:val="left"/>
        </w:tabs>
        <w:bidi w:val="0"/>
        <w:spacing w:before="0" w:after="140" w:line="322" w:lineRule="exact"/>
        <w:ind w:left="0" w:right="0" w:firstLine="500"/>
        <w:jc w:val="both"/>
        <w:rPr>
          <w:sz w:val="22"/>
          <w:szCs w:val="22"/>
        </w:rPr>
      </w:pPr>
      <w:bookmarkStart w:id="752" w:name="bookmark752"/>
      <w:r>
        <w:rPr>
          <w:color w:val="000000"/>
          <w:spacing w:val="0"/>
          <w:w w:val="100"/>
          <w:position w:val="0"/>
          <w:sz w:val="22"/>
          <w:szCs w:val="22"/>
        </w:rPr>
        <w:t>（</w:t>
      </w:r>
      <w:bookmarkEnd w:id="752"/>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w:t>
        <w:tab/>
        <w:t>就红相股份公司中实体或业务活动的财务信息获取充分、适当的审计证据，以对财 务报表发表审计意见。我们负责指导、监督和执行集团审计，并对审计意见承担全部责任。</w:t>
      </w:r>
    </w:p>
    <w:p>
      <w:pPr>
        <w:pStyle w:val="Style11"/>
        <w:keepNext w:val="0"/>
        <w:keepLines w:val="0"/>
        <w:widowControl w:val="0"/>
        <w:shd w:val="clear" w:color="auto" w:fill="auto"/>
        <w:bidi w:val="0"/>
        <w:spacing w:before="0" w:after="140" w:line="317" w:lineRule="exact"/>
        <w:ind w:left="0" w:right="0" w:firstLine="500"/>
        <w:jc w:val="both"/>
        <w:rPr>
          <w:sz w:val="22"/>
          <w:szCs w:val="22"/>
        </w:rPr>
      </w:pPr>
      <w:r>
        <w:rPr>
          <w:color w:val="000000"/>
          <w:spacing w:val="0"/>
          <w:w w:val="100"/>
          <w:position w:val="0"/>
          <w:sz w:val="22"/>
          <w:szCs w:val="22"/>
        </w:rPr>
        <w:t>我们与治理层就计划的审计范围、时间安排和重大审计发现等事项进行沟通，包括沟通 我们在审计中识别出的值得关注的内部控制缺陷。</w:t>
      </w:r>
    </w:p>
    <w:p>
      <w:pPr>
        <w:pStyle w:val="Style11"/>
        <w:keepNext w:val="0"/>
        <w:keepLines w:val="0"/>
        <w:widowControl w:val="0"/>
        <w:shd w:val="clear" w:color="auto" w:fill="auto"/>
        <w:bidi w:val="0"/>
        <w:spacing w:before="0" w:after="140" w:line="317" w:lineRule="exact"/>
        <w:ind w:left="0" w:right="0" w:firstLine="500"/>
        <w:jc w:val="both"/>
        <w:rPr>
          <w:sz w:val="22"/>
          <w:szCs w:val="22"/>
        </w:rPr>
      </w:pPr>
      <w:r>
        <w:rPr>
          <w:color w:val="000000"/>
          <w:spacing w:val="0"/>
          <w:w w:val="100"/>
          <w:position w:val="0"/>
          <w:sz w:val="22"/>
          <w:szCs w:val="22"/>
        </w:rPr>
        <w:t>我们还就已遵守与独立性相关的职业道德要求向治理层提供声明，并与治理层沟通可能 被合理认为影响我们独立性的所有关系和其他事项，以及相关的防范措施（如适用）。</w:t>
      </w:r>
    </w:p>
    <w:p>
      <w:pPr>
        <w:pStyle w:val="Style11"/>
        <w:keepNext w:val="0"/>
        <w:keepLines w:val="0"/>
        <w:widowControl w:val="0"/>
        <w:shd w:val="clear" w:color="auto" w:fill="auto"/>
        <w:bidi w:val="0"/>
        <w:spacing w:before="0" w:after="3580" w:line="312" w:lineRule="exact"/>
        <w:ind w:left="0" w:right="0" w:firstLine="500"/>
        <w:jc w:val="both"/>
        <w:rPr>
          <w:sz w:val="22"/>
          <w:szCs w:val="22"/>
        </w:rPr>
      </w:pPr>
      <w:r>
        <w:rPr>
          <w:color w:val="000000"/>
          <w:spacing w:val="0"/>
          <w:w w:val="100"/>
          <w:position w:val="0"/>
          <w:sz w:val="22"/>
          <w:szCs w:val="22"/>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11"/>
        <w:keepNext w:val="0"/>
        <w:keepLines w:val="0"/>
        <w:widowControl w:val="0"/>
        <w:shd w:val="clear" w:color="auto" w:fill="auto"/>
        <w:tabs>
          <w:tab w:pos="3691" w:val="left"/>
        </w:tabs>
        <w:bidi w:val="0"/>
        <w:spacing w:before="0" w:after="140" w:line="240" w:lineRule="auto"/>
        <w:ind w:left="0" w:right="0" w:firstLine="200"/>
        <w:jc w:val="both"/>
        <w:rPr>
          <w:sz w:val="22"/>
          <w:szCs w:val="22"/>
        </w:rPr>
      </w:pPr>
      <w:r>
        <w:rPr>
          <w:color w:val="000000"/>
          <w:spacing w:val="0"/>
          <w:w w:val="100"/>
          <w:position w:val="0"/>
          <w:sz w:val="22"/>
          <w:szCs w:val="22"/>
        </w:rPr>
        <w:t>容诚会计师事务所</w:t>
        <w:tab/>
        <w:t>中国注册会计师：林炎临</w:t>
      </w:r>
    </w:p>
    <w:p>
      <w:pPr>
        <w:pStyle w:val="Style11"/>
        <w:keepNext w:val="0"/>
        <w:keepLines w:val="0"/>
        <w:widowControl w:val="0"/>
        <w:shd w:val="clear" w:color="auto" w:fill="auto"/>
        <w:bidi w:val="0"/>
        <w:spacing w:before="0" w:after="460" w:line="240" w:lineRule="auto"/>
        <w:ind w:left="0" w:right="0" w:firstLine="200"/>
        <w:jc w:val="both"/>
        <w:rPr>
          <w:sz w:val="22"/>
          <w:szCs w:val="22"/>
        </w:rPr>
      </w:pPr>
      <w:r>
        <w:rPr>
          <w:color w:val="000000"/>
          <w:spacing w:val="0"/>
          <w:w w:val="100"/>
          <w:position w:val="0"/>
          <w:sz w:val="22"/>
          <w:szCs w:val="22"/>
        </w:rPr>
        <w:t>（特殊普通合伙）</w:t>
      </w:r>
    </w:p>
    <w:p>
      <w:pPr>
        <w:pStyle w:val="Style11"/>
        <w:keepNext w:val="0"/>
        <w:keepLines w:val="0"/>
        <w:widowControl w:val="0"/>
        <w:shd w:val="clear" w:color="auto" w:fill="auto"/>
        <w:tabs>
          <w:tab w:pos="3691" w:val="left"/>
        </w:tabs>
        <w:bidi w:val="0"/>
        <w:spacing w:before="0" w:after="860" w:line="240" w:lineRule="auto"/>
        <w:ind w:left="0" w:right="0" w:firstLine="620"/>
        <w:jc w:val="left"/>
        <w:rPr>
          <w:sz w:val="22"/>
          <w:szCs w:val="22"/>
        </w:rPr>
      </w:pPr>
      <w:r>
        <w:rPr>
          <w:color w:val="000000"/>
          <w:spacing w:val="0"/>
          <w:w w:val="100"/>
          <w:position w:val="0"/>
          <w:sz w:val="22"/>
          <w:szCs w:val="22"/>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北京</w:t>
        <w:tab/>
        <w:t>中国注册会计师：周起予</w:t>
      </w:r>
    </w:p>
    <w:p>
      <w:pPr>
        <w:pStyle w:val="Style54"/>
        <w:keepNext w:val="0"/>
        <w:keepLines w:val="0"/>
        <w:widowControl w:val="0"/>
        <w:shd w:val="clear" w:color="auto" w:fill="auto"/>
        <w:bidi w:val="0"/>
        <w:spacing w:before="0" w:after="140" w:line="240" w:lineRule="auto"/>
        <w:ind w:left="4680" w:right="0" w:firstLine="0"/>
        <w:jc w:val="left"/>
        <w:rPr>
          <w:sz w:val="22"/>
          <w:szCs w:val="22"/>
        </w:rPr>
      </w:pPr>
      <w:r>
        <w:rPr>
          <w:color w:val="000000"/>
          <w:spacing w:val="0"/>
          <w:w w:val="100"/>
          <w:position w:val="0"/>
          <w:sz w:val="24"/>
          <w:szCs w:val="24"/>
        </w:rPr>
        <w:t>2022</w:t>
      </w:r>
      <w:r>
        <w:rPr>
          <w:rFonts w:ascii="SimSun" w:eastAsia="SimSun" w:hAnsi="SimSun" w:cs="SimSun"/>
          <w:color w:val="000000"/>
          <w:spacing w:val="0"/>
          <w:w w:val="100"/>
          <w:position w:val="0"/>
          <w:sz w:val="22"/>
          <w:szCs w:val="22"/>
        </w:rPr>
        <w:t>年</w:t>
      </w:r>
      <w:r>
        <w:rPr>
          <w:color w:val="000000"/>
          <w:spacing w:val="0"/>
          <w:w w:val="100"/>
          <w:position w:val="0"/>
          <w:sz w:val="24"/>
          <w:szCs w:val="24"/>
        </w:rPr>
        <w:t>4</w:t>
      </w:r>
      <w:r>
        <w:rPr>
          <w:rFonts w:ascii="SimSun" w:eastAsia="SimSun" w:hAnsi="SimSun" w:cs="SimSun"/>
          <w:color w:val="000000"/>
          <w:spacing w:val="0"/>
          <w:w w:val="100"/>
          <w:position w:val="0"/>
          <w:sz w:val="22"/>
          <w:szCs w:val="22"/>
        </w:rPr>
        <w:t>月</w:t>
      </w:r>
      <w:r>
        <w:rPr>
          <w:color w:val="000000"/>
          <w:spacing w:val="0"/>
          <w:w w:val="100"/>
          <w:position w:val="0"/>
          <w:sz w:val="24"/>
          <w:szCs w:val="24"/>
        </w:rPr>
        <w:t>26</w:t>
      </w:r>
      <w:r>
        <w:rPr>
          <w:rFonts w:ascii="SimSun" w:eastAsia="SimSun" w:hAnsi="SimSun" w:cs="SimSun"/>
          <w:color w:val="000000"/>
          <w:spacing w:val="0"/>
          <w:w w:val="100"/>
          <w:position w:val="0"/>
          <w:sz w:val="22"/>
          <w:szCs w:val="22"/>
        </w:rPr>
        <w:t>日</w:t>
      </w:r>
      <w:r>
        <w:br w:type="page"/>
      </w:r>
    </w:p>
    <w:p>
      <w:pPr>
        <w:pStyle w:val="Style23"/>
        <w:keepNext/>
        <w:keepLines/>
        <w:widowControl w:val="0"/>
        <w:shd w:val="clear" w:color="auto" w:fill="auto"/>
        <w:bidi w:val="0"/>
        <w:spacing w:before="0" w:after="380" w:line="240" w:lineRule="auto"/>
        <w:ind w:left="0" w:right="0" w:firstLine="0"/>
        <w:jc w:val="left"/>
      </w:pPr>
      <w:bookmarkStart w:id="753" w:name="bookmark753"/>
      <w:bookmarkStart w:id="754" w:name="bookmark754"/>
      <w:bookmarkStart w:id="755" w:name="bookmark755"/>
      <w:r>
        <w:rPr>
          <w:color w:val="000000"/>
          <w:spacing w:val="0"/>
          <w:w w:val="100"/>
          <w:position w:val="0"/>
        </w:rPr>
        <w:t>二、财务报表</w:t>
      </w:r>
      <w:bookmarkEnd w:id="753"/>
      <w:bookmarkEnd w:id="754"/>
      <w:bookmarkEnd w:id="75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1"/>
        <w:keepNext/>
        <w:keepLines/>
        <w:widowControl w:val="0"/>
        <w:shd w:val="clear" w:color="auto" w:fill="auto"/>
        <w:bidi w:val="0"/>
        <w:spacing w:before="0" w:after="38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1</w:t>
      </w:r>
      <w:bookmarkEnd w:id="758"/>
      <w:r>
        <w:rPr>
          <w:color w:val="000000"/>
          <w:spacing w:val="0"/>
          <w:w w:val="100"/>
          <w:position w:val="0"/>
        </w:rPr>
        <w:t>、合并资产负债表</w:t>
      </w:r>
      <w:bookmarkEnd w:id="756"/>
      <w:bookmarkEnd w:id="757"/>
      <w:bookmarkEnd w:id="759"/>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编制单位：红相股份有限公司</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735,782,837.24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498,750,220.82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117,549,507.74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90,149,479.96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736,138,015.01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929,259,904.04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47,716,741.60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80,156,424.77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95,921,488.83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23,276,077.23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66,064,368.85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30,279,620.04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562,923,193.50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361,818,479.72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4,754,895.72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19,629,291.74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2,366,851,048.49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2,033,319,498.32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192,836,032.84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186,252,088.41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19,776,977.57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22,869,569.29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698,735,020.83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1,302,130,087.30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49,968,084.21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69,157,255.23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7,963,281.01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64,109,449.79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98,163,198.76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402,800,815.32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1,073,795,341.86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1,124,001.53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1,114,056.63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50,956,454.31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29,900,852.77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31,695,763.97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112,571,139.46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1,519,965,881.38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2,895,953,589.71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3,886,816,929.87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4,929,273,088.03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499,117,392.21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677,643,509.06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69,637,378.97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14,690,815.99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362,769,889.47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410,752,035.19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492,953.76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487,337.77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256,716,903.32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53,916,044.56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49,482,359.99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35,097,773.29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38,220,305.07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30,918,344.99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13,345,529.54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12,368,277.87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138,897,403.52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58,990,357.92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12,022,523.36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1,814,237.30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1,440,702,639.21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1,296,678,733.94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169,610,340.52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720,631,014.07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522,859,413.66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492,397,175.55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6,767,263.28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30,767,656.80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26,148,723.93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26,864,768.90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15,188,279.28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756,869,443.16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1,254,365,192.83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2,197,572,082.37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2,551,043,926.77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360,224,104.00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360,221,663.00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67,454,900.99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67,460,545.19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862,249,672.11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862,200,516.67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73,373,404.15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80,956,469.37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67,124,757.99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67,124,757.99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262,696,654.88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945,354,269.62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1,693,123,494.12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2,383,318,221.84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-3,878,646.62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-5,089,060.58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1,689,244,847.50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2,378,229,161.26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3,886,816,929.87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4,929,273,088.03</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880" simplePos="0" relativeHeight="125829380" behindDoc="0" locked="0" layoutInCell="1" allowOverlap="1">
                <wp:simplePos x="0" y="0"/>
                <wp:positionH relativeFrom="page">
                  <wp:posOffset>704215</wp:posOffset>
                </wp:positionH>
                <wp:positionV relativeFrom="margin">
                  <wp:posOffset>1801495</wp:posOffset>
                </wp:positionV>
                <wp:extent cx="938530" cy="149225"/>
                <wp:wrapTopAndBottom/>
                <wp:docPr id="4" name="Shape 4"/>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法定代表人：杨成</w:t>
                            </w:r>
                          </w:p>
                        </w:txbxContent>
                      </wps:txbx>
                      <wps:bodyPr wrap="none" lIns="0" tIns="0" rIns="0" bIns="0">
                        <a:noAutoFit/>
                      </wps:bodyPr>
                    </wps:wsp>
                  </a:graphicData>
                </a:graphic>
              </wp:anchor>
            </w:drawing>
          </mc:Choice>
          <mc:Fallback>
            <w:pict>
              <v:shape id="_x0000_s1030" type="#_x0000_t202" style="position:absolute;margin-left:55.450000000000003pt;margin-top:141.84999999999999pt;width:73.900000000000006pt;height:11.75pt;z-index:-125829373;mso-wrap-distance-left:9.pt;mso-wrap-distance-top:12.pt;mso-wrap-distance-right:414.40000000000003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法定代表人：杨成</w:t>
                      </w:r>
                    </w:p>
                  </w:txbxContent>
                </v:textbox>
                <w10:wrap type="topAndBottom" anchorx="page" anchory="margin"/>
              </v:shape>
            </w:pict>
          </mc:Fallback>
        </mc:AlternateContent>
      </w:r>
      <w:r>
        <mc:AlternateContent>
          <mc:Choice Requires="wps">
            <w:drawing>
              <wp:anchor distT="152400" distB="3175" distL="2235835" distR="2571115" simplePos="0" relativeHeight="125829382" behindDoc="0" locked="0" layoutInCell="1" allowOverlap="1">
                <wp:simplePos x="0" y="0"/>
                <wp:positionH relativeFrom="page">
                  <wp:posOffset>2825750</wp:posOffset>
                </wp:positionH>
                <wp:positionV relativeFrom="margin">
                  <wp:posOffset>1801495</wp:posOffset>
                </wp:positionV>
                <wp:extent cx="1508760" cy="146050"/>
                <wp:wrapTopAndBottom/>
                <wp:docPr id="6" name="Shape 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主管会计工作负责人：廖雪林</w:t>
                            </w:r>
                          </w:p>
                        </w:txbxContent>
                      </wps:txbx>
                      <wps:bodyPr wrap="none" lIns="0" tIns="0" rIns="0" bIns="0">
                        <a:noAutoFit/>
                      </wps:bodyPr>
                    </wps:wsp>
                  </a:graphicData>
                </a:graphic>
              </wp:anchor>
            </w:drawing>
          </mc:Choice>
          <mc:Fallback>
            <w:pict>
              <v:shape id="_x0000_s1032" type="#_x0000_t202" style="position:absolute;margin-left:222.5pt;margin-top:141.84999999999999pt;width:118.8pt;height:11.5pt;z-index:-125829371;mso-wrap-distance-left:176.05000000000001pt;mso-wrap-distance-top:12.pt;mso-wrap-distance-right:202.45000000000002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主管会计工作负责人：廖雪林</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5504815</wp:posOffset>
                </wp:positionH>
                <wp:positionV relativeFrom="margin">
                  <wp:posOffset>1801495</wp:posOffset>
                </wp:positionV>
                <wp:extent cx="1286510" cy="149225"/>
                <wp:wrapTopAndBottom/>
                <wp:docPr id="8" name="Shape 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会计机构负责人：黄雅琼</w:t>
                            </w:r>
                          </w:p>
                        </w:txbxContent>
                      </wps:txbx>
                      <wps:bodyPr wrap="none" lIns="0" tIns="0" rIns="0" bIns="0">
                        <a:noAutoFit/>
                      </wps:bodyPr>
                    </wps:wsp>
                  </a:graphicData>
                </a:graphic>
              </wp:anchor>
            </w:drawing>
          </mc:Choice>
          <mc:Fallback>
            <w:pict>
              <v:shape id="_x0000_s1034" type="#_x0000_t202" style="position:absolute;margin-left:433.44999999999999pt;margin-top:141.84999999999999pt;width:101.3pt;height:11.75pt;z-index:-125829369;mso-wrap-distance-left:387.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会计机构负责人：黄雅琼</w:t>
                      </w:r>
                    </w:p>
                  </w:txbxContent>
                </v:textbox>
                <w10:wrap type="topAndBottom" anchorx="page" anchory="margin"/>
              </v:shape>
            </w:pict>
          </mc:Fallback>
        </mc:AlternateContent>
      </w: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2</w:t>
      </w:r>
      <w:bookmarkEnd w:id="762"/>
      <w:r>
        <w:rPr>
          <w:color w:val="000000"/>
          <w:spacing w:val="0"/>
          <w:w w:val="100"/>
          <w:position w:val="0"/>
        </w:rPr>
        <w:t>、母公司资产负债表</w:t>
      </w:r>
      <w:bookmarkEnd w:id="760"/>
      <w:bookmarkEnd w:id="761"/>
      <w:bookmarkEnd w:id="76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299,423,485.10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232,914,288.13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9,178,234.33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15,299,096.36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210,312,732.09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219,713,146.78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12,956,020.97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35,369,694.83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50,423,974.36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9,072,947.09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123,482,963.26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215,516,953.40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109,509,548.13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115,832,715.55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408,315.66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9,247,430.50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815,695,273.90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852,966,272.64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2,017,756,357.37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2,270,416,357.37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8,542,410.26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10,850,894.85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170,974,708.98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162,654,475.80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4,299,439.08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371,367.06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657,063.62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19,645,138.22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6,108,704.86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6,383,638.84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2,221,589,420.97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2,457,151,135.34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3,037,284,694.87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3,310,117,407.98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283,807,374.99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312,143,170.57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78,378,405.10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134,957,674.20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492,953.76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487,337.77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18,896,161.12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11,893,858.31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13,590,461.45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9,856,582.40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468,870.98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239,244.23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57,822,248.29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35,801,135.30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138,357,309.66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35,054,202.03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518,144.44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619,026.94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592,331,929.79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541,052,231.75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169,610,340.52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245,780,495.32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522,859,413.66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492,397,175.55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3,463,538.66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340,666.58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872,066.62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696,273,959.42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739,049,737.49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1,288,605,889.21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1,280,101,969.24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360,224,104.00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360,221,663.00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67,454,900.99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67,460,545.19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1,160,641,379.30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1,160,592,223.86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67,124,757.99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67,124,757.99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93,233,663.38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374,616,248.70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1,748,678,805.66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2,030,015,438.74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3,037,284,694.87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3,310,117,407.98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3</w:t>
      </w:r>
      <w:bookmarkEnd w:id="766"/>
      <w:r>
        <w:rPr>
          <w:color w:val="000000"/>
          <w:spacing w:val="0"/>
          <w:w w:val="100"/>
          <w:position w:val="0"/>
        </w:rPr>
        <w:t>、合并利润表</w:t>
      </w:r>
      <w:bookmarkEnd w:id="764"/>
      <w:bookmarkEnd w:id="765"/>
      <w:bookmarkEnd w:id="76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1,394,369,586.11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1,515,992,751.11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1,394,369,586.11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1,515,992,751.11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1,390,523,605.40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1,299,940,999.98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932,405,231.26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878,193,394.12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7,484,451.92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9,988,379.23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131,591,477.14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101,355,665.99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107,078,668.37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94,675,867.75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102,690,461.81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98,004,876.14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109,273,314.90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117,722,816.75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103,379,818.49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119,774,670.80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3,047,987.53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3,848,397.74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37,312,927.16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40,629,144.39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17,326,523.22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412,278.46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19,799,612.13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-6,777,560.53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-719,571,035.74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-6,008,321.89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2,975,050.15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8,890,902.67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-638,310,942.37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253,198,194.23</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452,697.02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207,084.75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676,250.74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316,866.49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-638,534,496.09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253,088,412.49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-3,895,383.02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33,414,506.18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-634,639,113.07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219,673,906.31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-634,639,113.07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219,673,906.31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-635,849,527.03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231,654,648.29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1,210,413.96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-11,980,741.98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-7,583,065.22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5,753,027.02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-7,583,065.22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5,753,027.02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-7,101,460.50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5,745,102.24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-7,101,460.50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5,745,102.24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-481,604.72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7,924.78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-481,604.72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-642,222,178.29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225,426,933.33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-643,432,592.25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237,407,675.31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1,210,413.96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-11,980,741.98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7"/>
        <w:keepNext w:val="0"/>
        <w:keepLines w:val="0"/>
        <w:widowControl w:val="0"/>
        <w:shd w:val="clear" w:color="auto" w:fill="auto"/>
        <w:tabs>
          <w:tab w:pos="3336" w:val="left"/>
          <w:tab w:pos="7555" w:val="left"/>
        </w:tabs>
        <w:bidi w:val="0"/>
        <w:spacing w:before="0" w:after="400" w:line="240" w:lineRule="auto"/>
        <w:ind w:left="0" w:right="0" w:firstLine="0"/>
        <w:jc w:val="left"/>
      </w:pPr>
      <w:r>
        <w:rPr>
          <w:color w:val="000000"/>
          <w:spacing w:val="0"/>
          <w:w w:val="100"/>
          <w:position w:val="0"/>
        </w:rPr>
        <w:t>法定代表人：杨成</w:t>
        <w:tab/>
        <w:t>主管会计工作负责人：廖雪林</w:t>
        <w:tab/>
        <w:t>会计机构负责人：黄雅琼</w:t>
      </w:r>
    </w:p>
    <w:p>
      <w:pPr>
        <w:pStyle w:val="Style31"/>
        <w:keepNext/>
        <w:keepLines/>
        <w:widowControl w:val="0"/>
        <w:shd w:val="clear" w:color="auto" w:fill="auto"/>
        <w:bidi w:val="0"/>
        <w:spacing w:before="0" w:after="40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4</w:t>
      </w:r>
      <w:bookmarkEnd w:id="770"/>
      <w:r>
        <w:rPr>
          <w:color w:val="000000"/>
          <w:spacing w:val="0"/>
          <w:w w:val="100"/>
          <w:position w:val="0"/>
        </w:rPr>
        <w:t>、母公司利润表</w:t>
      </w:r>
      <w:bookmarkEnd w:id="768"/>
      <w:bookmarkEnd w:id="769"/>
      <w:bookmarkEnd w:id="77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325,992,004.39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491,319,793.19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245,066,804.47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325,734,278.82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753,036.48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1,724,378.10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62,351,704.17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48,856,056.67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25,531,744.70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35,270,498.19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31,241,816.32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26,469,796.47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55,143,811.05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51,292,900.69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62,102,373.66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60,255,080.95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7,225,346.75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9,192,785.87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8,523,620.20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6,963,687.02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101,844,549.42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64,142,804.78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3,043,644.36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-2,762,140.73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-269,959,191.16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-228,365.72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3,093,669.96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134,977.47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-247,550,620.02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70,222,847.07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58,024.91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35,331.24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-247,508,644.93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70,307,516.00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-12,934,147.32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912,809.89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-234,574,497.61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69,394,706.11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-234,574,497.61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69,394,706.11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-234,574,497.61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69,394,706.11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5</w:t>
      </w:r>
      <w:bookmarkEnd w:id="774"/>
      <w:r>
        <w:rPr>
          <w:color w:val="000000"/>
          <w:spacing w:val="0"/>
          <w:w w:val="100"/>
          <w:position w:val="0"/>
        </w:rPr>
        <w:t>、合并现金流量表</w:t>
      </w:r>
      <w:bookmarkEnd w:id="772"/>
      <w:bookmarkEnd w:id="773"/>
      <w:bookmarkEnd w:id="775"/>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1,644,221,876.89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1,363,494,295.21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11,885,765.56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17,091,957.35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129,438,110.93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116,657,542.20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1,785,545,753.38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1,497,243,794.76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955,566,134.15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709,110,425.15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228,133,773.12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180,514,770.63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51,225,526.59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103,360,305.71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319,455,587.05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171,014,553.12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1,554,381,020.91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1,164,000,054.61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231,164,732.47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333,243,740.15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4,942,727.11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4,653,944.57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7,401,181.00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347,870,689.87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1,265,800.00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357,467,361.55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8,666,981.00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132,109,566.71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166,820,720.35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4,245,227.98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132,109,566.71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171,065,948.33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225,357,794.84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-162,398,967.33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633,018,885.43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1,672,888,101.61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633,018,885.43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1,672,888,101.61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808,440,506.56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1,287,102,465.40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118,595,583.38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143,509,129.55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1,876,502.91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354,879,151.98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928,912,592.85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1,785,490,746.93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-295,893,707.42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-112,602,645.32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-484,865.75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170,762.88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160,143,954.14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58,412,890.38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469,456,429.31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411,043,538.93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629,600,383.45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469,456,429.31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6</w:t>
      </w:r>
      <w:bookmarkEnd w:id="778"/>
      <w:r>
        <w:rPr>
          <w:color w:val="000000"/>
          <w:spacing w:val="0"/>
          <w:w w:val="100"/>
          <w:position w:val="0"/>
        </w:rPr>
        <w:t>、母公司现金流量表</w:t>
      </w:r>
      <w:bookmarkEnd w:id="776"/>
      <w:bookmarkEnd w:id="777"/>
      <w:bookmarkEnd w:id="779"/>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437,679,020.62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483,818,226.23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2,353,996.39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4,109,167.69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16,740,413.07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25,424,231.55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456,773,430.08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513,351,625.47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323,848,064.65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301,908,971.60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44,279,304.63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37,982,114.27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1,335,844.69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17,651,827.76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83,060,390.83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112,417,203.56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452,523,604.80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469,960,117.19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4,249,825.28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43,391,508.28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101,844,549.42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63,730,526.32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4,453,680.00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98,345,585.08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88,623,477.39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204,643,814.50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152,554,003.71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70,619,858.74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17,999,848.96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376,234,273.92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107,920,827.98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76,059,858.74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502,154,950.86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128,583,955.76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-349,600,947.15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370,018,885.43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1,300,025,224.74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410,018,885.43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1,324,025,224.74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373,503,679.97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810,779,124.82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76,863,120.85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80,867,299.84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26,062,317.08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39,520,626.85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476,429,117.90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931,167,051.51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-66,410,232.47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392,858,173.23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66,423,548.57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86,648,734.36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232,335,809.22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145,687,074.86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298,759,357.79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232,335,809.22</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7</w:t>
      </w:r>
      <w:bookmarkEnd w:id="782"/>
      <w:r>
        <w:rPr>
          <w:color w:val="000000"/>
          <w:spacing w:val="0"/>
          <w:w w:val="100"/>
          <w:position w:val="0"/>
        </w:rPr>
        <w:t>、合并所有者权益变动表</w:t>
      </w:r>
      <w:bookmarkEnd w:id="780"/>
      <w:bookmarkEnd w:id="781"/>
      <w:bookmarkEnd w:id="783"/>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1397"/>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者权</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配利 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益合 计</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0,545</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862,20 </w:t>
            </w:r>
            <w:r>
              <w:rPr>
                <w:rFonts w:ascii="Times New Roman" w:eastAsia="Times New Roman" w:hAnsi="Times New Roman" w:cs="Times New Roman"/>
                <w:color w:val="000000"/>
                <w:spacing w:val="0"/>
                <w:w w:val="100"/>
                <w:position w:val="0"/>
                <w:sz w:val="18"/>
                <w:szCs w:val="18"/>
              </w:rPr>
              <w:t>0,516.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80,956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67,124 </w:t>
            </w:r>
            <w:r>
              <w:rPr>
                <w:rFonts w:ascii="Times New Roman" w:eastAsia="Times New Roman" w:hAnsi="Times New Roman" w:cs="Times New Roman"/>
                <w:color w:val="000000"/>
                <w:spacing w:val="0"/>
                <w:w w:val="100"/>
                <w:position w:val="0"/>
                <w:sz w:val="18"/>
                <w:szCs w:val="18"/>
              </w:rPr>
              <w:t xml:space="preserve">,757.9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0,545</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862,20 </w:t>
            </w:r>
            <w:r>
              <w:rPr>
                <w:rFonts w:ascii="Times New Roman" w:eastAsia="Times New Roman" w:hAnsi="Times New Roman" w:cs="Times New Roman"/>
                <w:color w:val="000000"/>
                <w:spacing w:val="0"/>
                <w:w w:val="100"/>
                <w:position w:val="0"/>
                <w:sz w:val="18"/>
                <w:szCs w:val="18"/>
              </w:rPr>
              <w:t>0,516.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80,956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67,124 </w:t>
            </w:r>
            <w:r>
              <w:rPr>
                <w:rFonts w:ascii="Times New Roman" w:eastAsia="Times New Roman" w:hAnsi="Times New Roman" w:cs="Times New Roman"/>
                <w:color w:val="000000"/>
                <w:spacing w:val="0"/>
                <w:w w:val="100"/>
                <w:position w:val="0"/>
                <w:sz w:val="18"/>
                <w:szCs w:val="18"/>
              </w:rPr>
              <w:t xml:space="preserve">,757.9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49,155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-7,583,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94,727</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-7,583,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32,592</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49,155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45,952</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49,155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45,952</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-46,80 8,087.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-46,80 8,087.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-46,80 8,087.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-46,80 8,087.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-46,80 8,087.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-46,80 8,087.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73,373 </w:t>
            </w:r>
            <w:r>
              <w:rPr>
                <w:rFonts w:ascii="Times New Roman" w:eastAsia="Times New Roman" w:hAnsi="Times New Roman" w:cs="Times New Roman"/>
                <w:color w:val="000000"/>
                <w:spacing w:val="0"/>
                <w:w w:val="100"/>
                <w:position w:val="0"/>
                <w:sz w:val="18"/>
                <w:szCs w:val="18"/>
              </w:rPr>
              <w:t>,404.1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67,124 </w:t>
            </w:r>
            <w:r>
              <w:rPr>
                <w:rFonts w:ascii="Times New Roman" w:eastAsia="Times New Roman" w:hAnsi="Times New Roman" w:cs="Times New Roman"/>
                <w:color w:val="000000"/>
                <w:spacing w:val="0"/>
                <w:w w:val="100"/>
                <w:position w:val="0"/>
                <w:sz w:val="18"/>
                <w:szCs w:val="18"/>
              </w:rPr>
              <w:t xml:space="preserve">,757.9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972,72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75,203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767,94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110,989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87,655.</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972,72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8,215.</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110,989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1,880 </w:t>
            </w:r>
            <w:r>
              <w:rPr>
                <w:rFonts w:ascii="Times New Roman" w:eastAsia="Times New Roman" w:hAnsi="Times New Roman" w:cs="Times New Roman"/>
                <w:color w:val="000000"/>
                <w:spacing w:val="0"/>
                <w:w w:val="100"/>
                <w:position w:val="0"/>
                <w:sz w:val="18"/>
                <w:szCs w:val="18"/>
              </w:rPr>
              <w:t>,909.</w:t>
            </w:r>
          </w:p>
          <w:p>
            <w:pPr>
              <w:pStyle w:val="Style2"/>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0,545</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27,698</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148,92 </w:t>
            </w:r>
            <w:r>
              <w:rPr>
                <w:rFonts w:ascii="Times New Roman" w:eastAsia="Times New Roman" w:hAnsi="Times New Roman" w:cs="Times New Roman"/>
                <w:color w:val="000000"/>
                <w:spacing w:val="0"/>
                <w:w w:val="100"/>
                <w:position w:val="0"/>
                <w:sz w:val="18"/>
                <w:szCs w:val="18"/>
              </w:rPr>
              <w:t>0,451.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-116,07</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8,945.3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237,40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-11,980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1,880 </w:t>
            </w:r>
            <w:r>
              <w:rPr>
                <w:rFonts w:ascii="Times New Roman" w:eastAsia="Times New Roman" w:hAnsi="Times New Roman" w:cs="Times New Roman"/>
                <w:color w:val="000000"/>
                <w:spacing w:val="0"/>
                <w:w w:val="100"/>
                <w:position w:val="0"/>
                <w:sz w:val="18"/>
                <w:szCs w:val="18"/>
              </w:rPr>
              <w:t>,909.</w:t>
            </w:r>
          </w:p>
          <w:p>
            <w:pPr>
              <w:pStyle w:val="Style2"/>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0,545</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27,698</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-145,28</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1,880 </w:t>
            </w:r>
            <w:r>
              <w:rPr>
                <w:rFonts w:ascii="Times New Roman" w:eastAsia="Times New Roman" w:hAnsi="Times New Roman" w:cs="Times New Roman"/>
                <w:color w:val="000000"/>
                <w:spacing w:val="0"/>
                <w:w w:val="100"/>
                <w:position w:val="0"/>
                <w:sz w:val="18"/>
                <w:szCs w:val="18"/>
              </w:rPr>
              <w:t>,909.</w:t>
            </w:r>
          </w:p>
          <w:p>
            <w:pPr>
              <w:pStyle w:val="Style2"/>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9,124</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33,892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31,434</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9,669</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20,279</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-72,62 0,609.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-54,24 0,450.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-47,30 0,979.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-6,939, 470.61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-47,30 0,979.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-47,30 0,979.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0,545</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862,20 </w:t>
            </w:r>
            <w:r>
              <w:rPr>
                <w:rFonts w:ascii="Times New Roman" w:eastAsia="Times New Roman" w:hAnsi="Times New Roman" w:cs="Times New Roman"/>
                <w:color w:val="000000"/>
                <w:spacing w:val="0"/>
                <w:w w:val="100"/>
                <w:position w:val="0"/>
                <w:sz w:val="18"/>
                <w:szCs w:val="18"/>
              </w:rPr>
              <w:t>0,516.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67,124 </w:t>
            </w:r>
            <w:r>
              <w:rPr>
                <w:rFonts w:ascii="Times New Roman" w:eastAsia="Times New Roman" w:hAnsi="Times New Roman" w:cs="Times New Roman"/>
                <w:color w:val="000000"/>
                <w:spacing w:val="0"/>
                <w:w w:val="100"/>
                <w:position w:val="0"/>
                <w:sz w:val="18"/>
                <w:szCs w:val="18"/>
              </w:rPr>
              <w:t xml:space="preserve">,757.9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945,35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8</w:t>
      </w:r>
      <w:bookmarkEnd w:id="786"/>
      <w:r>
        <w:rPr>
          <w:color w:val="000000"/>
          <w:spacing w:val="0"/>
          <w:w w:val="100"/>
          <w:position w:val="0"/>
        </w:rPr>
        <w:t>、母公司所有者权益变动表</w:t>
      </w:r>
      <w:bookmarkEnd w:id="784"/>
      <w:bookmarkEnd w:id="785"/>
      <w:bookmarkEnd w:id="78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一、上年期末余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67,124,7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2,030,015,</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1,663.0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1,663.0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67,460,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2,441.0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-5,644.</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-281,38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-281,336,6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-234,57</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4,497.6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-234,574,4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2,441.0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-5,644.</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45,952.24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2,441.0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-5,644.</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45,952.24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-46,808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-46,808,08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-46,808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-46,808,08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67,454,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1,160,64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1,748,678,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805.66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1,126,6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99,642.</w:t>
            </w:r>
          </w:p>
          <w:p>
            <w:pPr>
              <w:pStyle w:val="Style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359,461,9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1,904,687,6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1,126,6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99,642.</w:t>
            </w:r>
          </w:p>
          <w:p>
            <w:pPr>
              <w:pStyle w:val="Style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359,461,9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1,904,687,6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三、本期增减变 动金额（减少以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67,460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15,154,25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125,327,76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69,394,70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69,394,706.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67,460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,545.1</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33,892,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103,234,03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33,892,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31,434,365.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71,799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,669.9</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71,799,669.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-54,240,4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-47,300,979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-6,939,47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-47,300,9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-47,300,979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1,663.</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67,460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w:t>
            </w:r>
          </w:p>
        </w:tc>
      </w:tr>
    </w:tbl>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788" w:name="bookmark788"/>
      <w:r>
        <w:rPr>
          <w:b/>
          <w:bCs/>
          <w:color w:val="000000"/>
          <w:spacing w:val="0"/>
          <w:w w:val="100"/>
          <w:position w:val="0"/>
          <w:sz w:val="22"/>
          <w:szCs w:val="22"/>
        </w:rPr>
        <w:t>三、公司基本情况</w:t>
      </w:r>
      <w:bookmarkEnd w:id="788"/>
    </w:p>
    <w:p>
      <w:pPr>
        <w:widowControl w:val="0"/>
        <w:spacing w:after="279" w:line="1" w:lineRule="exact"/>
      </w:pPr>
    </w:p>
    <w:p>
      <w:pPr>
        <w:pStyle w:val="Style11"/>
        <w:keepNext w:val="0"/>
        <w:keepLines w:val="0"/>
        <w:widowControl w:val="0"/>
        <w:shd w:val="clear" w:color="auto" w:fill="auto"/>
        <w:bidi w:val="0"/>
        <w:spacing w:before="0" w:after="120" w:line="315" w:lineRule="exact"/>
        <w:ind w:left="0" w:right="0" w:firstLine="500"/>
        <w:jc w:val="both"/>
        <w:rPr>
          <w:sz w:val="22"/>
          <w:szCs w:val="22"/>
        </w:rPr>
      </w:pPr>
      <w:r>
        <w:rPr>
          <w:color w:val="000000"/>
          <w:spacing w:val="0"/>
          <w:w w:val="100"/>
          <w:position w:val="0"/>
          <w:sz w:val="22"/>
          <w:szCs w:val="22"/>
        </w:rPr>
        <w:t>红相股份有限公司（以下简称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红相股份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）前身为于</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2"/>
          <w:szCs w:val="22"/>
        </w:rPr>
        <w:t>月设立的厦门红 相电力设备进出口有限公司（以下简称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厦门红相进出口公司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2"/>
          <w:szCs w:val="22"/>
        </w:rPr>
        <w:t>年根据厦门红相进出 口公司股东会决议，公司依法整体变更为股份有限公司，更名为厦门红相电力设备股份有限 公司。</w:t>
      </w:r>
    </w:p>
    <w:p>
      <w:pPr>
        <w:pStyle w:val="Style11"/>
        <w:keepNext w:val="0"/>
        <w:keepLines w:val="0"/>
        <w:widowControl w:val="0"/>
        <w:shd w:val="clear" w:color="auto" w:fill="auto"/>
        <w:bidi w:val="0"/>
        <w:spacing w:before="0" w:after="120" w:line="312" w:lineRule="exact"/>
        <w:ind w:left="0" w:right="0" w:firstLine="500"/>
        <w:jc w:val="both"/>
        <w:rPr>
          <w:sz w:val="22"/>
          <w:szCs w:val="22"/>
        </w:rPr>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年经中国证券监督管理委员会证监许可〔</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4"/>
          <w:szCs w:val="24"/>
        </w:rPr>
        <w:t>179</w:t>
      </w:r>
      <w:r>
        <w:rPr>
          <w:color w:val="000000"/>
          <w:spacing w:val="0"/>
          <w:w w:val="100"/>
          <w:position w:val="0"/>
          <w:sz w:val="22"/>
          <w:szCs w:val="22"/>
        </w:rPr>
        <w:t>号文核准，经深圳证券交易所《关 于厦门红相电力设备股份有限公司人民币普通股股票在创业板上市的通知》（深证上〔</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4"/>
          <w:szCs w:val="24"/>
        </w:rPr>
        <w:t>81</w:t>
      </w:r>
      <w:r>
        <w:rPr>
          <w:color w:val="000000"/>
          <w:spacing w:val="0"/>
          <w:w w:val="100"/>
          <w:position w:val="0"/>
          <w:sz w:val="22"/>
          <w:szCs w:val="22"/>
        </w:rPr>
        <w:t>号）同意，本公司在深圳证券交易所创业板上市，首次公开发行后总股本为</w:t>
      </w:r>
      <w:r>
        <w:rPr>
          <w:rFonts w:ascii="Times New Roman" w:eastAsia="Times New Roman" w:hAnsi="Times New Roman" w:cs="Times New Roman"/>
          <w:color w:val="000000"/>
          <w:spacing w:val="0"/>
          <w:w w:val="100"/>
          <w:position w:val="0"/>
          <w:sz w:val="24"/>
          <w:szCs w:val="24"/>
        </w:rPr>
        <w:t>8,867</w:t>
      </w:r>
      <w:r>
        <w:rPr>
          <w:color w:val="000000"/>
          <w:spacing w:val="0"/>
          <w:w w:val="100"/>
          <w:position w:val="0"/>
          <w:sz w:val="22"/>
          <w:szCs w:val="22"/>
        </w:rPr>
        <w:t>万股。</w:t>
      </w: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sz w:val="22"/>
          <w:szCs w:val="22"/>
        </w:rPr>
        <w:t>年本公司根据</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年年度股东大会决议，以截至</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日公司总股本</w:t>
      </w:r>
      <w:r>
        <w:rPr>
          <w:rFonts w:ascii="Times New Roman" w:eastAsia="Times New Roman" w:hAnsi="Times New Roman" w:cs="Times New Roman"/>
          <w:color w:val="000000"/>
          <w:spacing w:val="0"/>
          <w:w w:val="100"/>
          <w:position w:val="0"/>
          <w:sz w:val="24"/>
          <w:szCs w:val="24"/>
        </w:rPr>
        <w:t>8,867</w:t>
      </w:r>
      <w:r>
        <w:rPr>
          <w:color w:val="000000"/>
          <w:spacing w:val="0"/>
          <w:w w:val="100"/>
          <w:position w:val="0"/>
          <w:sz w:val="22"/>
          <w:szCs w:val="22"/>
        </w:rPr>
        <w:t>万股为基 数，以资本公积向全体股东每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股转增</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2"/>
          <w:szCs w:val="22"/>
        </w:rPr>
        <w:t>股，共计转增股份</w:t>
      </w:r>
      <w:r>
        <w:rPr>
          <w:rFonts w:ascii="Times New Roman" w:eastAsia="Times New Roman" w:hAnsi="Times New Roman" w:cs="Times New Roman"/>
          <w:color w:val="000000"/>
          <w:spacing w:val="0"/>
          <w:w w:val="100"/>
          <w:position w:val="0"/>
          <w:sz w:val="24"/>
          <w:szCs w:val="24"/>
        </w:rPr>
        <w:t>19,507.40</w:t>
      </w:r>
      <w:r>
        <w:rPr>
          <w:color w:val="000000"/>
          <w:spacing w:val="0"/>
          <w:w w:val="100"/>
          <w:position w:val="0"/>
          <w:sz w:val="22"/>
          <w:szCs w:val="22"/>
        </w:rPr>
        <w:t xml:space="preserve">万股，本公司总股本由 </w:t>
      </w:r>
      <w:r>
        <w:rPr>
          <w:rFonts w:ascii="Times New Roman" w:eastAsia="Times New Roman" w:hAnsi="Times New Roman" w:cs="Times New Roman"/>
          <w:color w:val="000000"/>
          <w:spacing w:val="0"/>
          <w:w w:val="100"/>
          <w:position w:val="0"/>
          <w:sz w:val="24"/>
          <w:szCs w:val="24"/>
        </w:rPr>
        <w:t>8,867</w:t>
      </w:r>
      <w:r>
        <w:rPr>
          <w:color w:val="000000"/>
          <w:spacing w:val="0"/>
          <w:w w:val="100"/>
          <w:position w:val="0"/>
          <w:sz w:val="22"/>
          <w:szCs w:val="22"/>
        </w:rPr>
        <w:t>万股变更为</w:t>
      </w:r>
      <w:r>
        <w:rPr>
          <w:rFonts w:ascii="Times New Roman" w:eastAsia="Times New Roman" w:hAnsi="Times New Roman" w:cs="Times New Roman"/>
          <w:color w:val="000000"/>
          <w:spacing w:val="0"/>
          <w:w w:val="100"/>
          <w:position w:val="0"/>
          <w:sz w:val="24"/>
          <w:szCs w:val="24"/>
        </w:rPr>
        <w:t>28,374.4</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2"/>
          <w:szCs w:val="22"/>
        </w:rPr>
        <w:t>万股。</w:t>
      </w:r>
    </w:p>
    <w:p>
      <w:pPr>
        <w:pStyle w:val="Style11"/>
        <w:keepNext w:val="0"/>
        <w:keepLines w:val="0"/>
        <w:widowControl w:val="0"/>
        <w:shd w:val="clear" w:color="auto" w:fill="auto"/>
        <w:bidi w:val="0"/>
        <w:spacing w:before="0" w:after="120" w:line="312" w:lineRule="exact"/>
        <w:ind w:left="0" w:right="0" w:firstLine="500"/>
        <w:jc w:val="both"/>
        <w:rPr>
          <w:sz w:val="22"/>
          <w:szCs w:val="22"/>
        </w:rPr>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2"/>
          <w:szCs w:val="22"/>
        </w:rPr>
        <w:t>日，经中国证券监督管理委员会《关于核准厦门红相电力设备股份有限公司 向卧龙电气集团股份有限公司等发行股份购买资产并募集配套资金的批复》（证监许可〔</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4"/>
          <w:szCs w:val="24"/>
        </w:rPr>
        <w:t>1351</w:t>
      </w:r>
      <w:r>
        <w:rPr>
          <w:color w:val="000000"/>
          <w:spacing w:val="0"/>
          <w:w w:val="100"/>
          <w:position w:val="0"/>
          <w:sz w:val="22"/>
          <w:szCs w:val="22"/>
        </w:rPr>
        <w:t>号）核准，本公司获准向卧龙电气驱动集团股份有限公司、席立功等</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2"/>
          <w:szCs w:val="22"/>
        </w:rPr>
        <w:t>位新股东发行共 计</w:t>
      </w:r>
      <w:r>
        <w:rPr>
          <w:rFonts w:ascii="Times New Roman" w:eastAsia="Times New Roman" w:hAnsi="Times New Roman" w:cs="Times New Roman"/>
          <w:color w:val="000000"/>
          <w:spacing w:val="0"/>
          <w:w w:val="100"/>
          <w:position w:val="0"/>
          <w:sz w:val="24"/>
          <w:szCs w:val="24"/>
        </w:rPr>
        <w:t>68,842,786</w:t>
      </w:r>
      <w:r>
        <w:rPr>
          <w:color w:val="000000"/>
          <w:spacing w:val="0"/>
          <w:w w:val="100"/>
          <w:position w:val="0"/>
          <w:sz w:val="22"/>
          <w:szCs w:val="22"/>
        </w:rPr>
        <w:t>股股份购买相关资产，</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2"/>
          <w:szCs w:val="22"/>
        </w:rPr>
        <w:t xml:space="preserve">日，本公司发行股份购买资产新增股份 </w:t>
      </w:r>
      <w:r>
        <w:rPr>
          <w:rFonts w:ascii="Times New Roman" w:eastAsia="Times New Roman" w:hAnsi="Times New Roman" w:cs="Times New Roman"/>
          <w:color w:val="000000"/>
          <w:spacing w:val="0"/>
          <w:w w:val="100"/>
          <w:position w:val="0"/>
          <w:sz w:val="24"/>
          <w:szCs w:val="24"/>
        </w:rPr>
        <w:t>68,842,786</w:t>
      </w:r>
      <w:r>
        <w:rPr>
          <w:color w:val="000000"/>
          <w:spacing w:val="0"/>
          <w:w w:val="100"/>
          <w:position w:val="0"/>
          <w:sz w:val="22"/>
          <w:szCs w:val="22"/>
        </w:rPr>
        <w:t>股上市，本公司总股本由</w:t>
      </w:r>
      <w:r>
        <w:rPr>
          <w:rFonts w:ascii="Times New Roman" w:eastAsia="Times New Roman" w:hAnsi="Times New Roman" w:cs="Times New Roman"/>
          <w:color w:val="000000"/>
          <w:spacing w:val="0"/>
          <w:w w:val="100"/>
          <w:position w:val="0"/>
          <w:sz w:val="24"/>
          <w:szCs w:val="24"/>
        </w:rPr>
        <w:t>28,374.4</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2"/>
          <w:szCs w:val="22"/>
        </w:rPr>
        <w:t>万股变更为</w:t>
      </w:r>
      <w:r>
        <w:rPr>
          <w:rFonts w:ascii="Times New Roman" w:eastAsia="Times New Roman" w:hAnsi="Times New Roman" w:cs="Times New Roman"/>
          <w:color w:val="000000"/>
          <w:spacing w:val="0"/>
          <w:w w:val="100"/>
          <w:position w:val="0"/>
          <w:sz w:val="24"/>
          <w:szCs w:val="24"/>
        </w:rPr>
        <w:t>35,258.6786</w:t>
      </w:r>
      <w:r>
        <w:rPr>
          <w:color w:val="000000"/>
          <w:spacing w:val="0"/>
          <w:w w:val="100"/>
          <w:position w:val="0"/>
          <w:sz w:val="22"/>
          <w:szCs w:val="22"/>
        </w:rPr>
        <w:t>万股。</w:t>
      </w:r>
    </w:p>
    <w:p>
      <w:pPr>
        <w:pStyle w:val="Style11"/>
        <w:keepNext w:val="0"/>
        <w:keepLines w:val="0"/>
        <w:widowControl w:val="0"/>
        <w:shd w:val="clear" w:color="auto" w:fill="auto"/>
        <w:bidi w:val="0"/>
        <w:spacing w:before="0" w:after="120" w:line="312" w:lineRule="exact"/>
        <w:ind w:left="0" w:right="0" w:firstLine="500"/>
        <w:jc w:val="both"/>
        <w:rPr>
          <w:sz w:val="22"/>
          <w:szCs w:val="22"/>
        </w:rPr>
      </w:pPr>
      <w:r>
        <w:rPr>
          <w:color w:val="000000"/>
          <w:spacing w:val="0"/>
          <w:w w:val="100"/>
          <w:position w:val="0"/>
          <w:sz w:val="22"/>
          <w:szCs w:val="22"/>
        </w:rPr>
        <w:t>根据本公司</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2"/>
          <w:szCs w:val="22"/>
        </w:rPr>
        <w:t>日召开的第四届董事会第二次会议和</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 xml:space="preserve">日召开的 </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 xml:space="preserve">年第三次临时股东大会审议通过的《关于公司非公开发行股票方案的议案》，并经由中 国证券监督管理委员会《关于核准红相股份有限公司非公开发行股票的批复》（证监许可 </w:t>
      </w:r>
      <w:r>
        <w:rPr>
          <w:rFonts w:ascii="Times New Roman" w:eastAsia="Times New Roman" w:hAnsi="Times New Roman" w:cs="Times New Roman"/>
          <w:color w:val="000000"/>
          <w:spacing w:val="0"/>
          <w:w w:val="100"/>
          <w:position w:val="0"/>
          <w:sz w:val="24"/>
          <w:szCs w:val="24"/>
        </w:rPr>
        <w:t>[2018]1317</w:t>
      </w:r>
      <w:r>
        <w:rPr>
          <w:color w:val="000000"/>
          <w:spacing w:val="0"/>
          <w:w w:val="100"/>
          <w:position w:val="0"/>
          <w:sz w:val="22"/>
          <w:szCs w:val="22"/>
        </w:rPr>
        <w:t>号）核准，本公司拟非公开发行不超过</w:t>
      </w:r>
      <w:r>
        <w:rPr>
          <w:rFonts w:ascii="Times New Roman" w:eastAsia="Times New Roman" w:hAnsi="Times New Roman" w:cs="Times New Roman"/>
          <w:color w:val="000000"/>
          <w:spacing w:val="0"/>
          <w:w w:val="100"/>
          <w:position w:val="0"/>
          <w:sz w:val="24"/>
          <w:szCs w:val="24"/>
        </w:rPr>
        <w:t>7,051.7357</w:t>
      </w:r>
      <w:r>
        <w:rPr>
          <w:color w:val="000000"/>
          <w:spacing w:val="0"/>
          <w:w w:val="100"/>
          <w:position w:val="0"/>
          <w:sz w:val="22"/>
          <w:szCs w:val="22"/>
        </w:rPr>
        <w:t xml:space="preserve">万股股票。本公司实际发行 </w:t>
      </w:r>
      <w:r>
        <w:rPr>
          <w:rFonts w:ascii="Times New Roman" w:eastAsia="Times New Roman" w:hAnsi="Times New Roman" w:cs="Times New Roman"/>
          <w:color w:val="000000"/>
          <w:spacing w:val="0"/>
          <w:w w:val="100"/>
          <w:position w:val="0"/>
          <w:sz w:val="24"/>
          <w:szCs w:val="24"/>
        </w:rPr>
        <w:t>575.3968</w:t>
      </w:r>
      <w:r>
        <w:rPr>
          <w:color w:val="000000"/>
          <w:spacing w:val="0"/>
          <w:w w:val="100"/>
          <w:position w:val="0"/>
          <w:sz w:val="22"/>
          <w:szCs w:val="22"/>
        </w:rPr>
        <w:t>万股股份，由厦门蜜呆伍号创业投资合伙企业（有限合伙）</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家特定投资者认购，变 更后的总股本由</w:t>
      </w:r>
      <w:r>
        <w:rPr>
          <w:rFonts w:ascii="Times New Roman" w:eastAsia="Times New Roman" w:hAnsi="Times New Roman" w:cs="Times New Roman"/>
          <w:color w:val="000000"/>
          <w:spacing w:val="0"/>
          <w:w w:val="100"/>
          <w:position w:val="0"/>
          <w:sz w:val="24"/>
          <w:szCs w:val="24"/>
        </w:rPr>
        <w:t>35,258.6786</w:t>
      </w:r>
      <w:r>
        <w:rPr>
          <w:color w:val="000000"/>
          <w:spacing w:val="0"/>
          <w:w w:val="100"/>
          <w:position w:val="0"/>
          <w:sz w:val="22"/>
          <w:szCs w:val="22"/>
        </w:rPr>
        <w:t>万股变更为</w:t>
      </w:r>
      <w:r>
        <w:rPr>
          <w:rFonts w:ascii="Times New Roman" w:eastAsia="Times New Roman" w:hAnsi="Times New Roman" w:cs="Times New Roman"/>
          <w:color w:val="000000"/>
          <w:spacing w:val="0"/>
          <w:w w:val="100"/>
          <w:position w:val="0"/>
          <w:sz w:val="24"/>
          <w:szCs w:val="24"/>
        </w:rPr>
        <w:t>35,834.0754</w:t>
      </w:r>
      <w:r>
        <w:rPr>
          <w:color w:val="000000"/>
          <w:spacing w:val="0"/>
          <w:w w:val="100"/>
          <w:position w:val="0"/>
          <w:sz w:val="22"/>
          <w:szCs w:val="22"/>
        </w:rPr>
        <w:t>万股。</w:t>
      </w:r>
    </w:p>
    <w:p>
      <w:pPr>
        <w:pStyle w:val="Style11"/>
        <w:keepNext w:val="0"/>
        <w:keepLines w:val="0"/>
        <w:widowControl w:val="0"/>
        <w:shd w:val="clear" w:color="auto" w:fill="auto"/>
        <w:bidi w:val="0"/>
        <w:spacing w:before="0" w:after="120" w:line="310" w:lineRule="exact"/>
        <w:ind w:left="0" w:right="0" w:firstLine="500"/>
        <w:jc w:val="both"/>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日，经中国证券监督管理委员会核准，公司公开发行了</w:t>
      </w:r>
      <w:r>
        <w:rPr>
          <w:rFonts w:ascii="Times New Roman" w:eastAsia="Times New Roman" w:hAnsi="Times New Roman" w:cs="Times New Roman"/>
          <w:color w:val="000000"/>
          <w:spacing w:val="0"/>
          <w:w w:val="100"/>
          <w:position w:val="0"/>
          <w:sz w:val="24"/>
          <w:szCs w:val="24"/>
        </w:rPr>
        <w:t>585.00</w:t>
      </w:r>
      <w:r>
        <w:rPr>
          <w:color w:val="000000"/>
          <w:spacing w:val="0"/>
          <w:w w:val="100"/>
          <w:position w:val="0"/>
          <w:sz w:val="22"/>
          <w:szCs w:val="22"/>
        </w:rPr>
        <w:t>万张可转换公 司债券，每张面值</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2"/>
          <w:szCs w:val="22"/>
        </w:rPr>
        <w:t>元，发行总额</w:t>
      </w:r>
      <w:r>
        <w:rPr>
          <w:rFonts w:ascii="Times New Roman" w:eastAsia="Times New Roman" w:hAnsi="Times New Roman" w:cs="Times New Roman"/>
          <w:color w:val="000000"/>
          <w:spacing w:val="0"/>
          <w:w w:val="100"/>
          <w:position w:val="0"/>
          <w:sz w:val="24"/>
          <w:szCs w:val="24"/>
        </w:rPr>
        <w:t>58,500.00</w:t>
      </w:r>
      <w:r>
        <w:rPr>
          <w:color w:val="000000"/>
          <w:spacing w:val="0"/>
          <w:w w:val="100"/>
          <w:position w:val="0"/>
          <w:sz w:val="22"/>
          <w:szCs w:val="22"/>
        </w:rPr>
        <w:t>万元。截至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年末，共有</w:t>
      </w:r>
      <w:r>
        <w:rPr>
          <w:rFonts w:ascii="Times New Roman" w:eastAsia="Times New Roman" w:hAnsi="Times New Roman" w:cs="Times New Roman"/>
          <w:color w:val="000000"/>
          <w:spacing w:val="0"/>
          <w:w w:val="100"/>
          <w:position w:val="0"/>
          <w:sz w:val="24"/>
          <w:szCs w:val="24"/>
        </w:rPr>
        <w:t>354,080.00</w:t>
      </w:r>
      <w:r>
        <w:rPr>
          <w:color w:val="000000"/>
          <w:spacing w:val="0"/>
          <w:w w:val="100"/>
          <w:position w:val="0"/>
          <w:sz w:val="22"/>
          <w:szCs w:val="22"/>
        </w:rPr>
        <w:t>张债券完 成转股，合计转成</w:t>
      </w:r>
      <w:r>
        <w:rPr>
          <w:rFonts w:ascii="Times New Roman" w:eastAsia="Times New Roman" w:hAnsi="Times New Roman" w:cs="Times New Roman"/>
          <w:color w:val="000000"/>
          <w:spacing w:val="0"/>
          <w:w w:val="100"/>
          <w:position w:val="0"/>
          <w:sz w:val="24"/>
          <w:szCs w:val="24"/>
        </w:rPr>
        <w:t>1,883,350.00</w:t>
      </w:r>
      <w:r>
        <w:rPr>
          <w:color w:val="000000"/>
          <w:spacing w:val="0"/>
          <w:w w:val="100"/>
          <w:position w:val="0"/>
          <w:sz w:val="22"/>
          <w:szCs w:val="22"/>
        </w:rPr>
        <w:t>股公司股票。转换后总股本由</w:t>
      </w:r>
      <w:r>
        <w:rPr>
          <w:rFonts w:ascii="Times New Roman" w:eastAsia="Times New Roman" w:hAnsi="Times New Roman" w:cs="Times New Roman"/>
          <w:color w:val="000000"/>
          <w:spacing w:val="0"/>
          <w:w w:val="100"/>
          <w:position w:val="0"/>
          <w:sz w:val="24"/>
          <w:szCs w:val="24"/>
        </w:rPr>
        <w:t>35,834.0754</w:t>
      </w:r>
      <w:r>
        <w:rPr>
          <w:color w:val="000000"/>
          <w:spacing w:val="0"/>
          <w:w w:val="100"/>
          <w:position w:val="0"/>
          <w:sz w:val="22"/>
          <w:szCs w:val="22"/>
        </w:rPr>
        <w:t xml:space="preserve">万股变更为 </w:t>
      </w:r>
      <w:r>
        <w:rPr>
          <w:rFonts w:ascii="Times New Roman" w:eastAsia="Times New Roman" w:hAnsi="Times New Roman" w:cs="Times New Roman"/>
          <w:color w:val="000000"/>
          <w:spacing w:val="0"/>
          <w:w w:val="100"/>
          <w:position w:val="0"/>
          <w:sz w:val="24"/>
          <w:szCs w:val="24"/>
        </w:rPr>
        <w:t>36,022.4104</w:t>
      </w:r>
      <w:r>
        <w:rPr>
          <w:color w:val="000000"/>
          <w:spacing w:val="0"/>
          <w:w w:val="100"/>
          <w:position w:val="0"/>
          <w:sz w:val="22"/>
          <w:szCs w:val="22"/>
        </w:rPr>
        <w:t>万股。</w:t>
      </w:r>
    </w:p>
    <w:p>
      <w:pPr>
        <w:pStyle w:val="Style11"/>
        <w:keepNext w:val="0"/>
        <w:keepLines w:val="0"/>
        <w:widowControl w:val="0"/>
        <w:shd w:val="clear" w:color="auto" w:fill="auto"/>
        <w:bidi w:val="0"/>
        <w:spacing w:before="0" w:after="120" w:line="307" w:lineRule="exact"/>
        <w:ind w:left="0" w:right="0" w:firstLine="500"/>
        <w:jc w:val="both"/>
        <w:rPr>
          <w:sz w:val="22"/>
          <w:szCs w:val="22"/>
        </w:rPr>
      </w:pPr>
      <w:r>
        <w:rPr>
          <w:color w:val="000000"/>
          <w:spacing w:val="0"/>
          <w:w w:val="100"/>
          <w:position w:val="0"/>
          <w:sz w:val="22"/>
          <w:szCs w:val="22"/>
        </w:rPr>
        <w:t>本公司《营业执照》统一社会信用代码：</w:t>
      </w:r>
      <w:r>
        <w:rPr>
          <w:rFonts w:ascii="Times New Roman" w:eastAsia="Times New Roman" w:hAnsi="Times New Roman" w:cs="Times New Roman"/>
          <w:color w:val="000000"/>
          <w:spacing w:val="0"/>
          <w:w w:val="100"/>
          <w:position w:val="0"/>
          <w:sz w:val="24"/>
          <w:szCs w:val="24"/>
        </w:rPr>
        <w:t>91350200776007963Y</w:t>
      </w:r>
      <w:r>
        <w:rPr>
          <w:color w:val="000000"/>
          <w:spacing w:val="0"/>
          <w:w w:val="100"/>
          <w:position w:val="0"/>
          <w:sz w:val="22"/>
          <w:szCs w:val="22"/>
        </w:rPr>
        <w:t>；注册地址：厦门市思明 区南投路</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4"/>
          <w:szCs w:val="24"/>
        </w:rPr>
        <w:t>1002</w:t>
      </w:r>
      <w:r>
        <w:rPr>
          <w:color w:val="000000"/>
          <w:spacing w:val="0"/>
          <w:w w:val="100"/>
          <w:position w:val="0"/>
          <w:sz w:val="22"/>
          <w:szCs w:val="22"/>
        </w:rPr>
        <w:t>单元之一；法定代表人：杨成。</w:t>
      </w:r>
    </w:p>
    <w:p>
      <w:pPr>
        <w:pStyle w:val="Style11"/>
        <w:keepNext w:val="0"/>
        <w:keepLines w:val="0"/>
        <w:widowControl w:val="0"/>
        <w:shd w:val="clear" w:color="auto" w:fill="auto"/>
        <w:bidi w:val="0"/>
        <w:spacing w:before="0" w:after="120" w:line="312" w:lineRule="exact"/>
        <w:ind w:left="0" w:right="0" w:firstLine="500"/>
        <w:jc w:val="both"/>
        <w:rPr>
          <w:sz w:val="22"/>
          <w:szCs w:val="22"/>
        </w:rPr>
      </w:pPr>
      <w:r>
        <w:rPr>
          <w:color w:val="000000"/>
          <w:spacing w:val="0"/>
          <w:w w:val="100"/>
          <w:position w:val="0"/>
          <w:sz w:val="22"/>
          <w:szCs w:val="22"/>
        </w:rPr>
        <w:t>本公司实际控制人为杨保田、杨成。</w:t>
      </w:r>
    </w:p>
    <w:p>
      <w:pPr>
        <w:pStyle w:val="Style11"/>
        <w:keepNext w:val="0"/>
        <w:keepLines w:val="0"/>
        <w:widowControl w:val="0"/>
        <w:shd w:val="clear" w:color="auto" w:fill="auto"/>
        <w:bidi w:val="0"/>
        <w:spacing w:before="0" w:after="100" w:line="314" w:lineRule="exact"/>
        <w:ind w:left="0" w:right="0" w:firstLine="500"/>
        <w:jc w:val="both"/>
        <w:rPr>
          <w:sz w:val="22"/>
          <w:szCs w:val="22"/>
        </w:rPr>
      </w:pPr>
      <w:r>
        <w:rPr>
          <w:color w:val="000000"/>
          <w:spacing w:val="0"/>
          <w:w w:val="100"/>
          <w:position w:val="0"/>
          <w:sz w:val="22"/>
          <w:szCs w:val="22"/>
        </w:rPr>
        <w:t>本公司建立了股东大会、董事会、监事会的法人治理结构，目前设有轨道事业部、发电 事业部、军工事业部、石化事业部、证券投资中心、财务中心、工厂、技术部、研发部、营 销中心、行政人事中心、物流中心、内部审计部等部门，并拥有十一家子公司、七家孙公司 及两家联合体公司。</w:t>
      </w:r>
    </w:p>
    <w:p>
      <w:pPr>
        <w:pStyle w:val="Style11"/>
        <w:keepNext w:val="0"/>
        <w:keepLines w:val="0"/>
        <w:widowControl w:val="0"/>
        <w:shd w:val="clear" w:color="auto" w:fill="auto"/>
        <w:bidi w:val="0"/>
        <w:spacing w:before="0" w:after="100" w:line="315" w:lineRule="exact"/>
        <w:ind w:left="0" w:right="0" w:firstLine="500"/>
        <w:jc w:val="both"/>
        <w:rPr>
          <w:sz w:val="22"/>
          <w:szCs w:val="22"/>
        </w:rPr>
      </w:pPr>
      <w:r>
        <w:rPr>
          <w:color w:val="000000"/>
          <w:spacing w:val="0"/>
          <w:w w:val="100"/>
          <w:position w:val="0"/>
          <w:sz w:val="22"/>
          <w:szCs w:val="22"/>
        </w:rPr>
        <w:t>本公司及其子公司（以下简称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本集团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）属电气机械和器材制造业，主要研发生产和销 售电力设备、铁路与轨道交通牵引供电装备、军工电子等相关产品，包括电力设备状态检测、 监测产品，电测产品，智能配网产品，电力设备，牵引变压器，新能源工程总包，新能源电 站发电，射频/微波通信产品及相关的技术服务。</w:t>
      </w:r>
    </w:p>
    <w:p>
      <w:pPr>
        <w:pStyle w:val="Style11"/>
        <w:keepNext w:val="0"/>
        <w:keepLines w:val="0"/>
        <w:widowControl w:val="0"/>
        <w:shd w:val="clear" w:color="auto" w:fill="auto"/>
        <w:bidi w:val="0"/>
        <w:spacing w:before="0" w:after="300" w:line="314" w:lineRule="exact"/>
        <w:ind w:left="0" w:right="0" w:firstLine="500"/>
        <w:jc w:val="both"/>
        <w:rPr>
          <w:sz w:val="22"/>
          <w:szCs w:val="22"/>
        </w:rPr>
      </w:pPr>
      <w:r>
        <w:rPr>
          <w:color w:val="000000"/>
          <w:spacing w:val="0"/>
          <w:w w:val="100"/>
          <w:position w:val="0"/>
          <w:sz w:val="22"/>
          <w:szCs w:val="22"/>
        </w:rPr>
        <w:t>本财务报表及财务报表附注业经本公司第五届董事会第九次会议于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2"/>
          <w:szCs w:val="22"/>
        </w:rPr>
        <w:t>日批准。</w:t>
      </w:r>
    </w:p>
    <w:p>
      <w:pPr>
        <w:pStyle w:val="Style11"/>
        <w:keepNext w:val="0"/>
        <w:keepLines w:val="0"/>
        <w:widowControl w:val="0"/>
        <w:shd w:val="clear" w:color="auto" w:fill="auto"/>
        <w:bidi w:val="0"/>
        <w:spacing w:before="0" w:after="620" w:line="312" w:lineRule="exact"/>
        <w:ind w:left="0" w:right="0" w:firstLine="500"/>
        <w:jc w:val="both"/>
        <w:rPr>
          <w:sz w:val="22"/>
          <w:szCs w:val="22"/>
        </w:rPr>
      </w:pPr>
      <w:r>
        <w:rPr>
          <w:color w:val="000000"/>
          <w:spacing w:val="0"/>
          <w:w w:val="100"/>
          <w:position w:val="0"/>
          <w:sz w:val="22"/>
          <w:szCs w:val="22"/>
        </w:rPr>
        <w:t>本期的合并财务报表范围及其变化情况，详见本</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附注八、合并范围的变更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附注九、 在其他主体中的权益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披露。</w:t>
      </w:r>
    </w:p>
    <w:p>
      <w:pPr>
        <w:pStyle w:val="Style23"/>
        <w:keepNext/>
        <w:keepLines/>
        <w:widowControl w:val="0"/>
        <w:shd w:val="clear" w:color="auto" w:fill="auto"/>
        <w:bidi w:val="0"/>
        <w:spacing w:before="0" w:line="312" w:lineRule="exact"/>
        <w:ind w:left="0" w:right="0" w:firstLine="0"/>
        <w:jc w:val="both"/>
      </w:pPr>
      <w:bookmarkStart w:id="789" w:name="bookmark789"/>
      <w:bookmarkStart w:id="790" w:name="bookmark790"/>
      <w:bookmarkStart w:id="791" w:name="bookmark791"/>
      <w:bookmarkStart w:id="792" w:name="bookmark792"/>
      <w:r>
        <w:rPr>
          <w:color w:val="000000"/>
          <w:spacing w:val="0"/>
          <w:w w:val="100"/>
          <w:position w:val="0"/>
        </w:rPr>
        <w:t>四</w:t>
      </w:r>
      <w:bookmarkEnd w:id="791"/>
      <w:r>
        <w:rPr>
          <w:color w:val="000000"/>
          <w:spacing w:val="0"/>
          <w:w w:val="100"/>
          <w:position w:val="0"/>
        </w:rPr>
        <w:t>、财务报表的编制基础</w:t>
      </w:r>
      <w:bookmarkEnd w:id="789"/>
      <w:bookmarkEnd w:id="790"/>
      <w:bookmarkEnd w:id="792"/>
    </w:p>
    <w:p>
      <w:pPr>
        <w:pStyle w:val="Style31"/>
        <w:keepNext/>
        <w:keepLines/>
        <w:widowControl w:val="0"/>
        <w:shd w:val="clear" w:color="auto" w:fill="auto"/>
        <w:tabs>
          <w:tab w:pos="368" w:val="left"/>
        </w:tabs>
        <w:bidi w:val="0"/>
        <w:spacing w:before="0" w:after="300" w:line="240" w:lineRule="auto"/>
        <w:ind w:left="0" w:right="0" w:firstLine="0"/>
        <w:jc w:val="both"/>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color w:val="000000"/>
          <w:spacing w:val="0"/>
          <w:w w:val="100"/>
          <w:position w:val="0"/>
        </w:rPr>
        <w:t>、</w:t>
        <w:tab/>
        <w:t>编制基础</w:t>
      </w:r>
      <w:bookmarkEnd w:id="793"/>
      <w:bookmarkEnd w:id="794"/>
      <w:bookmarkEnd w:id="796"/>
    </w:p>
    <w:p>
      <w:pPr>
        <w:pStyle w:val="Style11"/>
        <w:keepNext w:val="0"/>
        <w:keepLines w:val="0"/>
        <w:widowControl w:val="0"/>
        <w:shd w:val="clear" w:color="auto" w:fill="auto"/>
        <w:bidi w:val="0"/>
        <w:spacing w:before="0" w:after="360" w:line="312" w:lineRule="exact"/>
        <w:ind w:left="0" w:right="0" w:firstLine="300"/>
        <w:jc w:val="both"/>
        <w:rPr>
          <w:sz w:val="22"/>
          <w:szCs w:val="22"/>
        </w:rPr>
      </w:pPr>
      <w:r>
        <w:rPr>
          <w:color w:val="000000"/>
          <w:spacing w:val="0"/>
          <w:w w:val="100"/>
          <w:position w:val="0"/>
          <w:sz w:val="22"/>
          <w:szCs w:val="22"/>
        </w:rPr>
        <w:t>本集团以持续经营为基础，根据实际发生的交易和事项，按照企业会计准则及其应用指南 和准则解释的规定进行确认和计量，在此基础上编制财务报表。此外，本集团还按照中国证 监会《公开发行证券的公司信息披露编报规则第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号——财务报告的一般规定》（</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2"/>
          <w:szCs w:val="22"/>
        </w:rPr>
        <w:t>年修 订）披露有关财务信息。</w:t>
      </w:r>
    </w:p>
    <w:p>
      <w:pPr>
        <w:pStyle w:val="Style31"/>
        <w:keepNext/>
        <w:keepLines/>
        <w:widowControl w:val="0"/>
        <w:shd w:val="clear" w:color="auto" w:fill="auto"/>
        <w:tabs>
          <w:tab w:pos="378" w:val="left"/>
        </w:tabs>
        <w:bidi w:val="0"/>
        <w:spacing w:before="0" w:after="30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2</w:t>
      </w:r>
      <w:bookmarkEnd w:id="799"/>
      <w:r>
        <w:rPr>
          <w:color w:val="000000"/>
          <w:spacing w:val="0"/>
          <w:w w:val="100"/>
          <w:position w:val="0"/>
        </w:rPr>
        <w:t>、</w:t>
        <w:tab/>
        <w:t>持续经营</w:t>
      </w:r>
      <w:bookmarkEnd w:id="797"/>
      <w:bookmarkEnd w:id="798"/>
      <w:bookmarkEnd w:id="800"/>
    </w:p>
    <w:p>
      <w:pPr>
        <w:pStyle w:val="Style11"/>
        <w:keepNext w:val="0"/>
        <w:keepLines w:val="0"/>
        <w:widowControl w:val="0"/>
        <w:shd w:val="clear" w:color="auto" w:fill="auto"/>
        <w:bidi w:val="0"/>
        <w:spacing w:before="0" w:after="620" w:line="326" w:lineRule="exact"/>
        <w:ind w:left="0" w:right="0" w:firstLine="500"/>
        <w:jc w:val="both"/>
        <w:rPr>
          <w:sz w:val="22"/>
          <w:szCs w:val="22"/>
        </w:rPr>
      </w:pPr>
      <w:r>
        <w:rPr>
          <w:color w:val="000000"/>
          <w:spacing w:val="0"/>
          <w:w w:val="100"/>
          <w:position w:val="0"/>
          <w:sz w:val="22"/>
          <w:szCs w:val="22"/>
        </w:rPr>
        <w:t>本集团对自报告期末起</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个月的持续经营能力进行了评估，未发现影响本集团持续经营 能力的事项，本集团以持续经营为基础编制财务报表是合理的。</w:t>
      </w:r>
    </w:p>
    <w:p>
      <w:pPr>
        <w:pStyle w:val="Style23"/>
        <w:keepNext/>
        <w:keepLines/>
        <w:widowControl w:val="0"/>
        <w:shd w:val="clear" w:color="auto" w:fill="auto"/>
        <w:bidi w:val="0"/>
        <w:spacing w:before="0" w:line="293" w:lineRule="exact"/>
        <w:ind w:left="0" w:right="0" w:firstLine="0"/>
        <w:jc w:val="left"/>
      </w:pPr>
      <w:bookmarkStart w:id="801" w:name="bookmark801"/>
      <w:bookmarkStart w:id="802" w:name="bookmark802"/>
      <w:bookmarkStart w:id="803" w:name="bookmark803"/>
      <w:bookmarkStart w:id="804" w:name="bookmark804"/>
      <w:r>
        <w:rPr>
          <w:color w:val="000000"/>
          <w:spacing w:val="0"/>
          <w:w w:val="100"/>
          <w:position w:val="0"/>
        </w:rPr>
        <w:t>五</w:t>
      </w:r>
      <w:bookmarkEnd w:id="803"/>
      <w:r>
        <w:rPr>
          <w:color w:val="000000"/>
          <w:spacing w:val="0"/>
          <w:w w:val="100"/>
          <w:position w:val="0"/>
        </w:rPr>
        <w:t>、重要会计政策及会计估计</w:t>
      </w:r>
      <w:bookmarkEnd w:id="801"/>
      <w:bookmarkEnd w:id="802"/>
      <w:bookmarkEnd w:id="804"/>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具体会计政策和会计估计提示：</w:t>
      </w:r>
    </w:p>
    <w:p>
      <w:pPr>
        <w:pStyle w:val="Style11"/>
        <w:keepNext w:val="0"/>
        <w:keepLines w:val="0"/>
        <w:widowControl w:val="0"/>
        <w:shd w:val="clear" w:color="auto" w:fill="auto"/>
        <w:bidi w:val="0"/>
        <w:spacing w:before="0" w:after="680" w:line="293" w:lineRule="exact"/>
        <w:ind w:left="0" w:right="0" w:firstLine="500"/>
        <w:jc w:val="both"/>
        <w:rPr>
          <w:sz w:val="22"/>
          <w:szCs w:val="22"/>
        </w:rPr>
      </w:pPr>
      <w:r>
        <w:rPr>
          <w:color w:val="000000"/>
          <w:spacing w:val="0"/>
          <w:w w:val="100"/>
          <w:position w:val="0"/>
          <w:sz w:val="22"/>
          <w:szCs w:val="22"/>
        </w:rPr>
        <w:t>本集团根据自身生产经营特点，确定研发费用资本化条件、收入确认等会计政策，具体 参见本节之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五、重要会计政策及会计估计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之</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2"/>
          <w:szCs w:val="22"/>
        </w:rPr>
        <w:t>、无形资产和</w:t>
      </w: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2"/>
          <w:szCs w:val="22"/>
        </w:rPr>
        <w:t>、收入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31"/>
        <w:keepNext/>
        <w:keepLines/>
        <w:widowControl w:val="0"/>
        <w:shd w:val="clear" w:color="auto" w:fill="auto"/>
        <w:bidi w:val="0"/>
        <w:spacing w:before="0" w:after="30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color w:val="000000"/>
          <w:spacing w:val="0"/>
          <w:w w:val="100"/>
          <w:position w:val="0"/>
        </w:rPr>
        <w:t>、遵循企业会计准则的声明</w:t>
      </w:r>
      <w:bookmarkEnd w:id="805"/>
      <w:bookmarkEnd w:id="806"/>
      <w:bookmarkEnd w:id="808"/>
    </w:p>
    <w:p>
      <w:pPr>
        <w:pStyle w:val="Style11"/>
        <w:keepNext w:val="0"/>
        <w:keepLines w:val="0"/>
        <w:widowControl w:val="0"/>
        <w:shd w:val="clear" w:color="auto" w:fill="auto"/>
        <w:bidi w:val="0"/>
        <w:spacing w:before="0" w:after="340" w:line="298" w:lineRule="exact"/>
        <w:ind w:left="0" w:right="0" w:firstLine="500"/>
        <w:jc w:val="both"/>
        <w:rPr>
          <w:sz w:val="22"/>
          <w:szCs w:val="22"/>
        </w:rPr>
      </w:pPr>
      <w:r>
        <w:rPr>
          <w:color w:val="000000"/>
          <w:spacing w:val="0"/>
          <w:w w:val="100"/>
          <w:position w:val="0"/>
          <w:sz w:val="22"/>
          <w:szCs w:val="22"/>
        </w:rPr>
        <w:t>本集团所编制的财务报表符合企业会计准则的要求，真实、完整地反映了本集团</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日的合并及公司的财务状况、所有者权益变动和现金流量等有关信息。</w:t>
      </w:r>
    </w:p>
    <w:p>
      <w:pPr>
        <w:pStyle w:val="Style31"/>
        <w:keepNext/>
        <w:keepLines/>
        <w:widowControl w:val="0"/>
        <w:shd w:val="clear" w:color="auto" w:fill="auto"/>
        <w:bidi w:val="0"/>
        <w:spacing w:before="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2</w:t>
      </w:r>
      <w:bookmarkEnd w:id="811"/>
      <w:r>
        <w:rPr>
          <w:color w:val="000000"/>
          <w:spacing w:val="0"/>
          <w:w w:val="100"/>
          <w:position w:val="0"/>
        </w:rPr>
        <w:t>、会计期间</w:t>
      </w:r>
      <w:bookmarkEnd w:id="809"/>
      <w:bookmarkEnd w:id="810"/>
      <w:bookmarkEnd w:id="812"/>
    </w:p>
    <w:p>
      <w:pPr>
        <w:pStyle w:val="Style11"/>
        <w:keepNext w:val="0"/>
        <w:keepLines w:val="0"/>
        <w:widowControl w:val="0"/>
        <w:shd w:val="clear" w:color="auto" w:fill="auto"/>
        <w:bidi w:val="0"/>
        <w:spacing w:before="0" w:after="660" w:line="240" w:lineRule="auto"/>
        <w:ind w:left="0" w:right="0" w:firstLine="500"/>
        <w:jc w:val="both"/>
        <w:rPr>
          <w:sz w:val="22"/>
          <w:szCs w:val="22"/>
        </w:rPr>
      </w:pPr>
      <w:r>
        <w:rPr>
          <w:color w:val="000000"/>
          <w:spacing w:val="0"/>
          <w:w w:val="100"/>
          <w:position w:val="0"/>
          <w:sz w:val="22"/>
          <w:szCs w:val="22"/>
        </w:rPr>
        <w:t>本集团会计期间采用公历年度，即每年自</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日起至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日止。</w:t>
      </w:r>
    </w:p>
    <w:p>
      <w:pPr>
        <w:pStyle w:val="Style31"/>
        <w:keepNext/>
        <w:keepLines/>
        <w:widowControl w:val="0"/>
        <w:shd w:val="clear" w:color="auto" w:fill="auto"/>
        <w:bidi w:val="0"/>
        <w:spacing w:before="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3</w:t>
      </w:r>
      <w:bookmarkEnd w:id="815"/>
      <w:r>
        <w:rPr>
          <w:color w:val="000000"/>
          <w:spacing w:val="0"/>
          <w:w w:val="100"/>
          <w:position w:val="0"/>
        </w:rPr>
        <w:t>、营业周期</w:t>
      </w:r>
      <w:bookmarkEnd w:id="813"/>
      <w:bookmarkEnd w:id="814"/>
      <w:bookmarkEnd w:id="816"/>
    </w:p>
    <w:p>
      <w:pPr>
        <w:pStyle w:val="Style11"/>
        <w:keepNext w:val="0"/>
        <w:keepLines w:val="0"/>
        <w:widowControl w:val="0"/>
        <w:shd w:val="clear" w:color="auto" w:fill="auto"/>
        <w:bidi w:val="0"/>
        <w:spacing w:before="0" w:after="660" w:line="240" w:lineRule="auto"/>
        <w:ind w:left="0" w:right="0" w:firstLine="500"/>
        <w:jc w:val="both"/>
        <w:rPr>
          <w:sz w:val="22"/>
          <w:szCs w:val="22"/>
        </w:rPr>
      </w:pPr>
      <w:r>
        <w:rPr>
          <w:color w:val="000000"/>
          <w:spacing w:val="0"/>
          <w:w w:val="100"/>
          <w:position w:val="0"/>
          <w:sz w:val="22"/>
          <w:szCs w:val="22"/>
        </w:rPr>
        <w:t>本集团的营业周期为</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w:t>
      </w:r>
    </w:p>
    <w:p>
      <w:pPr>
        <w:pStyle w:val="Style31"/>
        <w:keepNext/>
        <w:keepLines/>
        <w:widowControl w:val="0"/>
        <w:shd w:val="clear" w:color="auto" w:fill="auto"/>
        <w:bidi w:val="0"/>
        <w:spacing w:before="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4</w:t>
      </w:r>
      <w:bookmarkEnd w:id="819"/>
      <w:r>
        <w:rPr>
          <w:color w:val="000000"/>
          <w:spacing w:val="0"/>
          <w:w w:val="100"/>
          <w:position w:val="0"/>
        </w:rPr>
        <w:t>、记账本位币</w:t>
      </w:r>
      <w:bookmarkEnd w:id="817"/>
      <w:bookmarkEnd w:id="818"/>
      <w:bookmarkEnd w:id="820"/>
    </w:p>
    <w:p>
      <w:pPr>
        <w:pStyle w:val="Style11"/>
        <w:keepNext w:val="0"/>
        <w:keepLines w:val="0"/>
        <w:widowControl w:val="0"/>
        <w:shd w:val="clear" w:color="auto" w:fill="auto"/>
        <w:bidi w:val="0"/>
        <w:spacing w:before="0" w:after="780" w:line="314" w:lineRule="exact"/>
        <w:ind w:left="0" w:right="0" w:firstLine="500"/>
        <w:jc w:val="both"/>
        <w:rPr>
          <w:sz w:val="22"/>
          <w:szCs w:val="22"/>
        </w:rPr>
      </w:pPr>
      <w:r>
        <w:rPr>
          <w:color w:val="000000"/>
          <w:spacing w:val="0"/>
          <w:w w:val="100"/>
          <w:position w:val="0"/>
          <w:sz w:val="22"/>
          <w:szCs w:val="22"/>
        </w:rPr>
        <w:t>本公司及境内子公司以人民币为记账本位币。本公司之境外子公司</w:t>
      </w:r>
      <w:r>
        <w:rPr>
          <w:rFonts w:ascii="Times New Roman" w:eastAsia="Times New Roman" w:hAnsi="Times New Roman" w:cs="Times New Roman"/>
          <w:color w:val="000000"/>
          <w:spacing w:val="0"/>
          <w:w w:val="100"/>
          <w:position w:val="0"/>
          <w:sz w:val="24"/>
          <w:szCs w:val="24"/>
        </w:rPr>
        <w:t xml:space="preserve">RED PHASE INSTRUMENTS AUSTRALIA PTY LTD </w:t>
      </w:r>
      <w:r>
        <w:rPr>
          <w:color w:val="000000"/>
          <w:spacing w:val="0"/>
          <w:w w:val="100"/>
          <w:position w:val="0"/>
          <w:sz w:val="22"/>
          <w:szCs w:val="22"/>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澳洲红相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）根据其经营所处的主要经济 环境中的货币确定澳元为其记账本位币。本公司之境外联合体公司</w:t>
      </w:r>
      <w:r>
        <w:rPr>
          <w:rFonts w:ascii="Times New Roman" w:eastAsia="Times New Roman" w:hAnsi="Times New Roman" w:cs="Times New Roman"/>
          <w:color w:val="000000"/>
          <w:spacing w:val="0"/>
          <w:w w:val="100"/>
          <w:position w:val="0"/>
          <w:sz w:val="24"/>
          <w:szCs w:val="24"/>
        </w:rPr>
        <w:t>WOTAL</w:t>
      </w:r>
      <w:r>
        <w:rPr>
          <w:color w:val="000000"/>
          <w:spacing w:val="0"/>
          <w:w w:val="100"/>
          <w:position w:val="0"/>
          <w:sz w:val="22"/>
          <w:szCs w:val="22"/>
        </w:rPr>
        <w:t xml:space="preserve">联合体、 </w:t>
      </w:r>
      <w:r>
        <w:rPr>
          <w:rFonts w:ascii="Times New Roman" w:eastAsia="Times New Roman" w:hAnsi="Times New Roman" w:cs="Times New Roman"/>
          <w:color w:val="000000"/>
          <w:spacing w:val="0"/>
          <w:w w:val="100"/>
          <w:position w:val="0"/>
          <w:sz w:val="24"/>
          <w:szCs w:val="24"/>
        </w:rPr>
        <w:t>LONGFOR</w:t>
      </w:r>
      <w:r>
        <w:rPr>
          <w:color w:val="000000"/>
          <w:spacing w:val="0"/>
          <w:w w:val="100"/>
          <w:position w:val="0"/>
          <w:sz w:val="22"/>
          <w:szCs w:val="22"/>
        </w:rPr>
        <w:t>联合体根据其经营所处的主要经济环境中的货币确定美元为其记账本位币。本集 团编制本财务报表时所采用的货币为人民币。</w:t>
      </w:r>
    </w:p>
    <w:p>
      <w:pPr>
        <w:pStyle w:val="Style31"/>
        <w:keepNext/>
        <w:keepLines/>
        <w:widowControl w:val="0"/>
        <w:shd w:val="clear" w:color="auto" w:fill="auto"/>
        <w:bidi w:val="0"/>
        <w:spacing w:before="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5</w:t>
      </w:r>
      <w:bookmarkEnd w:id="823"/>
      <w:r>
        <w:rPr>
          <w:color w:val="000000"/>
          <w:spacing w:val="0"/>
          <w:w w:val="100"/>
          <w:position w:val="0"/>
        </w:rPr>
        <w:t>、同一控制下和非同一控制下企业合并的会计处理方法</w:t>
      </w:r>
      <w:bookmarkEnd w:id="821"/>
      <w:bookmarkEnd w:id="822"/>
      <w:bookmarkEnd w:id="824"/>
    </w:p>
    <w:p>
      <w:pPr>
        <w:pStyle w:val="Style11"/>
        <w:keepNext w:val="0"/>
        <w:keepLines w:val="0"/>
        <w:widowControl w:val="0"/>
        <w:shd w:val="clear" w:color="auto" w:fill="auto"/>
        <w:tabs>
          <w:tab w:pos="1026" w:val="left"/>
        </w:tabs>
        <w:bidi w:val="0"/>
        <w:spacing w:before="0" w:after="120" w:line="311" w:lineRule="exact"/>
        <w:ind w:left="0" w:right="0" w:firstLine="500"/>
        <w:jc w:val="both"/>
        <w:rPr>
          <w:sz w:val="22"/>
          <w:szCs w:val="22"/>
        </w:rPr>
      </w:pPr>
      <w:bookmarkStart w:id="825" w:name="bookmark825"/>
      <w:r>
        <w:rPr>
          <w:color w:val="000000"/>
          <w:spacing w:val="0"/>
          <w:w w:val="100"/>
          <w:position w:val="0"/>
          <w:sz w:val="22"/>
          <w:szCs w:val="22"/>
        </w:rPr>
        <w:t>（</w:t>
      </w:r>
      <w:bookmarkEnd w:id="82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同一控制下的企业合并</w:t>
      </w:r>
    </w:p>
    <w:p>
      <w:pPr>
        <w:pStyle w:val="Style11"/>
        <w:keepNext w:val="0"/>
        <w:keepLines w:val="0"/>
        <w:widowControl w:val="0"/>
        <w:shd w:val="clear" w:color="auto" w:fill="auto"/>
        <w:bidi w:val="0"/>
        <w:spacing w:before="0" w:after="120" w:line="310" w:lineRule="exact"/>
        <w:ind w:left="0" w:right="0" w:firstLine="500"/>
        <w:jc w:val="both"/>
        <w:rPr>
          <w:sz w:val="22"/>
          <w:szCs w:val="22"/>
        </w:rPr>
      </w:pPr>
      <w:r>
        <w:rPr>
          <w:color w:val="000000"/>
          <w:spacing w:val="0"/>
          <w:w w:val="100"/>
          <w:position w:val="0"/>
          <w:sz w:val="22"/>
          <w:szCs w:val="22"/>
        </w:rPr>
        <w:t>对于同一控制下的企业合并，合并方在合并中取得的被合并方的资产、负债，除因会计 政策不同而进行的调整以外，按合并日被合并方在最终控制方合并财务报表中的账面价值计 量。合并对价的账面价值与合并中取得的净资产账面价值的差额调整资本公积（股本溢价）， 资本公积（股本溢价）不足冲减的，调整留存收益。</w:t>
      </w:r>
    </w:p>
    <w:p>
      <w:pPr>
        <w:pStyle w:val="Style11"/>
        <w:keepNext w:val="0"/>
        <w:keepLines w:val="0"/>
        <w:widowControl w:val="0"/>
        <w:shd w:val="clear" w:color="auto" w:fill="auto"/>
        <w:tabs>
          <w:tab w:pos="1026" w:val="left"/>
        </w:tabs>
        <w:bidi w:val="0"/>
        <w:spacing w:before="0" w:after="120" w:line="311" w:lineRule="exact"/>
        <w:ind w:left="0" w:right="0" w:firstLine="500"/>
        <w:jc w:val="both"/>
        <w:rPr>
          <w:sz w:val="22"/>
          <w:szCs w:val="22"/>
        </w:rPr>
      </w:pPr>
      <w:bookmarkStart w:id="826" w:name="bookmark826"/>
      <w:r>
        <w:rPr>
          <w:color w:val="000000"/>
          <w:spacing w:val="0"/>
          <w:w w:val="100"/>
          <w:position w:val="0"/>
          <w:sz w:val="22"/>
          <w:szCs w:val="22"/>
        </w:rPr>
        <w:t>（</w:t>
      </w:r>
      <w:bookmarkEnd w:id="82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非同一控制下的企业合并</w:t>
      </w:r>
    </w:p>
    <w:p>
      <w:pPr>
        <w:pStyle w:val="Style11"/>
        <w:keepNext w:val="0"/>
        <w:keepLines w:val="0"/>
        <w:widowControl w:val="0"/>
        <w:shd w:val="clear" w:color="auto" w:fill="auto"/>
        <w:bidi w:val="0"/>
        <w:spacing w:before="0" w:after="120" w:line="312" w:lineRule="exact"/>
        <w:ind w:left="0" w:right="0" w:firstLine="500"/>
        <w:jc w:val="both"/>
        <w:rPr>
          <w:sz w:val="22"/>
          <w:szCs w:val="22"/>
        </w:rPr>
      </w:pPr>
      <w:r>
        <w:rPr>
          <w:color w:val="000000"/>
          <w:spacing w:val="0"/>
          <w:w w:val="100"/>
          <w:position w:val="0"/>
          <w:sz w:val="22"/>
          <w:szCs w:val="22"/>
        </w:rPr>
        <w:t>对于非同一控制下的企业合并，合并成本为购买日为取得对被购买方的控制权而付出的 资产、发生或承担的负债以及发行的权益性证券的公允价值。在购买日，取得的被购买方的 资产、负债及或有负债按公允价值确认。</w:t>
      </w:r>
    </w:p>
    <w:p>
      <w:pPr>
        <w:pStyle w:val="Style11"/>
        <w:keepNext w:val="0"/>
        <w:keepLines w:val="0"/>
        <w:widowControl w:val="0"/>
        <w:shd w:val="clear" w:color="auto" w:fill="auto"/>
        <w:bidi w:val="0"/>
        <w:spacing w:before="0" w:after="120" w:line="312" w:lineRule="exact"/>
        <w:ind w:left="0" w:right="0" w:firstLine="500"/>
        <w:jc w:val="both"/>
        <w:rPr>
          <w:sz w:val="22"/>
          <w:szCs w:val="22"/>
        </w:rPr>
      </w:pPr>
      <w:r>
        <w:rPr>
          <w:color w:val="000000"/>
          <w:spacing w:val="0"/>
          <w:w w:val="100"/>
          <w:position w:val="0"/>
          <w:sz w:val="22"/>
          <w:szCs w:val="22"/>
        </w:rPr>
        <w:t>对合并成本大于合并中取得的被购买方可辨认净资产公允价值份额的差额，确认为商誉， 按成本扣除累计减值准备进行后续计量；对合并成本小于合并中取得的被购买方可辨认净资 产公允价值份额的差额，经复核后计入当期损益。</w:t>
      </w:r>
    </w:p>
    <w:p>
      <w:pPr>
        <w:pStyle w:val="Style11"/>
        <w:keepNext w:val="0"/>
        <w:keepLines w:val="0"/>
        <w:widowControl w:val="0"/>
        <w:shd w:val="clear" w:color="auto" w:fill="auto"/>
        <w:bidi w:val="0"/>
        <w:spacing w:before="0" w:after="120" w:line="307" w:lineRule="exact"/>
        <w:ind w:left="0" w:right="0" w:firstLine="500"/>
        <w:jc w:val="both"/>
        <w:rPr>
          <w:sz w:val="22"/>
          <w:szCs w:val="22"/>
        </w:rPr>
      </w:pPr>
      <w:r>
        <w:rPr>
          <w:color w:val="000000"/>
          <w:spacing w:val="0"/>
          <w:w w:val="100"/>
          <w:position w:val="0"/>
          <w:sz w:val="22"/>
          <w:szCs w:val="22"/>
        </w:rPr>
        <w:t>所涉及的或有对价按其在购买日的公允价值计入合并成本，购买日后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个月内出现对购 买日已存在情况的新的或进一步证据而需要调整或有对价的，相应调整合并商誉。</w:t>
      </w:r>
    </w:p>
    <w:p>
      <w:pPr>
        <w:pStyle w:val="Style11"/>
        <w:keepNext w:val="0"/>
        <w:keepLines w:val="0"/>
        <w:widowControl w:val="0"/>
        <w:shd w:val="clear" w:color="auto" w:fill="auto"/>
        <w:bidi w:val="0"/>
        <w:spacing w:before="0" w:after="120" w:line="311" w:lineRule="exact"/>
        <w:ind w:left="0" w:right="0" w:firstLine="500"/>
        <w:jc w:val="both"/>
        <w:rPr>
          <w:sz w:val="22"/>
          <w:szCs w:val="22"/>
        </w:rPr>
      </w:pPr>
      <w:r>
        <w:rPr>
          <w:color w:val="000000"/>
          <w:spacing w:val="0"/>
          <w:w w:val="100"/>
          <w:position w:val="0"/>
          <w:sz w:val="22"/>
          <w:szCs w:val="22"/>
        </w:rPr>
        <w:t>通过多次交易分步实现非同一控制下的企业合并</w:t>
      </w:r>
    </w:p>
    <w:p>
      <w:pPr>
        <w:pStyle w:val="Style11"/>
        <w:keepNext w:val="0"/>
        <w:keepLines w:val="0"/>
        <w:widowControl w:val="0"/>
        <w:shd w:val="clear" w:color="auto" w:fill="auto"/>
        <w:bidi w:val="0"/>
        <w:spacing w:before="0" w:after="100" w:line="311" w:lineRule="exact"/>
        <w:ind w:left="0" w:right="0" w:firstLine="500"/>
        <w:jc w:val="both"/>
        <w:rPr>
          <w:sz w:val="22"/>
          <w:szCs w:val="22"/>
        </w:rPr>
      </w:pPr>
      <w:r>
        <w:rPr>
          <w:color w:val="000000"/>
          <w:spacing w:val="0"/>
          <w:w w:val="100"/>
          <w:position w:val="0"/>
          <w:sz w:val="22"/>
          <w:szCs w:val="22"/>
        </w:rPr>
        <w:t xml:space="preserve">在个别财务报表中，以购买日之前所持被购买方的股权投资的账面价值与购买日新增投 资成本之和，作为该项投资的初始投资成本。购买日之前持有的股权投资因采用权益法核算 而确认的其他综合收益，购买日对这部分其他综合收益不作处理，在处置该项投资时采用与 被投资单位直接处置相关资产或负债相同的基础进行会计处理；因被投资方除净损益、其他 综合收益和利润分配以外的其他所有者权益变动而确认的所有者权益，在处置该项投资时转 </w:t>
      </w:r>
      <w:r>
        <w:rPr>
          <w:color w:val="000000"/>
          <w:spacing w:val="0"/>
          <w:w w:val="100"/>
          <w:position w:val="0"/>
          <w:sz w:val="22"/>
          <w:szCs w:val="22"/>
        </w:rPr>
        <w:t>入处置期间的当期损益。购买日之前持有的股权投资采用公允价值计量的，原计入其他综合 收益的累计公允价值变动在改按成本法核算时转入当期损益。</w:t>
      </w:r>
    </w:p>
    <w:p>
      <w:pPr>
        <w:pStyle w:val="Style11"/>
        <w:keepNext w:val="0"/>
        <w:keepLines w:val="0"/>
        <w:widowControl w:val="0"/>
        <w:shd w:val="clear" w:color="auto" w:fill="auto"/>
        <w:bidi w:val="0"/>
        <w:spacing w:before="0" w:after="100" w:line="312" w:lineRule="exact"/>
        <w:ind w:left="0" w:right="0" w:firstLine="500"/>
        <w:jc w:val="both"/>
        <w:rPr>
          <w:sz w:val="22"/>
          <w:szCs w:val="22"/>
        </w:rPr>
      </w:pPr>
      <w:r>
        <w:rPr>
          <w:color w:val="000000"/>
          <w:spacing w:val="0"/>
          <w:w w:val="100"/>
          <w:position w:val="0"/>
          <w:sz w:val="22"/>
          <w:szCs w:val="22"/>
        </w:rPr>
        <w:t>在合并财务报表中，合并成本为购买日支付的对价与购买日之前已经持有的被购买方的 股权在购买日的公允价值之和。对于购买日之前已经持有的被购买方的股权，按照该股权在 购买日的公允价值进行重新计量，公允价值与其账面价值之间的差额计入当期收益；购买日 之前已经持有的被购买方的股权涉及其他综合收益、其他所有者权益变动转为购买日当期收 益，由于被投资方重新计量设定收益计划净负债或净资产变动而产生的其他综合收益除外。</w:t>
      </w:r>
    </w:p>
    <w:p>
      <w:pPr>
        <w:pStyle w:val="Style11"/>
        <w:keepNext w:val="0"/>
        <w:keepLines w:val="0"/>
        <w:widowControl w:val="0"/>
        <w:shd w:val="clear" w:color="auto" w:fill="auto"/>
        <w:bidi w:val="0"/>
        <w:spacing w:before="0" w:after="100" w:line="312" w:lineRule="exact"/>
        <w:ind w:left="0" w:right="0" w:firstLine="500"/>
        <w:jc w:val="both"/>
        <w:rPr>
          <w:sz w:val="22"/>
          <w:szCs w:val="22"/>
        </w:rPr>
      </w:pPr>
      <w:bookmarkStart w:id="827" w:name="bookmark827"/>
      <w:r>
        <w:rPr>
          <w:color w:val="000000"/>
          <w:spacing w:val="0"/>
          <w:w w:val="100"/>
          <w:position w:val="0"/>
          <w:sz w:val="22"/>
          <w:szCs w:val="22"/>
        </w:rPr>
        <w:t>（</w:t>
      </w:r>
      <w:bookmarkEnd w:id="827"/>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）企业合并中有关交易费用的处理</w:t>
      </w:r>
    </w:p>
    <w:p>
      <w:pPr>
        <w:pStyle w:val="Style11"/>
        <w:keepNext w:val="0"/>
        <w:keepLines w:val="0"/>
        <w:widowControl w:val="0"/>
        <w:shd w:val="clear" w:color="auto" w:fill="auto"/>
        <w:bidi w:val="0"/>
        <w:spacing w:before="0" w:after="680" w:line="314" w:lineRule="exact"/>
        <w:ind w:left="0" w:right="0" w:firstLine="500"/>
        <w:jc w:val="both"/>
        <w:rPr>
          <w:sz w:val="22"/>
          <w:szCs w:val="22"/>
        </w:rPr>
      </w:pPr>
      <w:r>
        <w:rPr>
          <w:color w:val="000000"/>
          <w:spacing w:val="0"/>
          <w:w w:val="100"/>
          <w:position w:val="0"/>
          <w:sz w:val="22"/>
          <w:szCs w:val="22"/>
        </w:rPr>
        <w:t>为进行企业合并发生的审计、法律服务、评估咨询等中介费用以及其他相关管理费用， 于发生时计入当期损益。作为合并对价发行的权益性证券或债务性证券的交易费用，计入权 益性证券或债务性证券的初始确认金额。</w:t>
      </w:r>
    </w:p>
    <w:p>
      <w:pPr>
        <w:pStyle w:val="Style31"/>
        <w:keepNext/>
        <w:keepLines/>
        <w:widowControl w:val="0"/>
        <w:shd w:val="clear" w:color="auto" w:fill="auto"/>
        <w:bidi w:val="0"/>
        <w:spacing w:before="0" w:after="32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6</w:t>
      </w:r>
      <w:bookmarkEnd w:id="830"/>
      <w:r>
        <w:rPr>
          <w:color w:val="000000"/>
          <w:spacing w:val="0"/>
          <w:w w:val="100"/>
          <w:position w:val="0"/>
        </w:rPr>
        <w:t>、合并财务报表的编制方法</w:t>
      </w:r>
      <w:bookmarkEnd w:id="828"/>
      <w:bookmarkEnd w:id="829"/>
      <w:bookmarkEnd w:id="831"/>
    </w:p>
    <w:p>
      <w:pPr>
        <w:pStyle w:val="Style11"/>
        <w:keepNext w:val="0"/>
        <w:keepLines w:val="0"/>
        <w:widowControl w:val="0"/>
        <w:shd w:val="clear" w:color="auto" w:fill="auto"/>
        <w:tabs>
          <w:tab w:pos="996" w:val="left"/>
        </w:tabs>
        <w:bidi w:val="0"/>
        <w:spacing w:before="0" w:after="100" w:line="311" w:lineRule="exact"/>
        <w:ind w:left="0" w:right="0" w:firstLine="500"/>
        <w:jc w:val="left"/>
        <w:rPr>
          <w:sz w:val="22"/>
          <w:szCs w:val="22"/>
        </w:rPr>
      </w:pPr>
      <w:bookmarkStart w:id="832" w:name="bookmark832"/>
      <w:r>
        <w:rPr>
          <w:color w:val="000000"/>
          <w:spacing w:val="0"/>
          <w:w w:val="100"/>
          <w:position w:val="0"/>
          <w:sz w:val="22"/>
          <w:szCs w:val="22"/>
        </w:rPr>
        <w:t>（</w:t>
      </w:r>
      <w:bookmarkEnd w:id="83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合并范围</w:t>
      </w:r>
    </w:p>
    <w:p>
      <w:pPr>
        <w:pStyle w:val="Style11"/>
        <w:keepNext w:val="0"/>
        <w:keepLines w:val="0"/>
        <w:widowControl w:val="0"/>
        <w:shd w:val="clear" w:color="auto" w:fill="auto"/>
        <w:bidi w:val="0"/>
        <w:spacing w:before="0" w:after="100" w:line="310" w:lineRule="exact"/>
        <w:ind w:left="0" w:right="0" w:firstLine="500"/>
        <w:jc w:val="both"/>
        <w:rPr>
          <w:sz w:val="22"/>
          <w:szCs w:val="22"/>
        </w:rPr>
      </w:pPr>
      <w:r>
        <w:rPr>
          <w:color w:val="000000"/>
          <w:spacing w:val="0"/>
          <w:w w:val="100"/>
          <w:position w:val="0"/>
          <w:sz w:val="22"/>
          <w:szCs w:val="22"/>
        </w:rPr>
        <w:t>合并财务报表的合并范围以控制为基础予以确定。控制是指本公司拥有对被投资单位的 权力，通过参与被投资单位的相关活动而享有可变回报，并且有能力运用对被投资单位的权 力影响其回报金额。子公司，是指被本公司控制的主体（含企业、被投资单位中可分割的部 分、结构化主体等）。</w:t>
      </w:r>
    </w:p>
    <w:p>
      <w:pPr>
        <w:pStyle w:val="Style11"/>
        <w:keepNext w:val="0"/>
        <w:keepLines w:val="0"/>
        <w:widowControl w:val="0"/>
        <w:shd w:val="clear" w:color="auto" w:fill="auto"/>
        <w:tabs>
          <w:tab w:pos="996" w:val="left"/>
        </w:tabs>
        <w:bidi w:val="0"/>
        <w:spacing w:before="0" w:after="100" w:line="311" w:lineRule="exact"/>
        <w:ind w:left="0" w:right="0" w:firstLine="500"/>
        <w:jc w:val="both"/>
        <w:rPr>
          <w:sz w:val="22"/>
          <w:szCs w:val="22"/>
        </w:rPr>
      </w:pPr>
      <w:bookmarkStart w:id="833" w:name="bookmark833"/>
      <w:r>
        <w:rPr>
          <w:color w:val="000000"/>
          <w:spacing w:val="0"/>
          <w:w w:val="100"/>
          <w:position w:val="0"/>
          <w:sz w:val="22"/>
          <w:szCs w:val="22"/>
        </w:rPr>
        <w:t>（</w:t>
      </w:r>
      <w:bookmarkEnd w:id="83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合并财务报表的编制方法</w:t>
      </w:r>
    </w:p>
    <w:p>
      <w:pPr>
        <w:pStyle w:val="Style11"/>
        <w:keepNext w:val="0"/>
        <w:keepLines w:val="0"/>
        <w:widowControl w:val="0"/>
        <w:shd w:val="clear" w:color="auto" w:fill="auto"/>
        <w:bidi w:val="0"/>
        <w:spacing w:before="0" w:after="100" w:line="310" w:lineRule="exact"/>
        <w:ind w:left="0" w:right="0" w:firstLine="500"/>
        <w:jc w:val="both"/>
        <w:rPr>
          <w:sz w:val="22"/>
          <w:szCs w:val="22"/>
        </w:rPr>
      </w:pPr>
      <w:r>
        <w:rPr>
          <w:color w:val="000000"/>
          <w:spacing w:val="0"/>
          <w:w w:val="100"/>
          <w:position w:val="0"/>
          <w:sz w:val="22"/>
          <w:szCs w:val="22"/>
        </w:rPr>
        <w:t>合并财务报表以本公司和子公司的财务报表为基础，根据其他有关资料，由本公司编制。 在编制合并财务报表时，本公司和子公司的会计政策和会计期间要求保持一致，公司间的重 大交易和往来余额予以抵销。</w:t>
      </w:r>
    </w:p>
    <w:p>
      <w:pPr>
        <w:pStyle w:val="Style11"/>
        <w:keepNext w:val="0"/>
        <w:keepLines w:val="0"/>
        <w:widowControl w:val="0"/>
        <w:shd w:val="clear" w:color="auto" w:fill="auto"/>
        <w:bidi w:val="0"/>
        <w:spacing w:before="0" w:after="100" w:line="312" w:lineRule="exact"/>
        <w:ind w:left="0" w:right="0" w:firstLine="500"/>
        <w:jc w:val="both"/>
        <w:rPr>
          <w:sz w:val="22"/>
          <w:szCs w:val="22"/>
        </w:rPr>
      </w:pPr>
      <w:r>
        <w:rPr>
          <w:color w:val="000000"/>
          <w:spacing w:val="0"/>
          <w:w w:val="100"/>
          <w:position w:val="0"/>
          <w:sz w:val="22"/>
          <w:szCs w:val="22"/>
        </w:rPr>
        <w:t>在报告期内因同一控制下企业合并增加的子公司以及业务，视同该子公司以及业务自同 受最终控制方控制之日起纳入本公司的合并范围，将其自同受最终控制方控制之日起的经营 成果纳入合并利润表中。</w:t>
      </w:r>
    </w:p>
    <w:p>
      <w:pPr>
        <w:pStyle w:val="Style11"/>
        <w:keepNext w:val="0"/>
        <w:keepLines w:val="0"/>
        <w:widowControl w:val="0"/>
        <w:shd w:val="clear" w:color="auto" w:fill="auto"/>
        <w:bidi w:val="0"/>
        <w:spacing w:before="0" w:after="100" w:line="312" w:lineRule="exact"/>
        <w:ind w:left="0" w:right="0" w:firstLine="500"/>
        <w:jc w:val="both"/>
        <w:rPr>
          <w:sz w:val="22"/>
          <w:szCs w:val="22"/>
        </w:rPr>
      </w:pPr>
      <w:r>
        <w:rPr>
          <w:color w:val="000000"/>
          <w:spacing w:val="0"/>
          <w:w w:val="100"/>
          <w:position w:val="0"/>
          <w:sz w:val="22"/>
          <w:szCs w:val="22"/>
        </w:rPr>
        <w:t>因非同一控制下企业合并增加的子公司以及业务，将该子公司以及业务自购买日至报告 期末的收入、费用、利润纳入合并利润表。</w:t>
      </w:r>
    </w:p>
    <w:p>
      <w:pPr>
        <w:pStyle w:val="Style11"/>
        <w:keepNext w:val="0"/>
        <w:keepLines w:val="0"/>
        <w:widowControl w:val="0"/>
        <w:shd w:val="clear" w:color="auto" w:fill="auto"/>
        <w:bidi w:val="0"/>
        <w:spacing w:before="0" w:after="100" w:line="315" w:lineRule="exact"/>
        <w:ind w:left="0" w:right="0" w:firstLine="500"/>
        <w:jc w:val="both"/>
        <w:rPr>
          <w:sz w:val="22"/>
          <w:szCs w:val="22"/>
        </w:rPr>
      </w:pPr>
      <w:r>
        <w:rPr>
          <w:color w:val="000000"/>
          <w:spacing w:val="0"/>
          <w:w w:val="100"/>
          <w:position w:val="0"/>
          <w:sz w:val="22"/>
          <w:szCs w:val="22"/>
        </w:rPr>
        <w:t>子公司的股东权益中不属于本公司所拥有的部分，作为少数股东权益在合并资产负债表 中股东权益项下单独列示；子公司当期净损益中属于少数股东权益的份额，在合并利润表中 净利润项目下以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少数股东损益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项目列示。少数股东分担的子公司的亏损超过了少数股东在 该子公司期初所有者权益中所享有的份额，其余额仍冲减少数股东权益。</w:t>
      </w:r>
    </w:p>
    <w:p>
      <w:pPr>
        <w:pStyle w:val="Style11"/>
        <w:keepNext w:val="0"/>
        <w:keepLines w:val="0"/>
        <w:widowControl w:val="0"/>
        <w:shd w:val="clear" w:color="auto" w:fill="auto"/>
        <w:tabs>
          <w:tab w:pos="996" w:val="left"/>
        </w:tabs>
        <w:bidi w:val="0"/>
        <w:spacing w:before="0" w:after="100" w:line="311" w:lineRule="exact"/>
        <w:ind w:left="0" w:right="0" w:firstLine="500"/>
        <w:jc w:val="both"/>
        <w:rPr>
          <w:sz w:val="22"/>
          <w:szCs w:val="22"/>
        </w:rPr>
      </w:pPr>
      <w:bookmarkStart w:id="834" w:name="bookmark834"/>
      <w:r>
        <w:rPr>
          <w:color w:val="000000"/>
          <w:spacing w:val="0"/>
          <w:w w:val="100"/>
          <w:position w:val="0"/>
          <w:sz w:val="22"/>
          <w:szCs w:val="22"/>
        </w:rPr>
        <w:t>（</w:t>
      </w:r>
      <w:bookmarkEnd w:id="834"/>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购买子公司少数股东股权</w:t>
      </w:r>
    </w:p>
    <w:p>
      <w:pPr>
        <w:pStyle w:val="Style11"/>
        <w:keepNext w:val="0"/>
        <w:keepLines w:val="0"/>
        <w:widowControl w:val="0"/>
        <w:shd w:val="clear" w:color="auto" w:fill="auto"/>
        <w:bidi w:val="0"/>
        <w:spacing w:before="0" w:after="100" w:line="311" w:lineRule="exact"/>
        <w:ind w:left="0" w:right="0" w:firstLine="500"/>
        <w:jc w:val="both"/>
        <w:rPr>
          <w:sz w:val="22"/>
          <w:szCs w:val="22"/>
        </w:rPr>
      </w:pPr>
      <w:r>
        <w:rPr>
          <w:color w:val="000000"/>
          <w:spacing w:val="0"/>
          <w:w w:val="100"/>
          <w:position w:val="0"/>
          <w:sz w:val="22"/>
          <w:szCs w:val="22"/>
        </w:rPr>
        <w:t>因购买少数股权新取得的长期股权投资成本与按照新增持股比例计算应享有子公司自购 买日或合并日开始持续计算的净资产份额之间的差额，以及在不丧失控制权的情况下因部分 处置对子公司的股权投资而取得的处置价款与处置长期股权投资相对应享有子公司自购买日 或合并日开始持续计算的净资产份额之间的差额，均调整合并资产负债表中的资本公积（股 本溢价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资本溢价），资本公积不足冲减的，调整留存收益。</w:t>
      </w:r>
    </w:p>
    <w:p>
      <w:pPr>
        <w:pStyle w:val="Style31"/>
        <w:keepNext/>
        <w:keepLines/>
        <w:widowControl w:val="0"/>
        <w:shd w:val="clear" w:color="auto" w:fill="auto"/>
        <w:bidi w:val="0"/>
        <w:spacing w:before="0" w:after="300" w:line="24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7</w:t>
      </w:r>
      <w:bookmarkEnd w:id="837"/>
      <w:r>
        <w:rPr>
          <w:color w:val="000000"/>
          <w:spacing w:val="0"/>
          <w:w w:val="100"/>
          <w:position w:val="0"/>
        </w:rPr>
        <w:t>、现金及现金等价物的确定标准</w:t>
      </w:r>
      <w:bookmarkEnd w:id="835"/>
      <w:bookmarkEnd w:id="836"/>
      <w:bookmarkEnd w:id="838"/>
    </w:p>
    <w:p>
      <w:pPr>
        <w:pStyle w:val="Style11"/>
        <w:keepNext w:val="0"/>
        <w:keepLines w:val="0"/>
        <w:widowControl w:val="0"/>
        <w:shd w:val="clear" w:color="auto" w:fill="auto"/>
        <w:bidi w:val="0"/>
        <w:spacing w:before="0" w:after="660" w:line="307" w:lineRule="exact"/>
        <w:ind w:left="0" w:right="0" w:firstLine="500"/>
        <w:jc w:val="both"/>
        <w:rPr>
          <w:sz w:val="22"/>
          <w:szCs w:val="22"/>
        </w:rPr>
      </w:pPr>
      <w:r>
        <w:rPr>
          <w:color w:val="000000"/>
          <w:spacing w:val="0"/>
          <w:w w:val="100"/>
          <w:position w:val="0"/>
          <w:sz w:val="22"/>
          <w:szCs w:val="22"/>
        </w:rPr>
        <w:t>现金是指库存现金以及可以随时用于支付的存款。现金等价物，是指本集团持有的期限 短、流动性强、易于转换为已知金额现金、价值变动风险很小的投资。</w:t>
      </w:r>
    </w:p>
    <w:p>
      <w:pPr>
        <w:pStyle w:val="Style31"/>
        <w:keepNext/>
        <w:keepLines/>
        <w:widowControl w:val="0"/>
        <w:shd w:val="clear" w:color="auto" w:fill="auto"/>
        <w:bidi w:val="0"/>
        <w:spacing w:before="0" w:after="30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8</w:t>
      </w:r>
      <w:bookmarkEnd w:id="841"/>
      <w:r>
        <w:rPr>
          <w:color w:val="000000"/>
          <w:spacing w:val="0"/>
          <w:w w:val="100"/>
          <w:position w:val="0"/>
        </w:rPr>
        <w:t>、外币业务和外币报表折算</w:t>
      </w:r>
      <w:bookmarkEnd w:id="839"/>
      <w:bookmarkEnd w:id="840"/>
      <w:bookmarkEnd w:id="842"/>
    </w:p>
    <w:p>
      <w:pPr>
        <w:pStyle w:val="Style11"/>
        <w:keepNext w:val="0"/>
        <w:keepLines w:val="0"/>
        <w:widowControl w:val="0"/>
        <w:shd w:val="clear" w:color="auto" w:fill="auto"/>
        <w:tabs>
          <w:tab w:pos="988" w:val="left"/>
        </w:tabs>
        <w:bidi w:val="0"/>
        <w:spacing w:before="0" w:after="120" w:line="312" w:lineRule="exact"/>
        <w:ind w:left="0" w:right="0" w:firstLine="500"/>
        <w:jc w:val="left"/>
        <w:rPr>
          <w:sz w:val="22"/>
          <w:szCs w:val="22"/>
        </w:rPr>
      </w:pPr>
      <w:bookmarkStart w:id="843" w:name="bookmark843"/>
      <w:r>
        <w:rPr>
          <w:color w:val="000000"/>
          <w:spacing w:val="0"/>
          <w:w w:val="100"/>
          <w:position w:val="0"/>
          <w:sz w:val="20"/>
          <w:szCs w:val="20"/>
        </w:rPr>
        <w:t>（</w:t>
      </w:r>
      <w:bookmarkEnd w:id="84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r>
      <w:r>
        <w:rPr>
          <w:color w:val="000000"/>
          <w:spacing w:val="0"/>
          <w:w w:val="100"/>
          <w:position w:val="0"/>
          <w:sz w:val="22"/>
          <w:szCs w:val="22"/>
        </w:rPr>
        <w:t>外币业务</w:t>
      </w:r>
    </w:p>
    <w:p>
      <w:pPr>
        <w:pStyle w:val="Style11"/>
        <w:keepNext w:val="0"/>
        <w:keepLines w:val="0"/>
        <w:widowControl w:val="0"/>
        <w:shd w:val="clear" w:color="auto" w:fill="auto"/>
        <w:bidi w:val="0"/>
        <w:spacing w:before="0" w:after="120" w:line="312" w:lineRule="exact"/>
        <w:ind w:left="0" w:right="0" w:firstLine="500"/>
        <w:jc w:val="left"/>
        <w:rPr>
          <w:sz w:val="22"/>
          <w:szCs w:val="22"/>
        </w:rPr>
      </w:pPr>
      <w:r>
        <w:rPr>
          <w:color w:val="000000"/>
          <w:spacing w:val="0"/>
          <w:w w:val="100"/>
          <w:position w:val="0"/>
          <w:sz w:val="22"/>
          <w:szCs w:val="22"/>
        </w:rPr>
        <w:t>本集团发生外币业务，按交易发生日的即期汇率折算为记账本位币金额。</w:t>
      </w:r>
    </w:p>
    <w:p>
      <w:pPr>
        <w:pStyle w:val="Style11"/>
        <w:keepNext w:val="0"/>
        <w:keepLines w:val="0"/>
        <w:widowControl w:val="0"/>
        <w:shd w:val="clear" w:color="auto" w:fill="auto"/>
        <w:bidi w:val="0"/>
        <w:spacing w:before="0" w:after="120" w:line="312" w:lineRule="exact"/>
        <w:ind w:left="0" w:right="0" w:firstLine="500"/>
        <w:jc w:val="both"/>
        <w:rPr>
          <w:sz w:val="22"/>
          <w:szCs w:val="22"/>
        </w:rPr>
      </w:pPr>
      <w:r>
        <w:rPr>
          <w:color w:val="000000"/>
          <w:spacing w:val="0"/>
          <w:w w:val="100"/>
          <w:position w:val="0"/>
          <w:sz w:val="22"/>
          <w:szCs w:val="22"/>
        </w:rPr>
        <w:t>资产负债表日，对外币货币性项目，采用资产负债表日即期汇率折算。因资产负债表日 即期汇率与初始确认时或者前一资产负债表日即期汇率不同而产生的汇兑差额，计入当期损 益；对以历史成本计量的外币非货币性项目，仍采用交易发生日的即期汇率折算；对以公允 价值计量的外币非货币性项目，采用公允价值确定日的即期汇率折算，折算后的记账本位币 金额与原记账本位币金额的差额，计入当期损益。</w:t>
      </w:r>
    </w:p>
    <w:p>
      <w:pPr>
        <w:pStyle w:val="Style11"/>
        <w:keepNext w:val="0"/>
        <w:keepLines w:val="0"/>
        <w:widowControl w:val="0"/>
        <w:shd w:val="clear" w:color="auto" w:fill="auto"/>
        <w:tabs>
          <w:tab w:pos="1026" w:val="left"/>
        </w:tabs>
        <w:bidi w:val="0"/>
        <w:spacing w:before="0" w:after="120" w:line="312" w:lineRule="exact"/>
        <w:ind w:left="0" w:right="0" w:firstLine="500"/>
        <w:jc w:val="both"/>
        <w:rPr>
          <w:sz w:val="22"/>
          <w:szCs w:val="22"/>
        </w:rPr>
      </w:pPr>
      <w:bookmarkStart w:id="844" w:name="bookmark844"/>
      <w:r>
        <w:rPr>
          <w:color w:val="000000"/>
          <w:spacing w:val="0"/>
          <w:w w:val="100"/>
          <w:position w:val="0"/>
          <w:sz w:val="22"/>
          <w:szCs w:val="22"/>
        </w:rPr>
        <w:t>（</w:t>
      </w:r>
      <w:bookmarkEnd w:id="84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外币财务报表的折算</w:t>
      </w:r>
    </w:p>
    <w:p>
      <w:pPr>
        <w:pStyle w:val="Style11"/>
        <w:keepNext w:val="0"/>
        <w:keepLines w:val="0"/>
        <w:widowControl w:val="0"/>
        <w:shd w:val="clear" w:color="auto" w:fill="auto"/>
        <w:bidi w:val="0"/>
        <w:spacing w:before="0" w:after="120" w:line="307" w:lineRule="exact"/>
        <w:ind w:left="0" w:right="0" w:firstLine="500"/>
        <w:jc w:val="both"/>
        <w:rPr>
          <w:sz w:val="22"/>
          <w:szCs w:val="22"/>
        </w:rPr>
      </w:pPr>
      <w:r>
        <w:rPr>
          <w:color w:val="000000"/>
          <w:spacing w:val="0"/>
          <w:w w:val="100"/>
          <w:position w:val="0"/>
          <w:sz w:val="22"/>
          <w:szCs w:val="22"/>
        </w:rPr>
        <w:t>资产负债表日，对境外子公司外币财务报表进行折算时，资产负债表中的资产和负债项 目，采用资产负债表日的即期汇率折算，股东权益项目除</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未分配利润</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外，其他项目采用发 生日的即期汇率折算。</w:t>
      </w:r>
    </w:p>
    <w:p>
      <w:pPr>
        <w:pStyle w:val="Style11"/>
        <w:keepNext w:val="0"/>
        <w:keepLines w:val="0"/>
        <w:widowControl w:val="0"/>
        <w:shd w:val="clear" w:color="auto" w:fill="auto"/>
        <w:bidi w:val="0"/>
        <w:spacing w:before="0" w:after="120" w:line="312" w:lineRule="exact"/>
        <w:ind w:left="0" w:right="0" w:firstLine="500"/>
        <w:jc w:val="left"/>
        <w:rPr>
          <w:sz w:val="22"/>
          <w:szCs w:val="22"/>
        </w:rPr>
      </w:pPr>
      <w:r>
        <w:rPr>
          <w:color w:val="000000"/>
          <w:spacing w:val="0"/>
          <w:w w:val="100"/>
          <w:position w:val="0"/>
          <w:sz w:val="22"/>
          <w:szCs w:val="22"/>
        </w:rPr>
        <w:t>利润表中的收入和费用项目，采用会计期间的平均汇率折算。</w:t>
      </w:r>
    </w:p>
    <w:p>
      <w:pPr>
        <w:pStyle w:val="Style11"/>
        <w:keepNext w:val="0"/>
        <w:keepLines w:val="0"/>
        <w:widowControl w:val="0"/>
        <w:shd w:val="clear" w:color="auto" w:fill="auto"/>
        <w:bidi w:val="0"/>
        <w:spacing w:before="0" w:after="120" w:line="302" w:lineRule="exact"/>
        <w:ind w:left="0" w:right="0" w:firstLine="500"/>
        <w:jc w:val="both"/>
        <w:rPr>
          <w:sz w:val="22"/>
          <w:szCs w:val="22"/>
        </w:rPr>
      </w:pPr>
      <w:r>
        <w:rPr>
          <w:color w:val="000000"/>
          <w:spacing w:val="0"/>
          <w:w w:val="100"/>
          <w:position w:val="0"/>
          <w:sz w:val="22"/>
          <w:szCs w:val="22"/>
        </w:rPr>
        <w:t>现金流量表所有项目均按照会计期间的平均汇率汇率折算。汇率变动对现金的影响额作 为调节项目，在现金流量表中单独列示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汇率变动对现金及现金等价物的影响</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项目反映。</w:t>
      </w:r>
    </w:p>
    <w:p>
      <w:pPr>
        <w:pStyle w:val="Style11"/>
        <w:keepNext w:val="0"/>
        <w:keepLines w:val="0"/>
        <w:widowControl w:val="0"/>
        <w:shd w:val="clear" w:color="auto" w:fill="auto"/>
        <w:bidi w:val="0"/>
        <w:spacing w:before="0" w:after="120" w:line="312" w:lineRule="exact"/>
        <w:ind w:left="0" w:right="0" w:firstLine="500"/>
        <w:jc w:val="both"/>
        <w:rPr>
          <w:sz w:val="22"/>
          <w:szCs w:val="22"/>
        </w:rPr>
      </w:pPr>
      <w:r>
        <w:rPr>
          <w:color w:val="000000"/>
          <w:spacing w:val="0"/>
          <w:w w:val="100"/>
          <w:position w:val="0"/>
          <w:sz w:val="22"/>
          <w:szCs w:val="22"/>
        </w:rPr>
        <w:t>由于财务报表折算而产生的差额，在资产负债表股东权益项目下的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其他综合收益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项目 反映。</w:t>
      </w:r>
    </w:p>
    <w:p>
      <w:pPr>
        <w:pStyle w:val="Style11"/>
        <w:keepNext w:val="0"/>
        <w:keepLines w:val="0"/>
        <w:widowControl w:val="0"/>
        <w:shd w:val="clear" w:color="auto" w:fill="auto"/>
        <w:bidi w:val="0"/>
        <w:spacing w:before="0" w:after="660" w:line="312" w:lineRule="exact"/>
        <w:ind w:left="0" w:right="0" w:firstLine="500"/>
        <w:jc w:val="both"/>
        <w:rPr>
          <w:sz w:val="22"/>
          <w:szCs w:val="22"/>
        </w:rPr>
      </w:pPr>
      <w:r>
        <w:rPr>
          <w:color w:val="000000"/>
          <w:spacing w:val="0"/>
          <w:w w:val="100"/>
          <w:position w:val="0"/>
          <w:sz w:val="22"/>
          <w:szCs w:val="22"/>
        </w:rPr>
        <w:t>处置境外经营并丧失控制权时，将资产负债表中股东权益项目下列示的、与该境外经营 相关的外币报表折算差额，全部或按处置该境外经营的比例转入处置当期损益。</w:t>
      </w:r>
    </w:p>
    <w:p>
      <w:pPr>
        <w:pStyle w:val="Style31"/>
        <w:keepNext/>
        <w:keepLines/>
        <w:widowControl w:val="0"/>
        <w:shd w:val="clear" w:color="auto" w:fill="auto"/>
        <w:bidi w:val="0"/>
        <w:spacing w:before="0" w:after="24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9</w:t>
      </w:r>
      <w:bookmarkEnd w:id="847"/>
      <w:r>
        <w:rPr>
          <w:color w:val="000000"/>
          <w:spacing w:val="0"/>
          <w:w w:val="100"/>
          <w:position w:val="0"/>
        </w:rPr>
        <w:t>、金融工具</w:t>
      </w:r>
      <w:bookmarkEnd w:id="845"/>
      <w:bookmarkEnd w:id="846"/>
      <w:bookmarkEnd w:id="848"/>
    </w:p>
    <w:p>
      <w:pPr>
        <w:pStyle w:val="Style11"/>
        <w:keepNext w:val="0"/>
        <w:keepLines w:val="0"/>
        <w:widowControl w:val="0"/>
        <w:shd w:val="clear" w:color="auto" w:fill="auto"/>
        <w:bidi w:val="0"/>
        <w:spacing w:before="0" w:after="160" w:line="312" w:lineRule="exact"/>
        <w:ind w:left="0" w:right="0" w:firstLine="500"/>
        <w:jc w:val="left"/>
        <w:rPr>
          <w:sz w:val="22"/>
          <w:szCs w:val="22"/>
        </w:rPr>
      </w:pPr>
      <w:r>
        <w:rPr>
          <w:color w:val="000000"/>
          <w:spacing w:val="0"/>
          <w:w w:val="100"/>
          <w:position w:val="0"/>
          <w:sz w:val="22"/>
          <w:szCs w:val="22"/>
        </w:rPr>
        <w:t>金融工具，是指形成一方的金融资产并形成其他方的金融负债或权益工具的合同。</w:t>
      </w:r>
    </w:p>
    <w:p>
      <w:pPr>
        <w:pStyle w:val="Style11"/>
        <w:keepNext w:val="0"/>
        <w:keepLines w:val="0"/>
        <w:widowControl w:val="0"/>
        <w:shd w:val="clear" w:color="auto" w:fill="auto"/>
        <w:bidi w:val="0"/>
        <w:spacing w:before="0" w:after="120" w:line="312" w:lineRule="exact"/>
        <w:ind w:left="0" w:right="0" w:firstLine="500"/>
        <w:jc w:val="left"/>
        <w:rPr>
          <w:sz w:val="22"/>
          <w:szCs w:val="22"/>
        </w:rPr>
      </w:pPr>
      <w:bookmarkStart w:id="849" w:name="bookmark849"/>
      <w:r>
        <w:rPr>
          <w:color w:val="000000"/>
          <w:spacing w:val="0"/>
          <w:w w:val="100"/>
          <w:position w:val="0"/>
          <w:sz w:val="22"/>
          <w:szCs w:val="22"/>
        </w:rPr>
        <w:t>（</w:t>
      </w:r>
      <w:bookmarkEnd w:id="84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）金融工具的确认和终止确认</w:t>
      </w:r>
    </w:p>
    <w:p>
      <w:pPr>
        <w:pStyle w:val="Style11"/>
        <w:keepNext w:val="0"/>
        <w:keepLines w:val="0"/>
        <w:widowControl w:val="0"/>
        <w:shd w:val="clear" w:color="auto" w:fill="auto"/>
        <w:bidi w:val="0"/>
        <w:spacing w:before="0" w:after="120" w:line="312" w:lineRule="exact"/>
        <w:ind w:left="0" w:right="0" w:firstLine="500"/>
        <w:jc w:val="left"/>
        <w:rPr>
          <w:sz w:val="22"/>
          <w:szCs w:val="22"/>
        </w:rPr>
      </w:pPr>
      <w:r>
        <w:rPr>
          <w:color w:val="000000"/>
          <w:spacing w:val="0"/>
          <w:w w:val="100"/>
          <w:position w:val="0"/>
          <w:sz w:val="22"/>
          <w:szCs w:val="22"/>
        </w:rPr>
        <w:t>当本公司成为金融工具合同的一方时，确认相关的金融资产或金融负债。</w:t>
      </w:r>
    </w:p>
    <w:p>
      <w:pPr>
        <w:pStyle w:val="Style11"/>
        <w:keepNext w:val="0"/>
        <w:keepLines w:val="0"/>
        <w:widowControl w:val="0"/>
        <w:shd w:val="clear" w:color="auto" w:fill="auto"/>
        <w:bidi w:val="0"/>
        <w:spacing w:before="0" w:after="120" w:line="312" w:lineRule="exact"/>
        <w:ind w:left="0" w:right="0" w:firstLine="500"/>
        <w:jc w:val="left"/>
        <w:rPr>
          <w:sz w:val="22"/>
          <w:szCs w:val="22"/>
        </w:rPr>
      </w:pPr>
      <w:r>
        <w:rPr>
          <w:color w:val="000000"/>
          <w:spacing w:val="0"/>
          <w:w w:val="100"/>
          <w:position w:val="0"/>
          <w:sz w:val="22"/>
          <w:szCs w:val="22"/>
        </w:rPr>
        <w:t>金融资产满足下列条件之一的，终止确认：</w:t>
      </w:r>
    </w:p>
    <w:p>
      <w:pPr>
        <w:pStyle w:val="Style11"/>
        <w:keepNext w:val="0"/>
        <w:keepLines w:val="0"/>
        <w:widowControl w:val="0"/>
        <w:numPr>
          <w:ilvl w:val="0"/>
          <w:numId w:val="45"/>
        </w:numPr>
        <w:shd w:val="clear" w:color="auto" w:fill="auto"/>
        <w:tabs>
          <w:tab w:pos="921" w:val="left"/>
        </w:tabs>
        <w:bidi w:val="0"/>
        <w:spacing w:before="0" w:after="120" w:line="312" w:lineRule="exact"/>
        <w:ind w:left="0" w:right="0" w:firstLine="500"/>
        <w:jc w:val="left"/>
        <w:rPr>
          <w:sz w:val="22"/>
          <w:szCs w:val="22"/>
        </w:rPr>
      </w:pPr>
      <w:bookmarkStart w:id="850" w:name="bookmark850"/>
      <w:bookmarkEnd w:id="850"/>
      <w:r>
        <w:rPr>
          <w:color w:val="000000"/>
          <w:spacing w:val="0"/>
          <w:w w:val="100"/>
          <w:position w:val="0"/>
          <w:sz w:val="22"/>
          <w:szCs w:val="22"/>
        </w:rPr>
        <w:t>收取该金融资产现金流量的合同权利终止；</w:t>
      </w:r>
    </w:p>
    <w:p>
      <w:pPr>
        <w:pStyle w:val="Style11"/>
        <w:keepNext w:val="0"/>
        <w:keepLines w:val="0"/>
        <w:widowControl w:val="0"/>
        <w:numPr>
          <w:ilvl w:val="0"/>
          <w:numId w:val="45"/>
        </w:numPr>
        <w:shd w:val="clear" w:color="auto" w:fill="auto"/>
        <w:tabs>
          <w:tab w:pos="921" w:val="left"/>
        </w:tabs>
        <w:bidi w:val="0"/>
        <w:spacing w:before="0" w:after="120" w:line="312" w:lineRule="exact"/>
        <w:ind w:left="0" w:right="0" w:firstLine="500"/>
        <w:jc w:val="left"/>
        <w:rPr>
          <w:sz w:val="22"/>
          <w:szCs w:val="22"/>
        </w:rPr>
      </w:pPr>
      <w:bookmarkStart w:id="851" w:name="bookmark851"/>
      <w:bookmarkEnd w:id="851"/>
      <w:r>
        <w:rPr>
          <w:color w:val="000000"/>
          <w:spacing w:val="0"/>
          <w:w w:val="100"/>
          <w:position w:val="0"/>
          <w:sz w:val="22"/>
          <w:szCs w:val="22"/>
        </w:rPr>
        <w:t>该金融资产已转移，且符合下述金融资产转移的终止确认条件。</w:t>
      </w:r>
    </w:p>
    <w:p>
      <w:pPr>
        <w:pStyle w:val="Style11"/>
        <w:keepNext w:val="0"/>
        <w:keepLines w:val="0"/>
        <w:widowControl w:val="0"/>
        <w:shd w:val="clear" w:color="auto" w:fill="auto"/>
        <w:bidi w:val="0"/>
        <w:spacing w:before="0" w:after="120" w:line="312" w:lineRule="exact"/>
        <w:ind w:left="0" w:right="0" w:firstLine="500"/>
        <w:jc w:val="both"/>
        <w:rPr>
          <w:sz w:val="22"/>
          <w:szCs w:val="22"/>
        </w:rPr>
      </w:pPr>
      <w:r>
        <w:rPr>
          <w:color w:val="000000"/>
          <w:spacing w:val="0"/>
          <w:w w:val="100"/>
          <w:position w:val="0"/>
          <w:sz w:val="22"/>
          <w:szCs w:val="22"/>
        </w:rPr>
        <w:t xml:space="preserve">金融负债（或其一部分）的现时义务已经解除的，终止确认该金融负债（或该部分金融 负债）。本公司（借入方）与借出方之间签订协议，以承担新金融负债方式替换原金融负债， 且新金融负债与原金融负债的合同条款实质上不同的，终止确认原金融负债，并同时确认新 </w:t>
      </w:r>
      <w:r>
        <w:rPr>
          <w:color w:val="000000"/>
          <w:spacing w:val="0"/>
          <w:w w:val="100"/>
          <w:position w:val="0"/>
          <w:sz w:val="22"/>
          <w:szCs w:val="22"/>
        </w:rPr>
        <w:t>金融负债。本公司对原金融负债（或其一部分）的合同条款作出实质性修改的，应当终止原 金融负债，同时按照修改后的条款确认一项新的金融负债。</w:t>
      </w:r>
    </w:p>
    <w:p>
      <w:pPr>
        <w:pStyle w:val="Style11"/>
        <w:keepNext w:val="0"/>
        <w:keepLines w:val="0"/>
        <w:widowControl w:val="0"/>
        <w:shd w:val="clear" w:color="auto" w:fill="auto"/>
        <w:bidi w:val="0"/>
        <w:spacing w:before="0" w:after="120" w:line="290" w:lineRule="exact"/>
        <w:ind w:left="0" w:right="0" w:firstLine="480"/>
        <w:jc w:val="left"/>
        <w:rPr>
          <w:sz w:val="22"/>
          <w:szCs w:val="22"/>
        </w:rPr>
      </w:pPr>
      <w:r>
        <w:rPr>
          <w:color w:val="000000"/>
          <w:spacing w:val="0"/>
          <w:w w:val="100"/>
          <w:position w:val="0"/>
          <w:sz w:val="22"/>
          <w:szCs w:val="22"/>
        </w:rPr>
        <w:t>以常规方式买卖金融资产，按交易日进行会计确认和终止确认。常规方式买卖金融资产， 是指按照合同条款规定，在法规或市场惯例所确定的时间安排来交付金融资产。交易日，是 指本公司承诺买入或卖出金融资产的日期。</w:t>
      </w:r>
    </w:p>
    <w:p>
      <w:pPr>
        <w:pStyle w:val="Style11"/>
        <w:keepNext w:val="0"/>
        <w:keepLines w:val="0"/>
        <w:widowControl w:val="0"/>
        <w:shd w:val="clear" w:color="auto" w:fill="auto"/>
        <w:tabs>
          <w:tab w:pos="976" w:val="left"/>
        </w:tabs>
        <w:bidi w:val="0"/>
        <w:spacing w:before="0" w:after="120" w:line="312" w:lineRule="exact"/>
        <w:ind w:left="0" w:right="0" w:firstLine="480"/>
        <w:jc w:val="both"/>
        <w:rPr>
          <w:sz w:val="22"/>
          <w:szCs w:val="22"/>
        </w:rPr>
      </w:pPr>
      <w:bookmarkStart w:id="852" w:name="bookmark852"/>
      <w:r>
        <w:rPr>
          <w:color w:val="000000"/>
          <w:spacing w:val="0"/>
          <w:w w:val="100"/>
          <w:position w:val="0"/>
          <w:sz w:val="22"/>
          <w:szCs w:val="22"/>
        </w:rPr>
        <w:t>（</w:t>
      </w:r>
      <w:bookmarkEnd w:id="85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金融资产的分类与计量</w:t>
      </w:r>
    </w:p>
    <w:p>
      <w:pPr>
        <w:pStyle w:val="Style11"/>
        <w:keepNext w:val="0"/>
        <w:keepLines w:val="0"/>
        <w:widowControl w:val="0"/>
        <w:shd w:val="clear" w:color="auto" w:fill="auto"/>
        <w:bidi w:val="0"/>
        <w:spacing w:before="0" w:after="120" w:line="312" w:lineRule="exact"/>
        <w:ind w:left="0" w:right="0" w:firstLine="480"/>
        <w:jc w:val="both"/>
        <w:rPr>
          <w:sz w:val="22"/>
          <w:szCs w:val="22"/>
        </w:rPr>
      </w:pPr>
      <w:r>
        <w:rPr>
          <w:color w:val="000000"/>
          <w:spacing w:val="0"/>
          <w:w w:val="100"/>
          <w:position w:val="0"/>
          <w:sz w:val="22"/>
          <w:szCs w:val="22"/>
        </w:rPr>
        <w:t>本公司在初始确认时根据管理金融资产的业务模式和金融资产的合同现金流量特征，将 金融资产分类为：以摊余成本计量的金融资产、以公允价值计量且其变动计入当期损益的金 融资产、以公允价值计量且其变动计入其他综合收益的金融资产。除非本公司改变管理金融 资产的业务模式，在此情形下，所有受影响的相关金融资产在业务模式发生变更后的首个报 告期间的第一天进行重分类，否则金融资产在初始确认后不得进行重分类。</w:t>
      </w:r>
    </w:p>
    <w:p>
      <w:pPr>
        <w:pStyle w:val="Style11"/>
        <w:keepNext w:val="0"/>
        <w:keepLines w:val="0"/>
        <w:widowControl w:val="0"/>
        <w:shd w:val="clear" w:color="auto" w:fill="auto"/>
        <w:bidi w:val="0"/>
        <w:spacing w:before="0" w:after="120" w:line="309" w:lineRule="exact"/>
        <w:ind w:left="0" w:right="0" w:firstLine="480"/>
        <w:jc w:val="both"/>
        <w:rPr>
          <w:sz w:val="22"/>
          <w:szCs w:val="22"/>
        </w:rPr>
      </w:pPr>
      <w:r>
        <w:rPr>
          <w:color w:val="000000"/>
          <w:spacing w:val="0"/>
          <w:w w:val="100"/>
          <w:position w:val="0"/>
          <w:sz w:val="22"/>
          <w:szCs w:val="22"/>
        </w:rPr>
        <w:t>金融资产在初始确认时以公允价值计量。对于以公允价值计量且其变动计入当期损益的 金融资产，相关交易费用直接计入当期损益，其他类别的金融资产相关交易费用计入其初始 确认金额。因销售商品或提供劳务而产生的、未包含或不考虑重大融资成分的应收票据及应 收账款，本公司则按照收入准则定义的交易价格进行初始计量。</w:t>
      </w:r>
    </w:p>
    <w:p>
      <w:pPr>
        <w:pStyle w:val="Style11"/>
        <w:keepNext w:val="0"/>
        <w:keepLines w:val="0"/>
        <w:widowControl w:val="0"/>
        <w:shd w:val="clear" w:color="auto" w:fill="auto"/>
        <w:bidi w:val="0"/>
        <w:spacing w:before="0" w:after="120" w:line="312" w:lineRule="exact"/>
        <w:ind w:left="0" w:right="0" w:firstLine="480"/>
        <w:jc w:val="both"/>
        <w:rPr>
          <w:sz w:val="22"/>
          <w:szCs w:val="22"/>
        </w:rPr>
      </w:pPr>
      <w:r>
        <w:rPr>
          <w:color w:val="000000"/>
          <w:spacing w:val="0"/>
          <w:w w:val="100"/>
          <w:position w:val="0"/>
          <w:sz w:val="22"/>
          <w:szCs w:val="22"/>
        </w:rPr>
        <w:t>金融资产的后续计量取决于其分类：</w:t>
      </w:r>
    </w:p>
    <w:p>
      <w:pPr>
        <w:pStyle w:val="Style11"/>
        <w:keepNext w:val="0"/>
        <w:keepLines w:val="0"/>
        <w:widowControl w:val="0"/>
        <w:numPr>
          <w:ilvl w:val="0"/>
          <w:numId w:val="47"/>
        </w:numPr>
        <w:shd w:val="clear" w:color="auto" w:fill="auto"/>
        <w:tabs>
          <w:tab w:pos="870" w:val="left"/>
        </w:tabs>
        <w:bidi w:val="0"/>
        <w:spacing w:before="0" w:after="120" w:line="312" w:lineRule="exact"/>
        <w:ind w:left="0" w:right="0" w:firstLine="480"/>
        <w:jc w:val="both"/>
        <w:rPr>
          <w:sz w:val="22"/>
          <w:szCs w:val="22"/>
        </w:rPr>
      </w:pPr>
      <w:bookmarkStart w:id="853" w:name="bookmark853"/>
      <w:bookmarkEnd w:id="853"/>
      <w:r>
        <w:rPr>
          <w:color w:val="000000"/>
          <w:spacing w:val="0"/>
          <w:w w:val="100"/>
          <w:position w:val="0"/>
          <w:sz w:val="22"/>
          <w:szCs w:val="22"/>
        </w:rPr>
        <w:t>以摊余成本计量的金融资产</w:t>
      </w:r>
    </w:p>
    <w:p>
      <w:pPr>
        <w:pStyle w:val="Style11"/>
        <w:keepNext w:val="0"/>
        <w:keepLines w:val="0"/>
        <w:widowControl w:val="0"/>
        <w:shd w:val="clear" w:color="auto" w:fill="auto"/>
        <w:bidi w:val="0"/>
        <w:spacing w:before="0" w:after="120" w:line="313" w:lineRule="exact"/>
        <w:ind w:left="0" w:right="0" w:firstLine="480"/>
        <w:jc w:val="both"/>
        <w:rPr>
          <w:sz w:val="22"/>
          <w:szCs w:val="22"/>
        </w:rPr>
      </w:pPr>
      <w:r>
        <w:rPr>
          <w:color w:val="000000"/>
          <w:spacing w:val="0"/>
          <w:w w:val="100"/>
          <w:position w:val="0"/>
          <w:sz w:val="22"/>
          <w:szCs w:val="22"/>
        </w:rPr>
        <w:t>金融资产同时符合下列条件的，分类为以摊余成本计量的金融资产：本公司管理该金融 资产的业务模式是以收取合同现金流量为目标；该金融资产的合同条款规定，在特定日期产 生的现金流量，仅为对本金和以未偿付本金金额为基础的利息的支付。对于此类金融资产， 采用实际利率法，按照摊余成本进行后续计量，其终止确认、按实际利率法摊销或减值产生 的利得或损失，均计入当期损益。</w:t>
      </w:r>
    </w:p>
    <w:p>
      <w:pPr>
        <w:pStyle w:val="Style11"/>
        <w:keepNext w:val="0"/>
        <w:keepLines w:val="0"/>
        <w:widowControl w:val="0"/>
        <w:numPr>
          <w:ilvl w:val="0"/>
          <w:numId w:val="47"/>
        </w:numPr>
        <w:shd w:val="clear" w:color="auto" w:fill="auto"/>
        <w:tabs>
          <w:tab w:pos="870" w:val="left"/>
        </w:tabs>
        <w:bidi w:val="0"/>
        <w:spacing w:before="0" w:after="120" w:line="312" w:lineRule="exact"/>
        <w:ind w:left="0" w:right="0" w:firstLine="480"/>
        <w:jc w:val="left"/>
        <w:rPr>
          <w:sz w:val="22"/>
          <w:szCs w:val="22"/>
        </w:rPr>
      </w:pPr>
      <w:bookmarkStart w:id="854" w:name="bookmark854"/>
      <w:bookmarkEnd w:id="854"/>
      <w:r>
        <w:rPr>
          <w:color w:val="000000"/>
          <w:spacing w:val="0"/>
          <w:w w:val="100"/>
          <w:position w:val="0"/>
          <w:sz w:val="22"/>
          <w:szCs w:val="22"/>
        </w:rPr>
        <w:t>以公允价值计量且其变动计入其他综合收益的金融资产</w:t>
      </w:r>
    </w:p>
    <w:p>
      <w:pPr>
        <w:pStyle w:val="Style11"/>
        <w:keepNext w:val="0"/>
        <w:keepLines w:val="0"/>
        <w:widowControl w:val="0"/>
        <w:shd w:val="clear" w:color="auto" w:fill="auto"/>
        <w:bidi w:val="0"/>
        <w:spacing w:before="0" w:after="120" w:line="315" w:lineRule="exact"/>
        <w:ind w:left="0" w:right="0" w:firstLine="480"/>
        <w:jc w:val="both"/>
        <w:rPr>
          <w:sz w:val="22"/>
          <w:szCs w:val="22"/>
        </w:rPr>
      </w:pPr>
      <w:r>
        <w:rPr>
          <w:color w:val="000000"/>
          <w:spacing w:val="0"/>
          <w:w w:val="100"/>
          <w:position w:val="0"/>
          <w:sz w:val="22"/>
          <w:szCs w:val="22"/>
        </w:rPr>
        <w:t>金融资产同时符合下列条件的，分类为以公允价值计量且其变动计入其他综合收益的金 融资产：本公司管理该金融资产的业务模式是既以收取合同现金流量为目标又以出售金融资 产为目标；该金融资产的合同条款规定，在特定日期产生的现金流量，仅为对本金和以未偿 付本金金额为基础的利息的支付。对于此类金融资产，采用公允价值进行后续计量。除减值 损失或利得及汇兑损益确认为当期损益外，此类金融资产的公允价值变动作为其他综合收益 确认，直到该金融资产终止确认时，其累计利得或损失转入当期损益。但是采用实际利率法 计算的该金融资产的相关利息收入计入当期损益。</w:t>
      </w:r>
    </w:p>
    <w:p>
      <w:pPr>
        <w:pStyle w:val="Style11"/>
        <w:keepNext w:val="0"/>
        <w:keepLines w:val="0"/>
        <w:widowControl w:val="0"/>
        <w:shd w:val="clear" w:color="auto" w:fill="auto"/>
        <w:bidi w:val="0"/>
        <w:spacing w:before="0" w:after="120" w:line="310" w:lineRule="exact"/>
        <w:ind w:left="0" w:right="0" w:firstLine="480"/>
        <w:jc w:val="both"/>
        <w:rPr>
          <w:sz w:val="22"/>
          <w:szCs w:val="22"/>
        </w:rPr>
      </w:pPr>
      <w:r>
        <w:rPr>
          <w:color w:val="000000"/>
          <w:spacing w:val="0"/>
          <w:w w:val="100"/>
          <w:position w:val="0"/>
          <w:sz w:val="22"/>
          <w:szCs w:val="22"/>
        </w:rPr>
        <w:t>本公司不可撤销地选择将部分非交易性权益工具投资指定为以公允价值计量且其变动计 入其他综合收益的金融资产，仅将相关股利收入计入当期损益，公允价值变动作为其他综合 收益确认，直到该金融资产终止确认时，其累计利得或损失转入留存收益。</w:t>
      </w:r>
    </w:p>
    <w:p>
      <w:pPr>
        <w:pStyle w:val="Style11"/>
        <w:keepNext w:val="0"/>
        <w:keepLines w:val="0"/>
        <w:widowControl w:val="0"/>
        <w:numPr>
          <w:ilvl w:val="0"/>
          <w:numId w:val="47"/>
        </w:numPr>
        <w:shd w:val="clear" w:color="auto" w:fill="auto"/>
        <w:tabs>
          <w:tab w:pos="870" w:val="left"/>
        </w:tabs>
        <w:bidi w:val="0"/>
        <w:spacing w:before="0" w:after="120" w:line="312" w:lineRule="exact"/>
        <w:ind w:left="0" w:right="0" w:firstLine="480"/>
        <w:jc w:val="left"/>
        <w:rPr>
          <w:sz w:val="22"/>
          <w:szCs w:val="22"/>
        </w:rPr>
      </w:pPr>
      <w:bookmarkStart w:id="855" w:name="bookmark855"/>
      <w:bookmarkEnd w:id="855"/>
      <w:r>
        <w:rPr>
          <w:color w:val="000000"/>
          <w:spacing w:val="0"/>
          <w:w w:val="100"/>
          <w:position w:val="0"/>
          <w:sz w:val="22"/>
          <w:szCs w:val="22"/>
        </w:rPr>
        <w:t>以公允价值计量且其变动计入当期损益的金融资产</w:t>
      </w:r>
    </w:p>
    <w:p>
      <w:pPr>
        <w:pStyle w:val="Style11"/>
        <w:keepNext w:val="0"/>
        <w:keepLines w:val="0"/>
        <w:widowControl w:val="0"/>
        <w:shd w:val="clear" w:color="auto" w:fill="auto"/>
        <w:bidi w:val="0"/>
        <w:spacing w:before="0" w:after="120" w:line="310" w:lineRule="exact"/>
        <w:ind w:left="0" w:right="0" w:firstLine="480"/>
        <w:jc w:val="both"/>
        <w:rPr>
          <w:sz w:val="22"/>
          <w:szCs w:val="22"/>
        </w:rPr>
      </w:pPr>
      <w:r>
        <w:rPr>
          <w:color w:val="000000"/>
          <w:spacing w:val="0"/>
          <w:w w:val="100"/>
          <w:position w:val="0"/>
          <w:sz w:val="22"/>
          <w:szCs w:val="22"/>
        </w:rPr>
        <w:t>上述以摊余成本计量的金融资产和以公允价值计量且其变动计入其他综合收益的金融资 产之外的金融资产，分类为以公允价值计量且其变动计入当期损益的金融资产。对于此类金 融资产，采用公允价值进行后续计量，所有公允价值变动计入当期损益。</w:t>
      </w:r>
    </w:p>
    <w:p>
      <w:pPr>
        <w:pStyle w:val="Style11"/>
        <w:keepNext w:val="0"/>
        <w:keepLines w:val="0"/>
        <w:widowControl w:val="0"/>
        <w:shd w:val="clear" w:color="auto" w:fill="auto"/>
        <w:tabs>
          <w:tab w:pos="976" w:val="left"/>
        </w:tabs>
        <w:bidi w:val="0"/>
        <w:spacing w:before="0" w:after="120" w:line="312" w:lineRule="exact"/>
        <w:ind w:left="0" w:right="0" w:firstLine="480"/>
        <w:jc w:val="both"/>
        <w:rPr>
          <w:sz w:val="22"/>
          <w:szCs w:val="22"/>
        </w:rPr>
      </w:pPr>
      <w:bookmarkStart w:id="856" w:name="bookmark856"/>
      <w:r>
        <w:rPr>
          <w:color w:val="000000"/>
          <w:spacing w:val="0"/>
          <w:w w:val="100"/>
          <w:position w:val="0"/>
          <w:sz w:val="22"/>
          <w:szCs w:val="22"/>
        </w:rPr>
        <w:t>（</w:t>
      </w:r>
      <w:bookmarkEnd w:id="856"/>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金融负债的分类与计量</w:t>
      </w:r>
    </w:p>
    <w:p>
      <w:pPr>
        <w:pStyle w:val="Style11"/>
        <w:keepNext w:val="0"/>
        <w:keepLines w:val="0"/>
        <w:widowControl w:val="0"/>
        <w:shd w:val="clear" w:color="auto" w:fill="auto"/>
        <w:bidi w:val="0"/>
        <w:spacing w:before="0" w:after="100" w:line="312" w:lineRule="exact"/>
        <w:ind w:left="0" w:right="0" w:firstLine="480"/>
        <w:jc w:val="both"/>
        <w:rPr>
          <w:sz w:val="22"/>
          <w:szCs w:val="22"/>
        </w:rPr>
      </w:pPr>
      <w:r>
        <w:rPr>
          <w:color w:val="000000"/>
          <w:spacing w:val="0"/>
          <w:w w:val="100"/>
          <w:position w:val="0"/>
          <w:sz w:val="22"/>
          <w:szCs w:val="22"/>
        </w:rPr>
        <w:t xml:space="preserve">本公司将金融负债分类为以公允价值计量且其变动计入当期损益的金融负债、低于市场 </w:t>
      </w:r>
      <w:r>
        <w:rPr>
          <w:color w:val="000000"/>
          <w:spacing w:val="0"/>
          <w:w w:val="100"/>
          <w:position w:val="0"/>
          <w:sz w:val="22"/>
          <w:szCs w:val="22"/>
        </w:rPr>
        <w:t>利率贷款的贷款承诺及财务担保合同负债及以摊余成本计量的金融负债。</w:t>
      </w:r>
    </w:p>
    <w:p>
      <w:pPr>
        <w:pStyle w:val="Style11"/>
        <w:keepNext w:val="0"/>
        <w:keepLines w:val="0"/>
        <w:widowControl w:val="0"/>
        <w:shd w:val="clear" w:color="auto" w:fill="auto"/>
        <w:bidi w:val="0"/>
        <w:spacing w:before="0" w:after="100" w:line="313" w:lineRule="exact"/>
        <w:ind w:left="0" w:right="0" w:firstLine="480"/>
        <w:jc w:val="left"/>
        <w:rPr>
          <w:sz w:val="22"/>
          <w:szCs w:val="22"/>
        </w:rPr>
      </w:pPr>
      <w:r>
        <w:rPr>
          <w:color w:val="000000"/>
          <w:spacing w:val="0"/>
          <w:w w:val="100"/>
          <w:position w:val="0"/>
          <w:sz w:val="22"/>
          <w:szCs w:val="22"/>
        </w:rPr>
        <w:t>金融负债的后续计量取决于其分类：</w:t>
      </w:r>
    </w:p>
    <w:p>
      <w:pPr>
        <w:pStyle w:val="Style11"/>
        <w:keepNext w:val="0"/>
        <w:keepLines w:val="0"/>
        <w:widowControl w:val="0"/>
        <w:numPr>
          <w:ilvl w:val="0"/>
          <w:numId w:val="49"/>
        </w:numPr>
        <w:shd w:val="clear" w:color="auto" w:fill="auto"/>
        <w:tabs>
          <w:tab w:pos="885" w:val="left"/>
        </w:tabs>
        <w:bidi w:val="0"/>
        <w:spacing w:before="0" w:after="100" w:line="313" w:lineRule="exact"/>
        <w:ind w:left="0" w:right="0" w:firstLine="480"/>
        <w:jc w:val="left"/>
        <w:rPr>
          <w:sz w:val="22"/>
          <w:szCs w:val="22"/>
        </w:rPr>
      </w:pPr>
      <w:bookmarkStart w:id="857" w:name="bookmark857"/>
      <w:bookmarkEnd w:id="857"/>
      <w:r>
        <w:rPr>
          <w:color w:val="000000"/>
          <w:spacing w:val="0"/>
          <w:w w:val="100"/>
          <w:position w:val="0"/>
          <w:sz w:val="22"/>
          <w:szCs w:val="22"/>
        </w:rPr>
        <w:t>以公允价值计量且其变动计入当期损益的金融负债</w:t>
      </w:r>
    </w:p>
    <w:p>
      <w:pPr>
        <w:pStyle w:val="Style11"/>
        <w:keepNext w:val="0"/>
        <w:keepLines w:val="0"/>
        <w:widowControl w:val="0"/>
        <w:shd w:val="clear" w:color="auto" w:fill="auto"/>
        <w:bidi w:val="0"/>
        <w:spacing w:before="0" w:after="100" w:line="311" w:lineRule="exact"/>
        <w:ind w:left="0" w:right="0" w:firstLine="480"/>
        <w:jc w:val="both"/>
        <w:rPr>
          <w:sz w:val="22"/>
          <w:szCs w:val="22"/>
        </w:rPr>
      </w:pPr>
      <w:r>
        <w:rPr>
          <w:color w:val="000000"/>
          <w:spacing w:val="0"/>
          <w:w w:val="100"/>
          <w:position w:val="0"/>
          <w:sz w:val="22"/>
          <w:szCs w:val="22"/>
        </w:rPr>
        <w:t>该类金融负债包括交易性金融负债（含属于金融负债的衍生工具）和指定为以公允价值 计量且其变动计入当期损益的金融负债。初始确认后，对于该类金融负债以公允价值进行后 续计量，除与套期会计有关外，产生的利得或损失（包括利息费用）计入当期损益。但本公 司对指定为以公允价值计量且其变动计入当期损益的金融负债，由其自身信用风险变动引起 的该金融负债公允价值的变动金额计入其他综合收益，当该金融负债终止确认时，之前计入 其他综合收益的累计利得和损失应当从其他综合收益中转出，计入留存收益。</w:t>
      </w:r>
    </w:p>
    <w:p>
      <w:pPr>
        <w:pStyle w:val="Style11"/>
        <w:keepNext w:val="0"/>
        <w:keepLines w:val="0"/>
        <w:widowControl w:val="0"/>
        <w:numPr>
          <w:ilvl w:val="0"/>
          <w:numId w:val="49"/>
        </w:numPr>
        <w:shd w:val="clear" w:color="auto" w:fill="auto"/>
        <w:tabs>
          <w:tab w:pos="885" w:val="left"/>
        </w:tabs>
        <w:bidi w:val="0"/>
        <w:spacing w:before="0" w:after="100" w:line="313" w:lineRule="exact"/>
        <w:ind w:left="0" w:right="0" w:firstLine="480"/>
        <w:jc w:val="both"/>
        <w:rPr>
          <w:sz w:val="22"/>
          <w:szCs w:val="22"/>
        </w:rPr>
      </w:pPr>
      <w:bookmarkStart w:id="858" w:name="bookmark858"/>
      <w:bookmarkEnd w:id="858"/>
      <w:r>
        <w:rPr>
          <w:color w:val="000000"/>
          <w:spacing w:val="0"/>
          <w:w w:val="100"/>
          <w:position w:val="0"/>
          <w:sz w:val="22"/>
          <w:szCs w:val="22"/>
        </w:rPr>
        <w:t>贷款承诺及财务担保合同负债</w:t>
      </w:r>
    </w:p>
    <w:p>
      <w:pPr>
        <w:pStyle w:val="Style11"/>
        <w:keepNext w:val="0"/>
        <w:keepLines w:val="0"/>
        <w:widowControl w:val="0"/>
        <w:shd w:val="clear" w:color="auto" w:fill="auto"/>
        <w:bidi w:val="0"/>
        <w:spacing w:before="0" w:after="100" w:line="312" w:lineRule="exact"/>
        <w:ind w:left="0" w:right="0" w:firstLine="480"/>
        <w:jc w:val="both"/>
        <w:rPr>
          <w:sz w:val="22"/>
          <w:szCs w:val="22"/>
        </w:rPr>
      </w:pPr>
      <w:r>
        <w:rPr>
          <w:color w:val="000000"/>
          <w:spacing w:val="0"/>
          <w:w w:val="100"/>
          <w:position w:val="0"/>
          <w:sz w:val="22"/>
          <w:szCs w:val="22"/>
        </w:rPr>
        <w:t>贷款承诺是本公司向客户提供的一项在承诺期间内以既定的合同条款向客户发放贷款的 承诺。贷款承诺按照预期信用损失模型计提减值损失。</w:t>
      </w:r>
    </w:p>
    <w:p>
      <w:pPr>
        <w:pStyle w:val="Style11"/>
        <w:keepNext w:val="0"/>
        <w:keepLines w:val="0"/>
        <w:widowControl w:val="0"/>
        <w:shd w:val="clear" w:color="auto" w:fill="auto"/>
        <w:bidi w:val="0"/>
        <w:spacing w:before="0" w:after="100" w:line="315" w:lineRule="exact"/>
        <w:ind w:left="0" w:right="0" w:firstLine="480"/>
        <w:jc w:val="both"/>
        <w:rPr>
          <w:sz w:val="22"/>
          <w:szCs w:val="22"/>
        </w:rPr>
      </w:pPr>
      <w:r>
        <w:rPr>
          <w:color w:val="000000"/>
          <w:spacing w:val="0"/>
          <w:w w:val="100"/>
          <w:position w:val="0"/>
          <w:sz w:val="22"/>
          <w:szCs w:val="22"/>
        </w:rPr>
        <w:t>财务担保合同指，当特定债务人到期不能按照最初或修改后的债务工具条款偿付债务时， 要求本公司向蒙受损失的合同持有人赔付特定金额的合同。财务担保合同负债以按照依据金 融工具的减值原则所确定的损失准备金额以及初始确认金额扣除按收入确认原则确定的累计 摊销额后的余额孰高进行后续计量。</w:t>
      </w:r>
    </w:p>
    <w:p>
      <w:pPr>
        <w:pStyle w:val="Style11"/>
        <w:keepNext w:val="0"/>
        <w:keepLines w:val="0"/>
        <w:widowControl w:val="0"/>
        <w:numPr>
          <w:ilvl w:val="0"/>
          <w:numId w:val="49"/>
        </w:numPr>
        <w:shd w:val="clear" w:color="auto" w:fill="auto"/>
        <w:tabs>
          <w:tab w:pos="885" w:val="left"/>
        </w:tabs>
        <w:bidi w:val="0"/>
        <w:spacing w:before="0" w:after="100" w:line="313" w:lineRule="exact"/>
        <w:ind w:left="0" w:right="0" w:firstLine="480"/>
        <w:jc w:val="both"/>
        <w:rPr>
          <w:sz w:val="22"/>
          <w:szCs w:val="22"/>
        </w:rPr>
      </w:pPr>
      <w:bookmarkStart w:id="859" w:name="bookmark859"/>
      <w:bookmarkEnd w:id="859"/>
      <w:r>
        <w:rPr>
          <w:color w:val="000000"/>
          <w:spacing w:val="0"/>
          <w:w w:val="100"/>
          <w:position w:val="0"/>
          <w:sz w:val="22"/>
          <w:szCs w:val="22"/>
        </w:rPr>
        <w:t>以摊余成本计量的金融负债</w:t>
      </w:r>
    </w:p>
    <w:p>
      <w:pPr>
        <w:pStyle w:val="Style11"/>
        <w:keepNext w:val="0"/>
        <w:keepLines w:val="0"/>
        <w:widowControl w:val="0"/>
        <w:shd w:val="clear" w:color="auto" w:fill="auto"/>
        <w:bidi w:val="0"/>
        <w:spacing w:before="0" w:after="100" w:line="313" w:lineRule="exact"/>
        <w:ind w:left="0" w:right="0" w:firstLine="480"/>
        <w:jc w:val="both"/>
        <w:rPr>
          <w:sz w:val="22"/>
          <w:szCs w:val="22"/>
        </w:rPr>
      </w:pPr>
      <w:r>
        <w:rPr>
          <w:color w:val="000000"/>
          <w:spacing w:val="0"/>
          <w:w w:val="100"/>
          <w:position w:val="0"/>
          <w:sz w:val="22"/>
          <w:szCs w:val="22"/>
        </w:rPr>
        <w:t>初始确认后，对其他金融负债采用实际利率法以摊余成本计量。</w:t>
      </w:r>
    </w:p>
    <w:p>
      <w:pPr>
        <w:pStyle w:val="Style11"/>
        <w:keepNext w:val="0"/>
        <w:keepLines w:val="0"/>
        <w:widowControl w:val="0"/>
        <w:shd w:val="clear" w:color="auto" w:fill="auto"/>
        <w:bidi w:val="0"/>
        <w:spacing w:before="0" w:after="100" w:line="313" w:lineRule="exact"/>
        <w:ind w:left="0" w:right="0" w:firstLine="480"/>
        <w:jc w:val="left"/>
        <w:rPr>
          <w:sz w:val="22"/>
          <w:szCs w:val="22"/>
        </w:rPr>
      </w:pPr>
      <w:r>
        <w:rPr>
          <w:color w:val="000000"/>
          <w:spacing w:val="0"/>
          <w:w w:val="100"/>
          <w:position w:val="0"/>
          <w:sz w:val="22"/>
          <w:szCs w:val="22"/>
        </w:rPr>
        <w:t>除特殊情况外，金融负债与权益工具按照下列原则进行区分：</w:t>
      </w:r>
    </w:p>
    <w:p>
      <w:pPr>
        <w:pStyle w:val="Style11"/>
        <w:keepNext w:val="0"/>
        <w:keepLines w:val="0"/>
        <w:widowControl w:val="0"/>
        <w:numPr>
          <w:ilvl w:val="0"/>
          <w:numId w:val="51"/>
        </w:numPr>
        <w:shd w:val="clear" w:color="auto" w:fill="auto"/>
        <w:tabs>
          <w:tab w:pos="885" w:val="left"/>
        </w:tabs>
        <w:bidi w:val="0"/>
        <w:spacing w:before="0" w:after="100" w:line="314" w:lineRule="exact"/>
        <w:ind w:left="0" w:right="0" w:firstLine="480"/>
        <w:jc w:val="both"/>
        <w:rPr>
          <w:sz w:val="22"/>
          <w:szCs w:val="22"/>
        </w:rPr>
      </w:pPr>
      <w:bookmarkStart w:id="860" w:name="bookmark860"/>
      <w:bookmarkEnd w:id="860"/>
      <w:r>
        <w:rPr>
          <w:color w:val="000000"/>
          <w:spacing w:val="0"/>
          <w:w w:val="100"/>
          <w:position w:val="0"/>
          <w:sz w:val="22"/>
          <w:szCs w:val="22"/>
        </w:rPr>
        <w:t>如果本公司不能无条件地避免以交付现金或其他金融资产来履行一项合同义务，则该 合同义务符合金融负债的定义。有些金融工具虽然没有明确地包含交付现金或其他金融资产 义务的条款和条件，但有可能通过其他条款和条件间接地形成合同义务。</w:t>
      </w:r>
    </w:p>
    <w:p>
      <w:pPr>
        <w:pStyle w:val="Style11"/>
        <w:keepNext w:val="0"/>
        <w:keepLines w:val="0"/>
        <w:widowControl w:val="0"/>
        <w:numPr>
          <w:ilvl w:val="0"/>
          <w:numId w:val="51"/>
        </w:numPr>
        <w:shd w:val="clear" w:color="auto" w:fill="auto"/>
        <w:tabs>
          <w:tab w:pos="885" w:val="left"/>
        </w:tabs>
        <w:bidi w:val="0"/>
        <w:spacing w:before="0" w:after="100" w:line="313" w:lineRule="exact"/>
        <w:ind w:left="0" w:right="0" w:firstLine="480"/>
        <w:jc w:val="both"/>
        <w:rPr>
          <w:sz w:val="22"/>
          <w:szCs w:val="22"/>
        </w:rPr>
      </w:pPr>
      <w:bookmarkStart w:id="861" w:name="bookmark861"/>
      <w:bookmarkEnd w:id="861"/>
      <w:r>
        <w:rPr>
          <w:color w:val="000000"/>
          <w:spacing w:val="0"/>
          <w:w w:val="100"/>
          <w:position w:val="0"/>
          <w:sz w:val="22"/>
          <w:szCs w:val="22"/>
        </w:rPr>
        <w:t>如果一项金融工具须用或可用本公司自身权益工具进行结算，需要考虑用于结算该工 具的本公司自身权益工具，是作为现金或其他金融资产的替代品，还是为了使该工具持有方 享有在发行方扣除所有负债后的资产中的剩余权益。如果是前者，该工具是发行方的金融负 债；如果是后者，该工具是发行方的权益工具。在某些情况下，一项金融工具合同规定本公 司须用或可用自身权益工具结算该金融工具，其中合同权利或合同义务的金额等于可获取或 需交付的自身权益工具的数量乘以其结算时的公允价值，则无论该合同权利或合同义务的金 额是固定的，还是完全或部分地基于除本公司自身权益工具的市场价格以外变量（例如利率、 某种商品的价格或某项金融工具的价格）的变动而变动，该合同分类为金融负债。</w:t>
      </w:r>
    </w:p>
    <w:p>
      <w:pPr>
        <w:pStyle w:val="Style11"/>
        <w:keepNext w:val="0"/>
        <w:keepLines w:val="0"/>
        <w:widowControl w:val="0"/>
        <w:shd w:val="clear" w:color="auto" w:fill="auto"/>
        <w:bidi w:val="0"/>
        <w:spacing w:before="0" w:after="100" w:line="313" w:lineRule="exact"/>
        <w:ind w:left="0" w:right="0" w:firstLine="480"/>
        <w:jc w:val="both"/>
        <w:rPr>
          <w:sz w:val="22"/>
          <w:szCs w:val="22"/>
        </w:rPr>
      </w:pPr>
      <w:bookmarkStart w:id="862" w:name="bookmark862"/>
      <w:r>
        <w:rPr>
          <w:color w:val="000000"/>
          <w:spacing w:val="0"/>
          <w:w w:val="100"/>
          <w:position w:val="0"/>
          <w:sz w:val="22"/>
          <w:szCs w:val="22"/>
        </w:rPr>
        <w:t>（</w:t>
      </w:r>
      <w:bookmarkEnd w:id="862"/>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）金融工具减值</w:t>
      </w:r>
    </w:p>
    <w:p>
      <w:pPr>
        <w:pStyle w:val="Style11"/>
        <w:keepNext w:val="0"/>
        <w:keepLines w:val="0"/>
        <w:widowControl w:val="0"/>
        <w:shd w:val="clear" w:color="auto" w:fill="auto"/>
        <w:bidi w:val="0"/>
        <w:spacing w:before="0" w:after="100" w:line="322" w:lineRule="exact"/>
        <w:ind w:left="0" w:right="0" w:firstLine="480"/>
        <w:jc w:val="both"/>
        <w:rPr>
          <w:sz w:val="22"/>
          <w:szCs w:val="22"/>
        </w:rPr>
      </w:pPr>
      <w:r>
        <w:rPr>
          <w:color w:val="000000"/>
          <w:spacing w:val="0"/>
          <w:w w:val="100"/>
          <w:position w:val="0"/>
          <w:sz w:val="22"/>
          <w:szCs w:val="22"/>
        </w:rPr>
        <w:t>本公司对于以摊余成本计量的金融资产、以公允价值计量且其变动计入其他综合收益的 债权投资等，以预期信用损失为基础确认损失准备。</w:t>
      </w:r>
    </w:p>
    <w:p>
      <w:pPr>
        <w:pStyle w:val="Style11"/>
        <w:keepNext w:val="0"/>
        <w:keepLines w:val="0"/>
        <w:widowControl w:val="0"/>
        <w:numPr>
          <w:ilvl w:val="0"/>
          <w:numId w:val="53"/>
        </w:numPr>
        <w:shd w:val="clear" w:color="auto" w:fill="auto"/>
        <w:bidi w:val="0"/>
        <w:spacing w:before="0" w:after="100" w:line="313" w:lineRule="exact"/>
        <w:ind w:left="0" w:right="0" w:firstLine="480"/>
        <w:jc w:val="both"/>
        <w:rPr>
          <w:sz w:val="22"/>
          <w:szCs w:val="22"/>
        </w:rPr>
      </w:pPr>
      <w:bookmarkStart w:id="863" w:name="bookmark863"/>
      <w:bookmarkEnd w:id="863"/>
      <w:r>
        <w:rPr>
          <w:color w:val="000000"/>
          <w:spacing w:val="0"/>
          <w:w w:val="100"/>
          <w:position w:val="0"/>
          <w:sz w:val="22"/>
          <w:szCs w:val="22"/>
        </w:rPr>
        <w:t>预期信用损失的计量</w:t>
      </w:r>
    </w:p>
    <w:p>
      <w:pPr>
        <w:pStyle w:val="Style11"/>
        <w:keepNext w:val="0"/>
        <w:keepLines w:val="0"/>
        <w:widowControl w:val="0"/>
        <w:shd w:val="clear" w:color="auto" w:fill="auto"/>
        <w:bidi w:val="0"/>
        <w:spacing w:before="0" w:after="100" w:line="312" w:lineRule="exact"/>
        <w:ind w:left="0" w:right="0" w:firstLine="480"/>
        <w:jc w:val="both"/>
        <w:rPr>
          <w:sz w:val="22"/>
          <w:szCs w:val="22"/>
        </w:rPr>
      </w:pPr>
      <w:r>
        <w:rPr>
          <w:color w:val="000000"/>
          <w:spacing w:val="0"/>
          <w:w w:val="100"/>
          <w:position w:val="0"/>
          <w:sz w:val="22"/>
          <w:szCs w:val="22"/>
        </w:rPr>
        <w:t>预期信用损失，是指以发生违约的风险为权重的金融工具信用损失的加权平均值。信用 损失，是指本公司按照原实际利率折现的、根据合同应收的所有合同现金流量与预期收取的 所有现金流量之间的差额，即全部现金短缺的现值。其中，对于本公司购买或源生的已发生 信用减值的金融资产，应按照该金融资产经信用调整的实际利率折现。</w:t>
      </w:r>
    </w:p>
    <w:p>
      <w:pPr>
        <w:pStyle w:val="Style11"/>
        <w:keepNext w:val="0"/>
        <w:keepLines w:val="0"/>
        <w:widowControl w:val="0"/>
        <w:shd w:val="clear" w:color="auto" w:fill="auto"/>
        <w:bidi w:val="0"/>
        <w:spacing w:before="0" w:after="100" w:line="307" w:lineRule="exact"/>
        <w:ind w:left="0" w:right="0" w:firstLine="480"/>
        <w:jc w:val="both"/>
        <w:rPr>
          <w:sz w:val="22"/>
          <w:szCs w:val="22"/>
        </w:rPr>
      </w:pPr>
      <w:r>
        <w:rPr>
          <w:color w:val="000000"/>
          <w:spacing w:val="0"/>
          <w:w w:val="100"/>
          <w:position w:val="0"/>
          <w:sz w:val="22"/>
          <w:szCs w:val="22"/>
        </w:rPr>
        <w:t>整个存续期预期信用损失，是指因金融工具整个预计存续期内所有可能发生的违约事件 而导致的预期信用损失。</w:t>
      </w:r>
    </w:p>
    <w:p>
      <w:pPr>
        <w:pStyle w:val="Style11"/>
        <w:keepNext w:val="0"/>
        <w:keepLines w:val="0"/>
        <w:widowControl w:val="0"/>
        <w:shd w:val="clear" w:color="auto" w:fill="auto"/>
        <w:bidi w:val="0"/>
        <w:spacing w:before="0" w:after="100" w:line="317" w:lineRule="exact"/>
        <w:ind w:left="0" w:right="0" w:firstLine="480"/>
        <w:jc w:val="both"/>
        <w:rPr>
          <w:sz w:val="22"/>
          <w:szCs w:val="22"/>
        </w:rPr>
      </w:pPr>
      <w:r>
        <w:rPr>
          <w:color w:val="000000"/>
          <w:spacing w:val="0"/>
          <w:w w:val="100"/>
          <w:position w:val="0"/>
          <w:sz w:val="22"/>
          <w:szCs w:val="22"/>
        </w:rPr>
        <w:t>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个月内预期信用损失，是指因资产负债表日后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个月内（若金融工具的预计存续 期少于</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个月，则为预计存续期）可能发生的金融工具违约事件而导致的预期信用损失，是 整个存续期预期信用损失的一部分。</w:t>
      </w:r>
    </w:p>
    <w:p>
      <w:pPr>
        <w:pStyle w:val="Style11"/>
        <w:keepNext w:val="0"/>
        <w:keepLines w:val="0"/>
        <w:widowControl w:val="0"/>
        <w:shd w:val="clear" w:color="auto" w:fill="auto"/>
        <w:bidi w:val="0"/>
        <w:spacing w:before="0" w:after="160" w:line="312" w:lineRule="exact"/>
        <w:ind w:left="0" w:right="0" w:firstLine="480"/>
        <w:jc w:val="both"/>
        <w:rPr>
          <w:sz w:val="22"/>
          <w:szCs w:val="22"/>
        </w:rPr>
      </w:pPr>
      <w:r>
        <w:rPr>
          <w:color w:val="000000"/>
          <w:spacing w:val="0"/>
          <w:w w:val="100"/>
          <w:position w:val="0"/>
          <w:sz w:val="22"/>
          <w:szCs w:val="22"/>
        </w:rPr>
        <w:t>于每个资产负债表日，本公司对于处于不同阶段的金融工具的预期信用损失分别进行计 量。金融工具自初始确认后信用风险未显著增加的，处于第一阶段，本公司按照未来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 内的预期信用损失计量损失准备；金融工具自初始确认后信用风险已显著增加但尚未发生信 用减值的，处于第二阶段，本公司按照该工具整个存续期的预期信用损失计量损失准备；金 融工具自初始确认后已经发生信用减值的，处于第三阶段，本公司按照该工具整个存续期的 预期信用损失计量损失准备。</w:t>
      </w:r>
    </w:p>
    <w:p>
      <w:pPr>
        <w:pStyle w:val="Style11"/>
        <w:keepNext w:val="0"/>
        <w:keepLines w:val="0"/>
        <w:widowControl w:val="0"/>
        <w:shd w:val="clear" w:color="auto" w:fill="auto"/>
        <w:bidi w:val="0"/>
        <w:spacing w:before="0" w:after="100" w:line="293" w:lineRule="exact"/>
        <w:ind w:left="0" w:right="0" w:firstLine="480"/>
        <w:jc w:val="both"/>
        <w:rPr>
          <w:sz w:val="22"/>
          <w:szCs w:val="22"/>
        </w:rPr>
      </w:pPr>
      <w:r>
        <w:rPr>
          <w:color w:val="000000"/>
          <w:spacing w:val="0"/>
          <w:w w:val="100"/>
          <w:position w:val="0"/>
          <w:sz w:val="22"/>
          <w:szCs w:val="22"/>
        </w:rPr>
        <w:t>对于在资产负债表日具有较低信用风险的金融工具，本公司假设其信用风险自初始确认 后并未显著增加，按照未来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个月内的预期信用损失计量损失准备。</w:t>
      </w:r>
    </w:p>
    <w:p>
      <w:pPr>
        <w:pStyle w:val="Style11"/>
        <w:keepNext w:val="0"/>
        <w:keepLines w:val="0"/>
        <w:widowControl w:val="0"/>
        <w:shd w:val="clear" w:color="auto" w:fill="auto"/>
        <w:bidi w:val="0"/>
        <w:spacing w:before="0" w:after="100" w:line="312" w:lineRule="exact"/>
        <w:ind w:left="0" w:right="0" w:firstLine="480"/>
        <w:jc w:val="both"/>
        <w:rPr>
          <w:sz w:val="22"/>
          <w:szCs w:val="22"/>
        </w:rPr>
      </w:pPr>
      <w:r>
        <w:rPr>
          <w:color w:val="000000"/>
          <w:spacing w:val="0"/>
          <w:w w:val="100"/>
          <w:position w:val="0"/>
          <w:sz w:val="22"/>
          <w:szCs w:val="22"/>
        </w:rPr>
        <w:t>本公司对于处于第一阶段和第二阶段、以及较低信用风险的金融工具，按照其未扣除减 值准备的账面余额和实际利率计算利息收入。对于处于第三阶段的金融工具，按照其账面余 额减已计提减值准备后的摊余成本和实际利率计算利息收入。</w:t>
      </w:r>
    </w:p>
    <w:p>
      <w:pPr>
        <w:pStyle w:val="Style11"/>
        <w:keepNext w:val="0"/>
        <w:keepLines w:val="0"/>
        <w:widowControl w:val="0"/>
        <w:shd w:val="clear" w:color="auto" w:fill="auto"/>
        <w:bidi w:val="0"/>
        <w:spacing w:before="0" w:after="160" w:line="322" w:lineRule="exact"/>
        <w:ind w:left="0" w:right="0" w:firstLine="480"/>
        <w:jc w:val="both"/>
        <w:rPr>
          <w:sz w:val="22"/>
          <w:szCs w:val="22"/>
        </w:rPr>
      </w:pPr>
      <w:r>
        <w:rPr>
          <w:color w:val="000000"/>
          <w:spacing w:val="0"/>
          <w:w w:val="100"/>
          <w:position w:val="0"/>
          <w:sz w:val="22"/>
          <w:szCs w:val="22"/>
        </w:rPr>
        <w:t>对于应收票据、应收账款及应收款项融资，无论是否存在重大融资成分，本公司均按照 整个存续期的预期信用损失计量损失准备。</w:t>
      </w:r>
    </w:p>
    <w:p>
      <w:pPr>
        <w:pStyle w:val="Style11"/>
        <w:keepNext w:val="0"/>
        <w:keepLines w:val="0"/>
        <w:widowControl w:val="0"/>
        <w:shd w:val="clear" w:color="auto" w:fill="auto"/>
        <w:bidi w:val="0"/>
        <w:spacing w:before="0" w:after="100" w:line="271" w:lineRule="auto"/>
        <w:ind w:left="0" w:right="0" w:firstLine="480"/>
        <w:jc w:val="both"/>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应收款项</w:t>
      </w:r>
    </w:p>
    <w:p>
      <w:pPr>
        <w:pStyle w:val="Style11"/>
        <w:keepNext w:val="0"/>
        <w:keepLines w:val="0"/>
        <w:widowControl w:val="0"/>
        <w:shd w:val="clear" w:color="auto" w:fill="auto"/>
        <w:bidi w:val="0"/>
        <w:spacing w:before="0" w:after="100" w:line="311" w:lineRule="exact"/>
        <w:ind w:left="0" w:right="0" w:firstLine="480"/>
        <w:jc w:val="both"/>
        <w:rPr>
          <w:sz w:val="22"/>
          <w:szCs w:val="22"/>
        </w:rPr>
      </w:pPr>
      <w:r>
        <w:rPr>
          <w:color w:val="000000"/>
          <w:spacing w:val="0"/>
          <w:w w:val="100"/>
          <w:position w:val="0"/>
          <w:sz w:val="22"/>
          <w:szCs w:val="22"/>
        </w:rPr>
        <w:t>对于存在客观证据表明存在减值，以及其他适用于单项评估的应收票据、应收账款，其 他应收款、应收款项融资等单独进行减值测试，确认预期信用损失，计提单项减值准备。对 于不存在减值客观证据的应收票据、应收账款、其他应收款、应收款项融资或当单项金融资 产无法以合理成本评估预期信用损失的信息时，本公司依据信用风险特征将应收票据、应收 账款、其他应收款、应收款项融资等划分为若干组合，在组合基础上计算预期信用损失，确 定组合的依据如下：</w:t>
      </w:r>
    </w:p>
    <w:p>
      <w:pPr>
        <w:pStyle w:val="Style11"/>
        <w:keepNext w:val="0"/>
        <w:keepLines w:val="0"/>
        <w:widowControl w:val="0"/>
        <w:shd w:val="clear" w:color="auto" w:fill="auto"/>
        <w:bidi w:val="0"/>
        <w:spacing w:before="0" w:after="100" w:line="312" w:lineRule="exact"/>
        <w:ind w:left="0" w:right="0" w:firstLine="480"/>
        <w:jc w:val="both"/>
        <w:rPr>
          <w:sz w:val="22"/>
          <w:szCs w:val="22"/>
        </w:rPr>
      </w:pPr>
      <w:r>
        <w:rPr>
          <w:color w:val="000000"/>
          <w:spacing w:val="0"/>
          <w:w w:val="100"/>
          <w:position w:val="0"/>
          <w:sz w:val="22"/>
          <w:szCs w:val="22"/>
        </w:rPr>
        <w:t>应收票据确定组合的依据如下：</w:t>
      </w:r>
    </w:p>
    <w:p>
      <w:pPr>
        <w:pStyle w:val="Style11"/>
        <w:keepNext w:val="0"/>
        <w:keepLines w:val="0"/>
        <w:widowControl w:val="0"/>
        <w:shd w:val="clear" w:color="auto" w:fill="auto"/>
        <w:bidi w:val="0"/>
        <w:spacing w:before="0" w:after="100" w:line="312" w:lineRule="exact"/>
        <w:ind w:left="0" w:right="0" w:firstLine="480"/>
        <w:jc w:val="both"/>
        <w:rPr>
          <w:sz w:val="22"/>
          <w:szCs w:val="22"/>
        </w:rPr>
      </w:pPr>
      <w:r>
        <w:rPr>
          <w:color w:val="000000"/>
          <w:spacing w:val="0"/>
          <w:w w:val="100"/>
          <w:position w:val="0"/>
          <w:sz w:val="22"/>
          <w:szCs w:val="22"/>
        </w:rPr>
        <w:t>应收票据组合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银行承兑汇票</w:t>
      </w:r>
    </w:p>
    <w:p>
      <w:pPr>
        <w:pStyle w:val="Style11"/>
        <w:keepNext w:val="0"/>
        <w:keepLines w:val="0"/>
        <w:widowControl w:val="0"/>
        <w:shd w:val="clear" w:color="auto" w:fill="auto"/>
        <w:bidi w:val="0"/>
        <w:spacing w:before="0" w:after="100" w:line="312" w:lineRule="exact"/>
        <w:ind w:left="0" w:right="0" w:firstLine="480"/>
        <w:jc w:val="both"/>
        <w:rPr>
          <w:sz w:val="22"/>
          <w:szCs w:val="22"/>
        </w:rPr>
      </w:pPr>
      <w:r>
        <w:rPr>
          <w:color w:val="000000"/>
          <w:spacing w:val="0"/>
          <w:w w:val="100"/>
          <w:position w:val="0"/>
          <w:sz w:val="22"/>
          <w:szCs w:val="22"/>
        </w:rPr>
        <w:t>应收票据组合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商业承兑汇票</w:t>
      </w:r>
    </w:p>
    <w:p>
      <w:pPr>
        <w:pStyle w:val="Style11"/>
        <w:keepNext w:val="0"/>
        <w:keepLines w:val="0"/>
        <w:widowControl w:val="0"/>
        <w:shd w:val="clear" w:color="auto" w:fill="auto"/>
        <w:bidi w:val="0"/>
        <w:spacing w:before="0" w:after="100" w:line="312" w:lineRule="exact"/>
        <w:ind w:left="0" w:right="0" w:firstLine="480"/>
        <w:jc w:val="both"/>
        <w:rPr>
          <w:sz w:val="22"/>
          <w:szCs w:val="22"/>
        </w:rPr>
      </w:pPr>
      <w:r>
        <w:rPr>
          <w:color w:val="000000"/>
          <w:spacing w:val="0"/>
          <w:w w:val="100"/>
          <w:position w:val="0"/>
          <w:sz w:val="22"/>
          <w:szCs w:val="22"/>
        </w:rPr>
        <w:t>对于划分为组合的应收票据，本公司参考历史信用损失经验，结合当前状况以及对未来 经济状况的预测，通过违约风险敞口和整个存续期预期信用损失率，计算预期信用损失。</w:t>
      </w:r>
    </w:p>
    <w:p>
      <w:pPr>
        <w:pStyle w:val="Style11"/>
        <w:keepNext w:val="0"/>
        <w:keepLines w:val="0"/>
        <w:widowControl w:val="0"/>
        <w:shd w:val="clear" w:color="auto" w:fill="auto"/>
        <w:bidi w:val="0"/>
        <w:spacing w:before="0" w:after="100" w:line="312" w:lineRule="exact"/>
        <w:ind w:left="0" w:right="0" w:firstLine="480"/>
        <w:jc w:val="both"/>
        <w:rPr>
          <w:sz w:val="22"/>
          <w:szCs w:val="22"/>
        </w:rPr>
      </w:pPr>
      <w:r>
        <w:rPr>
          <w:color w:val="000000"/>
          <w:spacing w:val="0"/>
          <w:w w:val="100"/>
          <w:position w:val="0"/>
          <w:sz w:val="22"/>
          <w:szCs w:val="22"/>
        </w:rPr>
        <w:t>应收账款确定组合的依据如下：</w:t>
      </w:r>
    </w:p>
    <w:p>
      <w:pPr>
        <w:pStyle w:val="Style11"/>
        <w:keepNext w:val="0"/>
        <w:keepLines w:val="0"/>
        <w:widowControl w:val="0"/>
        <w:shd w:val="clear" w:color="auto" w:fill="auto"/>
        <w:bidi w:val="0"/>
        <w:spacing w:before="0" w:after="100" w:line="312" w:lineRule="exact"/>
        <w:ind w:left="0" w:right="0" w:firstLine="480"/>
        <w:jc w:val="both"/>
        <w:rPr>
          <w:sz w:val="22"/>
          <w:szCs w:val="22"/>
        </w:rPr>
      </w:pPr>
      <w:r>
        <w:rPr>
          <w:color w:val="000000"/>
          <w:spacing w:val="0"/>
          <w:w w:val="100"/>
          <w:position w:val="0"/>
          <w:sz w:val="22"/>
          <w:szCs w:val="22"/>
        </w:rPr>
        <w:t>应收账款组合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应收客户货款</w:t>
      </w:r>
    </w:p>
    <w:p>
      <w:pPr>
        <w:pStyle w:val="Style11"/>
        <w:keepNext w:val="0"/>
        <w:keepLines w:val="0"/>
        <w:widowControl w:val="0"/>
        <w:shd w:val="clear" w:color="auto" w:fill="auto"/>
        <w:bidi w:val="0"/>
        <w:spacing w:before="0" w:after="100" w:line="312" w:lineRule="exact"/>
        <w:ind w:left="0" w:right="0" w:firstLine="480"/>
        <w:jc w:val="both"/>
        <w:rPr>
          <w:sz w:val="22"/>
          <w:szCs w:val="22"/>
        </w:rPr>
      </w:pPr>
      <w:r>
        <w:rPr>
          <w:color w:val="000000"/>
          <w:spacing w:val="0"/>
          <w:w w:val="100"/>
          <w:position w:val="0"/>
          <w:sz w:val="22"/>
          <w:szCs w:val="22"/>
        </w:rPr>
        <w:t>应收账款组合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应收客户电费</w:t>
      </w:r>
    </w:p>
    <w:p>
      <w:pPr>
        <w:pStyle w:val="Style11"/>
        <w:keepNext w:val="0"/>
        <w:keepLines w:val="0"/>
        <w:widowControl w:val="0"/>
        <w:shd w:val="clear" w:color="auto" w:fill="auto"/>
        <w:bidi w:val="0"/>
        <w:spacing w:before="0" w:after="100" w:line="312" w:lineRule="exact"/>
        <w:ind w:left="0" w:right="0" w:firstLine="480"/>
        <w:jc w:val="both"/>
        <w:rPr>
          <w:sz w:val="22"/>
          <w:szCs w:val="22"/>
        </w:rPr>
      </w:pPr>
      <w:r>
        <w:rPr>
          <w:color w:val="000000"/>
          <w:spacing w:val="0"/>
          <w:w w:val="100"/>
          <w:position w:val="0"/>
          <w:sz w:val="22"/>
          <w:szCs w:val="22"/>
        </w:rPr>
        <w:t>应收账款组合</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应收合并范围内关联方款项</w:t>
      </w:r>
    </w:p>
    <w:p>
      <w:pPr>
        <w:pStyle w:val="Style11"/>
        <w:keepNext w:val="0"/>
        <w:keepLines w:val="0"/>
        <w:widowControl w:val="0"/>
        <w:shd w:val="clear" w:color="auto" w:fill="auto"/>
        <w:bidi w:val="0"/>
        <w:spacing w:before="0" w:after="160" w:line="322" w:lineRule="exact"/>
        <w:ind w:left="0" w:right="0" w:firstLine="480"/>
        <w:jc w:val="both"/>
        <w:rPr>
          <w:sz w:val="22"/>
          <w:szCs w:val="22"/>
        </w:rPr>
      </w:pPr>
      <w:r>
        <w:rPr>
          <w:color w:val="000000"/>
          <w:spacing w:val="0"/>
          <w:w w:val="100"/>
          <w:position w:val="0"/>
          <w:sz w:val="22"/>
          <w:szCs w:val="22"/>
        </w:rPr>
        <w:t>对于划分为组合的应收账款，本公司参考历史信用损失经验，结合当前状况以及对未来 经济状况的预测，编制应收账款信用期与整个存续期预期信用损失率对照表，计算预期信用 损失。</w:t>
      </w:r>
    </w:p>
    <w:p>
      <w:pPr>
        <w:pStyle w:val="Style11"/>
        <w:keepNext w:val="0"/>
        <w:keepLines w:val="0"/>
        <w:widowControl w:val="0"/>
        <w:shd w:val="clear" w:color="auto" w:fill="auto"/>
        <w:bidi w:val="0"/>
        <w:spacing w:before="0" w:after="100" w:line="240" w:lineRule="auto"/>
        <w:ind w:left="0" w:right="0" w:firstLine="480"/>
        <w:jc w:val="both"/>
        <w:rPr>
          <w:sz w:val="22"/>
          <w:szCs w:val="22"/>
        </w:rPr>
      </w:pPr>
      <w:r>
        <w:rPr>
          <w:color w:val="000000"/>
          <w:spacing w:val="0"/>
          <w:w w:val="100"/>
          <w:position w:val="0"/>
          <w:sz w:val="22"/>
          <w:szCs w:val="22"/>
        </w:rPr>
        <w:t>其他应收款确定组合的依据如下：</w:t>
      </w:r>
    </w:p>
    <w:p>
      <w:pPr>
        <w:pStyle w:val="Style11"/>
        <w:keepNext w:val="0"/>
        <w:keepLines w:val="0"/>
        <w:widowControl w:val="0"/>
        <w:shd w:val="clear" w:color="auto" w:fill="auto"/>
        <w:bidi w:val="0"/>
        <w:spacing w:before="0" w:after="120" w:line="312" w:lineRule="exact"/>
        <w:ind w:left="0" w:right="0" w:firstLine="480"/>
        <w:jc w:val="left"/>
        <w:rPr>
          <w:sz w:val="22"/>
          <w:szCs w:val="22"/>
        </w:rPr>
      </w:pPr>
      <w:r>
        <w:rPr>
          <w:color w:val="000000"/>
          <w:spacing w:val="0"/>
          <w:w w:val="100"/>
          <w:position w:val="0"/>
          <w:sz w:val="22"/>
          <w:szCs w:val="22"/>
        </w:rPr>
        <w:t>其他应收款组合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关联方往来</w:t>
      </w:r>
    </w:p>
    <w:p>
      <w:pPr>
        <w:pStyle w:val="Style11"/>
        <w:keepNext w:val="0"/>
        <w:keepLines w:val="0"/>
        <w:widowControl w:val="0"/>
        <w:shd w:val="clear" w:color="auto" w:fill="auto"/>
        <w:bidi w:val="0"/>
        <w:spacing w:before="0" w:after="120" w:line="312" w:lineRule="exact"/>
        <w:ind w:left="0" w:right="0" w:firstLine="480"/>
        <w:jc w:val="left"/>
        <w:rPr>
          <w:sz w:val="22"/>
          <w:szCs w:val="22"/>
        </w:rPr>
      </w:pPr>
      <w:r>
        <w:rPr>
          <w:color w:val="000000"/>
          <w:spacing w:val="0"/>
          <w:w w:val="100"/>
          <w:position w:val="0"/>
          <w:sz w:val="22"/>
          <w:szCs w:val="22"/>
        </w:rPr>
        <w:t>其他应收款组合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其他单位往来款</w:t>
      </w:r>
    </w:p>
    <w:p>
      <w:pPr>
        <w:pStyle w:val="Style11"/>
        <w:keepNext w:val="0"/>
        <w:keepLines w:val="0"/>
        <w:widowControl w:val="0"/>
        <w:shd w:val="clear" w:color="auto" w:fill="auto"/>
        <w:bidi w:val="0"/>
        <w:spacing w:before="0" w:after="120" w:line="312" w:lineRule="exact"/>
        <w:ind w:left="0" w:right="0" w:firstLine="480"/>
        <w:jc w:val="both"/>
        <w:rPr>
          <w:sz w:val="22"/>
          <w:szCs w:val="22"/>
        </w:rPr>
      </w:pPr>
      <w:r>
        <w:rPr>
          <w:color w:val="000000"/>
          <w:spacing w:val="0"/>
          <w:w w:val="100"/>
          <w:position w:val="0"/>
          <w:sz w:val="22"/>
          <w:szCs w:val="22"/>
        </w:rPr>
        <w:t>对于划分为组合的其他应收款，本公司参考历史信用损失经验，结合当前状况以及对未 来经济状况的预测，通过违约风险敞口和未来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个月内或整个存续期预期信用损失率，计算 预期信用损失。</w:t>
      </w:r>
    </w:p>
    <w:p>
      <w:pPr>
        <w:pStyle w:val="Style11"/>
        <w:keepNext w:val="0"/>
        <w:keepLines w:val="0"/>
        <w:widowControl w:val="0"/>
        <w:shd w:val="clear" w:color="auto" w:fill="auto"/>
        <w:bidi w:val="0"/>
        <w:spacing w:before="0" w:after="120" w:line="312" w:lineRule="exact"/>
        <w:ind w:left="0" w:right="0" w:firstLine="480"/>
        <w:jc w:val="both"/>
        <w:rPr>
          <w:sz w:val="22"/>
          <w:szCs w:val="22"/>
        </w:rPr>
      </w:pPr>
      <w:r>
        <w:rPr>
          <w:color w:val="000000"/>
          <w:spacing w:val="0"/>
          <w:w w:val="100"/>
          <w:position w:val="0"/>
          <w:sz w:val="22"/>
          <w:szCs w:val="22"/>
        </w:rPr>
        <w:t>应收款项融资确定组合的依据如下：</w:t>
      </w:r>
    </w:p>
    <w:p>
      <w:pPr>
        <w:pStyle w:val="Style11"/>
        <w:keepNext w:val="0"/>
        <w:keepLines w:val="0"/>
        <w:widowControl w:val="0"/>
        <w:shd w:val="clear" w:color="auto" w:fill="auto"/>
        <w:bidi w:val="0"/>
        <w:spacing w:before="0" w:after="120" w:line="312" w:lineRule="exact"/>
        <w:ind w:left="0" w:right="0" w:firstLine="480"/>
        <w:jc w:val="both"/>
        <w:rPr>
          <w:sz w:val="22"/>
          <w:szCs w:val="22"/>
        </w:rPr>
      </w:pPr>
      <w:r>
        <w:rPr>
          <w:color w:val="000000"/>
          <w:spacing w:val="0"/>
          <w:w w:val="100"/>
          <w:position w:val="0"/>
          <w:sz w:val="22"/>
          <w:szCs w:val="22"/>
        </w:rPr>
        <w:t>应收款项融资组合银行承兑汇票</w:t>
      </w:r>
    </w:p>
    <w:p>
      <w:pPr>
        <w:pStyle w:val="Style11"/>
        <w:keepNext w:val="0"/>
        <w:keepLines w:val="0"/>
        <w:widowControl w:val="0"/>
        <w:shd w:val="clear" w:color="auto" w:fill="auto"/>
        <w:bidi w:val="0"/>
        <w:spacing w:before="0" w:after="120" w:line="312" w:lineRule="exact"/>
        <w:ind w:left="0" w:right="0" w:firstLine="480"/>
        <w:jc w:val="both"/>
        <w:rPr>
          <w:sz w:val="22"/>
          <w:szCs w:val="22"/>
        </w:rPr>
      </w:pPr>
      <w:r>
        <w:rPr>
          <w:color w:val="000000"/>
          <w:spacing w:val="0"/>
          <w:w w:val="100"/>
          <w:position w:val="0"/>
          <w:sz w:val="22"/>
          <w:szCs w:val="22"/>
        </w:rPr>
        <w:t>对于划分为组合的应收款项融资，本公司参考历史信用损失经验，结合当前状况以及对 未来经济状况的预测，通过违约风险敞口和整个存续期预期信用损失率，计算预期信用损失。</w:t>
      </w:r>
    </w:p>
    <w:p>
      <w:pPr>
        <w:pStyle w:val="Style11"/>
        <w:keepNext w:val="0"/>
        <w:keepLines w:val="0"/>
        <w:widowControl w:val="0"/>
        <w:shd w:val="clear" w:color="auto" w:fill="auto"/>
        <w:bidi w:val="0"/>
        <w:spacing w:before="0" w:after="120" w:line="312" w:lineRule="exact"/>
        <w:ind w:left="0" w:right="0" w:firstLine="480"/>
        <w:jc w:val="left"/>
        <w:rPr>
          <w:sz w:val="22"/>
          <w:szCs w:val="22"/>
        </w:rPr>
      </w:pP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2"/>
          <w:szCs w:val="22"/>
        </w:rPr>
        <w:t>债权投资、其他债权投资</w:t>
      </w:r>
    </w:p>
    <w:p>
      <w:pPr>
        <w:pStyle w:val="Style11"/>
        <w:keepNext w:val="0"/>
        <w:keepLines w:val="0"/>
        <w:widowControl w:val="0"/>
        <w:shd w:val="clear" w:color="auto" w:fill="auto"/>
        <w:bidi w:val="0"/>
        <w:spacing w:before="0" w:after="60" w:line="314" w:lineRule="exact"/>
        <w:ind w:left="0" w:right="0" w:firstLine="480"/>
        <w:jc w:val="both"/>
        <w:rPr>
          <w:sz w:val="22"/>
          <w:szCs w:val="22"/>
        </w:rPr>
      </w:pPr>
      <w:r>
        <w:rPr>
          <w:color w:val="000000"/>
          <w:spacing w:val="0"/>
          <w:w w:val="100"/>
          <w:position w:val="0"/>
          <w:sz w:val="22"/>
          <w:szCs w:val="22"/>
        </w:rPr>
        <w:t>对于债权投资和其他债权投资，本公司按照投资的性质，根据交易对手和风险敞口的各 种类型，通过违约风险敞口和未来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个月内或整个存续期预期信用损失率，计算预期信用损 失。</w:t>
      </w:r>
    </w:p>
    <w:p>
      <w:pPr>
        <w:pStyle w:val="Style11"/>
        <w:keepNext w:val="0"/>
        <w:keepLines w:val="0"/>
        <w:widowControl w:val="0"/>
        <w:numPr>
          <w:ilvl w:val="0"/>
          <w:numId w:val="53"/>
        </w:numPr>
        <w:shd w:val="clear" w:color="auto" w:fill="auto"/>
        <w:tabs>
          <w:tab w:pos="901" w:val="left"/>
        </w:tabs>
        <w:bidi w:val="0"/>
        <w:spacing w:before="0" w:after="120" w:line="312" w:lineRule="exact"/>
        <w:ind w:left="0" w:right="0" w:firstLine="480"/>
        <w:jc w:val="both"/>
        <w:rPr>
          <w:sz w:val="22"/>
          <w:szCs w:val="22"/>
        </w:rPr>
      </w:pPr>
      <w:bookmarkStart w:id="864" w:name="bookmark864"/>
      <w:bookmarkEnd w:id="864"/>
      <w:r>
        <w:rPr>
          <w:color w:val="000000"/>
          <w:spacing w:val="0"/>
          <w:w w:val="100"/>
          <w:position w:val="0"/>
          <w:sz w:val="22"/>
          <w:szCs w:val="22"/>
        </w:rPr>
        <w:t>具有较低的信用风险</w:t>
      </w:r>
    </w:p>
    <w:p>
      <w:pPr>
        <w:pStyle w:val="Style11"/>
        <w:keepNext w:val="0"/>
        <w:keepLines w:val="0"/>
        <w:widowControl w:val="0"/>
        <w:shd w:val="clear" w:color="auto" w:fill="auto"/>
        <w:bidi w:val="0"/>
        <w:spacing w:before="0" w:after="120" w:line="314" w:lineRule="exact"/>
        <w:ind w:left="0" w:right="0" w:firstLine="480"/>
        <w:jc w:val="both"/>
        <w:rPr>
          <w:sz w:val="22"/>
          <w:szCs w:val="22"/>
        </w:rPr>
      </w:pPr>
      <w:r>
        <w:rPr>
          <w:color w:val="000000"/>
          <w:spacing w:val="0"/>
          <w:w w:val="100"/>
          <w:position w:val="0"/>
          <w:sz w:val="22"/>
          <w:szCs w:val="22"/>
        </w:rPr>
        <w:t>如果金融工具的违约风险较低，借款人在短期内履行其合同现金流量义务的能力很强， 并且即便较长时期内经济形势和经营环境存在不利变化但未必一定降低借款人履行其合同现 金流量义务的能力，该金融工具被视为具有较低的信用风险。</w:t>
      </w:r>
    </w:p>
    <w:p>
      <w:pPr>
        <w:pStyle w:val="Style11"/>
        <w:keepNext w:val="0"/>
        <w:keepLines w:val="0"/>
        <w:widowControl w:val="0"/>
        <w:numPr>
          <w:ilvl w:val="0"/>
          <w:numId w:val="53"/>
        </w:numPr>
        <w:shd w:val="clear" w:color="auto" w:fill="auto"/>
        <w:tabs>
          <w:tab w:pos="901" w:val="left"/>
        </w:tabs>
        <w:bidi w:val="0"/>
        <w:spacing w:before="0" w:after="120" w:line="312" w:lineRule="exact"/>
        <w:ind w:left="0" w:right="0" w:firstLine="480"/>
        <w:jc w:val="both"/>
        <w:rPr>
          <w:sz w:val="22"/>
          <w:szCs w:val="22"/>
        </w:rPr>
      </w:pPr>
      <w:bookmarkStart w:id="865" w:name="bookmark865"/>
      <w:bookmarkEnd w:id="865"/>
      <w:r>
        <w:rPr>
          <w:color w:val="000000"/>
          <w:spacing w:val="0"/>
          <w:w w:val="100"/>
          <w:position w:val="0"/>
          <w:sz w:val="22"/>
          <w:szCs w:val="22"/>
        </w:rPr>
        <w:t>信用风险显著增加</w:t>
      </w:r>
    </w:p>
    <w:p>
      <w:pPr>
        <w:pStyle w:val="Style11"/>
        <w:keepNext w:val="0"/>
        <w:keepLines w:val="0"/>
        <w:widowControl w:val="0"/>
        <w:shd w:val="clear" w:color="auto" w:fill="auto"/>
        <w:bidi w:val="0"/>
        <w:spacing w:before="0" w:after="120" w:line="314" w:lineRule="exact"/>
        <w:ind w:left="0" w:right="0" w:firstLine="480"/>
        <w:jc w:val="both"/>
        <w:rPr>
          <w:sz w:val="22"/>
          <w:szCs w:val="22"/>
        </w:rPr>
      </w:pPr>
      <w:r>
        <w:rPr>
          <w:color w:val="000000"/>
          <w:spacing w:val="0"/>
          <w:w w:val="100"/>
          <w:position w:val="0"/>
          <w:sz w:val="22"/>
          <w:szCs w:val="22"/>
        </w:rPr>
        <w:t>本公司通过比较金融工具在资产负债表日所确定的预计存续期内的违约概率与在初始确 认时所确定的预计存续期内的违约概率，以确定金融工具预计存续期内发生违约概率的相对 变化，以评估金融工具的信用风险自初始确认后是否已显著增加。</w:t>
      </w:r>
    </w:p>
    <w:p>
      <w:pPr>
        <w:pStyle w:val="Style11"/>
        <w:keepNext w:val="0"/>
        <w:keepLines w:val="0"/>
        <w:widowControl w:val="0"/>
        <w:shd w:val="clear" w:color="auto" w:fill="auto"/>
        <w:bidi w:val="0"/>
        <w:spacing w:before="0" w:after="120" w:line="312" w:lineRule="exact"/>
        <w:ind w:left="0" w:right="0" w:firstLine="480"/>
        <w:jc w:val="both"/>
        <w:rPr>
          <w:sz w:val="22"/>
          <w:szCs w:val="22"/>
        </w:rPr>
      </w:pPr>
      <w:r>
        <w:rPr>
          <w:color w:val="000000"/>
          <w:spacing w:val="0"/>
          <w:w w:val="100"/>
          <w:position w:val="0"/>
          <w:sz w:val="22"/>
          <w:szCs w:val="22"/>
        </w:rPr>
        <w:t>在确定信用风险自初始确认后是否显著增加时，本公司考虑无须付出不必要的额外成本 或努力即可获得的合理且有依据的信息，包括前瞻性信息。本公司考虑的信息包括：</w:t>
      </w:r>
    </w:p>
    <w:p>
      <w:pPr>
        <w:pStyle w:val="Style11"/>
        <w:keepNext w:val="0"/>
        <w:keepLines w:val="0"/>
        <w:widowControl w:val="0"/>
        <w:numPr>
          <w:ilvl w:val="0"/>
          <w:numId w:val="55"/>
        </w:numPr>
        <w:shd w:val="clear" w:color="auto" w:fill="auto"/>
        <w:tabs>
          <w:tab w:pos="886" w:val="left"/>
        </w:tabs>
        <w:bidi w:val="0"/>
        <w:spacing w:before="0" w:after="120" w:line="312" w:lineRule="exact"/>
        <w:ind w:left="0" w:right="0" w:firstLine="480"/>
        <w:jc w:val="left"/>
        <w:rPr>
          <w:sz w:val="22"/>
          <w:szCs w:val="22"/>
        </w:rPr>
      </w:pPr>
      <w:bookmarkStart w:id="866" w:name="bookmark866"/>
      <w:bookmarkEnd w:id="866"/>
      <w:r>
        <w:rPr>
          <w:color w:val="000000"/>
          <w:spacing w:val="0"/>
          <w:w w:val="100"/>
          <w:position w:val="0"/>
          <w:sz w:val="22"/>
          <w:szCs w:val="22"/>
        </w:rPr>
        <w:t>信用风险变化所导致的内部价格指标是否发生显著变化；</w:t>
      </w:r>
    </w:p>
    <w:p>
      <w:pPr>
        <w:pStyle w:val="Style11"/>
        <w:keepNext w:val="0"/>
        <w:keepLines w:val="0"/>
        <w:widowControl w:val="0"/>
        <w:numPr>
          <w:ilvl w:val="0"/>
          <w:numId w:val="55"/>
        </w:numPr>
        <w:shd w:val="clear" w:color="auto" w:fill="auto"/>
        <w:tabs>
          <w:tab w:pos="858" w:val="left"/>
        </w:tabs>
        <w:bidi w:val="0"/>
        <w:spacing w:before="0" w:after="120" w:line="307" w:lineRule="exact"/>
        <w:ind w:left="0" w:right="0" w:firstLine="480"/>
        <w:jc w:val="both"/>
        <w:rPr>
          <w:sz w:val="22"/>
          <w:szCs w:val="22"/>
        </w:rPr>
      </w:pPr>
      <w:bookmarkStart w:id="867" w:name="bookmark867"/>
      <w:bookmarkEnd w:id="867"/>
      <w:r>
        <w:rPr>
          <w:color w:val="000000"/>
          <w:spacing w:val="0"/>
          <w:w w:val="100"/>
          <w:position w:val="0"/>
          <w:sz w:val="22"/>
          <w:szCs w:val="22"/>
        </w:rPr>
        <w:t>预期将导致债务人履行其偿债义务的能力是否发生显著变化的业务、财务或经济状况 的不利变化；</w:t>
      </w:r>
    </w:p>
    <w:p>
      <w:pPr>
        <w:pStyle w:val="Style11"/>
        <w:keepNext w:val="0"/>
        <w:keepLines w:val="0"/>
        <w:widowControl w:val="0"/>
        <w:numPr>
          <w:ilvl w:val="0"/>
          <w:numId w:val="55"/>
        </w:numPr>
        <w:shd w:val="clear" w:color="auto" w:fill="auto"/>
        <w:tabs>
          <w:tab w:pos="882" w:val="left"/>
        </w:tabs>
        <w:bidi w:val="0"/>
        <w:spacing w:before="0" w:after="120" w:line="307" w:lineRule="exact"/>
        <w:ind w:left="0" w:right="0" w:firstLine="480"/>
        <w:jc w:val="both"/>
        <w:rPr>
          <w:sz w:val="22"/>
          <w:szCs w:val="22"/>
        </w:rPr>
      </w:pPr>
      <w:bookmarkStart w:id="868" w:name="bookmark868"/>
      <w:bookmarkEnd w:id="868"/>
      <w:r>
        <w:rPr>
          <w:color w:val="000000"/>
          <w:spacing w:val="0"/>
          <w:w w:val="100"/>
          <w:position w:val="0"/>
          <w:sz w:val="22"/>
          <w:szCs w:val="22"/>
        </w:rPr>
        <w:t>债务人经营成果实际或预期是否发生显著变化；债务人所处的监管、经济或技术环境 是否发生显著不利变化；</w:t>
      </w:r>
    </w:p>
    <w:p>
      <w:pPr>
        <w:pStyle w:val="Style11"/>
        <w:keepNext w:val="0"/>
        <w:keepLines w:val="0"/>
        <w:widowControl w:val="0"/>
        <w:numPr>
          <w:ilvl w:val="0"/>
          <w:numId w:val="55"/>
        </w:numPr>
        <w:shd w:val="clear" w:color="auto" w:fill="auto"/>
        <w:tabs>
          <w:tab w:pos="882" w:val="left"/>
        </w:tabs>
        <w:bidi w:val="0"/>
        <w:spacing w:before="0" w:after="120" w:line="322" w:lineRule="exact"/>
        <w:ind w:left="0" w:right="0" w:firstLine="480"/>
        <w:jc w:val="both"/>
        <w:rPr>
          <w:sz w:val="22"/>
          <w:szCs w:val="22"/>
        </w:rPr>
      </w:pPr>
      <w:bookmarkStart w:id="869" w:name="bookmark869"/>
      <w:bookmarkEnd w:id="869"/>
      <w:r>
        <w:rPr>
          <w:color w:val="000000"/>
          <w:spacing w:val="0"/>
          <w:w w:val="100"/>
          <w:position w:val="0"/>
          <w:sz w:val="22"/>
          <w:szCs w:val="22"/>
        </w:rPr>
        <w:t>作为债务抵押的担保物价值或第三方提供的担保或信用增级质量是否发生显著变化。 这些变化预期将降低债务人按合同规定期限还款的经济动机或者影响违约概率；</w:t>
      </w:r>
    </w:p>
    <w:p>
      <w:pPr>
        <w:pStyle w:val="Style11"/>
        <w:keepNext w:val="0"/>
        <w:keepLines w:val="0"/>
        <w:widowControl w:val="0"/>
        <w:numPr>
          <w:ilvl w:val="0"/>
          <w:numId w:val="55"/>
        </w:numPr>
        <w:shd w:val="clear" w:color="auto" w:fill="auto"/>
        <w:tabs>
          <w:tab w:pos="891" w:val="left"/>
        </w:tabs>
        <w:bidi w:val="0"/>
        <w:spacing w:before="0" w:after="120" w:line="312" w:lineRule="exact"/>
        <w:ind w:left="0" w:right="0" w:firstLine="480"/>
        <w:jc w:val="both"/>
        <w:rPr>
          <w:sz w:val="22"/>
          <w:szCs w:val="22"/>
        </w:rPr>
      </w:pPr>
      <w:bookmarkStart w:id="870" w:name="bookmark870"/>
      <w:bookmarkEnd w:id="870"/>
      <w:r>
        <w:rPr>
          <w:color w:val="000000"/>
          <w:spacing w:val="0"/>
          <w:w w:val="100"/>
          <w:position w:val="0"/>
          <w:sz w:val="22"/>
          <w:szCs w:val="22"/>
        </w:rPr>
        <w:t>预期将降低债务人按合同约定期限还款的经济动机是否发生显著变化；</w:t>
      </w:r>
    </w:p>
    <w:p>
      <w:pPr>
        <w:pStyle w:val="Style11"/>
        <w:keepNext w:val="0"/>
        <w:keepLines w:val="0"/>
        <w:widowControl w:val="0"/>
        <w:numPr>
          <w:ilvl w:val="0"/>
          <w:numId w:val="55"/>
        </w:numPr>
        <w:shd w:val="clear" w:color="auto" w:fill="auto"/>
        <w:tabs>
          <w:tab w:pos="877" w:val="left"/>
        </w:tabs>
        <w:bidi w:val="0"/>
        <w:spacing w:before="0" w:after="120" w:line="310" w:lineRule="exact"/>
        <w:ind w:left="0" w:right="0" w:firstLine="480"/>
        <w:jc w:val="both"/>
        <w:rPr>
          <w:sz w:val="22"/>
          <w:szCs w:val="22"/>
        </w:rPr>
      </w:pPr>
      <w:bookmarkStart w:id="871" w:name="bookmark871"/>
      <w:bookmarkEnd w:id="871"/>
      <w:r>
        <w:rPr>
          <w:color w:val="000000"/>
          <w:spacing w:val="0"/>
          <w:w w:val="100"/>
          <w:position w:val="0"/>
          <w:sz w:val="22"/>
          <w:szCs w:val="22"/>
        </w:rPr>
        <w:t>借款合同的预期变更，包括预计违反合同的行为是否可能导致的合同义务的免除或修 订、给予免息期、利率跳升、要求追加抵押品或担保或者对金融工具的合同框架做出其他变 更；</w:t>
      </w:r>
    </w:p>
    <w:p>
      <w:pPr>
        <w:pStyle w:val="Style11"/>
        <w:keepNext w:val="0"/>
        <w:keepLines w:val="0"/>
        <w:widowControl w:val="0"/>
        <w:numPr>
          <w:ilvl w:val="0"/>
          <w:numId w:val="55"/>
        </w:numPr>
        <w:shd w:val="clear" w:color="auto" w:fill="auto"/>
        <w:tabs>
          <w:tab w:pos="891" w:val="left"/>
        </w:tabs>
        <w:bidi w:val="0"/>
        <w:spacing w:before="0" w:after="120" w:line="312" w:lineRule="exact"/>
        <w:ind w:left="0" w:right="0" w:firstLine="480"/>
        <w:jc w:val="left"/>
        <w:rPr>
          <w:sz w:val="22"/>
          <w:szCs w:val="22"/>
        </w:rPr>
      </w:pPr>
      <w:bookmarkStart w:id="872" w:name="bookmark872"/>
      <w:bookmarkEnd w:id="872"/>
      <w:r>
        <w:rPr>
          <w:color w:val="000000"/>
          <w:spacing w:val="0"/>
          <w:w w:val="100"/>
          <w:position w:val="0"/>
          <w:sz w:val="22"/>
          <w:szCs w:val="22"/>
        </w:rPr>
        <w:t>债务人预期表现和还款行为是否发生显著变化；</w:t>
      </w:r>
    </w:p>
    <w:p>
      <w:pPr>
        <w:pStyle w:val="Style11"/>
        <w:keepNext w:val="0"/>
        <w:keepLines w:val="0"/>
        <w:widowControl w:val="0"/>
        <w:numPr>
          <w:ilvl w:val="0"/>
          <w:numId w:val="55"/>
        </w:numPr>
        <w:shd w:val="clear" w:color="auto" w:fill="auto"/>
        <w:tabs>
          <w:tab w:pos="891" w:val="left"/>
        </w:tabs>
        <w:bidi w:val="0"/>
        <w:spacing w:before="0" w:after="120" w:line="312" w:lineRule="exact"/>
        <w:ind w:left="0" w:right="0" w:firstLine="480"/>
        <w:jc w:val="left"/>
        <w:rPr>
          <w:sz w:val="22"/>
          <w:szCs w:val="22"/>
        </w:rPr>
      </w:pPr>
      <w:bookmarkStart w:id="873" w:name="bookmark873"/>
      <w:bookmarkEnd w:id="873"/>
      <w:r>
        <w:rPr>
          <w:color w:val="000000"/>
          <w:spacing w:val="0"/>
          <w:w w:val="100"/>
          <w:position w:val="0"/>
          <w:sz w:val="22"/>
          <w:szCs w:val="22"/>
        </w:rPr>
        <w:t>合同付款是否发生逾期超过（含）</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日。</w:t>
      </w:r>
    </w:p>
    <w:p>
      <w:pPr>
        <w:pStyle w:val="Style11"/>
        <w:keepNext w:val="0"/>
        <w:keepLines w:val="0"/>
        <w:widowControl w:val="0"/>
        <w:shd w:val="clear" w:color="auto" w:fill="auto"/>
        <w:bidi w:val="0"/>
        <w:spacing w:before="0" w:after="100" w:line="312" w:lineRule="exact"/>
        <w:ind w:left="0" w:right="0" w:firstLine="480"/>
        <w:jc w:val="left"/>
        <w:rPr>
          <w:sz w:val="22"/>
          <w:szCs w:val="22"/>
        </w:rPr>
      </w:pPr>
      <w:r>
        <w:rPr>
          <w:color w:val="000000"/>
          <w:spacing w:val="0"/>
          <w:w w:val="100"/>
          <w:position w:val="0"/>
          <w:sz w:val="22"/>
          <w:szCs w:val="22"/>
        </w:rPr>
        <w:t>根据金融工具的性质，本公司以单项金融工具或金融工具组合为基础评估信用风险是否 显著增加。以金融工具组合为基础进行评估时，本公司可基于共同信用风险特征对金融工具 进行分类，例如逾期信息和信用风险评级。</w:t>
      </w:r>
    </w:p>
    <w:p>
      <w:pPr>
        <w:pStyle w:val="Style11"/>
        <w:keepNext w:val="0"/>
        <w:keepLines w:val="0"/>
        <w:widowControl w:val="0"/>
        <w:shd w:val="clear" w:color="auto" w:fill="auto"/>
        <w:bidi w:val="0"/>
        <w:spacing w:before="0" w:after="100" w:line="307" w:lineRule="exact"/>
        <w:ind w:left="0" w:right="0" w:firstLine="480"/>
        <w:jc w:val="left"/>
        <w:rPr>
          <w:sz w:val="22"/>
          <w:szCs w:val="22"/>
        </w:rPr>
      </w:pPr>
      <w:r>
        <w:rPr>
          <w:color w:val="000000"/>
          <w:spacing w:val="0"/>
          <w:w w:val="100"/>
          <w:position w:val="0"/>
          <w:sz w:val="22"/>
          <w:szCs w:val="22"/>
        </w:rPr>
        <w:t>通常情况下，如果逾期超过</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日，本公司确定金融工具的信用风险已经显著增加。除非 本公司无需付出过多成本或努力即可获得合理且有依据的信息，证明虽然超过合同约定的付 款期限</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天，但信用风险自初始确认以来并未显著增加。</w:t>
      </w:r>
    </w:p>
    <w:p>
      <w:pPr>
        <w:pStyle w:val="Style11"/>
        <w:keepNext w:val="0"/>
        <w:keepLines w:val="0"/>
        <w:widowControl w:val="0"/>
        <w:numPr>
          <w:ilvl w:val="0"/>
          <w:numId w:val="53"/>
        </w:numPr>
        <w:shd w:val="clear" w:color="auto" w:fill="auto"/>
        <w:tabs>
          <w:tab w:pos="898" w:val="left"/>
        </w:tabs>
        <w:bidi w:val="0"/>
        <w:spacing w:before="0" w:after="100" w:line="313" w:lineRule="exact"/>
        <w:ind w:left="0" w:right="0" w:firstLine="480"/>
        <w:jc w:val="left"/>
        <w:rPr>
          <w:sz w:val="22"/>
          <w:szCs w:val="22"/>
        </w:rPr>
      </w:pPr>
      <w:bookmarkStart w:id="874" w:name="bookmark874"/>
      <w:bookmarkEnd w:id="874"/>
      <w:r>
        <w:rPr>
          <w:color w:val="000000"/>
          <w:spacing w:val="0"/>
          <w:w w:val="100"/>
          <w:position w:val="0"/>
          <w:sz w:val="22"/>
          <w:szCs w:val="22"/>
        </w:rPr>
        <w:t>已发生信用减值的金融资产</w:t>
      </w:r>
    </w:p>
    <w:p>
      <w:pPr>
        <w:pStyle w:val="Style11"/>
        <w:keepNext w:val="0"/>
        <w:keepLines w:val="0"/>
        <w:widowControl w:val="0"/>
        <w:shd w:val="clear" w:color="auto" w:fill="auto"/>
        <w:bidi w:val="0"/>
        <w:spacing w:before="0" w:after="100" w:line="312" w:lineRule="exact"/>
        <w:ind w:left="0" w:right="0" w:firstLine="480"/>
        <w:jc w:val="left"/>
        <w:rPr>
          <w:sz w:val="22"/>
          <w:szCs w:val="22"/>
        </w:rPr>
      </w:pPr>
      <w:r>
        <w:rPr>
          <w:color w:val="000000"/>
          <w:spacing w:val="0"/>
          <w:w w:val="100"/>
          <w:position w:val="0"/>
          <w:sz w:val="22"/>
          <w:szCs w:val="22"/>
        </w:rPr>
        <w:t>本公司在资产负债表日评估以摊余成本计量的金融资产和以公允价值计量且其变动计入 其他综合收益的债权投资是否已发生信用减值。当对金融资产预期未来现金流量具有不利影 响的一项或多项事件发生时，该金融资产成为已发生信用减值的金融资产。金融资产已发生 信用减值的证据包括下列可观察信息：</w:t>
      </w:r>
    </w:p>
    <w:p>
      <w:pPr>
        <w:pStyle w:val="Style11"/>
        <w:keepNext w:val="0"/>
        <w:keepLines w:val="0"/>
        <w:widowControl w:val="0"/>
        <w:shd w:val="clear" w:color="auto" w:fill="auto"/>
        <w:bidi w:val="0"/>
        <w:spacing w:before="0" w:after="100" w:line="313" w:lineRule="exact"/>
        <w:ind w:left="0" w:right="0" w:firstLine="480"/>
        <w:jc w:val="left"/>
        <w:rPr>
          <w:sz w:val="22"/>
          <w:szCs w:val="22"/>
        </w:rPr>
      </w:pPr>
      <w:r>
        <w:rPr>
          <w:color w:val="000000"/>
          <w:spacing w:val="0"/>
          <w:w w:val="100"/>
          <w:position w:val="0"/>
          <w:sz w:val="22"/>
          <w:szCs w:val="22"/>
        </w:rPr>
        <w:t>发行方或债务人发生重大财务困难；债务人违反合同，如偿付利息或本金违约或逾期等; 债权人出于与债务人财务困难有关的经济或合同考虑，给予债务人在任何其他情况下都不会 做出的让步；债务人很可能破产或进行其他财务重组；发行方或债务人财务困难导致该金融 资产的活跃市场消失；以大幅折扣购买或源生一项金融资产，该折扣反映了发生信用损失的 事实。</w:t>
      </w:r>
    </w:p>
    <w:p>
      <w:pPr>
        <w:pStyle w:val="Style11"/>
        <w:keepNext w:val="0"/>
        <w:keepLines w:val="0"/>
        <w:widowControl w:val="0"/>
        <w:numPr>
          <w:ilvl w:val="0"/>
          <w:numId w:val="53"/>
        </w:numPr>
        <w:shd w:val="clear" w:color="auto" w:fill="auto"/>
        <w:tabs>
          <w:tab w:pos="898" w:val="left"/>
        </w:tabs>
        <w:bidi w:val="0"/>
        <w:spacing w:before="0" w:after="100" w:line="313" w:lineRule="exact"/>
        <w:ind w:left="0" w:right="0" w:firstLine="480"/>
        <w:jc w:val="left"/>
        <w:rPr>
          <w:sz w:val="22"/>
          <w:szCs w:val="22"/>
        </w:rPr>
      </w:pPr>
      <w:bookmarkStart w:id="875" w:name="bookmark875"/>
      <w:bookmarkEnd w:id="875"/>
      <w:r>
        <w:rPr>
          <w:color w:val="000000"/>
          <w:spacing w:val="0"/>
          <w:w w:val="100"/>
          <w:position w:val="0"/>
          <w:sz w:val="22"/>
          <w:szCs w:val="22"/>
        </w:rPr>
        <w:t>预期信用损失准备的列报</w:t>
      </w:r>
    </w:p>
    <w:p>
      <w:pPr>
        <w:pStyle w:val="Style11"/>
        <w:keepNext w:val="0"/>
        <w:keepLines w:val="0"/>
        <w:widowControl w:val="0"/>
        <w:shd w:val="clear" w:color="auto" w:fill="auto"/>
        <w:bidi w:val="0"/>
        <w:spacing w:before="0" w:after="100" w:line="312" w:lineRule="exact"/>
        <w:ind w:left="0" w:right="0" w:firstLine="480"/>
        <w:jc w:val="left"/>
        <w:rPr>
          <w:sz w:val="22"/>
          <w:szCs w:val="22"/>
        </w:rPr>
      </w:pPr>
      <w:r>
        <w:rPr>
          <w:color w:val="000000"/>
          <w:spacing w:val="0"/>
          <w:w w:val="100"/>
          <w:position w:val="0"/>
          <w:sz w:val="22"/>
          <w:szCs w:val="22"/>
        </w:rPr>
        <w:t>为反映金融工具的信用风险自初始确认后的变化，本公司在每个资产负债表日重新计量 预期信用损失，由此形成的损失准备的增加或转回金额，应当作为减值损失或利得计入当期 损益。对于以摊余成本计量的金融资产，损失准备抵减该金融资产在资产负债表中列示的账 面价值；对于以公允价值计量且其变动计入其他综合收益的债权投资，本公司在其他综合收 益中确认其损失准备，不抵减该金融资产的账面价值。</w:t>
      </w:r>
    </w:p>
    <w:p>
      <w:pPr>
        <w:pStyle w:val="Style11"/>
        <w:keepNext w:val="0"/>
        <w:keepLines w:val="0"/>
        <w:widowControl w:val="0"/>
        <w:numPr>
          <w:ilvl w:val="0"/>
          <w:numId w:val="53"/>
        </w:numPr>
        <w:shd w:val="clear" w:color="auto" w:fill="auto"/>
        <w:tabs>
          <w:tab w:pos="898" w:val="left"/>
        </w:tabs>
        <w:bidi w:val="0"/>
        <w:spacing w:before="0" w:after="100" w:line="313" w:lineRule="exact"/>
        <w:ind w:left="0" w:right="0" w:firstLine="480"/>
        <w:jc w:val="left"/>
        <w:rPr>
          <w:sz w:val="22"/>
          <w:szCs w:val="22"/>
        </w:rPr>
      </w:pPr>
      <w:bookmarkStart w:id="876" w:name="bookmark876"/>
      <w:bookmarkEnd w:id="876"/>
      <w:r>
        <w:rPr>
          <w:color w:val="000000"/>
          <w:spacing w:val="0"/>
          <w:w w:val="100"/>
          <w:position w:val="0"/>
          <w:sz w:val="22"/>
          <w:szCs w:val="22"/>
        </w:rPr>
        <w:t>核销</w:t>
      </w:r>
    </w:p>
    <w:p>
      <w:pPr>
        <w:pStyle w:val="Style11"/>
        <w:keepNext w:val="0"/>
        <w:keepLines w:val="0"/>
        <w:widowControl w:val="0"/>
        <w:shd w:val="clear" w:color="auto" w:fill="auto"/>
        <w:bidi w:val="0"/>
        <w:spacing w:before="0" w:after="100" w:line="317" w:lineRule="exact"/>
        <w:ind w:left="0" w:right="0" w:firstLine="480"/>
        <w:jc w:val="both"/>
        <w:rPr>
          <w:sz w:val="22"/>
          <w:szCs w:val="22"/>
        </w:rPr>
      </w:pPr>
      <w:r>
        <w:rPr>
          <w:color w:val="000000"/>
          <w:spacing w:val="0"/>
          <w:w w:val="100"/>
          <w:position w:val="0"/>
          <w:sz w:val="22"/>
          <w:szCs w:val="22"/>
        </w:rPr>
        <w:t>如果本公司不再合理预期金融资产合同现金流量能够全部或部分收回，则直接减记该金 融资产的账面余额。这种减记构成相关金融资产的终止确认。这种情况通常发生在本公司确 定债务人没有资产或收入来源可产生足够的现金流量以偿还将被减记的金额。</w:t>
      </w:r>
    </w:p>
    <w:p>
      <w:pPr>
        <w:pStyle w:val="Style11"/>
        <w:keepNext w:val="0"/>
        <w:keepLines w:val="0"/>
        <w:widowControl w:val="0"/>
        <w:shd w:val="clear" w:color="auto" w:fill="auto"/>
        <w:bidi w:val="0"/>
        <w:spacing w:before="0" w:after="100" w:line="313" w:lineRule="exact"/>
        <w:ind w:left="0" w:right="0" w:firstLine="480"/>
        <w:jc w:val="left"/>
        <w:rPr>
          <w:sz w:val="22"/>
          <w:szCs w:val="22"/>
        </w:rPr>
      </w:pPr>
      <w:r>
        <w:rPr>
          <w:color w:val="000000"/>
          <w:spacing w:val="0"/>
          <w:w w:val="100"/>
          <w:position w:val="0"/>
          <w:sz w:val="22"/>
          <w:szCs w:val="22"/>
        </w:rPr>
        <w:t>已减记的金融资产以后又收回的，作为减值损失的转回计入收回当期的损益。</w:t>
      </w:r>
    </w:p>
    <w:p>
      <w:pPr>
        <w:pStyle w:val="Style11"/>
        <w:keepNext w:val="0"/>
        <w:keepLines w:val="0"/>
        <w:widowControl w:val="0"/>
        <w:shd w:val="clear" w:color="auto" w:fill="auto"/>
        <w:bidi w:val="0"/>
        <w:spacing w:before="0" w:after="140" w:line="313" w:lineRule="exact"/>
        <w:ind w:left="0" w:right="0" w:firstLine="480"/>
        <w:jc w:val="left"/>
        <w:rPr>
          <w:sz w:val="22"/>
          <w:szCs w:val="22"/>
        </w:rPr>
      </w:pPr>
      <w:bookmarkStart w:id="877" w:name="bookmark877"/>
      <w:r>
        <w:rPr>
          <w:color w:val="000000"/>
          <w:spacing w:val="0"/>
          <w:w w:val="100"/>
          <w:position w:val="0"/>
          <w:sz w:val="22"/>
          <w:szCs w:val="22"/>
        </w:rPr>
        <w:t>（</w:t>
      </w:r>
      <w:bookmarkEnd w:id="877"/>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）金融资产转移</w:t>
      </w:r>
    </w:p>
    <w:p>
      <w:pPr>
        <w:pStyle w:val="Style11"/>
        <w:keepNext w:val="0"/>
        <w:keepLines w:val="0"/>
        <w:widowControl w:val="0"/>
        <w:shd w:val="clear" w:color="auto" w:fill="auto"/>
        <w:bidi w:val="0"/>
        <w:spacing w:before="0" w:after="140" w:line="313" w:lineRule="exact"/>
        <w:ind w:left="0" w:right="0" w:firstLine="480"/>
        <w:jc w:val="left"/>
        <w:rPr>
          <w:sz w:val="22"/>
          <w:szCs w:val="22"/>
        </w:rPr>
      </w:pPr>
      <w:r>
        <w:rPr>
          <w:color w:val="000000"/>
          <w:spacing w:val="0"/>
          <w:w w:val="100"/>
          <w:position w:val="0"/>
          <w:sz w:val="22"/>
          <w:szCs w:val="22"/>
        </w:rPr>
        <w:t>金融资产转移是指下列两种情形：</w:t>
      </w:r>
    </w:p>
    <w:p>
      <w:pPr>
        <w:pStyle w:val="Style11"/>
        <w:keepNext w:val="0"/>
        <w:keepLines w:val="0"/>
        <w:widowControl w:val="0"/>
        <w:numPr>
          <w:ilvl w:val="0"/>
          <w:numId w:val="57"/>
        </w:numPr>
        <w:shd w:val="clear" w:color="auto" w:fill="auto"/>
        <w:tabs>
          <w:tab w:pos="884" w:val="left"/>
        </w:tabs>
        <w:bidi w:val="0"/>
        <w:spacing w:before="0" w:after="100" w:line="271" w:lineRule="auto"/>
        <w:ind w:left="0" w:right="0" w:firstLine="480"/>
        <w:jc w:val="left"/>
        <w:rPr>
          <w:sz w:val="22"/>
          <w:szCs w:val="22"/>
        </w:rPr>
      </w:pPr>
      <w:bookmarkStart w:id="878" w:name="bookmark878"/>
      <w:bookmarkEnd w:id="878"/>
      <w:r>
        <w:rPr>
          <w:color w:val="000000"/>
          <w:spacing w:val="0"/>
          <w:w w:val="100"/>
          <w:position w:val="0"/>
          <w:sz w:val="22"/>
          <w:szCs w:val="22"/>
        </w:rPr>
        <w:t>将收取金融资产现金流量的合同权利转移给另一方；</w:t>
      </w:r>
    </w:p>
    <w:p>
      <w:pPr>
        <w:pStyle w:val="Style11"/>
        <w:keepNext w:val="0"/>
        <w:keepLines w:val="0"/>
        <w:widowControl w:val="0"/>
        <w:numPr>
          <w:ilvl w:val="0"/>
          <w:numId w:val="57"/>
        </w:numPr>
        <w:shd w:val="clear" w:color="auto" w:fill="auto"/>
        <w:tabs>
          <w:tab w:pos="874" w:val="left"/>
        </w:tabs>
        <w:bidi w:val="0"/>
        <w:spacing w:before="0" w:after="100" w:line="331" w:lineRule="exact"/>
        <w:ind w:left="0" w:right="0" w:firstLine="480"/>
        <w:jc w:val="both"/>
        <w:rPr>
          <w:sz w:val="22"/>
          <w:szCs w:val="22"/>
        </w:rPr>
      </w:pPr>
      <w:bookmarkStart w:id="879" w:name="bookmark879"/>
      <w:bookmarkEnd w:id="879"/>
      <w:r>
        <w:rPr>
          <w:color w:val="000000"/>
          <w:spacing w:val="0"/>
          <w:w w:val="100"/>
          <w:position w:val="0"/>
          <w:sz w:val="22"/>
          <w:szCs w:val="22"/>
        </w:rPr>
        <w:t>将金融资产整体或部分转移给另一方，但保留收取金融资产现金流量的合同权利，并 承担将收取的现金流量支付给一个或多个收款方的合同义务。</w:t>
      </w:r>
    </w:p>
    <w:p>
      <w:pPr>
        <w:pStyle w:val="Style11"/>
        <w:keepNext w:val="0"/>
        <w:keepLines w:val="0"/>
        <w:widowControl w:val="0"/>
        <w:numPr>
          <w:ilvl w:val="0"/>
          <w:numId w:val="59"/>
        </w:numPr>
        <w:shd w:val="clear" w:color="auto" w:fill="auto"/>
        <w:bidi w:val="0"/>
        <w:spacing w:before="0" w:after="100" w:line="313" w:lineRule="exact"/>
        <w:ind w:left="0" w:right="0" w:firstLine="480"/>
        <w:jc w:val="both"/>
        <w:rPr>
          <w:sz w:val="22"/>
          <w:szCs w:val="22"/>
        </w:rPr>
      </w:pPr>
      <w:bookmarkStart w:id="880" w:name="bookmark880"/>
      <w:bookmarkEnd w:id="880"/>
      <w:r>
        <w:rPr>
          <w:color w:val="000000"/>
          <w:spacing w:val="0"/>
          <w:w w:val="100"/>
          <w:position w:val="0"/>
          <w:sz w:val="22"/>
          <w:szCs w:val="22"/>
        </w:rPr>
        <w:t>终止确认所转移的金融资产</w:t>
      </w:r>
    </w:p>
    <w:p>
      <w:pPr>
        <w:pStyle w:val="Style11"/>
        <w:keepNext w:val="0"/>
        <w:keepLines w:val="0"/>
        <w:widowControl w:val="0"/>
        <w:shd w:val="clear" w:color="auto" w:fill="auto"/>
        <w:bidi w:val="0"/>
        <w:spacing w:before="0" w:after="100" w:line="314" w:lineRule="exact"/>
        <w:ind w:left="0" w:right="0" w:firstLine="480"/>
        <w:jc w:val="both"/>
        <w:rPr>
          <w:sz w:val="22"/>
          <w:szCs w:val="22"/>
        </w:rPr>
      </w:pPr>
      <w:r>
        <w:rPr>
          <w:color w:val="000000"/>
          <w:spacing w:val="0"/>
          <w:w w:val="100"/>
          <w:position w:val="0"/>
          <w:sz w:val="22"/>
          <w:szCs w:val="22"/>
        </w:rPr>
        <w:t>已将金融资产所有权上几乎所有的风险和报酬转移给转入方的，或既没有转移也没有保 留金融资产所有权上几乎所有的风险和报酬的，但放弃了对该金融资产控制的，终止确认该 金融资产。</w:t>
      </w:r>
    </w:p>
    <w:p>
      <w:pPr>
        <w:pStyle w:val="Style11"/>
        <w:keepNext w:val="0"/>
        <w:keepLines w:val="0"/>
        <w:widowControl w:val="0"/>
        <w:shd w:val="clear" w:color="auto" w:fill="auto"/>
        <w:bidi w:val="0"/>
        <w:spacing w:before="0" w:after="100" w:line="322" w:lineRule="exact"/>
        <w:ind w:left="0" w:right="0" w:firstLine="480"/>
        <w:jc w:val="both"/>
        <w:rPr>
          <w:sz w:val="22"/>
          <w:szCs w:val="22"/>
        </w:rPr>
      </w:pPr>
      <w:r>
        <w:rPr>
          <w:color w:val="000000"/>
          <w:spacing w:val="0"/>
          <w:w w:val="100"/>
          <w:position w:val="0"/>
          <w:sz w:val="22"/>
          <w:szCs w:val="22"/>
        </w:rPr>
        <w:t xml:space="preserve">在判断是否已放弃对所转移金融资产的控制时，根据转入方出售该金融资产的实际能力。 转入方能够单方面将转移的金融资产整体出售给不相关的第三方，且没有额外条件对此项出 </w:t>
      </w:r>
      <w:r>
        <w:rPr>
          <w:color w:val="000000"/>
          <w:spacing w:val="0"/>
          <w:w w:val="100"/>
          <w:position w:val="0"/>
          <w:sz w:val="22"/>
          <w:szCs w:val="22"/>
        </w:rPr>
        <w:t>售加以限制的，则公司已放弃对该金融资产的控制。</w:t>
      </w:r>
    </w:p>
    <w:p>
      <w:pPr>
        <w:pStyle w:val="Style11"/>
        <w:keepNext w:val="0"/>
        <w:keepLines w:val="0"/>
        <w:widowControl w:val="0"/>
        <w:shd w:val="clear" w:color="auto" w:fill="auto"/>
        <w:bidi w:val="0"/>
        <w:spacing w:before="0" w:after="100" w:line="326" w:lineRule="exact"/>
        <w:ind w:left="0" w:right="0" w:firstLine="480"/>
        <w:jc w:val="both"/>
        <w:rPr>
          <w:sz w:val="22"/>
          <w:szCs w:val="22"/>
        </w:rPr>
      </w:pPr>
      <w:r>
        <w:rPr>
          <w:color w:val="000000"/>
          <w:spacing w:val="0"/>
          <w:w w:val="100"/>
          <w:position w:val="0"/>
          <w:sz w:val="22"/>
          <w:szCs w:val="22"/>
        </w:rPr>
        <w:t>本公司在判断金融资产转移是否满足金融资产终止确认条件时，注重金融资产转移的实 质。</w:t>
      </w:r>
    </w:p>
    <w:p>
      <w:pPr>
        <w:pStyle w:val="Style11"/>
        <w:keepNext w:val="0"/>
        <w:keepLines w:val="0"/>
        <w:widowControl w:val="0"/>
        <w:shd w:val="clear" w:color="auto" w:fill="auto"/>
        <w:bidi w:val="0"/>
        <w:spacing w:before="0" w:after="160" w:line="317" w:lineRule="exact"/>
        <w:ind w:left="0" w:right="0" w:firstLine="480"/>
        <w:jc w:val="both"/>
        <w:rPr>
          <w:sz w:val="22"/>
          <w:szCs w:val="22"/>
        </w:rPr>
      </w:pPr>
      <w:r>
        <w:rPr>
          <w:color w:val="000000"/>
          <w:spacing w:val="0"/>
          <w:w w:val="100"/>
          <w:position w:val="0"/>
          <w:sz w:val="22"/>
          <w:szCs w:val="22"/>
        </w:rPr>
        <w:t>金融资产整体转移满足终止确认条件的，将下列两项金额的差额计入当期损益：</w:t>
      </w:r>
    </w:p>
    <w:p>
      <w:pPr>
        <w:pStyle w:val="Style11"/>
        <w:keepNext w:val="0"/>
        <w:keepLines w:val="0"/>
        <w:widowControl w:val="0"/>
        <w:numPr>
          <w:ilvl w:val="0"/>
          <w:numId w:val="61"/>
        </w:numPr>
        <w:shd w:val="clear" w:color="auto" w:fill="auto"/>
        <w:tabs>
          <w:tab w:pos="886" w:val="left"/>
        </w:tabs>
        <w:bidi w:val="0"/>
        <w:spacing w:before="0" w:after="100" w:line="276" w:lineRule="auto"/>
        <w:ind w:left="0" w:right="0" w:firstLine="480"/>
        <w:jc w:val="both"/>
        <w:rPr>
          <w:sz w:val="22"/>
          <w:szCs w:val="22"/>
        </w:rPr>
      </w:pPr>
      <w:bookmarkStart w:id="881" w:name="bookmark881"/>
      <w:bookmarkEnd w:id="881"/>
      <w:r>
        <w:rPr>
          <w:color w:val="000000"/>
          <w:spacing w:val="0"/>
          <w:w w:val="100"/>
          <w:position w:val="0"/>
          <w:sz w:val="22"/>
          <w:szCs w:val="22"/>
        </w:rPr>
        <w:t>所转移金融资产的账面价值；</w:t>
      </w:r>
    </w:p>
    <w:p>
      <w:pPr>
        <w:pStyle w:val="Style11"/>
        <w:keepNext w:val="0"/>
        <w:keepLines w:val="0"/>
        <w:widowControl w:val="0"/>
        <w:numPr>
          <w:ilvl w:val="0"/>
          <w:numId w:val="61"/>
        </w:numPr>
        <w:shd w:val="clear" w:color="auto" w:fill="auto"/>
        <w:tabs>
          <w:tab w:pos="877" w:val="left"/>
        </w:tabs>
        <w:bidi w:val="0"/>
        <w:spacing w:before="0" w:after="100" w:line="319" w:lineRule="exact"/>
        <w:ind w:left="0" w:right="0" w:firstLine="480"/>
        <w:jc w:val="both"/>
        <w:rPr>
          <w:sz w:val="22"/>
          <w:szCs w:val="22"/>
        </w:rPr>
      </w:pPr>
      <w:bookmarkStart w:id="882" w:name="bookmark882"/>
      <w:bookmarkEnd w:id="882"/>
      <w:r>
        <w:rPr>
          <w:color w:val="000000"/>
          <w:spacing w:val="0"/>
          <w:w w:val="100"/>
          <w:position w:val="0"/>
          <w:sz w:val="22"/>
          <w:szCs w:val="22"/>
        </w:rPr>
        <w:t>因转移而收到的对价，与原直接计入其他综合收益的公允价值变动累计额中对于终止 确认部分的金额（涉及转移的金融资产为根据《企业会计准则第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金融工具确认和计量》 第十八条分类为以公允价值计量且其变动计入其他综合收益的金融资产的情形）之和。</w:t>
      </w:r>
    </w:p>
    <w:p>
      <w:pPr>
        <w:pStyle w:val="Style11"/>
        <w:keepNext w:val="0"/>
        <w:keepLines w:val="0"/>
        <w:widowControl w:val="0"/>
        <w:shd w:val="clear" w:color="auto" w:fill="auto"/>
        <w:bidi w:val="0"/>
        <w:spacing w:before="0" w:after="160" w:line="306" w:lineRule="exact"/>
        <w:ind w:left="0" w:right="0" w:firstLine="480"/>
        <w:jc w:val="both"/>
        <w:rPr>
          <w:sz w:val="22"/>
          <w:szCs w:val="22"/>
        </w:rPr>
      </w:pPr>
      <w:r>
        <w:rPr>
          <w:color w:val="000000"/>
          <w:spacing w:val="0"/>
          <w:w w:val="100"/>
          <w:position w:val="0"/>
          <w:sz w:val="22"/>
          <w:szCs w:val="22"/>
        </w:rPr>
        <w:t>金融资产部分转移满足终止确认条件的，将所转移金融资产整体的账面价值，在终止确 认部分和未终止确认部分（在此种情况下，所保留的服务资产视同继续确认金融资产的一部 分）之间，按照转移日各自的相对公允价值进行分摊，并将下列两项金额的差额计入当期损 益：</w:t>
      </w:r>
    </w:p>
    <w:p>
      <w:pPr>
        <w:pStyle w:val="Style11"/>
        <w:keepNext w:val="0"/>
        <w:keepLines w:val="0"/>
        <w:widowControl w:val="0"/>
        <w:numPr>
          <w:ilvl w:val="0"/>
          <w:numId w:val="63"/>
        </w:numPr>
        <w:shd w:val="clear" w:color="auto" w:fill="auto"/>
        <w:tabs>
          <w:tab w:pos="886" w:val="left"/>
        </w:tabs>
        <w:bidi w:val="0"/>
        <w:spacing w:before="0" w:after="100" w:line="276" w:lineRule="auto"/>
        <w:ind w:left="0" w:right="0" w:firstLine="480"/>
        <w:jc w:val="both"/>
        <w:rPr>
          <w:sz w:val="22"/>
          <w:szCs w:val="22"/>
        </w:rPr>
      </w:pPr>
      <w:bookmarkStart w:id="883" w:name="bookmark883"/>
      <w:bookmarkEnd w:id="883"/>
      <w:r>
        <w:rPr>
          <w:color w:val="000000"/>
          <w:spacing w:val="0"/>
          <w:w w:val="100"/>
          <w:position w:val="0"/>
          <w:sz w:val="22"/>
          <w:szCs w:val="22"/>
        </w:rPr>
        <w:t>终止确认部分在终止确认日的账面价值；</w:t>
      </w:r>
    </w:p>
    <w:p>
      <w:pPr>
        <w:pStyle w:val="Style11"/>
        <w:keepNext w:val="0"/>
        <w:keepLines w:val="0"/>
        <w:widowControl w:val="0"/>
        <w:numPr>
          <w:ilvl w:val="0"/>
          <w:numId w:val="63"/>
        </w:numPr>
        <w:shd w:val="clear" w:color="auto" w:fill="auto"/>
        <w:tabs>
          <w:tab w:pos="872" w:val="left"/>
        </w:tabs>
        <w:bidi w:val="0"/>
        <w:spacing w:before="0" w:after="100" w:line="317" w:lineRule="exact"/>
        <w:ind w:left="0" w:right="0" w:firstLine="480"/>
        <w:jc w:val="both"/>
        <w:rPr>
          <w:sz w:val="22"/>
          <w:szCs w:val="22"/>
        </w:rPr>
      </w:pPr>
      <w:bookmarkStart w:id="884" w:name="bookmark884"/>
      <w:bookmarkEnd w:id="884"/>
      <w:r>
        <w:rPr>
          <w:color w:val="000000"/>
          <w:spacing w:val="0"/>
          <w:w w:val="100"/>
          <w:position w:val="0"/>
          <w:sz w:val="22"/>
          <w:szCs w:val="22"/>
        </w:rPr>
        <w:t>终止确认部分的对价，与原计入其他综合收益的公允价值变动累计额中对应终止确认 部分的金额（涉及转移的金融资产为根据《企业会计准则第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金融工具确认和计量》第十 八条分类为以公允价值计量且其变动计入其他综合收益的金融资产的情形）之和。</w:t>
      </w:r>
    </w:p>
    <w:p>
      <w:pPr>
        <w:pStyle w:val="Style11"/>
        <w:keepNext w:val="0"/>
        <w:keepLines w:val="0"/>
        <w:widowControl w:val="0"/>
        <w:numPr>
          <w:ilvl w:val="0"/>
          <w:numId w:val="59"/>
        </w:numPr>
        <w:shd w:val="clear" w:color="auto" w:fill="auto"/>
        <w:tabs>
          <w:tab w:pos="901" w:val="left"/>
        </w:tabs>
        <w:bidi w:val="0"/>
        <w:spacing w:before="0" w:after="100" w:line="317" w:lineRule="exact"/>
        <w:ind w:left="0" w:right="0" w:firstLine="480"/>
        <w:jc w:val="both"/>
        <w:rPr>
          <w:sz w:val="22"/>
          <w:szCs w:val="22"/>
        </w:rPr>
      </w:pPr>
      <w:bookmarkStart w:id="885" w:name="bookmark885"/>
      <w:bookmarkEnd w:id="885"/>
      <w:r>
        <w:rPr>
          <w:color w:val="000000"/>
          <w:spacing w:val="0"/>
          <w:w w:val="100"/>
          <w:position w:val="0"/>
          <w:sz w:val="22"/>
          <w:szCs w:val="22"/>
        </w:rPr>
        <w:t>继续涉入所转移的金融资产</w:t>
      </w:r>
    </w:p>
    <w:p>
      <w:pPr>
        <w:pStyle w:val="Style11"/>
        <w:keepNext w:val="0"/>
        <w:keepLines w:val="0"/>
        <w:widowControl w:val="0"/>
        <w:shd w:val="clear" w:color="auto" w:fill="auto"/>
        <w:bidi w:val="0"/>
        <w:spacing w:before="0" w:after="100" w:line="317" w:lineRule="exact"/>
        <w:ind w:left="0" w:right="0" w:firstLine="480"/>
        <w:jc w:val="both"/>
        <w:rPr>
          <w:sz w:val="22"/>
          <w:szCs w:val="22"/>
        </w:rPr>
      </w:pPr>
      <w:r>
        <w:rPr>
          <w:color w:val="000000"/>
          <w:spacing w:val="0"/>
          <w:w w:val="100"/>
          <w:position w:val="0"/>
          <w:sz w:val="22"/>
          <w:szCs w:val="22"/>
        </w:rPr>
        <w:t>既没有转移也没有保留金融资产所有权上几乎所有的风险和报酬的，且未放弃对该金融 资产控制的，应当按照其继续涉入所转移金融资产的程度确认有关金融资产，并相应确认有 关负债。</w:t>
      </w:r>
    </w:p>
    <w:p>
      <w:pPr>
        <w:pStyle w:val="Style11"/>
        <w:keepNext w:val="0"/>
        <w:keepLines w:val="0"/>
        <w:widowControl w:val="0"/>
        <w:shd w:val="clear" w:color="auto" w:fill="auto"/>
        <w:bidi w:val="0"/>
        <w:spacing w:before="0" w:after="100" w:line="312" w:lineRule="exact"/>
        <w:ind w:left="0" w:right="0" w:firstLine="480"/>
        <w:jc w:val="both"/>
        <w:rPr>
          <w:sz w:val="22"/>
          <w:szCs w:val="22"/>
        </w:rPr>
      </w:pPr>
      <w:r>
        <w:rPr>
          <w:color w:val="000000"/>
          <w:spacing w:val="0"/>
          <w:w w:val="100"/>
          <w:position w:val="0"/>
          <w:sz w:val="22"/>
          <w:szCs w:val="22"/>
        </w:rPr>
        <w:t>继续涉入所转移金融资产的程度，是指企业承担的被转移金融资产价值变动风险或报酬 的程度。</w:t>
      </w:r>
    </w:p>
    <w:p>
      <w:pPr>
        <w:pStyle w:val="Style11"/>
        <w:keepNext w:val="0"/>
        <w:keepLines w:val="0"/>
        <w:widowControl w:val="0"/>
        <w:numPr>
          <w:ilvl w:val="0"/>
          <w:numId w:val="59"/>
        </w:numPr>
        <w:shd w:val="clear" w:color="auto" w:fill="auto"/>
        <w:tabs>
          <w:tab w:pos="901" w:val="left"/>
        </w:tabs>
        <w:bidi w:val="0"/>
        <w:spacing w:before="0" w:after="100" w:line="317" w:lineRule="exact"/>
        <w:ind w:left="0" w:right="0" w:firstLine="480"/>
        <w:jc w:val="both"/>
        <w:rPr>
          <w:sz w:val="22"/>
          <w:szCs w:val="22"/>
        </w:rPr>
      </w:pPr>
      <w:bookmarkStart w:id="886" w:name="bookmark886"/>
      <w:bookmarkEnd w:id="886"/>
      <w:r>
        <w:rPr>
          <w:color w:val="000000"/>
          <w:spacing w:val="0"/>
          <w:w w:val="100"/>
          <w:position w:val="0"/>
          <w:sz w:val="22"/>
          <w:szCs w:val="22"/>
        </w:rPr>
        <w:t>继续确认所转移的金融资产</w:t>
      </w:r>
    </w:p>
    <w:p>
      <w:pPr>
        <w:pStyle w:val="Style11"/>
        <w:keepNext w:val="0"/>
        <w:keepLines w:val="0"/>
        <w:widowControl w:val="0"/>
        <w:shd w:val="clear" w:color="auto" w:fill="auto"/>
        <w:bidi w:val="0"/>
        <w:spacing w:before="0" w:after="100" w:line="317" w:lineRule="exact"/>
        <w:ind w:left="0" w:right="0" w:firstLine="480"/>
        <w:jc w:val="both"/>
        <w:rPr>
          <w:sz w:val="22"/>
          <w:szCs w:val="22"/>
        </w:rPr>
      </w:pPr>
      <w:r>
        <w:rPr>
          <w:color w:val="000000"/>
          <w:spacing w:val="0"/>
          <w:w w:val="100"/>
          <w:position w:val="0"/>
          <w:sz w:val="22"/>
          <w:szCs w:val="22"/>
        </w:rPr>
        <w:t>仍保留与所转移金融资产所有权上几乎所有的风险和报酬的，应当继续确认所转移金融 资产整体，并将收到的对价确认为一项金融负债。</w:t>
      </w:r>
    </w:p>
    <w:p>
      <w:pPr>
        <w:pStyle w:val="Style11"/>
        <w:keepNext w:val="0"/>
        <w:keepLines w:val="0"/>
        <w:widowControl w:val="0"/>
        <w:shd w:val="clear" w:color="auto" w:fill="auto"/>
        <w:bidi w:val="0"/>
        <w:spacing w:before="0" w:after="100" w:line="312" w:lineRule="exact"/>
        <w:ind w:left="0" w:right="0" w:firstLine="480"/>
        <w:jc w:val="both"/>
        <w:rPr>
          <w:sz w:val="22"/>
          <w:szCs w:val="22"/>
        </w:rPr>
      </w:pPr>
      <w:r>
        <w:rPr>
          <w:color w:val="000000"/>
          <w:spacing w:val="0"/>
          <w:w w:val="100"/>
          <w:position w:val="0"/>
          <w:sz w:val="22"/>
          <w:szCs w:val="22"/>
        </w:rPr>
        <w:t>该金融资产与确认的相关金融负债不得相互抵销。在随后的会计期间，企业应当继续确 认该金融资产产生的收入（或利得）和该金融负债产生的费用（或损失）。</w:t>
      </w:r>
    </w:p>
    <w:p>
      <w:pPr>
        <w:pStyle w:val="Style11"/>
        <w:keepNext w:val="0"/>
        <w:keepLines w:val="0"/>
        <w:widowControl w:val="0"/>
        <w:shd w:val="clear" w:color="auto" w:fill="auto"/>
        <w:tabs>
          <w:tab w:pos="1006" w:val="left"/>
        </w:tabs>
        <w:bidi w:val="0"/>
        <w:spacing w:before="0" w:after="100" w:line="317" w:lineRule="exact"/>
        <w:ind w:left="0" w:right="0" w:firstLine="480"/>
        <w:jc w:val="both"/>
        <w:rPr>
          <w:sz w:val="22"/>
          <w:szCs w:val="22"/>
        </w:rPr>
      </w:pPr>
      <w:bookmarkStart w:id="887" w:name="bookmark887"/>
      <w:r>
        <w:rPr>
          <w:color w:val="000000"/>
          <w:spacing w:val="0"/>
          <w:w w:val="100"/>
          <w:position w:val="0"/>
          <w:sz w:val="22"/>
          <w:szCs w:val="22"/>
        </w:rPr>
        <w:t>（</w:t>
      </w:r>
      <w:bookmarkEnd w:id="887"/>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w:t>
        <w:tab/>
        <w:t>金融资产和金融负债的抵销</w:t>
      </w:r>
    </w:p>
    <w:p>
      <w:pPr>
        <w:pStyle w:val="Style11"/>
        <w:keepNext w:val="0"/>
        <w:keepLines w:val="0"/>
        <w:widowControl w:val="0"/>
        <w:shd w:val="clear" w:color="auto" w:fill="auto"/>
        <w:bidi w:val="0"/>
        <w:spacing w:before="0" w:after="100" w:line="312" w:lineRule="exact"/>
        <w:ind w:left="0" w:right="0" w:firstLine="480"/>
        <w:jc w:val="both"/>
        <w:rPr>
          <w:sz w:val="22"/>
          <w:szCs w:val="22"/>
        </w:rPr>
      </w:pPr>
      <w:r>
        <w:rPr>
          <w:color w:val="000000"/>
          <w:spacing w:val="0"/>
          <w:w w:val="100"/>
          <w:position w:val="0"/>
          <w:sz w:val="22"/>
          <w:szCs w:val="22"/>
        </w:rPr>
        <w:t>金融资产和金融负债应当在资产负债表内分别列示，不得相互抵销。但同时满足下列条 件的，以相互抵销后的净额在资产负债表内列示：</w:t>
      </w:r>
    </w:p>
    <w:p>
      <w:pPr>
        <w:pStyle w:val="Style11"/>
        <w:keepNext w:val="0"/>
        <w:keepLines w:val="0"/>
        <w:widowControl w:val="0"/>
        <w:shd w:val="clear" w:color="auto" w:fill="auto"/>
        <w:bidi w:val="0"/>
        <w:spacing w:before="0" w:after="160" w:line="317" w:lineRule="exact"/>
        <w:ind w:left="0" w:right="0" w:firstLine="480"/>
        <w:jc w:val="both"/>
        <w:rPr>
          <w:sz w:val="22"/>
          <w:szCs w:val="22"/>
        </w:rPr>
      </w:pPr>
      <w:r>
        <w:rPr>
          <w:color w:val="000000"/>
          <w:spacing w:val="0"/>
          <w:w w:val="100"/>
          <w:position w:val="0"/>
          <w:sz w:val="22"/>
          <w:szCs w:val="22"/>
        </w:rPr>
        <w:t>本公司具有抵销已确认金额的法定权利，且该种法定权利是当前可执行的；</w:t>
      </w:r>
    </w:p>
    <w:p>
      <w:pPr>
        <w:pStyle w:val="Style11"/>
        <w:keepNext w:val="0"/>
        <w:keepLines w:val="0"/>
        <w:widowControl w:val="0"/>
        <w:shd w:val="clear" w:color="auto" w:fill="auto"/>
        <w:bidi w:val="0"/>
        <w:spacing w:before="0" w:after="100" w:line="317" w:lineRule="exact"/>
        <w:ind w:left="0" w:right="0" w:firstLine="480"/>
        <w:jc w:val="both"/>
        <w:rPr>
          <w:sz w:val="22"/>
          <w:szCs w:val="22"/>
        </w:rPr>
      </w:pPr>
      <w:r>
        <w:rPr>
          <w:color w:val="000000"/>
          <w:spacing w:val="0"/>
          <w:w w:val="100"/>
          <w:position w:val="0"/>
          <w:sz w:val="22"/>
          <w:szCs w:val="22"/>
        </w:rPr>
        <w:t>本公司计划以净额结算，或同时变现该金融资产和清偿该金融负债。</w:t>
      </w:r>
    </w:p>
    <w:p>
      <w:pPr>
        <w:pStyle w:val="Style11"/>
        <w:keepNext w:val="0"/>
        <w:keepLines w:val="0"/>
        <w:widowControl w:val="0"/>
        <w:shd w:val="clear" w:color="auto" w:fill="auto"/>
        <w:bidi w:val="0"/>
        <w:spacing w:before="0" w:after="100" w:line="322" w:lineRule="exact"/>
        <w:ind w:left="0" w:right="0" w:firstLine="480"/>
        <w:jc w:val="both"/>
        <w:rPr>
          <w:sz w:val="22"/>
          <w:szCs w:val="22"/>
        </w:rPr>
      </w:pPr>
      <w:r>
        <w:rPr>
          <w:color w:val="000000"/>
          <w:spacing w:val="0"/>
          <w:w w:val="100"/>
          <w:position w:val="0"/>
          <w:sz w:val="22"/>
          <w:szCs w:val="22"/>
        </w:rPr>
        <w:t>不满足终止确认条件的金融资产转移，转出方不得将已转移的金融资产和相关负债进行 抵销。</w:t>
      </w:r>
    </w:p>
    <w:p>
      <w:pPr>
        <w:pStyle w:val="Style11"/>
        <w:keepNext w:val="0"/>
        <w:keepLines w:val="0"/>
        <w:widowControl w:val="0"/>
        <w:shd w:val="clear" w:color="auto" w:fill="auto"/>
        <w:tabs>
          <w:tab w:pos="1006" w:val="left"/>
        </w:tabs>
        <w:bidi w:val="0"/>
        <w:spacing w:before="0" w:after="160" w:line="317" w:lineRule="exact"/>
        <w:ind w:left="0" w:right="0" w:firstLine="480"/>
        <w:jc w:val="both"/>
        <w:rPr>
          <w:sz w:val="22"/>
          <w:szCs w:val="22"/>
        </w:rPr>
      </w:pPr>
      <w:bookmarkStart w:id="888" w:name="bookmark888"/>
      <w:r>
        <w:rPr>
          <w:color w:val="000000"/>
          <w:spacing w:val="0"/>
          <w:w w:val="100"/>
          <w:position w:val="0"/>
          <w:sz w:val="22"/>
          <w:szCs w:val="22"/>
        </w:rPr>
        <w:t>（</w:t>
      </w:r>
      <w:bookmarkEnd w:id="888"/>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2"/>
          <w:szCs w:val="22"/>
        </w:rPr>
        <w:t>）</w:t>
        <w:tab/>
        <w:t>金融工具公允价值的确定方法</w:t>
      </w:r>
    </w:p>
    <w:p>
      <w:pPr>
        <w:pStyle w:val="Style11"/>
        <w:keepNext w:val="0"/>
        <w:keepLines w:val="0"/>
        <w:widowControl w:val="0"/>
        <w:shd w:val="clear" w:color="auto" w:fill="auto"/>
        <w:bidi w:val="0"/>
        <w:spacing w:before="0" w:after="100" w:line="293" w:lineRule="exact"/>
        <w:ind w:left="0" w:right="0" w:firstLine="480"/>
        <w:jc w:val="both"/>
        <w:rPr>
          <w:sz w:val="22"/>
          <w:szCs w:val="22"/>
        </w:rPr>
      </w:pPr>
      <w:r>
        <w:rPr>
          <w:color w:val="000000"/>
          <w:spacing w:val="0"/>
          <w:w w:val="100"/>
          <w:position w:val="0"/>
          <w:sz w:val="22"/>
          <w:szCs w:val="22"/>
        </w:rPr>
        <w:t>金融资产和金融负债的公允价值确定方法见本节附注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五、重要会计政策及会计估计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之 </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公允价值计量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31"/>
        <w:keepNext/>
        <w:keepLines/>
        <w:widowControl w:val="0"/>
        <w:shd w:val="clear" w:color="auto" w:fill="auto"/>
        <w:bidi w:val="0"/>
        <w:spacing w:before="0" w:after="32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1</w:t>
      </w:r>
      <w:bookmarkEnd w:id="891"/>
      <w:r>
        <w:rPr>
          <w:rFonts w:ascii="Times New Roman" w:eastAsia="Times New Roman" w:hAnsi="Times New Roman" w:cs="Times New Roman"/>
          <w:color w:val="000000"/>
          <w:spacing w:val="0"/>
          <w:w w:val="100"/>
          <w:position w:val="0"/>
        </w:rPr>
        <w:t>0</w:t>
      </w:r>
      <w:r>
        <w:rPr>
          <w:color w:val="000000"/>
          <w:spacing w:val="0"/>
          <w:w w:val="100"/>
          <w:position w:val="0"/>
        </w:rPr>
        <w:t>、公允价值计量</w:t>
      </w:r>
      <w:bookmarkEnd w:id="889"/>
      <w:bookmarkEnd w:id="890"/>
      <w:bookmarkEnd w:id="892"/>
    </w:p>
    <w:p>
      <w:pPr>
        <w:pStyle w:val="Style11"/>
        <w:keepNext w:val="0"/>
        <w:keepLines w:val="0"/>
        <w:widowControl w:val="0"/>
        <w:shd w:val="clear" w:color="auto" w:fill="auto"/>
        <w:bidi w:val="0"/>
        <w:spacing w:before="0" w:after="120" w:line="317" w:lineRule="exact"/>
        <w:ind w:left="0" w:right="0" w:firstLine="480"/>
        <w:jc w:val="both"/>
        <w:rPr>
          <w:sz w:val="22"/>
          <w:szCs w:val="22"/>
        </w:rPr>
      </w:pPr>
      <w:r>
        <w:rPr>
          <w:color w:val="000000"/>
          <w:spacing w:val="0"/>
          <w:w w:val="100"/>
          <w:position w:val="0"/>
          <w:sz w:val="22"/>
          <w:szCs w:val="22"/>
        </w:rPr>
        <w:t>公允价值是指市场参与者在计量日发生的有序交易中，出售一项资产所能收到或者转移 一项负债所需支付的价格。</w:t>
      </w:r>
    </w:p>
    <w:p>
      <w:pPr>
        <w:pStyle w:val="Style11"/>
        <w:keepNext w:val="0"/>
        <w:keepLines w:val="0"/>
        <w:widowControl w:val="0"/>
        <w:shd w:val="clear" w:color="auto" w:fill="auto"/>
        <w:bidi w:val="0"/>
        <w:spacing w:before="0" w:after="120" w:line="314" w:lineRule="exact"/>
        <w:ind w:left="0" w:right="0" w:firstLine="480"/>
        <w:jc w:val="both"/>
        <w:rPr>
          <w:sz w:val="22"/>
          <w:szCs w:val="22"/>
        </w:rPr>
      </w:pPr>
      <w:r>
        <w:rPr>
          <w:color w:val="000000"/>
          <w:spacing w:val="0"/>
          <w:w w:val="100"/>
          <w:position w:val="0"/>
          <w:sz w:val="22"/>
          <w:szCs w:val="22"/>
        </w:rPr>
        <w:t>本公司以主要市场的价格计量相关资产或负债的公允价值，不存在主要市场的，本公司 以最有利市场的价格计量相关资产或负债的公允价值。本公司采用市场参与者在对该资产或 负债定价时为实现其经济利益最大化所使用的假设。</w:t>
      </w:r>
    </w:p>
    <w:p>
      <w:pPr>
        <w:pStyle w:val="Style11"/>
        <w:keepNext w:val="0"/>
        <w:keepLines w:val="0"/>
        <w:widowControl w:val="0"/>
        <w:shd w:val="clear" w:color="auto" w:fill="auto"/>
        <w:bidi w:val="0"/>
        <w:spacing w:before="0" w:after="120" w:line="312" w:lineRule="exact"/>
        <w:ind w:left="0" w:right="0" w:firstLine="480"/>
        <w:jc w:val="both"/>
        <w:rPr>
          <w:sz w:val="22"/>
          <w:szCs w:val="22"/>
        </w:rPr>
      </w:pPr>
      <w:r>
        <w:rPr>
          <w:color w:val="000000"/>
          <w:spacing w:val="0"/>
          <w:w w:val="100"/>
          <w:position w:val="0"/>
          <w:sz w:val="22"/>
          <w:szCs w:val="22"/>
        </w:rPr>
        <w:t>主要市场，是指相关资产或负债交易量最大和交易活跃程度最高的市场；最有利市场， 是指在考虑交易费用和运输费用后，能够以最高金额出售相关资产或者以最低金额转移相关 负债的市场。</w:t>
      </w:r>
    </w:p>
    <w:p>
      <w:pPr>
        <w:pStyle w:val="Style11"/>
        <w:keepNext w:val="0"/>
        <w:keepLines w:val="0"/>
        <w:widowControl w:val="0"/>
        <w:shd w:val="clear" w:color="auto" w:fill="auto"/>
        <w:bidi w:val="0"/>
        <w:spacing w:before="0" w:after="120" w:line="274" w:lineRule="exact"/>
        <w:ind w:left="0" w:right="0" w:firstLine="480"/>
        <w:jc w:val="both"/>
        <w:rPr>
          <w:sz w:val="22"/>
          <w:szCs w:val="22"/>
        </w:rPr>
      </w:pPr>
      <w:r>
        <w:rPr>
          <w:color w:val="000000"/>
          <w:spacing w:val="0"/>
          <w:w w:val="100"/>
          <w:position w:val="0"/>
          <w:sz w:val="22"/>
          <w:szCs w:val="22"/>
        </w:rPr>
        <w:t>存在活跃市场的金融资产或金融负债，本公司采用活跃市场中的报价确定其公允价值。 金融工具不存在活跃市场的，本公司采用估值技术确定其公允价值。</w:t>
      </w:r>
    </w:p>
    <w:p>
      <w:pPr>
        <w:pStyle w:val="Style11"/>
        <w:keepNext w:val="0"/>
        <w:keepLines w:val="0"/>
        <w:widowControl w:val="0"/>
        <w:shd w:val="clear" w:color="auto" w:fill="auto"/>
        <w:bidi w:val="0"/>
        <w:spacing w:before="0" w:after="120" w:line="312" w:lineRule="exact"/>
        <w:ind w:left="0" w:right="0" w:firstLine="480"/>
        <w:jc w:val="both"/>
        <w:rPr>
          <w:sz w:val="22"/>
          <w:szCs w:val="22"/>
        </w:rPr>
      </w:pPr>
      <w:r>
        <w:rPr>
          <w:color w:val="000000"/>
          <w:spacing w:val="0"/>
          <w:w w:val="100"/>
          <w:position w:val="0"/>
          <w:sz w:val="22"/>
          <w:szCs w:val="22"/>
        </w:rPr>
        <w:t>以公允价值计量非金融资产的，考虑市场参与者将该资产用于最佳用途产生经济利益的 能力，或者将该资产出售给能够用于最佳用途的其他市场参与者产生经济利益的能力。</w:t>
      </w:r>
    </w:p>
    <w:p>
      <w:pPr>
        <w:pStyle w:val="Style11"/>
        <w:keepNext w:val="0"/>
        <w:keepLines w:val="0"/>
        <w:widowControl w:val="0"/>
        <w:numPr>
          <w:ilvl w:val="0"/>
          <w:numId w:val="65"/>
        </w:numPr>
        <w:shd w:val="clear" w:color="auto" w:fill="auto"/>
        <w:tabs>
          <w:tab w:pos="893" w:val="left"/>
        </w:tabs>
        <w:bidi w:val="0"/>
        <w:spacing w:before="0" w:after="120" w:line="312" w:lineRule="exact"/>
        <w:ind w:left="0" w:right="0" w:firstLine="480"/>
        <w:jc w:val="both"/>
        <w:rPr>
          <w:sz w:val="22"/>
          <w:szCs w:val="22"/>
        </w:rPr>
      </w:pPr>
      <w:bookmarkStart w:id="893" w:name="bookmark893"/>
      <w:bookmarkEnd w:id="893"/>
      <w:r>
        <w:rPr>
          <w:color w:val="000000"/>
          <w:spacing w:val="0"/>
          <w:w w:val="100"/>
          <w:position w:val="0"/>
          <w:sz w:val="22"/>
          <w:szCs w:val="22"/>
        </w:rPr>
        <w:t>估值技术</w:t>
      </w:r>
    </w:p>
    <w:p>
      <w:pPr>
        <w:pStyle w:val="Style11"/>
        <w:keepNext w:val="0"/>
        <w:keepLines w:val="0"/>
        <w:widowControl w:val="0"/>
        <w:shd w:val="clear" w:color="auto" w:fill="auto"/>
        <w:bidi w:val="0"/>
        <w:spacing w:before="0" w:after="120" w:line="312" w:lineRule="exact"/>
        <w:ind w:left="0" w:right="0" w:firstLine="480"/>
        <w:jc w:val="both"/>
        <w:rPr>
          <w:sz w:val="22"/>
          <w:szCs w:val="22"/>
        </w:rPr>
      </w:pPr>
      <w:r>
        <w:rPr>
          <w:color w:val="000000"/>
          <w:spacing w:val="0"/>
          <w:w w:val="100"/>
          <w:position w:val="0"/>
          <w:sz w:val="22"/>
          <w:szCs w:val="22"/>
        </w:rPr>
        <w:t>本公司在估值技术的应用中，优先使用相关可观察输入值，只有在相关可观察输入值无 法取得或取得不切实可行的情况下，才使用不可观察输入值。可观察输入值，是指能够从市 场数据中取得的输入值。该输入值反映了市场参与者在对相关资产或负债定价时所使用的假 设。不可观察输入值，是指不能从市场数据中取得的输入值。该输入值根据可获得的市场参 与者在对相关资产或负债定价时所使用假设的最佳信息取得。</w:t>
      </w:r>
    </w:p>
    <w:p>
      <w:pPr>
        <w:pStyle w:val="Style11"/>
        <w:keepNext w:val="0"/>
        <w:keepLines w:val="0"/>
        <w:widowControl w:val="0"/>
        <w:numPr>
          <w:ilvl w:val="0"/>
          <w:numId w:val="65"/>
        </w:numPr>
        <w:shd w:val="clear" w:color="auto" w:fill="auto"/>
        <w:tabs>
          <w:tab w:pos="893" w:val="left"/>
        </w:tabs>
        <w:bidi w:val="0"/>
        <w:spacing w:before="0" w:after="120" w:line="312" w:lineRule="exact"/>
        <w:ind w:left="0" w:right="0" w:firstLine="480"/>
        <w:jc w:val="left"/>
        <w:rPr>
          <w:sz w:val="22"/>
          <w:szCs w:val="22"/>
        </w:rPr>
      </w:pPr>
      <w:bookmarkStart w:id="894" w:name="bookmark894"/>
      <w:bookmarkEnd w:id="894"/>
      <w:r>
        <w:rPr>
          <w:color w:val="000000"/>
          <w:spacing w:val="0"/>
          <w:w w:val="100"/>
          <w:position w:val="0"/>
          <w:sz w:val="22"/>
          <w:szCs w:val="22"/>
        </w:rPr>
        <w:t>公允价值层次</w:t>
      </w:r>
    </w:p>
    <w:p>
      <w:pPr>
        <w:pStyle w:val="Style11"/>
        <w:keepNext w:val="0"/>
        <w:keepLines w:val="0"/>
        <w:widowControl w:val="0"/>
        <w:shd w:val="clear" w:color="auto" w:fill="auto"/>
        <w:bidi w:val="0"/>
        <w:spacing w:before="0" w:after="680" w:line="312" w:lineRule="exact"/>
        <w:ind w:left="0" w:right="0" w:firstLine="480"/>
        <w:jc w:val="both"/>
        <w:rPr>
          <w:sz w:val="22"/>
          <w:szCs w:val="22"/>
        </w:rPr>
      </w:pPr>
      <w:r>
        <w:rPr>
          <w:color w:val="000000"/>
          <w:spacing w:val="0"/>
          <w:w w:val="100"/>
          <w:position w:val="0"/>
          <w:sz w:val="22"/>
          <w:szCs w:val="22"/>
        </w:rPr>
        <w:t>本公司将公允价值计量所使用的输入值划分为三个层次，并首先使用第一层次输入值， 其次使用第二层次输入值，最后使用第三层次输入值。第一层次输入值是在计量日能够取得 的相同资产或负债在活跃市场上未经调整的报价。第二层次输入值是除第一层次输入值外相 关资产或负债直接或间接可观察的输入值。第三层次输入值是相关资产或负债的不可观察输 入值。</w:t>
      </w:r>
    </w:p>
    <w:p>
      <w:pPr>
        <w:pStyle w:val="Style31"/>
        <w:keepNext/>
        <w:keepLines/>
        <w:widowControl w:val="0"/>
        <w:shd w:val="clear" w:color="auto" w:fill="auto"/>
        <w:bidi w:val="0"/>
        <w:spacing w:before="0" w:after="32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1</w:t>
      </w:r>
      <w:bookmarkEnd w:id="897"/>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95"/>
      <w:bookmarkEnd w:id="896"/>
      <w:bookmarkEnd w:id="898"/>
    </w:p>
    <w:p>
      <w:pPr>
        <w:pStyle w:val="Style11"/>
        <w:keepNext w:val="0"/>
        <w:keepLines w:val="0"/>
        <w:widowControl w:val="0"/>
        <w:shd w:val="clear" w:color="auto" w:fill="auto"/>
        <w:bidi w:val="0"/>
        <w:spacing w:before="0" w:after="680" w:line="288" w:lineRule="exact"/>
        <w:ind w:left="0" w:right="0" w:firstLine="480"/>
        <w:jc w:val="both"/>
        <w:rPr>
          <w:sz w:val="22"/>
          <w:szCs w:val="22"/>
        </w:rPr>
      </w:pPr>
      <w:r>
        <w:rPr>
          <w:color w:val="000000"/>
          <w:spacing w:val="0"/>
          <w:w w:val="100"/>
          <w:position w:val="0"/>
          <w:sz w:val="22"/>
          <w:szCs w:val="22"/>
        </w:rPr>
        <w:t>应收票据的预期信用损失的确定方法及会计处理方法详见本节之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五、重要会计政策及会 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之</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31"/>
        <w:keepNext/>
        <w:keepLines/>
        <w:widowControl w:val="0"/>
        <w:shd w:val="clear" w:color="auto" w:fill="auto"/>
        <w:bidi w:val="0"/>
        <w:spacing w:before="0" w:after="32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w:t>
      </w:r>
      <w:bookmarkEnd w:id="901"/>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99"/>
      <w:bookmarkEnd w:id="900"/>
      <w:bookmarkEnd w:id="902"/>
    </w:p>
    <w:p>
      <w:pPr>
        <w:pStyle w:val="Style11"/>
        <w:keepNext w:val="0"/>
        <w:keepLines w:val="0"/>
        <w:widowControl w:val="0"/>
        <w:shd w:val="clear" w:color="auto" w:fill="auto"/>
        <w:bidi w:val="0"/>
        <w:spacing w:before="0" w:after="120" w:line="288" w:lineRule="exact"/>
        <w:ind w:left="0" w:right="0" w:firstLine="480"/>
        <w:jc w:val="both"/>
        <w:rPr>
          <w:sz w:val="22"/>
          <w:szCs w:val="22"/>
        </w:rPr>
      </w:pPr>
      <w:r>
        <w:rPr>
          <w:color w:val="000000"/>
          <w:spacing w:val="0"/>
          <w:w w:val="100"/>
          <w:position w:val="0"/>
          <w:sz w:val="22"/>
          <w:szCs w:val="22"/>
        </w:rPr>
        <w:t>应收账款的预期信用损失的确定方法及会计处理方法详见本节之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五、重要会计政策及会 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之</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31"/>
        <w:keepNext/>
        <w:keepLines/>
        <w:widowControl w:val="0"/>
        <w:shd w:val="clear" w:color="auto" w:fill="auto"/>
        <w:bidi w:val="0"/>
        <w:spacing w:before="0" w:after="320" w:line="24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1</w:t>
      </w:r>
      <w:bookmarkEnd w:id="905"/>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903"/>
      <w:bookmarkEnd w:id="904"/>
      <w:bookmarkEnd w:id="906"/>
    </w:p>
    <w:p>
      <w:pPr>
        <w:pStyle w:val="Style11"/>
        <w:keepNext w:val="0"/>
        <w:keepLines w:val="0"/>
        <w:widowControl w:val="0"/>
        <w:shd w:val="clear" w:color="auto" w:fill="auto"/>
        <w:bidi w:val="0"/>
        <w:spacing w:before="0" w:after="660" w:line="293" w:lineRule="exact"/>
        <w:ind w:left="0" w:right="0" w:firstLine="500"/>
        <w:jc w:val="both"/>
        <w:rPr>
          <w:sz w:val="22"/>
          <w:szCs w:val="22"/>
        </w:rPr>
      </w:pPr>
      <w:r>
        <w:rPr>
          <w:color w:val="000000"/>
          <w:spacing w:val="0"/>
          <w:w w:val="100"/>
          <w:position w:val="0"/>
          <w:sz w:val="22"/>
          <w:szCs w:val="22"/>
        </w:rPr>
        <w:t>应收款项融资的确定方法及会计处理方法详见本节之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五、重要会计政策及会计估计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之 </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31"/>
        <w:keepNext/>
        <w:keepLines/>
        <w:widowControl w:val="0"/>
        <w:shd w:val="clear" w:color="auto" w:fill="auto"/>
        <w:bidi w:val="0"/>
        <w:spacing w:before="0" w:after="40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1</w:t>
      </w:r>
      <w:bookmarkEnd w:id="909"/>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907"/>
      <w:bookmarkEnd w:id="908"/>
      <w:bookmarkEnd w:id="910"/>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其他应收款的预期信用损失的确定方法及会计处理方法</w:t>
      </w:r>
    </w:p>
    <w:p>
      <w:pPr>
        <w:pStyle w:val="Style11"/>
        <w:keepNext w:val="0"/>
        <w:keepLines w:val="0"/>
        <w:widowControl w:val="0"/>
        <w:shd w:val="clear" w:color="auto" w:fill="auto"/>
        <w:bidi w:val="0"/>
        <w:spacing w:before="0" w:after="660" w:line="293" w:lineRule="exact"/>
        <w:ind w:left="0" w:right="0" w:firstLine="500"/>
        <w:jc w:val="both"/>
        <w:rPr>
          <w:sz w:val="22"/>
          <w:szCs w:val="22"/>
        </w:rPr>
      </w:pPr>
      <w:r>
        <w:rPr>
          <w:color w:val="000000"/>
          <w:spacing w:val="0"/>
          <w:w w:val="100"/>
          <w:position w:val="0"/>
          <w:sz w:val="22"/>
          <w:szCs w:val="22"/>
        </w:rPr>
        <w:t>其他应收款的预期信用损失的确定方法及会计处理方法详见本节之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五、重要会计政策及 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之</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31"/>
        <w:keepNext/>
        <w:keepLines/>
        <w:widowControl w:val="0"/>
        <w:shd w:val="clear" w:color="auto" w:fill="auto"/>
        <w:bidi w:val="0"/>
        <w:spacing w:before="0" w:after="320" w:line="240" w:lineRule="auto"/>
        <w:ind w:left="0" w:right="0" w:firstLine="0"/>
        <w:jc w:val="left"/>
      </w:pPr>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911"/>
      <w:bookmarkEnd w:id="912"/>
      <w:bookmarkEnd w:id="913"/>
    </w:p>
    <w:p>
      <w:pPr>
        <w:pStyle w:val="Style11"/>
        <w:keepNext w:val="0"/>
        <w:keepLines w:val="0"/>
        <w:widowControl w:val="0"/>
        <w:shd w:val="clear" w:color="auto" w:fill="auto"/>
        <w:tabs>
          <w:tab w:pos="1026" w:val="left"/>
        </w:tabs>
        <w:bidi w:val="0"/>
        <w:spacing w:before="0" w:after="100" w:line="312" w:lineRule="exact"/>
        <w:ind w:left="0" w:right="0" w:firstLine="500"/>
        <w:jc w:val="both"/>
        <w:rPr>
          <w:sz w:val="22"/>
          <w:szCs w:val="22"/>
        </w:rPr>
      </w:pPr>
      <w:bookmarkStart w:id="914" w:name="bookmark914"/>
      <w:r>
        <w:rPr>
          <w:color w:val="000000"/>
          <w:spacing w:val="0"/>
          <w:w w:val="100"/>
          <w:position w:val="0"/>
          <w:sz w:val="22"/>
          <w:szCs w:val="22"/>
        </w:rPr>
        <w:t>（</w:t>
      </w:r>
      <w:bookmarkEnd w:id="91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存货的分类</w:t>
      </w:r>
    </w:p>
    <w:p>
      <w:pPr>
        <w:pStyle w:val="Style11"/>
        <w:keepNext w:val="0"/>
        <w:keepLines w:val="0"/>
        <w:widowControl w:val="0"/>
        <w:shd w:val="clear" w:color="auto" w:fill="auto"/>
        <w:bidi w:val="0"/>
        <w:spacing w:before="0" w:after="100" w:line="307" w:lineRule="exact"/>
        <w:ind w:left="0" w:right="0" w:firstLine="500"/>
        <w:jc w:val="both"/>
        <w:rPr>
          <w:sz w:val="22"/>
          <w:szCs w:val="22"/>
        </w:rPr>
      </w:pPr>
      <w:r>
        <w:rPr>
          <w:color w:val="000000"/>
          <w:spacing w:val="0"/>
          <w:w w:val="100"/>
          <w:position w:val="0"/>
          <w:sz w:val="22"/>
          <w:szCs w:val="22"/>
        </w:rPr>
        <w:t>本集团存货分为在途物资、原材料、在产品、低值易耗品、库存商品、半成品、发出商 品、合同履约成本等。</w:t>
      </w:r>
    </w:p>
    <w:p>
      <w:pPr>
        <w:pStyle w:val="Style11"/>
        <w:keepNext w:val="0"/>
        <w:keepLines w:val="0"/>
        <w:widowControl w:val="0"/>
        <w:shd w:val="clear" w:color="auto" w:fill="auto"/>
        <w:tabs>
          <w:tab w:pos="1026" w:val="left"/>
        </w:tabs>
        <w:bidi w:val="0"/>
        <w:spacing w:before="0" w:after="0" w:line="312" w:lineRule="exact"/>
        <w:ind w:left="0" w:right="0" w:firstLine="500"/>
        <w:jc w:val="both"/>
        <w:rPr>
          <w:sz w:val="22"/>
          <w:szCs w:val="22"/>
        </w:rPr>
      </w:pPr>
      <w:bookmarkStart w:id="915" w:name="bookmark915"/>
      <w:r>
        <w:rPr>
          <w:color w:val="000000"/>
          <w:spacing w:val="0"/>
          <w:w w:val="100"/>
          <w:position w:val="0"/>
          <w:sz w:val="22"/>
          <w:szCs w:val="22"/>
        </w:rPr>
        <w:t>（</w:t>
      </w:r>
      <w:bookmarkEnd w:id="91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发出存货的计价方法</w:t>
      </w:r>
    </w:p>
    <w:p>
      <w:pPr>
        <w:pStyle w:val="Style11"/>
        <w:keepNext w:val="0"/>
        <w:keepLines w:val="0"/>
        <w:widowControl w:val="0"/>
        <w:shd w:val="clear" w:color="auto" w:fill="auto"/>
        <w:bidi w:val="0"/>
        <w:spacing w:before="0" w:after="200" w:line="312" w:lineRule="exact"/>
        <w:ind w:left="0" w:right="0" w:firstLine="500"/>
        <w:jc w:val="both"/>
        <w:rPr>
          <w:sz w:val="22"/>
          <w:szCs w:val="22"/>
        </w:rPr>
      </w:pPr>
      <w:r>
        <w:rPr>
          <w:color w:val="000000"/>
          <w:spacing w:val="0"/>
          <w:w w:val="100"/>
          <w:position w:val="0"/>
          <w:sz w:val="22"/>
          <w:szCs w:val="22"/>
        </w:rPr>
        <w:t>本集团存货取得时按实际成本计价。原材料、在产品、库存商品、发出商品等发出时采 用加权平均法或个别计价法计价。</w:t>
      </w:r>
    </w:p>
    <w:p>
      <w:pPr>
        <w:pStyle w:val="Style11"/>
        <w:keepNext w:val="0"/>
        <w:keepLines w:val="0"/>
        <w:widowControl w:val="0"/>
        <w:shd w:val="clear" w:color="auto" w:fill="auto"/>
        <w:tabs>
          <w:tab w:pos="1026" w:val="left"/>
        </w:tabs>
        <w:bidi w:val="0"/>
        <w:spacing w:before="0" w:after="0" w:line="312" w:lineRule="exact"/>
        <w:ind w:left="0" w:right="0" w:firstLine="500"/>
        <w:jc w:val="both"/>
        <w:rPr>
          <w:sz w:val="22"/>
          <w:szCs w:val="22"/>
        </w:rPr>
      </w:pPr>
      <w:bookmarkStart w:id="916" w:name="bookmark916"/>
      <w:r>
        <w:rPr>
          <w:color w:val="000000"/>
          <w:spacing w:val="0"/>
          <w:w w:val="100"/>
          <w:position w:val="0"/>
          <w:sz w:val="22"/>
          <w:szCs w:val="22"/>
        </w:rPr>
        <w:t>（</w:t>
      </w:r>
      <w:bookmarkEnd w:id="916"/>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存货可变现净值的确定依据及存货跌价准备的计提方法</w:t>
      </w:r>
    </w:p>
    <w:p>
      <w:pPr>
        <w:pStyle w:val="Style11"/>
        <w:keepNext w:val="0"/>
        <w:keepLines w:val="0"/>
        <w:widowControl w:val="0"/>
        <w:shd w:val="clear" w:color="auto" w:fill="auto"/>
        <w:bidi w:val="0"/>
        <w:spacing w:before="0" w:after="200" w:line="312" w:lineRule="exact"/>
        <w:ind w:left="0" w:right="0" w:firstLine="500"/>
        <w:jc w:val="both"/>
        <w:rPr>
          <w:sz w:val="22"/>
          <w:szCs w:val="22"/>
        </w:rPr>
      </w:pPr>
      <w:r>
        <w:rPr>
          <w:color w:val="000000"/>
          <w:spacing w:val="0"/>
          <w:w w:val="100"/>
          <w:position w:val="0"/>
          <w:sz w:val="22"/>
          <w:szCs w:val="22"/>
        </w:rPr>
        <w:t>存货可变现净值是按存货的估计售价减去至完工时估计将要发生的成本、估计的销售费 用以及相关税费后的金额。在确定存货的可变现净值时，以取得的确凿证据为基础，同时考 虑持有存货的目的以及资产负债表日后事项的影响。</w:t>
      </w:r>
    </w:p>
    <w:p>
      <w:pPr>
        <w:pStyle w:val="Style11"/>
        <w:keepNext w:val="0"/>
        <w:keepLines w:val="0"/>
        <w:widowControl w:val="0"/>
        <w:shd w:val="clear" w:color="auto" w:fill="auto"/>
        <w:bidi w:val="0"/>
        <w:spacing w:before="0" w:after="200" w:line="312" w:lineRule="exact"/>
        <w:ind w:left="0" w:right="0" w:firstLine="500"/>
        <w:jc w:val="both"/>
        <w:rPr>
          <w:sz w:val="22"/>
          <w:szCs w:val="22"/>
        </w:rPr>
      </w:pPr>
      <w:r>
        <w:rPr>
          <w:color w:val="000000"/>
          <w:spacing w:val="0"/>
          <w:w w:val="100"/>
          <w:position w:val="0"/>
          <w:sz w:val="22"/>
          <w:szCs w:val="22"/>
        </w:rPr>
        <w:t>资产负债表日，存货成本高于其可变现净值的，计提存货跌价准备。本集团通常按照单 个或类别存货项目计提存货跌价准备，资产负债表日，以前减记存货价值的影响因素已经消 失的，存货跌价准备在原已计提的金额内转回。</w:t>
      </w:r>
    </w:p>
    <w:p>
      <w:pPr>
        <w:pStyle w:val="Style11"/>
        <w:keepNext w:val="0"/>
        <w:keepLines w:val="0"/>
        <w:widowControl w:val="0"/>
        <w:shd w:val="clear" w:color="auto" w:fill="auto"/>
        <w:tabs>
          <w:tab w:pos="1026" w:val="left"/>
        </w:tabs>
        <w:bidi w:val="0"/>
        <w:spacing w:before="0" w:after="0" w:line="312" w:lineRule="exact"/>
        <w:ind w:left="0" w:right="0" w:firstLine="500"/>
        <w:jc w:val="both"/>
        <w:rPr>
          <w:sz w:val="22"/>
          <w:szCs w:val="22"/>
        </w:rPr>
      </w:pPr>
      <w:bookmarkStart w:id="917" w:name="bookmark917"/>
      <w:r>
        <w:rPr>
          <w:color w:val="000000"/>
          <w:spacing w:val="0"/>
          <w:w w:val="100"/>
          <w:position w:val="0"/>
          <w:sz w:val="22"/>
          <w:szCs w:val="22"/>
        </w:rPr>
        <w:t>（</w:t>
      </w:r>
      <w:bookmarkEnd w:id="917"/>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w:t>
        <w:tab/>
        <w:t>存货的盘存制度</w:t>
      </w:r>
    </w:p>
    <w:p>
      <w:pPr>
        <w:pStyle w:val="Style11"/>
        <w:keepNext w:val="0"/>
        <w:keepLines w:val="0"/>
        <w:widowControl w:val="0"/>
        <w:shd w:val="clear" w:color="auto" w:fill="auto"/>
        <w:bidi w:val="0"/>
        <w:spacing w:before="0" w:after="200" w:line="312" w:lineRule="exact"/>
        <w:ind w:left="0" w:right="0" w:firstLine="500"/>
        <w:jc w:val="both"/>
        <w:rPr>
          <w:sz w:val="22"/>
          <w:szCs w:val="22"/>
        </w:rPr>
      </w:pPr>
      <w:bookmarkStart w:id="918" w:name="bookmark918"/>
      <w:r>
        <w:rPr>
          <w:color w:val="000000"/>
          <w:spacing w:val="0"/>
          <w:w w:val="100"/>
          <w:position w:val="0"/>
          <w:sz w:val="22"/>
          <w:szCs w:val="22"/>
        </w:rPr>
        <w:t>本</w:t>
      </w:r>
      <w:bookmarkEnd w:id="918"/>
      <w:r>
        <w:rPr>
          <w:color w:val="000000"/>
          <w:spacing w:val="0"/>
          <w:w w:val="100"/>
          <w:position w:val="0"/>
          <w:sz w:val="22"/>
          <w:szCs w:val="22"/>
        </w:rPr>
        <w:t>集团存货盘存制度采用永续盘存制。</w:t>
      </w:r>
    </w:p>
    <w:p>
      <w:pPr>
        <w:pStyle w:val="Style11"/>
        <w:keepNext w:val="0"/>
        <w:keepLines w:val="0"/>
        <w:widowControl w:val="0"/>
        <w:shd w:val="clear" w:color="auto" w:fill="auto"/>
        <w:tabs>
          <w:tab w:pos="1026" w:val="left"/>
        </w:tabs>
        <w:bidi w:val="0"/>
        <w:spacing w:before="0" w:after="0" w:line="312" w:lineRule="exact"/>
        <w:ind w:left="0" w:right="0" w:firstLine="500"/>
        <w:jc w:val="both"/>
        <w:rPr>
          <w:sz w:val="22"/>
          <w:szCs w:val="22"/>
        </w:rPr>
      </w:pPr>
      <w:bookmarkStart w:id="919" w:name="bookmark919"/>
      <w:r>
        <w:rPr>
          <w:color w:val="000000"/>
          <w:spacing w:val="0"/>
          <w:w w:val="100"/>
          <w:position w:val="0"/>
          <w:sz w:val="22"/>
          <w:szCs w:val="22"/>
        </w:rPr>
        <w:t>（</w:t>
      </w:r>
      <w:bookmarkEnd w:id="919"/>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w:t>
        <w:tab/>
        <w:t>低值易耗品和包装物的摊销方法</w:t>
      </w:r>
    </w:p>
    <w:p>
      <w:pPr>
        <w:pStyle w:val="Style11"/>
        <w:keepNext w:val="0"/>
        <w:keepLines w:val="0"/>
        <w:widowControl w:val="0"/>
        <w:shd w:val="clear" w:color="auto" w:fill="auto"/>
        <w:bidi w:val="0"/>
        <w:spacing w:before="0" w:after="660" w:line="312" w:lineRule="exact"/>
        <w:ind w:left="0" w:right="0" w:firstLine="0"/>
        <w:jc w:val="both"/>
        <w:rPr>
          <w:sz w:val="22"/>
          <w:szCs w:val="22"/>
        </w:rPr>
      </w:pPr>
      <w:r>
        <w:rPr>
          <w:color w:val="000000"/>
          <w:spacing w:val="0"/>
          <w:w w:val="100"/>
          <w:position w:val="0"/>
          <w:sz w:val="22"/>
          <w:szCs w:val="22"/>
        </w:rPr>
        <w:t>本集团低值易耗品领用时采用一次转销法或五五摊销法。</w:t>
      </w:r>
    </w:p>
    <w:p>
      <w:pPr>
        <w:pStyle w:val="Style31"/>
        <w:keepNext/>
        <w:keepLines/>
        <w:widowControl w:val="0"/>
        <w:shd w:val="clear" w:color="auto" w:fill="auto"/>
        <w:bidi w:val="0"/>
        <w:spacing w:before="0" w:after="320" w:line="240" w:lineRule="auto"/>
        <w:ind w:left="0" w:right="0" w:firstLine="0"/>
        <w:jc w:val="both"/>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1</w:t>
      </w:r>
      <w:bookmarkEnd w:id="922"/>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920"/>
      <w:bookmarkEnd w:id="921"/>
      <w:bookmarkEnd w:id="923"/>
    </w:p>
    <w:p>
      <w:pPr>
        <w:pStyle w:val="Style11"/>
        <w:keepNext w:val="0"/>
        <w:keepLines w:val="0"/>
        <w:widowControl w:val="0"/>
        <w:shd w:val="clear" w:color="auto" w:fill="auto"/>
        <w:bidi w:val="0"/>
        <w:spacing w:before="0" w:after="100" w:line="310" w:lineRule="exact"/>
        <w:ind w:left="0" w:right="0" w:firstLine="500"/>
        <w:jc w:val="both"/>
        <w:rPr>
          <w:sz w:val="22"/>
          <w:szCs w:val="22"/>
        </w:rPr>
      </w:pPr>
      <w:r>
        <w:rPr>
          <w:color w:val="000000"/>
          <w:spacing w:val="0"/>
          <w:w w:val="100"/>
          <w:position w:val="0"/>
          <w:sz w:val="22"/>
          <w:szCs w:val="22"/>
        </w:rPr>
        <w:t xml:space="preserve">本公司根据履行履约义务与客户付款之间的关系在资产负债表中列示合同资产或合同负 债。本公司已向客户转让商品或提供服务而有权收取的对价（且该权利取决于时间流逝之外 的其他因素）列示为合同资产。本公司已收或应收客户对价而应向客户转让商品或提供服务 </w:t>
      </w:r>
      <w:r>
        <w:rPr>
          <w:color w:val="000000"/>
          <w:spacing w:val="0"/>
          <w:w w:val="100"/>
          <w:position w:val="0"/>
          <w:sz w:val="22"/>
          <w:szCs w:val="22"/>
        </w:rPr>
        <w:t>的义务列示为合同负债。</w:t>
      </w:r>
    </w:p>
    <w:p>
      <w:pPr>
        <w:pStyle w:val="Style11"/>
        <w:keepNext w:val="0"/>
        <w:keepLines w:val="0"/>
        <w:widowControl w:val="0"/>
        <w:shd w:val="clear" w:color="auto" w:fill="auto"/>
        <w:bidi w:val="0"/>
        <w:spacing w:before="0" w:after="340" w:line="312" w:lineRule="exact"/>
        <w:ind w:left="0" w:right="0" w:firstLine="500"/>
        <w:jc w:val="both"/>
        <w:rPr>
          <w:sz w:val="22"/>
          <w:szCs w:val="22"/>
        </w:rPr>
      </w:pPr>
      <w:r>
        <w:rPr>
          <w:color w:val="000000"/>
          <w:spacing w:val="0"/>
          <w:w w:val="100"/>
          <w:position w:val="0"/>
          <w:sz w:val="22"/>
          <w:szCs w:val="22"/>
        </w:rPr>
        <w:t>合同资产和合同负债在资产负债表中单独列示。同一合同下的合同资产和合同负债以净 额列示，净额为借方余额的，根据其流动性在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合同资产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其他非流动资产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项目中列示； 净额为贷方余额的，根据其流动性在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合同负债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其他非流动负债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项目中列示。不同合同 下的合同资产和合同负债不能相互抵销。</w:t>
      </w:r>
    </w:p>
    <w:p>
      <w:pPr>
        <w:pStyle w:val="Style11"/>
        <w:keepNext w:val="0"/>
        <w:keepLines w:val="0"/>
        <w:widowControl w:val="0"/>
        <w:shd w:val="clear" w:color="auto" w:fill="auto"/>
        <w:bidi w:val="0"/>
        <w:spacing w:before="0" w:after="720" w:line="302" w:lineRule="exact"/>
        <w:ind w:left="0" w:right="0" w:firstLine="500"/>
        <w:jc w:val="both"/>
        <w:rPr>
          <w:sz w:val="22"/>
          <w:szCs w:val="22"/>
        </w:rPr>
      </w:pPr>
      <w:r>
        <w:rPr>
          <w:color w:val="000000"/>
          <w:spacing w:val="0"/>
          <w:w w:val="100"/>
          <w:position w:val="0"/>
          <w:sz w:val="22"/>
          <w:szCs w:val="22"/>
        </w:rPr>
        <w:t>本公司对合同资产的预期信用损失的确定方法及会计处理方法详见本节之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五、重要会计 政策及会计估计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之</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31"/>
        <w:keepNext/>
        <w:keepLines/>
        <w:widowControl w:val="0"/>
        <w:shd w:val="clear" w:color="auto" w:fill="auto"/>
        <w:bidi w:val="0"/>
        <w:spacing w:before="0" w:after="300" w:line="240" w:lineRule="auto"/>
        <w:ind w:left="0" w:right="0" w:firstLine="0"/>
        <w:jc w:val="both"/>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1</w:t>
      </w:r>
      <w:bookmarkEnd w:id="926"/>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924"/>
      <w:bookmarkEnd w:id="925"/>
      <w:bookmarkEnd w:id="927"/>
    </w:p>
    <w:p>
      <w:pPr>
        <w:pStyle w:val="Style11"/>
        <w:keepNext w:val="0"/>
        <w:keepLines w:val="0"/>
        <w:widowControl w:val="0"/>
        <w:shd w:val="clear" w:color="auto" w:fill="auto"/>
        <w:bidi w:val="0"/>
        <w:spacing w:before="0" w:after="100" w:line="312" w:lineRule="exact"/>
        <w:ind w:left="0" w:right="0"/>
        <w:jc w:val="both"/>
        <w:rPr>
          <w:sz w:val="22"/>
          <w:szCs w:val="22"/>
        </w:rPr>
      </w:pPr>
      <w:r>
        <w:rPr>
          <w:color w:val="000000"/>
          <w:spacing w:val="0"/>
          <w:w w:val="100"/>
          <w:position w:val="0"/>
          <w:sz w:val="22"/>
          <w:szCs w:val="22"/>
        </w:rPr>
        <w:t>合同成本分为合同履约成本与合同取得成本。</w:t>
      </w:r>
    </w:p>
    <w:p>
      <w:pPr>
        <w:pStyle w:val="Style11"/>
        <w:keepNext w:val="0"/>
        <w:keepLines w:val="0"/>
        <w:widowControl w:val="0"/>
        <w:shd w:val="clear" w:color="auto" w:fill="auto"/>
        <w:bidi w:val="0"/>
        <w:spacing w:before="0" w:after="100" w:line="317" w:lineRule="exact"/>
        <w:ind w:left="0" w:right="0" w:firstLine="500"/>
        <w:jc w:val="both"/>
        <w:rPr>
          <w:sz w:val="22"/>
          <w:szCs w:val="22"/>
        </w:rPr>
      </w:pPr>
      <w:r>
        <w:rPr>
          <w:color w:val="000000"/>
          <w:spacing w:val="0"/>
          <w:w w:val="100"/>
          <w:position w:val="0"/>
          <w:sz w:val="22"/>
          <w:szCs w:val="22"/>
        </w:rPr>
        <w:t>本公司为履行合同而发生的成本，在同时满足下列条件时作为合同履约成本确认为一项 资产：</w:t>
      </w:r>
    </w:p>
    <w:p>
      <w:pPr>
        <w:pStyle w:val="Style11"/>
        <w:keepNext w:val="0"/>
        <w:keepLines w:val="0"/>
        <w:widowControl w:val="0"/>
        <w:numPr>
          <w:ilvl w:val="0"/>
          <w:numId w:val="67"/>
        </w:numPr>
        <w:shd w:val="clear" w:color="auto" w:fill="auto"/>
        <w:tabs>
          <w:tab w:pos="771" w:val="left"/>
        </w:tabs>
        <w:bidi w:val="0"/>
        <w:spacing w:before="0" w:after="100" w:line="312" w:lineRule="exact"/>
        <w:ind w:left="0" w:right="0" w:firstLine="500"/>
        <w:jc w:val="both"/>
        <w:rPr>
          <w:sz w:val="22"/>
          <w:szCs w:val="22"/>
        </w:rPr>
      </w:pPr>
      <w:bookmarkStart w:id="928" w:name="bookmark928"/>
      <w:bookmarkEnd w:id="928"/>
      <w:r>
        <w:rPr>
          <w:color w:val="000000"/>
          <w:spacing w:val="0"/>
          <w:w w:val="100"/>
          <w:position w:val="0"/>
          <w:sz w:val="22"/>
          <w:szCs w:val="22"/>
        </w:rPr>
        <w:t>该成本与一份当前或预期取得的合同直接相关，包括直接人工、直接材料、制造费用 （或类似费用）、明确由客户承担的成本以及仅因该合同而发生的其他成本。</w:t>
      </w:r>
    </w:p>
    <w:p>
      <w:pPr>
        <w:pStyle w:val="Style11"/>
        <w:keepNext w:val="0"/>
        <w:keepLines w:val="0"/>
        <w:widowControl w:val="0"/>
        <w:numPr>
          <w:ilvl w:val="0"/>
          <w:numId w:val="67"/>
        </w:numPr>
        <w:shd w:val="clear" w:color="auto" w:fill="auto"/>
        <w:tabs>
          <w:tab w:pos="921" w:val="left"/>
        </w:tabs>
        <w:bidi w:val="0"/>
        <w:spacing w:before="0" w:after="100" w:line="312" w:lineRule="exact"/>
        <w:ind w:left="0" w:right="0" w:firstLine="500"/>
        <w:jc w:val="left"/>
        <w:rPr>
          <w:sz w:val="22"/>
          <w:szCs w:val="22"/>
        </w:rPr>
      </w:pPr>
      <w:bookmarkStart w:id="929" w:name="bookmark929"/>
      <w:bookmarkEnd w:id="929"/>
      <w:r>
        <w:rPr>
          <w:color w:val="000000"/>
          <w:spacing w:val="0"/>
          <w:w w:val="100"/>
          <w:position w:val="0"/>
          <w:sz w:val="22"/>
          <w:szCs w:val="22"/>
        </w:rPr>
        <w:t>该成本增加了本公司未来用于履行履约义务的资源。</w:t>
      </w:r>
    </w:p>
    <w:p>
      <w:pPr>
        <w:pStyle w:val="Style11"/>
        <w:keepNext w:val="0"/>
        <w:keepLines w:val="0"/>
        <w:widowControl w:val="0"/>
        <w:numPr>
          <w:ilvl w:val="0"/>
          <w:numId w:val="67"/>
        </w:numPr>
        <w:shd w:val="clear" w:color="auto" w:fill="auto"/>
        <w:tabs>
          <w:tab w:pos="921" w:val="left"/>
        </w:tabs>
        <w:bidi w:val="0"/>
        <w:spacing w:before="0" w:after="100" w:line="312" w:lineRule="exact"/>
        <w:ind w:left="0" w:right="0" w:firstLine="500"/>
        <w:jc w:val="both"/>
        <w:rPr>
          <w:sz w:val="22"/>
          <w:szCs w:val="22"/>
        </w:rPr>
      </w:pPr>
      <w:bookmarkStart w:id="930" w:name="bookmark930"/>
      <w:bookmarkEnd w:id="930"/>
      <w:r>
        <w:rPr>
          <w:color w:val="000000"/>
          <w:spacing w:val="0"/>
          <w:w w:val="100"/>
          <w:position w:val="0"/>
          <w:sz w:val="22"/>
          <w:szCs w:val="22"/>
        </w:rPr>
        <w:t>该成本预期能够收回。</w:t>
      </w:r>
    </w:p>
    <w:p>
      <w:pPr>
        <w:pStyle w:val="Style11"/>
        <w:keepNext w:val="0"/>
        <w:keepLines w:val="0"/>
        <w:widowControl w:val="0"/>
        <w:shd w:val="clear" w:color="auto" w:fill="auto"/>
        <w:bidi w:val="0"/>
        <w:spacing w:before="0" w:after="100" w:line="312" w:lineRule="exact"/>
        <w:ind w:left="0" w:right="0" w:firstLine="500"/>
        <w:jc w:val="both"/>
        <w:rPr>
          <w:sz w:val="22"/>
          <w:szCs w:val="22"/>
        </w:rPr>
      </w:pPr>
      <w:r>
        <w:rPr>
          <w:color w:val="000000"/>
          <w:spacing w:val="0"/>
          <w:w w:val="100"/>
          <w:position w:val="0"/>
          <w:sz w:val="22"/>
          <w:szCs w:val="22"/>
        </w:rPr>
        <w:t>本公司为取得合同发生的增量成本预期能够收回的，作为合同取得成本确认为一项资产。</w:t>
      </w:r>
    </w:p>
    <w:p>
      <w:pPr>
        <w:pStyle w:val="Style11"/>
        <w:keepNext w:val="0"/>
        <w:keepLines w:val="0"/>
        <w:widowControl w:val="0"/>
        <w:shd w:val="clear" w:color="auto" w:fill="auto"/>
        <w:bidi w:val="0"/>
        <w:spacing w:before="0" w:after="100" w:line="307" w:lineRule="exact"/>
        <w:ind w:left="0" w:right="0" w:firstLine="500"/>
        <w:jc w:val="both"/>
        <w:rPr>
          <w:sz w:val="22"/>
          <w:szCs w:val="22"/>
        </w:rPr>
      </w:pPr>
      <w:r>
        <w:rPr>
          <w:color w:val="000000"/>
          <w:spacing w:val="0"/>
          <w:w w:val="100"/>
          <w:position w:val="0"/>
          <w:sz w:val="22"/>
          <w:szCs w:val="22"/>
        </w:rPr>
        <w:t>与合同成本有关的资产采用与该资产相关的商品或服务收入确认相同的基础进行摊销； 但是对于合同取得成本摊销期限未超过一年的，本公司将其在发生时计入当期损益。</w:t>
      </w:r>
    </w:p>
    <w:p>
      <w:pPr>
        <w:pStyle w:val="Style11"/>
        <w:keepNext w:val="0"/>
        <w:keepLines w:val="0"/>
        <w:widowControl w:val="0"/>
        <w:shd w:val="clear" w:color="auto" w:fill="auto"/>
        <w:bidi w:val="0"/>
        <w:spacing w:before="0" w:after="100" w:line="312" w:lineRule="exact"/>
        <w:ind w:left="0" w:right="0" w:firstLine="500"/>
        <w:jc w:val="both"/>
        <w:rPr>
          <w:sz w:val="22"/>
          <w:szCs w:val="22"/>
        </w:rPr>
      </w:pPr>
      <w:r>
        <w:rPr>
          <w:color w:val="000000"/>
          <w:spacing w:val="0"/>
          <w:w w:val="100"/>
          <w:position w:val="0"/>
          <w:sz w:val="22"/>
          <w:szCs w:val="22"/>
        </w:rPr>
        <w:t>与合同成本有关的资产，其账面价值高于下列两项的差额的，本公司将对于超出部分计 提减值准备，并确认为资产减值损失，并进一步考虑是否应计提亏损合同有关的预计负债：</w:t>
      </w:r>
    </w:p>
    <w:p>
      <w:pPr>
        <w:pStyle w:val="Style11"/>
        <w:keepNext w:val="0"/>
        <w:keepLines w:val="0"/>
        <w:widowControl w:val="0"/>
        <w:numPr>
          <w:ilvl w:val="0"/>
          <w:numId w:val="69"/>
        </w:numPr>
        <w:shd w:val="clear" w:color="auto" w:fill="auto"/>
        <w:tabs>
          <w:tab w:pos="921" w:val="left"/>
        </w:tabs>
        <w:bidi w:val="0"/>
        <w:spacing w:before="0" w:after="100" w:line="312" w:lineRule="exact"/>
        <w:ind w:left="0" w:right="0" w:firstLine="500"/>
        <w:jc w:val="left"/>
        <w:rPr>
          <w:sz w:val="22"/>
          <w:szCs w:val="22"/>
        </w:rPr>
      </w:pPr>
      <w:bookmarkStart w:id="931" w:name="bookmark931"/>
      <w:bookmarkEnd w:id="931"/>
      <w:r>
        <w:rPr>
          <w:color w:val="000000"/>
          <w:spacing w:val="0"/>
          <w:w w:val="100"/>
          <w:position w:val="0"/>
          <w:sz w:val="22"/>
          <w:szCs w:val="22"/>
        </w:rPr>
        <w:t>因转让与该资产相关的商品或服务预期能够取得的剩余对价；</w:t>
      </w:r>
    </w:p>
    <w:p>
      <w:pPr>
        <w:pStyle w:val="Style11"/>
        <w:keepNext w:val="0"/>
        <w:keepLines w:val="0"/>
        <w:widowControl w:val="0"/>
        <w:numPr>
          <w:ilvl w:val="0"/>
          <w:numId w:val="69"/>
        </w:numPr>
        <w:shd w:val="clear" w:color="auto" w:fill="auto"/>
        <w:tabs>
          <w:tab w:pos="921" w:val="left"/>
        </w:tabs>
        <w:bidi w:val="0"/>
        <w:spacing w:before="0" w:after="100" w:line="312" w:lineRule="exact"/>
        <w:ind w:left="0" w:right="0" w:firstLine="500"/>
        <w:jc w:val="left"/>
        <w:rPr>
          <w:sz w:val="22"/>
          <w:szCs w:val="22"/>
        </w:rPr>
      </w:pPr>
      <w:bookmarkStart w:id="932" w:name="bookmark932"/>
      <w:bookmarkEnd w:id="932"/>
      <w:r>
        <w:rPr>
          <w:color w:val="000000"/>
          <w:spacing w:val="0"/>
          <w:w w:val="100"/>
          <w:position w:val="0"/>
          <w:sz w:val="22"/>
          <w:szCs w:val="22"/>
        </w:rPr>
        <w:t>为转让该相关商品或服务估计将要发生的成本。</w:t>
      </w:r>
    </w:p>
    <w:p>
      <w:pPr>
        <w:pStyle w:val="Style11"/>
        <w:keepNext w:val="0"/>
        <w:keepLines w:val="0"/>
        <w:widowControl w:val="0"/>
        <w:shd w:val="clear" w:color="auto" w:fill="auto"/>
        <w:bidi w:val="0"/>
        <w:spacing w:before="0" w:after="100" w:line="312" w:lineRule="exact"/>
        <w:ind w:left="0" w:right="0" w:firstLine="500"/>
        <w:jc w:val="both"/>
        <w:rPr>
          <w:sz w:val="22"/>
          <w:szCs w:val="22"/>
        </w:rPr>
      </w:pPr>
      <w:r>
        <w:rPr>
          <w:color w:val="000000"/>
          <w:spacing w:val="0"/>
          <w:w w:val="100"/>
          <w:position w:val="0"/>
          <w:sz w:val="22"/>
          <w:szCs w:val="22"/>
        </w:rPr>
        <w:t>上述资产减值准备后续发生转回的，转回后的资产账面价值不超过假定不计提减值准备 情况下该资产在转回日的账面价值。</w:t>
      </w:r>
    </w:p>
    <w:p>
      <w:pPr>
        <w:pStyle w:val="Style11"/>
        <w:keepNext w:val="0"/>
        <w:keepLines w:val="0"/>
        <w:widowControl w:val="0"/>
        <w:shd w:val="clear" w:color="auto" w:fill="auto"/>
        <w:bidi w:val="0"/>
        <w:spacing w:before="0" w:after="180" w:line="312" w:lineRule="exact"/>
        <w:ind w:left="0" w:right="0" w:firstLine="500"/>
        <w:jc w:val="both"/>
        <w:rPr>
          <w:sz w:val="22"/>
          <w:szCs w:val="22"/>
        </w:rPr>
      </w:pPr>
      <w:r>
        <w:rPr>
          <w:color w:val="000000"/>
          <w:spacing w:val="0"/>
          <w:w w:val="100"/>
          <w:position w:val="0"/>
          <w:sz w:val="22"/>
          <w:szCs w:val="22"/>
        </w:rPr>
        <w:t xml:space="preserve">确认为资产的合同履约成本，初始确认时摊销期限不超过一年或一个正常营业周期，在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存货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项目中列示，初始确认时摊销期限超过一年或一个正常营业周期，在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其他非流动资产</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2"/>
          <w:szCs w:val="22"/>
        </w:rPr>
        <w:t>项目中列示。</w:t>
      </w:r>
    </w:p>
    <w:p>
      <w:pPr>
        <w:pStyle w:val="Style11"/>
        <w:keepNext w:val="0"/>
        <w:keepLines w:val="0"/>
        <w:widowControl w:val="0"/>
        <w:shd w:val="clear" w:color="auto" w:fill="auto"/>
        <w:bidi w:val="0"/>
        <w:spacing w:before="0" w:after="100" w:line="322" w:lineRule="exact"/>
        <w:ind w:left="0" w:right="0" w:firstLine="500"/>
        <w:jc w:val="both"/>
        <w:rPr>
          <w:sz w:val="22"/>
          <w:szCs w:val="22"/>
        </w:rPr>
      </w:pPr>
      <w:r>
        <w:rPr>
          <w:color w:val="000000"/>
          <w:spacing w:val="0"/>
          <w:w w:val="100"/>
          <w:position w:val="0"/>
          <w:sz w:val="22"/>
          <w:szCs w:val="22"/>
        </w:rPr>
        <w:t xml:space="preserve">确认为资产的合同取得成本，初始确认时摊销期限不超过一年或一个正常营业周期，在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其他流动资产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项目中列示，初始确认时摊销期限超过一年或一个正常营业周期，在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其他非 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项目中列示。</w:t>
      </w:r>
    </w:p>
    <w:p>
      <w:pPr>
        <w:pStyle w:val="Style31"/>
        <w:keepNext/>
        <w:keepLines/>
        <w:widowControl w:val="0"/>
        <w:shd w:val="clear" w:color="auto" w:fill="auto"/>
        <w:bidi w:val="0"/>
        <w:spacing w:before="0" w:after="300" w:line="240" w:lineRule="auto"/>
        <w:ind w:left="0" w:right="0" w:firstLine="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1</w:t>
      </w:r>
      <w:bookmarkEnd w:id="935"/>
      <w:r>
        <w:rPr>
          <w:rFonts w:ascii="Times New Roman" w:eastAsia="Times New Roman" w:hAnsi="Times New Roman" w:cs="Times New Roman"/>
          <w:color w:val="000000"/>
          <w:spacing w:val="0"/>
          <w:w w:val="100"/>
          <w:position w:val="0"/>
        </w:rPr>
        <w:t>8</w:t>
      </w:r>
      <w:r>
        <w:rPr>
          <w:color w:val="000000"/>
          <w:spacing w:val="0"/>
          <w:w w:val="100"/>
          <w:position w:val="0"/>
        </w:rPr>
        <w:t>、长期股权投资</w:t>
      </w:r>
      <w:bookmarkEnd w:id="933"/>
      <w:bookmarkEnd w:id="934"/>
      <w:bookmarkEnd w:id="936"/>
    </w:p>
    <w:p>
      <w:pPr>
        <w:pStyle w:val="Style11"/>
        <w:keepNext w:val="0"/>
        <w:keepLines w:val="0"/>
        <w:widowControl w:val="0"/>
        <w:shd w:val="clear" w:color="auto" w:fill="auto"/>
        <w:bidi w:val="0"/>
        <w:spacing w:before="0" w:after="220" w:line="312" w:lineRule="exact"/>
        <w:ind w:left="0" w:right="0" w:firstLine="480"/>
        <w:jc w:val="both"/>
        <w:rPr>
          <w:sz w:val="22"/>
          <w:szCs w:val="22"/>
        </w:rPr>
      </w:pPr>
      <w:r>
        <w:rPr>
          <w:color w:val="000000"/>
          <w:spacing w:val="0"/>
          <w:w w:val="100"/>
          <w:position w:val="0"/>
          <w:sz w:val="22"/>
          <w:szCs w:val="22"/>
        </w:rPr>
        <w:t>长期股权投资包括对子公司的权益性投资。</w:t>
      </w:r>
    </w:p>
    <w:p>
      <w:pPr>
        <w:pStyle w:val="Style11"/>
        <w:keepNext w:val="0"/>
        <w:keepLines w:val="0"/>
        <w:widowControl w:val="0"/>
        <w:shd w:val="clear" w:color="auto" w:fill="auto"/>
        <w:tabs>
          <w:tab w:pos="1006" w:val="left"/>
        </w:tabs>
        <w:bidi w:val="0"/>
        <w:spacing w:before="0" w:after="0" w:line="310" w:lineRule="exact"/>
        <w:ind w:left="0" w:right="0" w:firstLine="480"/>
        <w:jc w:val="both"/>
        <w:rPr>
          <w:sz w:val="22"/>
          <w:szCs w:val="22"/>
        </w:rPr>
      </w:pPr>
      <w:bookmarkStart w:id="937" w:name="bookmark937"/>
      <w:r>
        <w:rPr>
          <w:color w:val="000000"/>
          <w:spacing w:val="0"/>
          <w:w w:val="100"/>
          <w:position w:val="0"/>
          <w:sz w:val="22"/>
          <w:szCs w:val="22"/>
        </w:rPr>
        <w:t>（</w:t>
      </w:r>
      <w:bookmarkEnd w:id="93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初始投资成本确定</w:t>
      </w:r>
    </w:p>
    <w:p>
      <w:pPr>
        <w:pStyle w:val="Style11"/>
        <w:keepNext w:val="0"/>
        <w:keepLines w:val="0"/>
        <w:widowControl w:val="0"/>
        <w:shd w:val="clear" w:color="auto" w:fill="auto"/>
        <w:bidi w:val="0"/>
        <w:spacing w:before="0" w:after="220" w:line="310" w:lineRule="exact"/>
        <w:ind w:left="0" w:right="0" w:firstLine="500"/>
        <w:jc w:val="both"/>
        <w:rPr>
          <w:sz w:val="22"/>
          <w:szCs w:val="22"/>
        </w:rPr>
      </w:pPr>
      <w:r>
        <w:rPr>
          <w:color w:val="000000"/>
          <w:spacing w:val="0"/>
          <w:w w:val="100"/>
          <w:position w:val="0"/>
          <w:sz w:val="22"/>
          <w:szCs w:val="22"/>
        </w:rPr>
        <w:t>形成企业合并的长期股权投资：同一控制下企业合并取得的长期股权投资，在合并日按 照取得被合并方所有者权益在最终控制方合并财务报表中的账面价值份额作为投资成本；非 同一控制下企业合并取得的长期股权投资，按照合并成本作为长期股权投资的投资成本。</w:t>
      </w:r>
    </w:p>
    <w:p>
      <w:pPr>
        <w:pStyle w:val="Style11"/>
        <w:keepNext w:val="0"/>
        <w:keepLines w:val="0"/>
        <w:widowControl w:val="0"/>
        <w:shd w:val="clear" w:color="auto" w:fill="auto"/>
        <w:bidi w:val="0"/>
        <w:spacing w:before="0" w:after="220" w:line="312" w:lineRule="exact"/>
        <w:ind w:left="0" w:right="0" w:firstLine="500"/>
        <w:jc w:val="both"/>
        <w:rPr>
          <w:sz w:val="22"/>
          <w:szCs w:val="22"/>
        </w:rPr>
      </w:pPr>
      <w:r>
        <w:rPr>
          <w:color w:val="000000"/>
          <w:spacing w:val="0"/>
          <w:w w:val="100"/>
          <w:position w:val="0"/>
          <w:sz w:val="22"/>
          <w:szCs w:val="22"/>
        </w:rPr>
        <w:t>对于其他方式取得的长期股权投资：支付现金取得的长期股权投资，按照实际支付的购 买价款作为初始投资成本；发行权益性证券取得的长期股权投资，以发行权益性证券的公允 价值作为初始投资成本。</w:t>
      </w:r>
    </w:p>
    <w:p>
      <w:pPr>
        <w:pStyle w:val="Style11"/>
        <w:keepNext w:val="0"/>
        <w:keepLines w:val="0"/>
        <w:widowControl w:val="0"/>
        <w:shd w:val="clear" w:color="auto" w:fill="auto"/>
        <w:tabs>
          <w:tab w:pos="1026" w:val="left"/>
        </w:tabs>
        <w:bidi w:val="0"/>
        <w:spacing w:before="0" w:after="0" w:line="312" w:lineRule="exact"/>
        <w:ind w:left="0" w:right="0" w:firstLine="500"/>
        <w:jc w:val="both"/>
        <w:rPr>
          <w:sz w:val="22"/>
          <w:szCs w:val="22"/>
        </w:rPr>
      </w:pPr>
      <w:bookmarkStart w:id="938" w:name="bookmark938"/>
      <w:r>
        <w:rPr>
          <w:color w:val="000000"/>
          <w:spacing w:val="0"/>
          <w:w w:val="100"/>
          <w:position w:val="0"/>
          <w:sz w:val="22"/>
          <w:szCs w:val="22"/>
        </w:rPr>
        <w:t>（</w:t>
      </w:r>
      <w:bookmarkEnd w:id="93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后续计量及损益确认方法</w:t>
      </w:r>
    </w:p>
    <w:p>
      <w:pPr>
        <w:pStyle w:val="Style11"/>
        <w:keepNext w:val="0"/>
        <w:keepLines w:val="0"/>
        <w:widowControl w:val="0"/>
        <w:shd w:val="clear" w:color="auto" w:fill="auto"/>
        <w:bidi w:val="0"/>
        <w:spacing w:before="0" w:after="220" w:line="312" w:lineRule="exact"/>
        <w:ind w:left="0" w:right="0" w:firstLine="500"/>
        <w:jc w:val="both"/>
        <w:rPr>
          <w:sz w:val="22"/>
          <w:szCs w:val="22"/>
        </w:rPr>
      </w:pPr>
      <w:r>
        <w:rPr>
          <w:color w:val="000000"/>
          <w:spacing w:val="0"/>
          <w:w w:val="100"/>
          <w:position w:val="0"/>
          <w:sz w:val="22"/>
          <w:szCs w:val="22"/>
        </w:rPr>
        <w:t>对子公司的投资，采用成本法核算，除非投资符合持有待售的条件。</w:t>
      </w:r>
    </w:p>
    <w:p>
      <w:pPr>
        <w:pStyle w:val="Style11"/>
        <w:keepNext w:val="0"/>
        <w:keepLines w:val="0"/>
        <w:widowControl w:val="0"/>
        <w:shd w:val="clear" w:color="auto" w:fill="auto"/>
        <w:bidi w:val="0"/>
        <w:spacing w:before="0" w:after="160" w:line="314" w:lineRule="exact"/>
        <w:ind w:left="0" w:right="0" w:firstLine="500"/>
        <w:jc w:val="both"/>
        <w:rPr>
          <w:sz w:val="22"/>
          <w:szCs w:val="22"/>
        </w:rPr>
      </w:pPr>
      <w:r>
        <w:rPr>
          <w:color w:val="000000"/>
          <w:spacing w:val="0"/>
          <w:w w:val="100"/>
          <w:position w:val="0"/>
          <w:sz w:val="22"/>
          <w:szCs w:val="22"/>
        </w:rPr>
        <w:t>采用成本法核算的长期股权投资，除取得投资时实际支付的价款或对价中包含的已宣告 但尚未发放的现金股利或利润外，被投资单位宣告分派的现金股利或利润，确认为投资收益 计入当期损益。</w:t>
      </w:r>
    </w:p>
    <w:p>
      <w:pPr>
        <w:pStyle w:val="Style11"/>
        <w:keepNext w:val="0"/>
        <w:keepLines w:val="0"/>
        <w:widowControl w:val="0"/>
        <w:shd w:val="clear" w:color="auto" w:fill="auto"/>
        <w:tabs>
          <w:tab w:pos="1026" w:val="left"/>
        </w:tabs>
        <w:bidi w:val="0"/>
        <w:spacing w:before="0" w:after="0" w:line="326" w:lineRule="exact"/>
        <w:ind w:left="0" w:right="0" w:firstLine="500"/>
        <w:jc w:val="both"/>
        <w:rPr>
          <w:sz w:val="22"/>
          <w:szCs w:val="22"/>
        </w:rPr>
      </w:pPr>
      <w:bookmarkStart w:id="939" w:name="bookmark939"/>
      <w:r>
        <w:rPr>
          <w:color w:val="000000"/>
          <w:spacing w:val="0"/>
          <w:w w:val="100"/>
          <w:position w:val="0"/>
          <w:sz w:val="22"/>
          <w:szCs w:val="22"/>
        </w:rPr>
        <w:t>（</w:t>
      </w:r>
      <w:bookmarkEnd w:id="939"/>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减值测试方法及减值准备计提方法</w:t>
      </w:r>
    </w:p>
    <w:p>
      <w:pPr>
        <w:pStyle w:val="Style11"/>
        <w:keepNext w:val="0"/>
        <w:keepLines w:val="0"/>
        <w:widowControl w:val="0"/>
        <w:shd w:val="clear" w:color="auto" w:fill="auto"/>
        <w:bidi w:val="0"/>
        <w:spacing w:before="0" w:after="380" w:line="326" w:lineRule="exact"/>
        <w:ind w:left="0" w:right="0" w:firstLine="500"/>
        <w:jc w:val="both"/>
        <w:rPr>
          <w:sz w:val="22"/>
          <w:szCs w:val="22"/>
        </w:rPr>
      </w:pPr>
      <w:r>
        <w:rPr>
          <w:color w:val="000000"/>
          <w:spacing w:val="0"/>
          <w:w w:val="100"/>
          <w:position w:val="0"/>
          <w:sz w:val="22"/>
          <w:szCs w:val="22"/>
        </w:rPr>
        <w:t>对子公司的投资，计提资产减值的方法见本节之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五、重要会计政策及会计估计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之</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2"/>
          <w:szCs w:val="22"/>
        </w:rPr>
        <w:t>、 长期资产减值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31"/>
        <w:keepNext/>
        <w:keepLines/>
        <w:widowControl w:val="0"/>
        <w:shd w:val="clear" w:color="auto" w:fill="auto"/>
        <w:bidi w:val="0"/>
        <w:spacing w:before="0" w:after="38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1</w:t>
      </w:r>
      <w:bookmarkEnd w:id="942"/>
      <w:r>
        <w:rPr>
          <w:rFonts w:ascii="Times New Roman" w:eastAsia="Times New Roman" w:hAnsi="Times New Roman" w:cs="Times New Roman"/>
          <w:color w:val="000000"/>
          <w:spacing w:val="0"/>
          <w:w w:val="100"/>
          <w:position w:val="0"/>
        </w:rPr>
        <w:t>9</w:t>
      </w:r>
      <w:r>
        <w:rPr>
          <w:color w:val="000000"/>
          <w:spacing w:val="0"/>
          <w:w w:val="100"/>
          <w:position w:val="0"/>
        </w:rPr>
        <w:t>、投资性房地产</w:t>
      </w:r>
      <w:bookmarkEnd w:id="940"/>
      <w:bookmarkEnd w:id="941"/>
      <w:bookmarkEnd w:id="943"/>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投资性房地产计量模式</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成本法计量</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折旧或摊销方法</w:t>
      </w:r>
    </w:p>
    <w:p>
      <w:pPr>
        <w:pStyle w:val="Style11"/>
        <w:keepNext w:val="0"/>
        <w:keepLines w:val="0"/>
        <w:widowControl w:val="0"/>
        <w:shd w:val="clear" w:color="auto" w:fill="auto"/>
        <w:bidi w:val="0"/>
        <w:spacing w:before="0" w:after="220" w:line="307" w:lineRule="exact"/>
        <w:ind w:left="0" w:right="0" w:firstLine="500"/>
        <w:jc w:val="both"/>
        <w:rPr>
          <w:sz w:val="22"/>
          <w:szCs w:val="22"/>
        </w:rPr>
      </w:pPr>
      <w:r>
        <w:rPr>
          <w:color w:val="000000"/>
          <w:spacing w:val="0"/>
          <w:w w:val="100"/>
          <w:position w:val="0"/>
          <w:sz w:val="22"/>
          <w:szCs w:val="22"/>
        </w:rPr>
        <w:t>投资性房地产是指为赚取租金或资本增值，或两者兼有而持有的房地产。本集团投资性 房地产是已出租的建筑物。</w:t>
      </w:r>
    </w:p>
    <w:p>
      <w:pPr>
        <w:pStyle w:val="Style11"/>
        <w:keepNext w:val="0"/>
        <w:keepLines w:val="0"/>
        <w:widowControl w:val="0"/>
        <w:shd w:val="clear" w:color="auto" w:fill="auto"/>
        <w:bidi w:val="0"/>
        <w:spacing w:before="0" w:after="220" w:line="312" w:lineRule="exact"/>
        <w:ind w:left="0" w:right="0" w:firstLine="500"/>
        <w:jc w:val="both"/>
        <w:rPr>
          <w:sz w:val="22"/>
          <w:szCs w:val="22"/>
        </w:rPr>
      </w:pPr>
      <w:r>
        <w:rPr>
          <w:color w:val="000000"/>
          <w:spacing w:val="0"/>
          <w:w w:val="100"/>
          <w:position w:val="0"/>
          <w:sz w:val="22"/>
          <w:szCs w:val="22"/>
        </w:rPr>
        <w:t>本集团投资性房地产按照取得时的成本进行初始计量，并按照固定资产或无形资产的有 关规定，按期计提折旧或摊销。</w:t>
      </w:r>
    </w:p>
    <w:tbl>
      <w:tblPr>
        <w:tblOverlap w:val="never"/>
        <w:jc w:val="center"/>
        <w:tblLayout w:type="fixed"/>
      </w:tblPr>
      <w:tblGrid>
        <w:gridCol w:w="2654"/>
        <w:gridCol w:w="2635"/>
        <w:gridCol w:w="1968"/>
        <w:gridCol w:w="241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类另</w:t>
            </w: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4.75</w:t>
            </w:r>
          </w:p>
        </w:tc>
      </w:tr>
    </w:tbl>
    <w:p>
      <w:pPr>
        <w:widowControl w:val="0"/>
        <w:spacing w:after="159" w:line="1" w:lineRule="exact"/>
      </w:pPr>
    </w:p>
    <w:p>
      <w:pPr>
        <w:pStyle w:val="Style11"/>
        <w:keepNext w:val="0"/>
        <w:keepLines w:val="0"/>
        <w:widowControl w:val="0"/>
        <w:shd w:val="clear" w:color="auto" w:fill="auto"/>
        <w:bidi w:val="0"/>
        <w:spacing w:before="0" w:after="220" w:line="302" w:lineRule="exact"/>
        <w:ind w:left="0" w:right="0" w:firstLine="500"/>
        <w:jc w:val="both"/>
        <w:rPr>
          <w:sz w:val="22"/>
          <w:szCs w:val="22"/>
        </w:rPr>
      </w:pPr>
      <w:r>
        <w:rPr>
          <w:color w:val="000000"/>
          <w:spacing w:val="0"/>
          <w:w w:val="100"/>
          <w:position w:val="0"/>
          <w:sz w:val="22"/>
          <w:szCs w:val="22"/>
        </w:rPr>
        <w:t>采用成本模式进行后续计量的投资性房地产，计提资产减值方法见本节之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五、重要会计 政策及会计估计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之</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2"/>
          <w:szCs w:val="22"/>
        </w:rPr>
        <w:t>、长期资产减值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11"/>
        <w:keepNext w:val="0"/>
        <w:keepLines w:val="0"/>
        <w:widowControl w:val="0"/>
        <w:shd w:val="clear" w:color="auto" w:fill="auto"/>
        <w:bidi w:val="0"/>
        <w:spacing w:before="0" w:after="220" w:line="307" w:lineRule="exact"/>
        <w:ind w:left="0" w:right="0"/>
        <w:jc w:val="both"/>
        <w:rPr>
          <w:sz w:val="22"/>
          <w:szCs w:val="22"/>
        </w:rPr>
      </w:pPr>
      <w:r>
        <w:rPr>
          <w:color w:val="000000"/>
          <w:spacing w:val="0"/>
          <w:w w:val="100"/>
          <w:position w:val="0"/>
          <w:sz w:val="22"/>
          <w:szCs w:val="22"/>
        </w:rPr>
        <w:t>投资性房地产出售、转让、报废或毁损的处置收入扣除其账面价值和相关税费后的差额计 入当期损益。</w:t>
      </w:r>
    </w:p>
    <w:p>
      <w:pPr>
        <w:pStyle w:val="Style31"/>
        <w:keepNext/>
        <w:keepLines/>
        <w:widowControl w:val="0"/>
        <w:shd w:val="clear" w:color="auto" w:fill="auto"/>
        <w:bidi w:val="0"/>
        <w:spacing w:before="0" w:after="40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944"/>
      <w:bookmarkEnd w:id="945"/>
      <w:bookmarkEnd w:id="947"/>
    </w:p>
    <w:p>
      <w:pPr>
        <w:pStyle w:val="Style40"/>
        <w:keepNext/>
        <w:keepLines/>
        <w:widowControl w:val="0"/>
        <w:shd w:val="clear" w:color="auto" w:fill="auto"/>
        <w:tabs>
          <w:tab w:pos="493" w:val="left"/>
        </w:tabs>
        <w:bidi w:val="0"/>
        <w:spacing w:before="0" w:after="200" w:line="240" w:lineRule="auto"/>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948"/>
      <w:bookmarkEnd w:id="949"/>
      <w:bookmarkEnd w:id="951"/>
    </w:p>
    <w:p>
      <w:pPr>
        <w:pStyle w:val="Style27"/>
        <w:keepNext w:val="0"/>
        <w:keepLines w:val="0"/>
        <w:widowControl w:val="0"/>
        <w:shd w:val="clear" w:color="auto" w:fill="auto"/>
        <w:bidi w:val="0"/>
        <w:spacing w:before="0" w:after="400" w:line="353" w:lineRule="exact"/>
        <w:ind w:left="0" w:right="0" w:firstLine="0"/>
        <w:jc w:val="left"/>
      </w:pPr>
      <w:r>
        <w:rPr>
          <w:color w:val="000000"/>
          <w:spacing w:val="0"/>
          <w:w w:val="100"/>
          <w:position w:val="0"/>
        </w:rPr>
        <w:t>本集团固定资产是指为生产商品、提供劳务、出租或经营管理而持有的，使用寿命超过一个会计年度的有形资产。 与该固定资产有关的经济利益很可能流入企业，并且该固定资产的成本能够可靠地计量时，固定资产才能予以确认。 本集团固定资产按照取得时的实际成本进行初始计量。</w:t>
      </w:r>
    </w:p>
    <w:p>
      <w:pPr>
        <w:pStyle w:val="Style25"/>
        <w:keepNext w:val="0"/>
        <w:keepLines w:val="0"/>
        <w:widowControl w:val="0"/>
        <w:shd w:val="clear" w:color="auto" w:fill="auto"/>
        <w:tabs>
          <w:tab w:pos="418" w:val="left"/>
        </w:tabs>
        <w:bidi w:val="0"/>
        <w:spacing w:before="0" w:after="0" w:line="240" w:lineRule="auto"/>
        <w:ind w:left="0" w:right="0" w:firstLine="0"/>
        <w:jc w:val="left"/>
        <w:rPr>
          <w:sz w:val="20"/>
          <w:szCs w:val="20"/>
        </w:rPr>
      </w:pPr>
      <w:bookmarkStart w:id="952" w:name="bookmark95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折旧方法</w:t>
      </w:r>
      <w:bookmarkEnd w:id="952"/>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31.67%-7.92%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31.67%-7.92%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新能源电站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bl>
    <w:p>
      <w:pPr>
        <w:pStyle w:val="Style25"/>
        <w:keepNext w:val="0"/>
        <w:keepLines w:val="0"/>
        <w:widowControl w:val="0"/>
        <w:shd w:val="clear" w:color="auto" w:fill="auto"/>
        <w:tabs>
          <w:tab w:pos="422" w:val="left"/>
        </w:tabs>
        <w:bidi w:val="0"/>
        <w:spacing w:before="0" w:after="0" w:line="240" w:lineRule="auto"/>
        <w:ind w:left="0" w:right="0" w:firstLine="0"/>
        <w:jc w:val="left"/>
        <w:rPr>
          <w:sz w:val="20"/>
          <w:szCs w:val="20"/>
        </w:rPr>
      </w:pPr>
      <w:bookmarkStart w:id="953" w:name="bookmark953"/>
      <w:r>
        <w:rPr>
          <w:rFonts w:ascii="Times New Roman" w:eastAsia="Times New Roman" w:hAnsi="Times New Roman" w:cs="Times New Roman"/>
          <w:b/>
          <w:bCs/>
          <w:color w:val="000000"/>
          <w:spacing w:val="0"/>
          <w:w w:val="100"/>
          <w:position w:val="0"/>
          <w:sz w:val="20"/>
          <w:szCs w:val="20"/>
        </w:rPr>
        <w:t>21</w:t>
      </w:r>
      <w:r>
        <w:rPr>
          <w:b/>
          <w:bCs/>
          <w:color w:val="000000"/>
          <w:spacing w:val="0"/>
          <w:w w:val="100"/>
          <w:position w:val="0"/>
          <w:sz w:val="20"/>
          <w:szCs w:val="20"/>
        </w:rPr>
        <w:t>、</w:t>
        <w:tab/>
        <w:t>在建工程</w:t>
      </w:r>
      <w:bookmarkEnd w:id="953"/>
    </w:p>
    <w:p>
      <w:pPr>
        <w:widowControl w:val="0"/>
        <w:spacing w:after="319" w:line="1" w:lineRule="exact"/>
      </w:pPr>
    </w:p>
    <w:p>
      <w:pPr>
        <w:pStyle w:val="Style11"/>
        <w:keepNext w:val="0"/>
        <w:keepLines w:val="0"/>
        <w:widowControl w:val="0"/>
        <w:shd w:val="clear" w:color="auto" w:fill="auto"/>
        <w:bidi w:val="0"/>
        <w:spacing w:before="0" w:after="200" w:line="307" w:lineRule="exact"/>
        <w:ind w:left="0" w:right="0" w:firstLine="500"/>
        <w:jc w:val="left"/>
        <w:rPr>
          <w:sz w:val="22"/>
          <w:szCs w:val="22"/>
        </w:rPr>
      </w:pPr>
      <w:r>
        <w:rPr>
          <w:color w:val="000000"/>
          <w:spacing w:val="0"/>
          <w:w w:val="100"/>
          <w:position w:val="0"/>
          <w:sz w:val="22"/>
          <w:szCs w:val="22"/>
        </w:rPr>
        <w:t>本集团在建工程成本按实际工程支出确定，包括在建期间发生的各项必要工程支出、工 程达到预定可使用状态前的应予资本化的借款费用以及其他相关费用等。</w:t>
      </w:r>
    </w:p>
    <w:p>
      <w:pPr>
        <w:pStyle w:val="Style11"/>
        <w:keepNext w:val="0"/>
        <w:keepLines w:val="0"/>
        <w:widowControl w:val="0"/>
        <w:shd w:val="clear" w:color="auto" w:fill="auto"/>
        <w:bidi w:val="0"/>
        <w:spacing w:before="0" w:after="200" w:line="312" w:lineRule="exact"/>
        <w:ind w:left="0" w:right="0" w:firstLine="500"/>
        <w:jc w:val="left"/>
        <w:rPr>
          <w:sz w:val="22"/>
          <w:szCs w:val="22"/>
        </w:rPr>
      </w:pPr>
      <w:r>
        <w:rPr>
          <w:color w:val="000000"/>
          <w:spacing w:val="0"/>
          <w:w w:val="100"/>
          <w:position w:val="0"/>
          <w:sz w:val="22"/>
          <w:szCs w:val="22"/>
        </w:rPr>
        <w:t>在建工程在达到预定可使用状态时转入固定资产。</w:t>
      </w:r>
    </w:p>
    <w:p>
      <w:pPr>
        <w:pStyle w:val="Style11"/>
        <w:keepNext w:val="0"/>
        <w:keepLines w:val="0"/>
        <w:widowControl w:val="0"/>
        <w:shd w:val="clear" w:color="auto" w:fill="auto"/>
        <w:bidi w:val="0"/>
        <w:spacing w:before="0" w:after="660" w:line="322" w:lineRule="exact"/>
        <w:ind w:left="0" w:right="0" w:firstLine="500"/>
        <w:jc w:val="left"/>
        <w:rPr>
          <w:sz w:val="22"/>
          <w:szCs w:val="22"/>
        </w:rPr>
      </w:pPr>
      <w:r>
        <w:rPr>
          <w:color w:val="000000"/>
          <w:spacing w:val="0"/>
          <w:w w:val="100"/>
          <w:position w:val="0"/>
          <w:sz w:val="22"/>
          <w:szCs w:val="22"/>
        </w:rPr>
        <w:t>在建工程计提资产减值方法见本节之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五、重要会计政策及会计估计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之</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2"/>
          <w:szCs w:val="22"/>
        </w:rPr>
        <w:t>、长期资产减 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31"/>
        <w:keepNext/>
        <w:keepLines/>
        <w:widowControl w:val="0"/>
        <w:shd w:val="clear" w:color="auto" w:fill="auto"/>
        <w:tabs>
          <w:tab w:pos="483" w:val="left"/>
        </w:tabs>
        <w:bidi w:val="0"/>
        <w:spacing w:before="0" w:after="320" w:line="240" w:lineRule="auto"/>
        <w:ind w:left="0" w:right="0" w:firstLine="0"/>
        <w:jc w:val="both"/>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2</w:t>
      </w:r>
      <w:bookmarkEnd w:id="956"/>
      <w:r>
        <w:rPr>
          <w:rFonts w:ascii="Times New Roman" w:eastAsia="Times New Roman" w:hAnsi="Times New Roman" w:cs="Times New Roman"/>
          <w:color w:val="000000"/>
          <w:spacing w:val="0"/>
          <w:w w:val="100"/>
          <w:position w:val="0"/>
        </w:rPr>
        <w:t>2</w:t>
      </w:r>
      <w:r>
        <w:rPr>
          <w:color w:val="000000"/>
          <w:spacing w:val="0"/>
          <w:w w:val="100"/>
          <w:position w:val="0"/>
        </w:rPr>
        <w:t>、</w:t>
        <w:tab/>
        <w:t>借款费用</w:t>
      </w:r>
      <w:bookmarkEnd w:id="954"/>
      <w:bookmarkEnd w:id="955"/>
      <w:bookmarkEnd w:id="957"/>
    </w:p>
    <w:p>
      <w:pPr>
        <w:pStyle w:val="Style11"/>
        <w:keepNext w:val="0"/>
        <w:keepLines w:val="0"/>
        <w:widowControl w:val="0"/>
        <w:shd w:val="clear" w:color="auto" w:fill="auto"/>
        <w:tabs>
          <w:tab w:pos="1026" w:val="left"/>
        </w:tabs>
        <w:bidi w:val="0"/>
        <w:spacing w:before="0" w:after="0" w:line="312" w:lineRule="exact"/>
        <w:ind w:left="0" w:right="0" w:firstLine="500"/>
        <w:jc w:val="left"/>
        <w:rPr>
          <w:sz w:val="22"/>
          <w:szCs w:val="22"/>
        </w:rPr>
      </w:pPr>
      <w:bookmarkStart w:id="958" w:name="bookmark958"/>
      <w:r>
        <w:rPr>
          <w:color w:val="000000"/>
          <w:spacing w:val="0"/>
          <w:w w:val="100"/>
          <w:position w:val="0"/>
          <w:sz w:val="22"/>
          <w:szCs w:val="22"/>
        </w:rPr>
        <w:t>（</w:t>
      </w:r>
      <w:bookmarkEnd w:id="95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借款费用资本化的确认原则</w:t>
      </w:r>
    </w:p>
    <w:p>
      <w:pPr>
        <w:pStyle w:val="Style11"/>
        <w:keepNext w:val="0"/>
        <w:keepLines w:val="0"/>
        <w:widowControl w:val="0"/>
        <w:shd w:val="clear" w:color="auto" w:fill="auto"/>
        <w:bidi w:val="0"/>
        <w:spacing w:before="0" w:after="200" w:line="312" w:lineRule="exact"/>
        <w:ind w:left="0" w:right="0" w:firstLine="500"/>
        <w:jc w:val="both"/>
        <w:rPr>
          <w:sz w:val="22"/>
          <w:szCs w:val="22"/>
        </w:rPr>
      </w:pPr>
      <w:r>
        <w:rPr>
          <w:color w:val="000000"/>
          <w:spacing w:val="0"/>
          <w:w w:val="100"/>
          <w:position w:val="0"/>
          <w:sz w:val="22"/>
          <w:szCs w:val="22"/>
        </w:rPr>
        <w:t>本集团发生的借款费用，可直接归属于符合资本化条件的资产的购建或者生产的，予以 资本化，计入相关资产成本；其他借款费用，在发生时根据其发生额确认为费用，计入当期 损益。借款费用同时满足下列条件的，开始资本化：</w:t>
      </w:r>
    </w:p>
    <w:p>
      <w:pPr>
        <w:pStyle w:val="Style11"/>
        <w:keepNext w:val="0"/>
        <w:keepLines w:val="0"/>
        <w:widowControl w:val="0"/>
        <w:numPr>
          <w:ilvl w:val="0"/>
          <w:numId w:val="71"/>
        </w:numPr>
        <w:shd w:val="clear" w:color="auto" w:fill="auto"/>
        <w:tabs>
          <w:tab w:pos="896" w:val="left"/>
        </w:tabs>
        <w:bidi w:val="0"/>
        <w:spacing w:before="0" w:after="200" w:line="322" w:lineRule="exact"/>
        <w:ind w:left="0" w:right="0" w:firstLine="500"/>
        <w:jc w:val="both"/>
        <w:rPr>
          <w:sz w:val="22"/>
          <w:szCs w:val="22"/>
        </w:rPr>
      </w:pPr>
      <w:bookmarkStart w:id="959" w:name="bookmark959"/>
      <w:bookmarkEnd w:id="959"/>
      <w:r>
        <w:rPr>
          <w:color w:val="000000"/>
          <w:spacing w:val="0"/>
          <w:w w:val="100"/>
          <w:position w:val="0"/>
          <w:sz w:val="22"/>
          <w:szCs w:val="22"/>
        </w:rPr>
        <w:t>资产支出已经发生，资产支出包括为购建或者生产符合资本化条件的资产而以支付现 金、转移非现金资产或者承担带息债务形式发生的支出；</w:t>
      </w:r>
    </w:p>
    <w:p>
      <w:pPr>
        <w:pStyle w:val="Style11"/>
        <w:keepNext w:val="0"/>
        <w:keepLines w:val="0"/>
        <w:widowControl w:val="0"/>
        <w:numPr>
          <w:ilvl w:val="0"/>
          <w:numId w:val="71"/>
        </w:numPr>
        <w:shd w:val="clear" w:color="auto" w:fill="auto"/>
        <w:tabs>
          <w:tab w:pos="921" w:val="left"/>
        </w:tabs>
        <w:bidi w:val="0"/>
        <w:spacing w:before="0" w:after="200" w:line="312" w:lineRule="exact"/>
        <w:ind w:left="0" w:right="0" w:firstLine="500"/>
        <w:jc w:val="both"/>
        <w:rPr>
          <w:sz w:val="22"/>
          <w:szCs w:val="22"/>
        </w:rPr>
      </w:pPr>
      <w:bookmarkStart w:id="960" w:name="bookmark960"/>
      <w:bookmarkEnd w:id="960"/>
      <w:r>
        <w:rPr>
          <w:color w:val="000000"/>
          <w:spacing w:val="0"/>
          <w:w w:val="100"/>
          <w:position w:val="0"/>
          <w:sz w:val="22"/>
          <w:szCs w:val="22"/>
        </w:rPr>
        <w:t>借款费用已经发生；</w:t>
      </w:r>
    </w:p>
    <w:p>
      <w:pPr>
        <w:pStyle w:val="Style11"/>
        <w:keepNext w:val="0"/>
        <w:keepLines w:val="0"/>
        <w:widowControl w:val="0"/>
        <w:numPr>
          <w:ilvl w:val="0"/>
          <w:numId w:val="71"/>
        </w:numPr>
        <w:shd w:val="clear" w:color="auto" w:fill="auto"/>
        <w:tabs>
          <w:tab w:pos="921" w:val="left"/>
        </w:tabs>
        <w:bidi w:val="0"/>
        <w:spacing w:before="0" w:after="200" w:line="312" w:lineRule="exact"/>
        <w:ind w:left="0" w:right="0" w:firstLine="500"/>
        <w:jc w:val="left"/>
        <w:rPr>
          <w:sz w:val="22"/>
          <w:szCs w:val="22"/>
        </w:rPr>
      </w:pPr>
      <w:bookmarkStart w:id="961" w:name="bookmark961"/>
      <w:bookmarkEnd w:id="961"/>
      <w:r>
        <w:rPr>
          <w:color w:val="000000"/>
          <w:spacing w:val="0"/>
          <w:w w:val="100"/>
          <w:position w:val="0"/>
          <w:sz w:val="22"/>
          <w:szCs w:val="22"/>
        </w:rPr>
        <w:t>为使资产达到预定可使用或者可销售状态所必要的购建或者生产活动已经开始。</w:t>
      </w:r>
    </w:p>
    <w:p>
      <w:pPr>
        <w:pStyle w:val="Style11"/>
        <w:keepNext w:val="0"/>
        <w:keepLines w:val="0"/>
        <w:widowControl w:val="0"/>
        <w:shd w:val="clear" w:color="auto" w:fill="auto"/>
        <w:tabs>
          <w:tab w:pos="1026" w:val="left"/>
        </w:tabs>
        <w:bidi w:val="0"/>
        <w:spacing w:before="0" w:after="0" w:line="312" w:lineRule="exact"/>
        <w:ind w:left="0" w:right="0" w:firstLine="500"/>
        <w:jc w:val="left"/>
        <w:rPr>
          <w:sz w:val="22"/>
          <w:szCs w:val="22"/>
        </w:rPr>
      </w:pPr>
      <w:bookmarkStart w:id="962" w:name="bookmark962"/>
      <w:r>
        <w:rPr>
          <w:color w:val="000000"/>
          <w:spacing w:val="0"/>
          <w:w w:val="100"/>
          <w:position w:val="0"/>
          <w:sz w:val="22"/>
          <w:szCs w:val="22"/>
        </w:rPr>
        <w:t>（</w:t>
      </w:r>
      <w:bookmarkEnd w:id="96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借款费用资本化期间</w:t>
      </w:r>
    </w:p>
    <w:p>
      <w:pPr>
        <w:pStyle w:val="Style11"/>
        <w:keepNext w:val="0"/>
        <w:keepLines w:val="0"/>
        <w:widowControl w:val="0"/>
        <w:shd w:val="clear" w:color="auto" w:fill="auto"/>
        <w:bidi w:val="0"/>
        <w:spacing w:before="0" w:after="200" w:line="312" w:lineRule="exact"/>
        <w:ind w:left="0" w:right="0" w:firstLine="500"/>
        <w:jc w:val="left"/>
        <w:rPr>
          <w:sz w:val="22"/>
          <w:szCs w:val="22"/>
        </w:rPr>
      </w:pPr>
      <w:r>
        <w:rPr>
          <w:color w:val="000000"/>
          <w:spacing w:val="0"/>
          <w:w w:val="100"/>
          <w:position w:val="0"/>
          <w:sz w:val="22"/>
          <w:szCs w:val="22"/>
        </w:rPr>
        <w:t xml:space="preserve">本集团购建或者生产符合资本化条件的资产达到预定可使用或者可销售状态时，借款费 </w:t>
      </w:r>
      <w:r>
        <w:rPr>
          <w:color w:val="000000"/>
          <w:spacing w:val="0"/>
          <w:w w:val="100"/>
          <w:position w:val="0"/>
          <w:sz w:val="22"/>
          <w:szCs w:val="22"/>
        </w:rPr>
        <w:t>用停止资本化。在符合资本化条件的资产达到预定可使用或者可销售状态之后所发生的借款 费用，在发生时根据其发生额确认为费用，计入当期损益。</w:t>
      </w:r>
    </w:p>
    <w:p>
      <w:pPr>
        <w:pStyle w:val="Style11"/>
        <w:keepNext w:val="0"/>
        <w:keepLines w:val="0"/>
        <w:widowControl w:val="0"/>
        <w:shd w:val="clear" w:color="auto" w:fill="auto"/>
        <w:bidi w:val="0"/>
        <w:spacing w:before="0" w:after="200" w:line="317" w:lineRule="exact"/>
        <w:ind w:left="0" w:right="0" w:firstLine="520"/>
        <w:jc w:val="both"/>
        <w:rPr>
          <w:sz w:val="22"/>
          <w:szCs w:val="22"/>
        </w:rPr>
      </w:pPr>
      <w:r>
        <w:rPr>
          <w:color w:val="000000"/>
          <w:spacing w:val="0"/>
          <w:w w:val="100"/>
          <w:position w:val="0"/>
          <w:sz w:val="22"/>
          <w:szCs w:val="22"/>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sz w:val="22"/>
          <w:szCs w:val="22"/>
        </w:rPr>
        <w:t>个月的，暂停借款费用的资本化；正常中断期间的借款费用继续资本化。</w:t>
      </w:r>
    </w:p>
    <w:p>
      <w:pPr>
        <w:pStyle w:val="Style11"/>
        <w:keepNext w:val="0"/>
        <w:keepLines w:val="0"/>
        <w:widowControl w:val="0"/>
        <w:shd w:val="clear" w:color="auto" w:fill="auto"/>
        <w:bidi w:val="0"/>
        <w:spacing w:before="0" w:after="0" w:line="307" w:lineRule="exact"/>
        <w:ind w:left="0" w:right="0" w:firstLine="500"/>
        <w:jc w:val="left"/>
        <w:rPr>
          <w:sz w:val="22"/>
          <w:szCs w:val="22"/>
        </w:rPr>
      </w:pPr>
      <w:bookmarkStart w:id="963" w:name="bookmark963"/>
      <w:r>
        <w:rPr>
          <w:color w:val="000000"/>
          <w:spacing w:val="0"/>
          <w:w w:val="100"/>
          <w:position w:val="0"/>
          <w:sz w:val="22"/>
          <w:szCs w:val="22"/>
        </w:rPr>
        <w:t>（</w:t>
      </w:r>
      <w:bookmarkEnd w:id="963"/>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）借款费用资本化率以及资本化金额的计算方法</w:t>
      </w:r>
    </w:p>
    <w:p>
      <w:pPr>
        <w:pStyle w:val="Style11"/>
        <w:keepNext w:val="0"/>
        <w:keepLines w:val="0"/>
        <w:widowControl w:val="0"/>
        <w:shd w:val="clear" w:color="auto" w:fill="auto"/>
        <w:bidi w:val="0"/>
        <w:spacing w:before="0" w:after="900" w:line="298" w:lineRule="exact"/>
        <w:ind w:left="0" w:right="0" w:firstLine="520"/>
        <w:jc w:val="both"/>
        <w:rPr>
          <w:sz w:val="22"/>
          <w:szCs w:val="22"/>
        </w:rPr>
      </w:pPr>
      <w:r>
        <w:rPr>
          <w:color w:val="000000"/>
          <w:spacing w:val="0"/>
          <w:w w:val="100"/>
          <w:position w:val="0"/>
          <w:sz w:val="22"/>
          <w:szCs w:val="22"/>
        </w:rPr>
        <w:t>专门借款当期实际发生的利息费用，减去尚未动用的借款资金存入银行取得的利息收入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化率根据一般借款的加权平均利率计算确定。</w:t>
      </w:r>
    </w:p>
    <w:p>
      <w:pPr>
        <w:pStyle w:val="Style31"/>
        <w:keepNext/>
        <w:keepLines/>
        <w:widowControl w:val="0"/>
        <w:shd w:val="clear" w:color="auto" w:fill="auto"/>
        <w:bidi w:val="0"/>
        <w:spacing w:before="0" w:after="300" w:line="240" w:lineRule="auto"/>
        <w:ind w:left="0" w:right="0" w:firstLine="0"/>
        <w:jc w:val="both"/>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2</w:t>
      </w:r>
      <w:bookmarkEnd w:id="966"/>
      <w:r>
        <w:rPr>
          <w:rFonts w:ascii="Times New Roman" w:eastAsia="Times New Roman" w:hAnsi="Times New Roman" w:cs="Times New Roman"/>
          <w:color w:val="000000"/>
          <w:spacing w:val="0"/>
          <w:w w:val="100"/>
          <w:position w:val="0"/>
        </w:rPr>
        <w:t>3</w:t>
      </w:r>
      <w:r>
        <w:rPr>
          <w:color w:val="000000"/>
          <w:spacing w:val="0"/>
          <w:w w:val="100"/>
          <w:position w:val="0"/>
        </w:rPr>
        <w:t>、使用权资产</w:t>
      </w:r>
      <w:bookmarkEnd w:id="964"/>
      <w:bookmarkEnd w:id="965"/>
      <w:bookmarkEnd w:id="967"/>
    </w:p>
    <w:p>
      <w:pPr>
        <w:pStyle w:val="Style11"/>
        <w:keepNext w:val="0"/>
        <w:keepLines w:val="0"/>
        <w:widowControl w:val="0"/>
        <w:shd w:val="clear" w:color="auto" w:fill="auto"/>
        <w:bidi w:val="0"/>
        <w:spacing w:before="0" w:after="100" w:line="312" w:lineRule="exact"/>
        <w:ind w:left="0" w:right="0" w:firstLine="500"/>
        <w:jc w:val="left"/>
        <w:rPr>
          <w:sz w:val="22"/>
          <w:szCs w:val="22"/>
        </w:rPr>
      </w:pPr>
      <w:r>
        <w:rPr>
          <w:color w:val="000000"/>
          <w:spacing w:val="0"/>
          <w:w w:val="100"/>
          <w:position w:val="0"/>
          <w:sz w:val="22"/>
          <w:szCs w:val="22"/>
        </w:rPr>
        <w:t>使用权资产，是指承租人可在租赁期内使用租赁资产的权利。</w:t>
      </w:r>
    </w:p>
    <w:p>
      <w:pPr>
        <w:pStyle w:val="Style11"/>
        <w:keepNext w:val="0"/>
        <w:keepLines w:val="0"/>
        <w:widowControl w:val="0"/>
        <w:shd w:val="clear" w:color="auto" w:fill="auto"/>
        <w:bidi w:val="0"/>
        <w:spacing w:before="0" w:after="100" w:line="312" w:lineRule="exact"/>
        <w:ind w:left="0" w:right="0" w:firstLine="500"/>
        <w:jc w:val="left"/>
        <w:rPr>
          <w:sz w:val="22"/>
          <w:szCs w:val="22"/>
        </w:rPr>
      </w:pPr>
      <w:r>
        <w:rPr>
          <w:color w:val="000000"/>
          <w:spacing w:val="0"/>
          <w:w w:val="100"/>
          <w:position w:val="0"/>
          <w:sz w:val="22"/>
          <w:szCs w:val="22"/>
        </w:rPr>
        <w:t>在租赁期开始日，使用权资产按照成本进行初始计量。该成本包括：</w:t>
      </w:r>
    </w:p>
    <w:p>
      <w:pPr>
        <w:pStyle w:val="Style11"/>
        <w:keepNext w:val="0"/>
        <w:keepLines w:val="0"/>
        <w:widowControl w:val="0"/>
        <w:shd w:val="clear" w:color="auto" w:fill="auto"/>
        <w:bidi w:val="0"/>
        <w:spacing w:before="0" w:after="100" w:line="312" w:lineRule="exact"/>
        <w:ind w:left="0" w:right="0" w:firstLine="500"/>
        <w:jc w:val="both"/>
        <w:rPr>
          <w:sz w:val="22"/>
          <w:szCs w:val="22"/>
        </w:rPr>
      </w:pPr>
      <w:r>
        <w:rPr>
          <w:color w:val="000000"/>
          <w:spacing w:val="0"/>
          <w:w w:val="100"/>
          <w:position w:val="0"/>
          <w:sz w:val="22"/>
          <w:szCs w:val="22"/>
        </w:rPr>
        <w:t>•</w:t>
      </w:r>
      <w:r>
        <w:rPr>
          <w:color w:val="000000"/>
          <w:spacing w:val="0"/>
          <w:w w:val="100"/>
          <w:position w:val="0"/>
          <w:sz w:val="22"/>
          <w:szCs w:val="22"/>
        </w:rPr>
        <w:t>租赁负债的初始计量金额；</w:t>
      </w:r>
    </w:p>
    <w:p>
      <w:pPr>
        <w:pStyle w:val="Style11"/>
        <w:keepNext w:val="0"/>
        <w:keepLines w:val="0"/>
        <w:widowControl w:val="0"/>
        <w:shd w:val="clear" w:color="auto" w:fill="auto"/>
        <w:bidi w:val="0"/>
        <w:spacing w:before="0" w:after="100" w:line="322" w:lineRule="exact"/>
        <w:ind w:left="920" w:right="0" w:hanging="400"/>
        <w:jc w:val="both"/>
        <w:rPr>
          <w:sz w:val="22"/>
          <w:szCs w:val="22"/>
        </w:rPr>
      </w:pPr>
      <w:r>
        <w:rPr>
          <w:color w:val="000000"/>
          <w:spacing w:val="0"/>
          <w:w w:val="100"/>
          <w:position w:val="0"/>
          <w:sz w:val="22"/>
          <w:szCs w:val="22"/>
        </w:rPr>
        <w:t>•</w:t>
      </w:r>
      <w:r>
        <w:rPr>
          <w:color w:val="000000"/>
          <w:spacing w:val="0"/>
          <w:w w:val="100"/>
          <w:position w:val="0"/>
          <w:sz w:val="22"/>
          <w:szCs w:val="22"/>
        </w:rPr>
        <w:t>在租赁期开始日或之前支付的租赁付款额，存在租赁激励的，扣除已享受的租赁激 励相关金额；</w:t>
      </w:r>
    </w:p>
    <w:p>
      <w:pPr>
        <w:pStyle w:val="Style11"/>
        <w:keepNext w:val="0"/>
        <w:keepLines w:val="0"/>
        <w:widowControl w:val="0"/>
        <w:shd w:val="clear" w:color="auto" w:fill="auto"/>
        <w:bidi w:val="0"/>
        <w:spacing w:before="0" w:after="100" w:line="312" w:lineRule="exact"/>
        <w:ind w:left="0" w:right="0" w:firstLine="500"/>
        <w:jc w:val="both"/>
        <w:rPr>
          <w:sz w:val="22"/>
          <w:szCs w:val="22"/>
        </w:rPr>
      </w:pPr>
      <w:r>
        <w:rPr>
          <w:color w:val="000000"/>
          <w:spacing w:val="0"/>
          <w:w w:val="100"/>
          <w:position w:val="0"/>
          <w:sz w:val="22"/>
          <w:szCs w:val="22"/>
        </w:rPr>
        <w:t>•</w:t>
      </w:r>
      <w:r>
        <w:rPr>
          <w:color w:val="000000"/>
          <w:spacing w:val="0"/>
          <w:w w:val="100"/>
          <w:position w:val="0"/>
          <w:sz w:val="22"/>
          <w:szCs w:val="22"/>
        </w:rPr>
        <w:t>承租人发生的初始直接费用；</w:t>
      </w:r>
    </w:p>
    <w:p>
      <w:pPr>
        <w:pStyle w:val="Style11"/>
        <w:keepNext w:val="0"/>
        <w:keepLines w:val="0"/>
        <w:widowControl w:val="0"/>
        <w:shd w:val="clear" w:color="auto" w:fill="auto"/>
        <w:bidi w:val="0"/>
        <w:spacing w:before="0" w:after="0" w:line="312" w:lineRule="exact"/>
        <w:ind w:left="920" w:right="0" w:hanging="400"/>
        <w:jc w:val="both"/>
        <w:rPr>
          <w:sz w:val="22"/>
          <w:szCs w:val="22"/>
        </w:rPr>
      </w:pPr>
      <w:r>
        <w:rPr>
          <w:color w:val="000000"/>
          <w:spacing w:val="0"/>
          <w:w w:val="100"/>
          <w:position w:val="0"/>
          <w:sz w:val="22"/>
          <w:szCs w:val="22"/>
        </w:rPr>
        <w:t>•</w:t>
      </w:r>
      <w:r>
        <w:rPr>
          <w:color w:val="000000"/>
          <w:spacing w:val="0"/>
          <w:w w:val="100"/>
          <w:position w:val="0"/>
          <w:sz w:val="22"/>
          <w:szCs w:val="22"/>
        </w:rPr>
        <w:t>承租人为拆卸及移除租赁资产、复原租赁资产所在场地或将租赁资产恢复至租赁条 款约定状态预计将发生的成本。本公司按照预计负债的确认标准和计量方法对该成 本进行确认和计量，详见本节附注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五、重要会计政策及会计估计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之</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、预计负债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前述成本属于为生产存货而发生的将计入存货成本。</w:t>
      </w:r>
    </w:p>
    <w:p>
      <w:pPr>
        <w:pStyle w:val="Style11"/>
        <w:keepNext w:val="0"/>
        <w:keepLines w:val="0"/>
        <w:widowControl w:val="0"/>
        <w:shd w:val="clear" w:color="auto" w:fill="auto"/>
        <w:bidi w:val="0"/>
        <w:spacing w:before="0" w:after="660" w:line="312" w:lineRule="exact"/>
        <w:ind w:left="0" w:right="0" w:firstLine="0"/>
        <w:jc w:val="both"/>
        <w:rPr>
          <w:sz w:val="22"/>
          <w:szCs w:val="22"/>
        </w:rPr>
      </w:pPr>
      <w:r>
        <w:rPr>
          <w:color w:val="000000"/>
          <w:spacing w:val="0"/>
          <w:w w:val="100"/>
          <w:position w:val="0"/>
          <w:sz w:val="22"/>
          <w:szCs w:val="22"/>
        </w:rPr>
        <w:t>使用权资产折旧采用年限平均法分类计提。对于能合理确定租赁期届满时将会取得租赁资产 所有权的，在租赁资产预计剩余使用寿命内，根据使用权资产类别和预计净残值率确定折旧 率；对于无法合理确定租赁期届满时将会取得租赁资产所有权的，在租赁期与租赁资产剩余 使用寿命两者孰短的期间内，根据使用权资产类别确定折旧率。</w:t>
      </w:r>
    </w:p>
    <w:p>
      <w:pPr>
        <w:pStyle w:val="Style31"/>
        <w:keepNext/>
        <w:keepLines/>
        <w:widowControl w:val="0"/>
        <w:shd w:val="clear" w:color="auto" w:fill="auto"/>
        <w:bidi w:val="0"/>
        <w:spacing w:before="0" w:after="380" w:line="240" w:lineRule="auto"/>
        <w:ind w:left="0" w:right="0" w:firstLine="0"/>
        <w:jc w:val="both"/>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968"/>
      <w:bookmarkEnd w:id="969"/>
      <w:bookmarkEnd w:id="971"/>
    </w:p>
    <w:p>
      <w:pPr>
        <w:pStyle w:val="Style40"/>
        <w:keepNext/>
        <w:keepLines/>
        <w:widowControl w:val="0"/>
        <w:shd w:val="clear" w:color="auto" w:fill="auto"/>
        <w:bidi w:val="0"/>
        <w:spacing w:before="0" w:after="300" w:line="240" w:lineRule="auto"/>
        <w:ind w:left="0" w:right="0" w:firstLine="0"/>
        <w:jc w:val="both"/>
      </w:pPr>
      <w:bookmarkStart w:id="972" w:name="bookmark972"/>
      <w:bookmarkStart w:id="973" w:name="bookmark973"/>
      <w:bookmarkStart w:id="974" w:name="bookmark974"/>
      <w:bookmarkStart w:id="975" w:name="bookmark975"/>
      <w:r>
        <w:rPr>
          <w:color w:val="000000"/>
          <w:spacing w:val="0"/>
          <w:w w:val="100"/>
          <w:position w:val="0"/>
        </w:rPr>
        <w:t>（</w:t>
      </w:r>
      <w:bookmarkEnd w:id="97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72"/>
      <w:bookmarkEnd w:id="973"/>
      <w:bookmarkEnd w:id="975"/>
    </w:p>
    <w:p>
      <w:pPr>
        <w:pStyle w:val="Style11"/>
        <w:keepNext w:val="0"/>
        <w:keepLines w:val="0"/>
        <w:widowControl w:val="0"/>
        <w:shd w:val="clear" w:color="auto" w:fill="auto"/>
        <w:bidi w:val="0"/>
        <w:spacing w:before="0" w:after="100" w:line="310" w:lineRule="exact"/>
        <w:ind w:left="0" w:right="0" w:firstLine="500"/>
        <w:jc w:val="left"/>
        <w:rPr>
          <w:sz w:val="22"/>
          <w:szCs w:val="22"/>
        </w:rPr>
      </w:pPr>
      <w:r>
        <w:rPr>
          <w:color w:val="000000"/>
          <w:spacing w:val="0"/>
          <w:w w:val="100"/>
          <w:position w:val="0"/>
          <w:sz w:val="22"/>
          <w:szCs w:val="22"/>
        </w:rPr>
        <w:t>本集团无形资产包括土地使用权、办公软件、技术许可费、专利和非专利技术等。</w:t>
      </w:r>
    </w:p>
    <w:p>
      <w:pPr>
        <w:pStyle w:val="Style11"/>
        <w:keepNext w:val="0"/>
        <w:keepLines w:val="0"/>
        <w:widowControl w:val="0"/>
        <w:shd w:val="clear" w:color="auto" w:fill="auto"/>
        <w:bidi w:val="0"/>
        <w:spacing w:before="0" w:after="100" w:line="310" w:lineRule="exact"/>
        <w:ind w:left="0" w:right="0" w:firstLine="520"/>
        <w:jc w:val="both"/>
        <w:rPr>
          <w:sz w:val="22"/>
          <w:szCs w:val="22"/>
        </w:rPr>
      </w:pPr>
      <w:r>
        <w:rPr>
          <w:color w:val="000000"/>
          <w:spacing w:val="0"/>
          <w:w w:val="100"/>
          <w:position w:val="0"/>
          <w:sz w:val="22"/>
          <w:szCs w:val="22"/>
        </w:rPr>
        <w:t>无形资产按照成本进行初始计量，并于取得无形资产时分析判断其使用寿命。使用寿命 为有限的，自无形资产可供使用时起，采用能反映与该资产有关的经济利益的预期实现方式 的摊销方法，在预计使用年限内摊销；无法可靠确定预期实现方式的，采用直线法摊销；使 用寿命不确定的无形资产，不作摊销。</w:t>
      </w:r>
    </w:p>
    <w:p>
      <w:pPr>
        <w:pStyle w:val="Style11"/>
        <w:keepNext w:val="0"/>
        <w:keepLines w:val="0"/>
        <w:widowControl w:val="0"/>
        <w:shd w:val="clear" w:color="auto" w:fill="auto"/>
        <w:bidi w:val="0"/>
        <w:spacing w:before="0" w:after="160" w:line="310" w:lineRule="exact"/>
        <w:ind w:left="0" w:right="0" w:firstLine="520"/>
        <w:jc w:val="both"/>
        <w:rPr>
          <w:sz w:val="22"/>
          <w:szCs w:val="22"/>
        </w:rPr>
      </w:pPr>
      <w:r>
        <w:rPr>
          <w:color w:val="000000"/>
          <w:spacing w:val="0"/>
          <w:w w:val="100"/>
          <w:position w:val="0"/>
          <w:sz w:val="22"/>
          <w:szCs w:val="22"/>
        </w:rPr>
        <w:t>使用寿命有限的无形资产摊销方法如下：</w:t>
      </w:r>
    </w:p>
    <w:tbl>
      <w:tblPr>
        <w:tblOverlap w:val="never"/>
        <w:jc w:val="center"/>
        <w:tblLayout w:type="fixed"/>
      </w:tblPr>
      <w:tblGrid>
        <w:gridCol w:w="3230"/>
        <w:gridCol w:w="3216"/>
        <w:gridCol w:w="323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类另</w:t>
            </w: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预计使用寿命（年）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净残值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技术许可费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专利和非专利技术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99" w:line="1" w:lineRule="exact"/>
      </w:pPr>
    </w:p>
    <w:p>
      <w:pPr>
        <w:pStyle w:val="Style11"/>
        <w:keepNext w:val="0"/>
        <w:keepLines w:val="0"/>
        <w:widowControl w:val="0"/>
        <w:shd w:val="clear" w:color="auto" w:fill="auto"/>
        <w:bidi w:val="0"/>
        <w:spacing w:before="0" w:after="200" w:line="312" w:lineRule="exact"/>
        <w:ind w:left="0" w:right="0" w:firstLine="480"/>
        <w:jc w:val="both"/>
        <w:rPr>
          <w:sz w:val="22"/>
          <w:szCs w:val="22"/>
        </w:rPr>
      </w:pPr>
      <w:r>
        <w:rPr>
          <w:color w:val="000000"/>
          <w:spacing w:val="0"/>
          <w:w w:val="100"/>
          <w:position w:val="0"/>
          <w:sz w:val="22"/>
          <w:szCs w:val="22"/>
        </w:rPr>
        <w:t>本集团于每年年度终了，对使用寿命有限的无形资产的使用寿命及摊销方法进行复核， 与以前估计不同的，调整原先估计数，并按会计估计变更处理。</w:t>
      </w:r>
    </w:p>
    <w:p>
      <w:pPr>
        <w:pStyle w:val="Style11"/>
        <w:keepNext w:val="0"/>
        <w:keepLines w:val="0"/>
        <w:widowControl w:val="0"/>
        <w:shd w:val="clear" w:color="auto" w:fill="auto"/>
        <w:bidi w:val="0"/>
        <w:spacing w:before="0" w:after="0" w:line="317" w:lineRule="exact"/>
        <w:ind w:left="0" w:right="0" w:firstLine="480"/>
        <w:jc w:val="both"/>
        <w:rPr>
          <w:sz w:val="22"/>
          <w:szCs w:val="22"/>
        </w:rPr>
      </w:pPr>
      <w:r>
        <w:rPr>
          <w:color w:val="000000"/>
          <w:spacing w:val="0"/>
          <w:w w:val="100"/>
          <w:position w:val="0"/>
          <w:sz w:val="22"/>
          <w:szCs w:val="22"/>
        </w:rPr>
        <w:t>资产负债表日预计某项无形资产已经不能给企业带来未来经济利益的，将该项无形资产 的账面价值全部转入当期损益。</w:t>
      </w:r>
    </w:p>
    <w:p>
      <w:pPr>
        <w:pStyle w:val="Style11"/>
        <w:keepNext w:val="0"/>
        <w:keepLines w:val="0"/>
        <w:widowControl w:val="0"/>
        <w:shd w:val="clear" w:color="auto" w:fill="auto"/>
        <w:bidi w:val="0"/>
        <w:spacing w:before="0" w:after="700" w:line="322" w:lineRule="exact"/>
        <w:ind w:left="0" w:right="0" w:firstLine="480"/>
        <w:jc w:val="both"/>
        <w:rPr>
          <w:sz w:val="22"/>
          <w:szCs w:val="22"/>
        </w:rPr>
      </w:pPr>
      <w:r>
        <w:rPr>
          <w:color w:val="000000"/>
          <w:spacing w:val="0"/>
          <w:w w:val="100"/>
          <w:position w:val="0"/>
          <w:sz w:val="22"/>
          <w:szCs w:val="22"/>
        </w:rPr>
        <w:t>无形资产计提资产减值方法见本节之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五、重要会计政策及会计估计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之</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2"/>
          <w:szCs w:val="22"/>
        </w:rPr>
        <w:t>、长期资产减 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40"/>
        <w:keepNext/>
        <w:keepLines/>
        <w:widowControl w:val="0"/>
        <w:shd w:val="clear" w:color="auto" w:fill="auto"/>
        <w:bidi w:val="0"/>
        <w:spacing w:before="0" w:after="300" w:line="240" w:lineRule="auto"/>
        <w:ind w:left="0" w:right="0" w:firstLine="0"/>
        <w:jc w:val="left"/>
      </w:pPr>
      <w:bookmarkStart w:id="976" w:name="bookmark976"/>
      <w:bookmarkStart w:id="977" w:name="bookmark977"/>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76"/>
      <w:bookmarkEnd w:id="977"/>
      <w:bookmarkEnd w:id="979"/>
    </w:p>
    <w:p>
      <w:pPr>
        <w:pStyle w:val="Style11"/>
        <w:keepNext w:val="0"/>
        <w:keepLines w:val="0"/>
        <w:widowControl w:val="0"/>
        <w:shd w:val="clear" w:color="auto" w:fill="auto"/>
        <w:bidi w:val="0"/>
        <w:spacing w:before="0" w:after="200" w:line="312" w:lineRule="exact"/>
        <w:ind w:left="0" w:right="0" w:firstLine="480"/>
        <w:jc w:val="left"/>
        <w:rPr>
          <w:sz w:val="22"/>
          <w:szCs w:val="22"/>
        </w:rPr>
      </w:pPr>
      <w:r>
        <w:rPr>
          <w:color w:val="000000"/>
          <w:spacing w:val="0"/>
          <w:w w:val="100"/>
          <w:position w:val="0"/>
          <w:sz w:val="22"/>
          <w:szCs w:val="22"/>
        </w:rPr>
        <w:t>本集团将内部研究开发项目的支出，区分为研究阶段支出和开发阶段支出。</w:t>
      </w:r>
    </w:p>
    <w:p>
      <w:pPr>
        <w:pStyle w:val="Style11"/>
        <w:keepNext w:val="0"/>
        <w:keepLines w:val="0"/>
        <w:widowControl w:val="0"/>
        <w:shd w:val="clear" w:color="auto" w:fill="auto"/>
        <w:bidi w:val="0"/>
        <w:spacing w:before="0" w:after="200" w:line="312" w:lineRule="exact"/>
        <w:ind w:left="0" w:right="0" w:firstLine="480"/>
        <w:jc w:val="left"/>
        <w:rPr>
          <w:sz w:val="22"/>
          <w:szCs w:val="22"/>
        </w:rPr>
      </w:pPr>
      <w:r>
        <w:rPr>
          <w:color w:val="000000"/>
          <w:spacing w:val="0"/>
          <w:w w:val="100"/>
          <w:position w:val="0"/>
          <w:sz w:val="22"/>
          <w:szCs w:val="22"/>
        </w:rPr>
        <w:t>研究阶段的支出，于发生时计入当期损益。</w:t>
      </w:r>
    </w:p>
    <w:p>
      <w:pPr>
        <w:pStyle w:val="Style11"/>
        <w:keepNext w:val="0"/>
        <w:keepLines w:val="0"/>
        <w:widowControl w:val="0"/>
        <w:shd w:val="clear" w:color="auto" w:fill="auto"/>
        <w:bidi w:val="0"/>
        <w:spacing w:before="0" w:after="200" w:line="312" w:lineRule="exact"/>
        <w:ind w:left="0" w:right="0" w:firstLine="480"/>
        <w:jc w:val="both"/>
        <w:rPr>
          <w:sz w:val="22"/>
          <w:szCs w:val="22"/>
        </w:rPr>
      </w:pPr>
      <w:r>
        <w:rPr>
          <w:color w:val="000000"/>
          <w:spacing w:val="0"/>
          <w:w w:val="100"/>
          <w:position w:val="0"/>
          <w:sz w:val="22"/>
          <w:szCs w:val="22"/>
        </w:rPr>
        <w:t>开发阶段的支出，同时满足下列条件的，才能予以资本化，即：完成该无形资产以使其 能够使用或出售在技术上具有可行性；具有完成该无形资产并使用或出售的意图；无形资产 产生经济利益的方式，包括能够证明运用该无形资产生产的产品存在市场或无形资产自身存 在市场，无形资产将在内部使用的，能够证明其有用性；有足够的技术、财务资源和其他资 源支持，以完成该无形资产的开发，并有能力使用或出售该无形资产；归属于该无形资产开 发阶段的支出能够可靠地计量。不满足上述条件的开发支出计入当期损益。</w:t>
      </w:r>
    </w:p>
    <w:p>
      <w:pPr>
        <w:pStyle w:val="Style11"/>
        <w:keepNext w:val="0"/>
        <w:keepLines w:val="0"/>
        <w:widowControl w:val="0"/>
        <w:shd w:val="clear" w:color="auto" w:fill="auto"/>
        <w:bidi w:val="0"/>
        <w:spacing w:before="0" w:after="200" w:line="312" w:lineRule="exact"/>
        <w:ind w:left="0" w:right="0" w:firstLine="480"/>
        <w:jc w:val="both"/>
        <w:rPr>
          <w:sz w:val="22"/>
          <w:szCs w:val="22"/>
        </w:rPr>
      </w:pPr>
      <w:r>
        <w:rPr>
          <w:color w:val="000000"/>
          <w:spacing w:val="0"/>
          <w:w w:val="100"/>
          <w:position w:val="0"/>
          <w:sz w:val="22"/>
          <w:szCs w:val="22"/>
        </w:rPr>
        <w:t>本集团研究开发项目在满足上述条件，通过技术可行性及经济可行性研究，形成项目立 项后，进入开发阶段。</w:t>
      </w:r>
    </w:p>
    <w:p>
      <w:pPr>
        <w:pStyle w:val="Style11"/>
        <w:keepNext w:val="0"/>
        <w:keepLines w:val="0"/>
        <w:widowControl w:val="0"/>
        <w:shd w:val="clear" w:color="auto" w:fill="auto"/>
        <w:bidi w:val="0"/>
        <w:spacing w:before="0" w:after="200" w:line="307" w:lineRule="exact"/>
        <w:ind w:left="0" w:right="0" w:firstLine="480"/>
        <w:jc w:val="both"/>
        <w:rPr>
          <w:sz w:val="22"/>
          <w:szCs w:val="22"/>
        </w:rPr>
      </w:pPr>
      <w:r>
        <w:rPr>
          <w:color w:val="000000"/>
          <w:spacing w:val="0"/>
          <w:w w:val="100"/>
          <w:position w:val="0"/>
          <w:sz w:val="22"/>
          <w:szCs w:val="22"/>
        </w:rPr>
        <w:t>已资本化的开发阶段的支出在资产负债表上列示为开发支出，自该项目达到预定可使用 状态之日转为无形资产。</w:t>
      </w:r>
    </w:p>
    <w:p>
      <w:pPr>
        <w:pStyle w:val="Style11"/>
        <w:keepNext w:val="0"/>
        <w:keepLines w:val="0"/>
        <w:widowControl w:val="0"/>
        <w:shd w:val="clear" w:color="auto" w:fill="auto"/>
        <w:bidi w:val="0"/>
        <w:spacing w:before="0" w:after="200" w:line="312" w:lineRule="exact"/>
        <w:ind w:left="0" w:right="0" w:firstLine="480"/>
        <w:jc w:val="both"/>
        <w:rPr>
          <w:sz w:val="22"/>
          <w:szCs w:val="22"/>
        </w:rPr>
      </w:pPr>
      <w:r>
        <w:rPr>
          <w:color w:val="000000"/>
          <w:spacing w:val="0"/>
          <w:w w:val="100"/>
          <w:position w:val="0"/>
          <w:sz w:val="22"/>
          <w:szCs w:val="22"/>
        </w:rPr>
        <w:t>具体研发项目的资本化条件：</w:t>
      </w:r>
    </w:p>
    <w:p>
      <w:pPr>
        <w:pStyle w:val="Style11"/>
        <w:keepNext w:val="0"/>
        <w:keepLines w:val="0"/>
        <w:widowControl w:val="0"/>
        <w:shd w:val="clear" w:color="auto" w:fill="auto"/>
        <w:bidi w:val="0"/>
        <w:spacing w:before="0" w:after="100" w:line="312" w:lineRule="exact"/>
        <w:ind w:left="0" w:right="0" w:firstLine="480"/>
        <w:jc w:val="left"/>
        <w:rPr>
          <w:sz w:val="22"/>
          <w:szCs w:val="22"/>
        </w:rPr>
      </w:pPr>
      <w:r>
        <w:rPr>
          <w:color w:val="000000"/>
          <w:spacing w:val="0"/>
          <w:w w:val="100"/>
          <w:position w:val="0"/>
          <w:sz w:val="22"/>
          <w:szCs w:val="22"/>
        </w:rPr>
        <w:t>本集团内部研究开发项目的支出分为研究阶段支出和开发阶段支出。</w:t>
      </w:r>
    </w:p>
    <w:p>
      <w:pPr>
        <w:pStyle w:val="Style11"/>
        <w:keepNext w:val="0"/>
        <w:keepLines w:val="0"/>
        <w:widowControl w:val="0"/>
        <w:shd w:val="clear" w:color="auto" w:fill="auto"/>
        <w:bidi w:val="0"/>
        <w:spacing w:before="0" w:after="100" w:line="317" w:lineRule="exact"/>
        <w:ind w:left="0" w:right="0" w:firstLine="480"/>
        <w:jc w:val="both"/>
        <w:rPr>
          <w:sz w:val="22"/>
          <w:szCs w:val="22"/>
        </w:rPr>
      </w:pPr>
      <w:r>
        <w:rPr>
          <w:color w:val="000000"/>
          <w:spacing w:val="0"/>
          <w:w w:val="100"/>
          <w:position w:val="0"/>
          <w:sz w:val="22"/>
          <w:szCs w:val="22"/>
        </w:rPr>
        <w:t>研究阶段：为获取并理解新的科学或技术知识等而进行的独创性的有计划调查、研究活 动的阶段。</w:t>
      </w:r>
    </w:p>
    <w:p>
      <w:pPr>
        <w:pStyle w:val="Style11"/>
        <w:keepNext w:val="0"/>
        <w:keepLines w:val="0"/>
        <w:widowControl w:val="0"/>
        <w:shd w:val="clear" w:color="auto" w:fill="auto"/>
        <w:bidi w:val="0"/>
        <w:spacing w:before="0" w:after="100" w:line="312" w:lineRule="exact"/>
        <w:ind w:left="0" w:right="0" w:firstLine="480"/>
        <w:jc w:val="both"/>
        <w:rPr>
          <w:sz w:val="22"/>
          <w:szCs w:val="22"/>
        </w:rPr>
      </w:pPr>
      <w:r>
        <w:rPr>
          <w:color w:val="000000"/>
          <w:spacing w:val="0"/>
          <w:w w:val="100"/>
          <w:position w:val="0"/>
          <w:sz w:val="22"/>
          <w:szCs w:val="22"/>
        </w:rPr>
        <w:t>开发阶段：在进行商业性生产或使用前，将研究成果或其他知识应用于某项计划或设计， 以生产出新的或具有实质性改进的产品等活动的阶段。</w:t>
      </w:r>
    </w:p>
    <w:p>
      <w:pPr>
        <w:pStyle w:val="Style11"/>
        <w:keepNext w:val="0"/>
        <w:keepLines w:val="0"/>
        <w:widowControl w:val="0"/>
        <w:shd w:val="clear" w:color="auto" w:fill="auto"/>
        <w:bidi w:val="0"/>
        <w:spacing w:before="0" w:after="100" w:line="312" w:lineRule="exact"/>
        <w:ind w:left="0" w:right="0" w:firstLine="480"/>
        <w:jc w:val="left"/>
        <w:rPr>
          <w:sz w:val="22"/>
          <w:szCs w:val="22"/>
        </w:rPr>
      </w:pPr>
      <w:r>
        <w:rPr>
          <w:color w:val="000000"/>
          <w:spacing w:val="0"/>
          <w:w w:val="100"/>
          <w:position w:val="0"/>
          <w:sz w:val="22"/>
          <w:szCs w:val="22"/>
        </w:rPr>
        <w:t>开发阶段支出符合资本化的具体标准</w:t>
      </w:r>
    </w:p>
    <w:p>
      <w:pPr>
        <w:pStyle w:val="Style11"/>
        <w:keepNext w:val="0"/>
        <w:keepLines w:val="0"/>
        <w:widowControl w:val="0"/>
        <w:shd w:val="clear" w:color="auto" w:fill="auto"/>
        <w:bidi w:val="0"/>
        <w:spacing w:before="0" w:after="100" w:line="312" w:lineRule="exact"/>
        <w:ind w:left="0" w:right="0" w:firstLine="480"/>
        <w:jc w:val="left"/>
        <w:rPr>
          <w:sz w:val="22"/>
          <w:szCs w:val="22"/>
        </w:rPr>
      </w:pPr>
      <w:r>
        <w:rPr>
          <w:color w:val="000000"/>
          <w:spacing w:val="0"/>
          <w:w w:val="100"/>
          <w:position w:val="0"/>
          <w:sz w:val="22"/>
          <w:szCs w:val="22"/>
        </w:rPr>
        <w:t>内部研究开发项目开发阶段的支出，同时满足下列条件时确认为无形资产：</w:t>
      </w:r>
    </w:p>
    <w:p>
      <w:pPr>
        <w:pStyle w:val="Style11"/>
        <w:keepNext w:val="0"/>
        <w:keepLines w:val="0"/>
        <w:widowControl w:val="0"/>
        <w:shd w:val="clear" w:color="auto" w:fill="auto"/>
        <w:bidi w:val="0"/>
        <w:spacing w:before="0" w:after="200" w:line="312" w:lineRule="exact"/>
        <w:ind w:left="0" w:right="0" w:firstLine="480"/>
        <w:jc w:val="left"/>
        <w:rPr>
          <w:sz w:val="22"/>
          <w:szCs w:val="22"/>
        </w:rPr>
      </w:pPr>
      <w:bookmarkStart w:id="980" w:name="bookmark980"/>
      <w:r>
        <w:rPr>
          <w:color w:val="000000"/>
          <w:spacing w:val="0"/>
          <w:w w:val="100"/>
          <w:position w:val="0"/>
          <w:sz w:val="22"/>
          <w:szCs w:val="22"/>
        </w:rPr>
        <w:t>（</w:t>
      </w:r>
      <w:bookmarkEnd w:id="98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）完成该无形资产以使其能够使用或出售在技术上具有可行性；</w:t>
      </w:r>
    </w:p>
    <w:p>
      <w:pPr>
        <w:pStyle w:val="Style11"/>
        <w:keepNext w:val="0"/>
        <w:keepLines w:val="0"/>
        <w:widowControl w:val="0"/>
        <w:shd w:val="clear" w:color="auto" w:fill="auto"/>
        <w:tabs>
          <w:tab w:pos="1026" w:val="left"/>
        </w:tabs>
        <w:bidi w:val="0"/>
        <w:spacing w:before="0" w:after="120" w:line="317" w:lineRule="exact"/>
        <w:ind w:left="0" w:right="0" w:firstLine="500"/>
        <w:jc w:val="left"/>
        <w:rPr>
          <w:sz w:val="22"/>
          <w:szCs w:val="22"/>
        </w:rPr>
      </w:pPr>
      <w:bookmarkStart w:id="981" w:name="bookmark981"/>
      <w:r>
        <w:rPr>
          <w:color w:val="000000"/>
          <w:spacing w:val="0"/>
          <w:w w:val="100"/>
          <w:position w:val="0"/>
          <w:sz w:val="22"/>
          <w:szCs w:val="22"/>
        </w:rPr>
        <w:t>（</w:t>
      </w:r>
      <w:bookmarkEnd w:id="98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具有完成该无形资产并使用或出售的意图；</w:t>
      </w:r>
    </w:p>
    <w:p>
      <w:pPr>
        <w:pStyle w:val="Style11"/>
        <w:keepNext w:val="0"/>
        <w:keepLines w:val="0"/>
        <w:widowControl w:val="0"/>
        <w:shd w:val="clear" w:color="auto" w:fill="auto"/>
        <w:tabs>
          <w:tab w:pos="1131" w:val="left"/>
        </w:tabs>
        <w:bidi w:val="0"/>
        <w:spacing w:before="0" w:after="120" w:line="326" w:lineRule="exact"/>
        <w:ind w:left="0" w:right="0" w:firstLine="500"/>
        <w:jc w:val="both"/>
        <w:rPr>
          <w:sz w:val="22"/>
          <w:szCs w:val="22"/>
        </w:rPr>
      </w:pPr>
      <w:bookmarkStart w:id="982" w:name="bookmark982"/>
      <w:r>
        <w:rPr>
          <w:color w:val="000000"/>
          <w:spacing w:val="0"/>
          <w:w w:val="100"/>
          <w:position w:val="0"/>
          <w:sz w:val="22"/>
          <w:szCs w:val="22"/>
        </w:rPr>
        <w:t>（</w:t>
      </w:r>
      <w:bookmarkEnd w:id="982"/>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无形资产产生经济利益的方式，包括能够证明运用该无形资产生产的产品存在市场 或无形资产自身存在市场，无形资产将在内部使用的，能够证明其有用性；</w:t>
      </w:r>
    </w:p>
    <w:p>
      <w:pPr>
        <w:pStyle w:val="Style11"/>
        <w:keepNext w:val="0"/>
        <w:keepLines w:val="0"/>
        <w:widowControl w:val="0"/>
        <w:shd w:val="clear" w:color="auto" w:fill="auto"/>
        <w:tabs>
          <w:tab w:pos="1131" w:val="left"/>
        </w:tabs>
        <w:bidi w:val="0"/>
        <w:spacing w:before="0" w:after="120" w:line="302" w:lineRule="exact"/>
        <w:ind w:left="0" w:right="0" w:firstLine="500"/>
        <w:jc w:val="both"/>
        <w:rPr>
          <w:sz w:val="22"/>
          <w:szCs w:val="22"/>
        </w:rPr>
      </w:pPr>
      <w:bookmarkStart w:id="983" w:name="bookmark983"/>
      <w:r>
        <w:rPr>
          <w:color w:val="000000"/>
          <w:spacing w:val="0"/>
          <w:w w:val="100"/>
          <w:position w:val="0"/>
          <w:sz w:val="22"/>
          <w:szCs w:val="22"/>
        </w:rPr>
        <w:t>（</w:t>
      </w:r>
      <w:bookmarkEnd w:id="983"/>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w:t>
        <w:tab/>
        <w:t>有足够的技术、财务资源和其他资源支持，以完成该无形资产的开发，并有能力使 用或出售该无形资产；</w:t>
      </w:r>
    </w:p>
    <w:p>
      <w:pPr>
        <w:pStyle w:val="Style11"/>
        <w:keepNext w:val="0"/>
        <w:keepLines w:val="0"/>
        <w:widowControl w:val="0"/>
        <w:shd w:val="clear" w:color="auto" w:fill="auto"/>
        <w:tabs>
          <w:tab w:pos="1026" w:val="left"/>
        </w:tabs>
        <w:bidi w:val="0"/>
        <w:spacing w:before="0" w:after="0" w:line="317" w:lineRule="exact"/>
        <w:ind w:left="0" w:right="0" w:firstLine="500"/>
        <w:jc w:val="both"/>
        <w:rPr>
          <w:sz w:val="22"/>
          <w:szCs w:val="22"/>
        </w:rPr>
      </w:pPr>
      <w:bookmarkStart w:id="984" w:name="bookmark984"/>
      <w:r>
        <w:rPr>
          <w:color w:val="000000"/>
          <w:spacing w:val="0"/>
          <w:w w:val="100"/>
          <w:position w:val="0"/>
          <w:sz w:val="22"/>
          <w:szCs w:val="22"/>
        </w:rPr>
        <w:t>（</w:t>
      </w:r>
      <w:bookmarkEnd w:id="984"/>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w:t>
        <w:tab/>
        <w:t>归属于该无形资产开发阶段的支出能够可靠地计量。</w:t>
      </w:r>
    </w:p>
    <w:p>
      <w:pPr>
        <w:pStyle w:val="Style11"/>
        <w:keepNext w:val="0"/>
        <w:keepLines w:val="0"/>
        <w:widowControl w:val="0"/>
        <w:shd w:val="clear" w:color="auto" w:fill="auto"/>
        <w:bidi w:val="0"/>
        <w:spacing w:before="0" w:after="600" w:line="317" w:lineRule="exact"/>
        <w:ind w:left="0" w:right="0" w:firstLine="0"/>
        <w:jc w:val="both"/>
        <w:rPr>
          <w:sz w:val="22"/>
          <w:szCs w:val="22"/>
        </w:rPr>
      </w:pPr>
      <w:r>
        <w:rPr>
          <w:color w:val="000000"/>
          <w:spacing w:val="0"/>
          <w:w w:val="100"/>
          <w:position w:val="0"/>
          <w:sz w:val="22"/>
          <w:szCs w:val="22"/>
        </w:rPr>
        <w:t>开发阶段的支出，若不满足上列条件的，于发生时计入当期损益。研究阶段的支出，在发生 时计入当期损益。</w:t>
      </w:r>
    </w:p>
    <w:p>
      <w:pPr>
        <w:pStyle w:val="Style31"/>
        <w:keepNext/>
        <w:keepLines/>
        <w:widowControl w:val="0"/>
        <w:shd w:val="clear" w:color="auto" w:fill="auto"/>
        <w:bidi w:val="0"/>
        <w:spacing w:before="0" w:after="300" w:line="309" w:lineRule="exact"/>
        <w:ind w:left="0" w:right="0" w:firstLine="0"/>
        <w:jc w:val="both"/>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bookmarkEnd w:id="987"/>
      <w:r>
        <w:rPr>
          <w:rFonts w:ascii="Times New Roman" w:eastAsia="Times New Roman" w:hAnsi="Times New Roman" w:cs="Times New Roman"/>
          <w:color w:val="000000"/>
          <w:spacing w:val="0"/>
          <w:w w:val="100"/>
          <w:position w:val="0"/>
        </w:rPr>
        <w:t>5</w:t>
      </w:r>
      <w:r>
        <w:rPr>
          <w:color w:val="000000"/>
          <w:spacing w:val="0"/>
          <w:w w:val="100"/>
          <w:position w:val="0"/>
        </w:rPr>
        <w:t>、长期资产减值</w:t>
      </w:r>
      <w:bookmarkEnd w:id="985"/>
      <w:bookmarkEnd w:id="986"/>
      <w:bookmarkEnd w:id="988"/>
    </w:p>
    <w:p>
      <w:pPr>
        <w:pStyle w:val="Style11"/>
        <w:keepNext w:val="0"/>
        <w:keepLines w:val="0"/>
        <w:widowControl w:val="0"/>
        <w:shd w:val="clear" w:color="auto" w:fill="auto"/>
        <w:bidi w:val="0"/>
        <w:spacing w:before="0" w:after="120" w:line="317" w:lineRule="exact"/>
        <w:ind w:left="0" w:right="0" w:firstLine="500"/>
        <w:jc w:val="both"/>
        <w:rPr>
          <w:sz w:val="22"/>
          <w:szCs w:val="22"/>
        </w:rPr>
      </w:pPr>
      <w:r>
        <w:rPr>
          <w:color w:val="000000"/>
          <w:spacing w:val="0"/>
          <w:w w:val="100"/>
          <w:position w:val="0"/>
          <w:sz w:val="22"/>
          <w:szCs w:val="22"/>
        </w:rPr>
        <w:t>对子公司的长期股权投资、采用成本模式进行后续计量的投资性房地产、固定资产、在 建工程、无形资产、商誉等的资产减值，按以下方法确定：</w:t>
      </w:r>
    </w:p>
    <w:p>
      <w:pPr>
        <w:pStyle w:val="Style11"/>
        <w:keepNext w:val="0"/>
        <w:keepLines w:val="0"/>
        <w:widowControl w:val="0"/>
        <w:shd w:val="clear" w:color="auto" w:fill="auto"/>
        <w:bidi w:val="0"/>
        <w:spacing w:before="0" w:after="120" w:line="310" w:lineRule="exact"/>
        <w:ind w:left="0" w:right="0" w:firstLine="500"/>
        <w:jc w:val="both"/>
        <w:rPr>
          <w:sz w:val="22"/>
          <w:szCs w:val="22"/>
        </w:rPr>
      </w:pPr>
      <w:r>
        <w:rPr>
          <w:color w:val="000000"/>
          <w:spacing w:val="0"/>
          <w:w w:val="100"/>
          <w:position w:val="0"/>
          <w:sz w:val="22"/>
          <w:szCs w:val="22"/>
        </w:rPr>
        <w:t>于资产负债表日判断资产是否存在可能发生减值的迹象，存在减值迹象的，本集团将估 计其可收回金额，进行减值测试。对因企业合并所形成的商誉、使用寿命不确定的无形资产 和尚未达到可使用状态的无形资产无论是否存在减值迹象，每年都进行减值测试。</w:t>
      </w:r>
    </w:p>
    <w:p>
      <w:pPr>
        <w:pStyle w:val="Style11"/>
        <w:keepNext w:val="0"/>
        <w:keepLines w:val="0"/>
        <w:widowControl w:val="0"/>
        <w:shd w:val="clear" w:color="auto" w:fill="auto"/>
        <w:bidi w:val="0"/>
        <w:spacing w:before="0" w:after="120" w:line="309" w:lineRule="exact"/>
        <w:ind w:left="0" w:right="0" w:firstLine="500"/>
        <w:jc w:val="both"/>
        <w:rPr>
          <w:sz w:val="22"/>
          <w:szCs w:val="22"/>
        </w:rPr>
      </w:pPr>
      <w:r>
        <w:rPr>
          <w:color w:val="000000"/>
          <w:spacing w:val="0"/>
          <w:w w:val="100"/>
          <w:position w:val="0"/>
          <w:sz w:val="22"/>
          <w:szCs w:val="22"/>
        </w:rPr>
        <w:t>可收回金额根据资产的公允价值减去处置费用后的净额与资产预计未来现金流量的现值 两者之间较高者确定。本集团以单项资产为基础估计其可收回金额；难以对单项资产的可收 回金额进行估计的，以该资产所属的资产组为基础确定资产组的可收回金额。资产组的认定， 以资产组产生的主要现金流入是否独立于其他资产或者资产组的现金流入为依据。</w:t>
      </w:r>
    </w:p>
    <w:p>
      <w:pPr>
        <w:pStyle w:val="Style11"/>
        <w:keepNext w:val="0"/>
        <w:keepLines w:val="0"/>
        <w:widowControl w:val="0"/>
        <w:shd w:val="clear" w:color="auto" w:fill="auto"/>
        <w:bidi w:val="0"/>
        <w:spacing w:before="0" w:after="120" w:line="302" w:lineRule="exact"/>
        <w:ind w:left="0" w:right="0" w:firstLine="500"/>
        <w:jc w:val="both"/>
        <w:rPr>
          <w:sz w:val="22"/>
          <w:szCs w:val="22"/>
        </w:rPr>
      </w:pPr>
      <w:r>
        <w:rPr>
          <w:color w:val="000000"/>
          <w:spacing w:val="0"/>
          <w:w w:val="100"/>
          <w:position w:val="0"/>
          <w:sz w:val="22"/>
          <w:szCs w:val="22"/>
        </w:rPr>
        <w:t>当资产或资产组的可收回金额低于其账面价值时，本集团将其账面价值减记至可收回金 额，减记的金额计入当期损益，同时计提相应的资产减值准备。</w:t>
      </w:r>
    </w:p>
    <w:p>
      <w:pPr>
        <w:pStyle w:val="Style11"/>
        <w:keepNext w:val="0"/>
        <w:keepLines w:val="0"/>
        <w:widowControl w:val="0"/>
        <w:shd w:val="clear" w:color="auto" w:fill="auto"/>
        <w:bidi w:val="0"/>
        <w:spacing w:before="0" w:after="120" w:line="312" w:lineRule="exact"/>
        <w:ind w:left="0" w:right="0" w:firstLine="500"/>
        <w:jc w:val="both"/>
        <w:rPr>
          <w:sz w:val="22"/>
          <w:szCs w:val="22"/>
        </w:rPr>
      </w:pPr>
      <w:r>
        <w:rPr>
          <w:color w:val="000000"/>
          <w:spacing w:val="0"/>
          <w:w w:val="100"/>
          <w:position w:val="0"/>
          <w:sz w:val="22"/>
          <w:szCs w:val="22"/>
        </w:rPr>
        <w:t>就商誉的减值测试而言，对于因企业合并形成的商誉的账面价值，自购买日起按照合理 的方法分摊至相关的资产组；难以分摊至相关的资产组的，将其分摊至相关的资产组组合。 相关的资产组或资产组组合，是能够从企业合并的协同效应中受益的资产组或者资产组组合， 且不大于本集团确定的报告分部。</w:t>
      </w:r>
    </w:p>
    <w:p>
      <w:pPr>
        <w:pStyle w:val="Style11"/>
        <w:keepNext w:val="0"/>
        <w:keepLines w:val="0"/>
        <w:widowControl w:val="0"/>
        <w:shd w:val="clear" w:color="auto" w:fill="auto"/>
        <w:bidi w:val="0"/>
        <w:spacing w:before="0" w:after="0" w:line="309" w:lineRule="exact"/>
        <w:ind w:left="0" w:right="0" w:firstLine="500"/>
        <w:jc w:val="both"/>
        <w:rPr>
          <w:sz w:val="22"/>
          <w:szCs w:val="22"/>
        </w:rPr>
      </w:pPr>
      <w:r>
        <w:rPr>
          <w:color w:val="000000"/>
          <w:spacing w:val="0"/>
          <w:w w:val="100"/>
          <w:position w:val="0"/>
          <w:sz w:val="22"/>
          <w:szCs w:val="22"/>
        </w:rPr>
        <w:t>减值测试时，如与商誉相关的资产组或者资产组组合存在减值迹象的，首先对不包含商 誉的资产组或者资产组组合进行减值测试，计算可收回金额，确认相应的减值损失。然后对 包含商誉的资产组或者资产组组合进行减值测试，比较其账面价值与可收回金额，如可收回 金额低于账面价值的，确认商誉的减值损失。</w:t>
      </w:r>
    </w:p>
    <w:p>
      <w:pPr>
        <w:pStyle w:val="Style11"/>
        <w:keepNext w:val="0"/>
        <w:keepLines w:val="0"/>
        <w:widowControl w:val="0"/>
        <w:shd w:val="clear" w:color="auto" w:fill="auto"/>
        <w:bidi w:val="0"/>
        <w:spacing w:before="0" w:after="680" w:line="309" w:lineRule="exact"/>
        <w:ind w:left="0" w:right="0" w:firstLine="0"/>
        <w:jc w:val="left"/>
      </w:pPr>
      <w:r>
        <w:rPr>
          <w:color w:val="000000"/>
          <w:spacing w:val="0"/>
          <w:w w:val="100"/>
          <w:position w:val="0"/>
        </w:rPr>
        <w:t>资产减值损失一经确认，在以后会计期间不再转回。</w:t>
      </w:r>
    </w:p>
    <w:p>
      <w:pPr>
        <w:pStyle w:val="Style31"/>
        <w:keepNext/>
        <w:keepLines/>
        <w:widowControl w:val="0"/>
        <w:shd w:val="clear" w:color="auto" w:fill="auto"/>
        <w:bidi w:val="0"/>
        <w:spacing w:before="0" w:after="30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989"/>
      <w:bookmarkEnd w:id="990"/>
      <w:bookmarkEnd w:id="992"/>
    </w:p>
    <w:p>
      <w:pPr>
        <w:pStyle w:val="Style11"/>
        <w:keepNext w:val="0"/>
        <w:keepLines w:val="0"/>
        <w:widowControl w:val="0"/>
        <w:shd w:val="clear" w:color="auto" w:fill="auto"/>
        <w:bidi w:val="0"/>
        <w:spacing w:before="0" w:after="120" w:line="317" w:lineRule="exact"/>
        <w:ind w:left="0" w:right="0" w:firstLine="500"/>
        <w:jc w:val="both"/>
        <w:rPr>
          <w:sz w:val="22"/>
          <w:szCs w:val="22"/>
        </w:rPr>
      </w:pPr>
      <w:r>
        <w:rPr>
          <w:color w:val="000000"/>
          <w:spacing w:val="0"/>
          <w:w w:val="100"/>
          <w:position w:val="0"/>
          <w:sz w:val="22"/>
          <w:szCs w:val="22"/>
        </w:rPr>
        <w:t>本集团发生的长期待摊费用按实际成本计价，并按预计受益期限平均摊销。对不能使以 后会计期间受益的长期待摊费用项目，其摊余价值全部计入当期损益。</w:t>
      </w:r>
    </w:p>
    <w:p>
      <w:pPr>
        <w:pStyle w:val="Style31"/>
        <w:keepNext/>
        <w:keepLines/>
        <w:widowControl w:val="0"/>
        <w:shd w:val="clear" w:color="auto" w:fill="auto"/>
        <w:tabs>
          <w:tab w:pos="483" w:val="left"/>
        </w:tabs>
        <w:bidi w:val="0"/>
        <w:spacing w:before="0" w:after="220" w:line="312" w:lineRule="exact"/>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bookmarkEnd w:id="995"/>
      <w:r>
        <w:rPr>
          <w:rFonts w:ascii="Times New Roman" w:eastAsia="Times New Roman" w:hAnsi="Times New Roman" w:cs="Times New Roman"/>
          <w:color w:val="000000"/>
          <w:spacing w:val="0"/>
          <w:w w:val="100"/>
          <w:position w:val="0"/>
        </w:rPr>
        <w:t>7</w:t>
      </w:r>
      <w:r>
        <w:rPr>
          <w:color w:val="000000"/>
          <w:spacing w:val="0"/>
          <w:w w:val="100"/>
          <w:position w:val="0"/>
        </w:rPr>
        <w:t>、</w:t>
        <w:tab/>
        <w:t>商誉</w:t>
      </w:r>
      <w:bookmarkEnd w:id="993"/>
      <w:bookmarkEnd w:id="994"/>
      <w:bookmarkEnd w:id="996"/>
    </w:p>
    <w:p>
      <w:pPr>
        <w:pStyle w:val="Style11"/>
        <w:keepNext w:val="0"/>
        <w:keepLines w:val="0"/>
        <w:widowControl w:val="0"/>
        <w:shd w:val="clear" w:color="auto" w:fill="auto"/>
        <w:bidi w:val="0"/>
        <w:spacing w:before="0" w:after="220" w:line="365" w:lineRule="exact"/>
        <w:ind w:left="0" w:right="0" w:firstLine="500"/>
        <w:jc w:val="both"/>
        <w:rPr>
          <w:sz w:val="22"/>
          <w:szCs w:val="22"/>
        </w:rPr>
      </w:pPr>
      <w:r>
        <w:rPr>
          <w:color w:val="000000"/>
          <w:spacing w:val="0"/>
          <w:w w:val="100"/>
          <w:position w:val="0"/>
          <w:sz w:val="22"/>
          <w:szCs w:val="22"/>
        </w:rPr>
        <w:t>商誉为非同一控制下企业合并成本超过应享有的被投资单位或被购买方可辨认净资产于 取得日或购买日的公允价值份额的差额。</w:t>
      </w:r>
    </w:p>
    <w:p>
      <w:pPr>
        <w:pStyle w:val="Style11"/>
        <w:keepNext w:val="0"/>
        <w:keepLines w:val="0"/>
        <w:widowControl w:val="0"/>
        <w:shd w:val="clear" w:color="auto" w:fill="auto"/>
        <w:bidi w:val="0"/>
        <w:spacing w:before="0" w:after="220" w:line="302" w:lineRule="exact"/>
        <w:ind w:left="0" w:right="0" w:firstLine="500"/>
        <w:jc w:val="both"/>
        <w:rPr>
          <w:sz w:val="22"/>
          <w:szCs w:val="22"/>
        </w:rPr>
      </w:pPr>
      <w:r>
        <w:rPr>
          <w:color w:val="000000"/>
          <w:spacing w:val="0"/>
          <w:w w:val="100"/>
          <w:position w:val="0"/>
          <w:sz w:val="22"/>
          <w:szCs w:val="22"/>
        </w:rPr>
        <w:t>与子公司有关的商誉在合并财务报表上单独列示，与联营企业和合营企业有关的商誉， 包含在长期股权投资的账面价值中。本公司的商誉系与子公司有关的商誉。</w:t>
      </w:r>
    </w:p>
    <w:p>
      <w:pPr>
        <w:pStyle w:val="Style11"/>
        <w:keepNext w:val="0"/>
        <w:keepLines w:val="0"/>
        <w:widowControl w:val="0"/>
        <w:shd w:val="clear" w:color="auto" w:fill="auto"/>
        <w:bidi w:val="0"/>
        <w:spacing w:before="0" w:after="300" w:line="310" w:lineRule="exact"/>
        <w:ind w:left="0" w:right="0" w:firstLine="500"/>
        <w:jc w:val="both"/>
        <w:rPr>
          <w:sz w:val="22"/>
          <w:szCs w:val="22"/>
        </w:rPr>
      </w:pPr>
      <w:r>
        <w:rPr>
          <w:color w:val="000000"/>
          <w:spacing w:val="0"/>
          <w:w w:val="100"/>
          <w:position w:val="0"/>
          <w:sz w:val="22"/>
          <w:szCs w:val="22"/>
        </w:rPr>
        <w:t>在财务报表中单独列示的商誉至少在每年年终进行减值测试。减值测试时，商誉的账面 价值依据相关的资产组或者资产组组合能够从企业合并的协同效应中受益的情况分摊至受益 的资产组或资产组组合。</w:t>
      </w:r>
    </w:p>
    <w:p>
      <w:pPr>
        <w:pStyle w:val="Style31"/>
        <w:keepNext/>
        <w:keepLines/>
        <w:widowControl w:val="0"/>
        <w:shd w:val="clear" w:color="auto" w:fill="auto"/>
        <w:tabs>
          <w:tab w:pos="483" w:val="left"/>
        </w:tabs>
        <w:bidi w:val="0"/>
        <w:spacing w:before="0" w:after="300" w:line="312" w:lineRule="exact"/>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9"/>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000"/>
      <w:bookmarkEnd w:id="997"/>
      <w:bookmarkEnd w:id="998"/>
    </w:p>
    <w:p>
      <w:pPr>
        <w:pStyle w:val="Style11"/>
        <w:keepNext w:val="0"/>
        <w:keepLines w:val="0"/>
        <w:widowControl w:val="0"/>
        <w:shd w:val="clear" w:color="auto" w:fill="auto"/>
        <w:bidi w:val="0"/>
        <w:spacing w:before="0" w:after="120" w:line="312" w:lineRule="exact"/>
        <w:ind w:left="0" w:right="0" w:firstLine="500"/>
        <w:jc w:val="both"/>
        <w:rPr>
          <w:sz w:val="22"/>
          <w:szCs w:val="22"/>
        </w:rPr>
      </w:pPr>
      <w:r>
        <w:rPr>
          <w:color w:val="000000"/>
          <w:spacing w:val="0"/>
          <w:w w:val="100"/>
          <w:position w:val="0"/>
          <w:sz w:val="22"/>
          <w:szCs w:val="22"/>
        </w:rPr>
        <w:t>本公司根据履行履约义务与客户付款之间的关系在资产负债表中列示合同资产或合同负 债。本公司已向客户转让商品或提供服务而有权收取的对价（且该权利取决于时间流逝之外 的其他因素）列示为合同资产。本公司已收或应收客户对价而应向客户转让商品或提供服务 的义务列示为合同负债。</w:t>
      </w:r>
    </w:p>
    <w:p>
      <w:pPr>
        <w:pStyle w:val="Style11"/>
        <w:keepNext w:val="0"/>
        <w:keepLines w:val="0"/>
        <w:widowControl w:val="0"/>
        <w:shd w:val="clear" w:color="auto" w:fill="auto"/>
        <w:bidi w:val="0"/>
        <w:spacing w:before="0" w:after="300" w:line="312" w:lineRule="exact"/>
        <w:ind w:left="0" w:right="0" w:firstLine="500"/>
        <w:jc w:val="both"/>
        <w:rPr>
          <w:sz w:val="22"/>
          <w:szCs w:val="22"/>
        </w:rPr>
      </w:pPr>
      <w:r>
        <w:rPr>
          <w:color w:val="000000"/>
          <w:spacing w:val="0"/>
          <w:w w:val="100"/>
          <w:position w:val="0"/>
          <w:sz w:val="22"/>
          <w:szCs w:val="22"/>
        </w:rPr>
        <w:t>合同资产和合同负债在资产负债表中单独列示。同一合同下的合同资产和合同负债以净 额列示，净额为借方余额的，根据其流动性在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合同资产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其他非流动资产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项目中列示； 净额为贷方余额的，根据其流动性在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合同负债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其他非流动负债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项目中列示。不同合同 下的合同资产和合同负债不能相互抵销。</w:t>
      </w:r>
    </w:p>
    <w:p>
      <w:pPr>
        <w:pStyle w:val="Style31"/>
        <w:keepNext/>
        <w:keepLines/>
        <w:widowControl w:val="0"/>
        <w:shd w:val="clear" w:color="auto" w:fill="auto"/>
        <w:tabs>
          <w:tab w:pos="483" w:val="left"/>
        </w:tabs>
        <w:bidi w:val="0"/>
        <w:spacing w:before="0" w:after="300" w:line="312" w:lineRule="exact"/>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2</w:t>
      </w:r>
      <w:bookmarkEnd w:id="1003"/>
      <w:r>
        <w:rPr>
          <w:rFonts w:ascii="Times New Roman" w:eastAsia="Times New Roman" w:hAnsi="Times New Roman" w:cs="Times New Roman"/>
          <w:color w:val="000000"/>
          <w:spacing w:val="0"/>
          <w:w w:val="100"/>
          <w:position w:val="0"/>
        </w:rPr>
        <w:t>9</w:t>
      </w:r>
      <w:r>
        <w:rPr>
          <w:color w:val="000000"/>
          <w:spacing w:val="0"/>
          <w:w w:val="100"/>
          <w:position w:val="0"/>
        </w:rPr>
        <w:t>、</w:t>
        <w:tab/>
        <w:t>职工薪酬</w:t>
      </w:r>
      <w:bookmarkEnd w:id="1001"/>
      <w:bookmarkEnd w:id="1002"/>
      <w:bookmarkEnd w:id="1004"/>
    </w:p>
    <w:p>
      <w:pPr>
        <w:pStyle w:val="Style40"/>
        <w:keepNext/>
        <w:keepLines/>
        <w:widowControl w:val="0"/>
        <w:shd w:val="clear" w:color="auto" w:fill="auto"/>
        <w:tabs>
          <w:tab w:pos="492" w:val="left"/>
        </w:tabs>
        <w:bidi w:val="0"/>
        <w:spacing w:before="0" w:after="300"/>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05"/>
      <w:bookmarkEnd w:id="1006"/>
      <w:bookmarkEnd w:id="1008"/>
    </w:p>
    <w:p>
      <w:pPr>
        <w:pStyle w:val="Style11"/>
        <w:keepNext w:val="0"/>
        <w:keepLines w:val="0"/>
        <w:widowControl w:val="0"/>
        <w:shd w:val="clear" w:color="auto" w:fill="auto"/>
        <w:bidi w:val="0"/>
        <w:spacing w:before="0" w:after="300" w:line="309" w:lineRule="exact"/>
        <w:ind w:left="0" w:right="0" w:firstLine="500"/>
        <w:jc w:val="both"/>
        <w:rPr>
          <w:sz w:val="22"/>
          <w:szCs w:val="22"/>
        </w:rPr>
      </w:pPr>
      <w:r>
        <w:rPr>
          <w:color w:val="000000"/>
          <w:spacing w:val="0"/>
          <w:w w:val="100"/>
          <w:position w:val="0"/>
          <w:sz w:val="22"/>
          <w:szCs w:val="22"/>
        </w:rPr>
        <w:t>本集团在职工提供服务的会计期间，将实际发生的职工工资、奖金、按规定的基准和比 例为职工缴纳的医疗保险费、工伤保险费和生育保险费等社会保险费和住房公积金，确认为 负债，并计入当期损益或相关资产成本。如果该负债预期在职工提供相关服务的年度报告期 结束后十二个月内不能完全支付，且财务影响重大的，则该负债将以折现后的金额计量。</w:t>
      </w:r>
    </w:p>
    <w:p>
      <w:pPr>
        <w:pStyle w:val="Style40"/>
        <w:keepNext/>
        <w:keepLines/>
        <w:widowControl w:val="0"/>
        <w:shd w:val="clear" w:color="auto" w:fill="auto"/>
        <w:tabs>
          <w:tab w:pos="492" w:val="left"/>
        </w:tabs>
        <w:bidi w:val="0"/>
        <w:spacing w:before="0" w:after="300"/>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09"/>
      <w:bookmarkEnd w:id="1010"/>
      <w:bookmarkEnd w:id="1012"/>
    </w:p>
    <w:p>
      <w:pPr>
        <w:pStyle w:val="Style11"/>
        <w:keepNext w:val="0"/>
        <w:keepLines w:val="0"/>
        <w:widowControl w:val="0"/>
        <w:shd w:val="clear" w:color="auto" w:fill="auto"/>
        <w:bidi w:val="0"/>
        <w:spacing w:before="0" w:after="120" w:line="314" w:lineRule="exact"/>
        <w:ind w:left="0" w:right="0" w:firstLine="500"/>
        <w:jc w:val="both"/>
        <w:rPr>
          <w:sz w:val="22"/>
          <w:szCs w:val="22"/>
        </w:rPr>
      </w:pPr>
      <w:r>
        <w:rPr>
          <w:color w:val="000000"/>
          <w:spacing w:val="0"/>
          <w:w w:val="100"/>
          <w:position w:val="0"/>
          <w:sz w:val="22"/>
          <w:szCs w:val="22"/>
        </w:rPr>
        <w:t>离职后福利计划包括设定提存计划和设定受益计划。其中，设定提存计划，是指向独立 的基金缴存固定费用后，企业不再承担进一步支付义务的离职后福利计划；设定受益计划， 是指除设定提存计划以外的离职后福利计划。</w:t>
      </w:r>
    </w:p>
    <w:p>
      <w:pPr>
        <w:pStyle w:val="Style11"/>
        <w:keepNext w:val="0"/>
        <w:keepLines w:val="0"/>
        <w:widowControl w:val="0"/>
        <w:shd w:val="clear" w:color="auto" w:fill="auto"/>
        <w:bidi w:val="0"/>
        <w:spacing w:before="0" w:after="120" w:line="312" w:lineRule="exact"/>
        <w:ind w:left="0" w:right="0" w:firstLine="500"/>
        <w:jc w:val="both"/>
        <w:rPr>
          <w:sz w:val="22"/>
          <w:szCs w:val="22"/>
        </w:rPr>
      </w:pPr>
      <w:r>
        <w:rPr>
          <w:color w:val="000000"/>
          <w:spacing w:val="0"/>
          <w:w w:val="100"/>
          <w:position w:val="0"/>
          <w:sz w:val="22"/>
          <w:szCs w:val="22"/>
        </w:rPr>
        <w:t>设定提存计划</w:t>
      </w:r>
    </w:p>
    <w:p>
      <w:pPr>
        <w:pStyle w:val="Style11"/>
        <w:keepNext w:val="0"/>
        <w:keepLines w:val="0"/>
        <w:widowControl w:val="0"/>
        <w:shd w:val="clear" w:color="auto" w:fill="auto"/>
        <w:bidi w:val="0"/>
        <w:spacing w:before="0" w:after="0" w:line="312" w:lineRule="exact"/>
        <w:ind w:left="0" w:right="0" w:firstLine="500"/>
        <w:jc w:val="both"/>
        <w:rPr>
          <w:sz w:val="22"/>
          <w:szCs w:val="22"/>
        </w:rPr>
      </w:pPr>
      <w:r>
        <w:rPr>
          <w:color w:val="000000"/>
          <w:spacing w:val="0"/>
          <w:w w:val="100"/>
          <w:position w:val="0"/>
          <w:sz w:val="22"/>
          <w:szCs w:val="22"/>
        </w:rPr>
        <w:t>设定提存计划包括基本养老保险、失业保险等。</w:t>
      </w:r>
    </w:p>
    <w:p>
      <w:pPr>
        <w:pStyle w:val="Style1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在职工提供服务的会计期间，根据设定提存计划计算的应缴存金额确认为负债，并计入当期损益或相关资 产成本。</w:t>
      </w:r>
    </w:p>
    <w:p>
      <w:pPr>
        <w:pStyle w:val="Style40"/>
        <w:keepNext/>
        <w:keepLines/>
        <w:widowControl w:val="0"/>
        <w:shd w:val="clear" w:color="auto" w:fill="auto"/>
        <w:tabs>
          <w:tab w:pos="493" w:val="left"/>
        </w:tabs>
        <w:bidi w:val="0"/>
        <w:spacing w:before="0" w:after="28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13"/>
      <w:bookmarkEnd w:id="1014"/>
      <w:bookmarkEnd w:id="1016"/>
    </w:p>
    <w:p>
      <w:pPr>
        <w:pStyle w:val="Style11"/>
        <w:keepNext w:val="0"/>
        <w:keepLines w:val="0"/>
        <w:widowControl w:val="0"/>
        <w:shd w:val="clear" w:color="auto" w:fill="auto"/>
        <w:bidi w:val="0"/>
        <w:spacing w:before="0" w:after="120" w:line="317" w:lineRule="exact"/>
        <w:ind w:left="0" w:right="0" w:firstLine="520"/>
        <w:jc w:val="both"/>
        <w:rPr>
          <w:sz w:val="22"/>
          <w:szCs w:val="22"/>
        </w:rPr>
      </w:pPr>
      <w:r>
        <w:rPr>
          <w:color w:val="000000"/>
          <w:spacing w:val="0"/>
          <w:w w:val="100"/>
          <w:position w:val="0"/>
          <w:sz w:val="22"/>
          <w:szCs w:val="22"/>
        </w:rPr>
        <w:t>本集团向职工提供辞退福利的，在下列两者孰早日确认辞退福利产生的职工薪酬负债， 并计入当期损益：本集团不能单方面撤回因解除劳动关系计划或裁减建议所提供的辞退福利 时；本集团确认与涉及支付辞退福利的重组相关的成本或费用时。</w:t>
      </w:r>
    </w:p>
    <w:p>
      <w:pPr>
        <w:pStyle w:val="Style11"/>
        <w:keepNext w:val="0"/>
        <w:keepLines w:val="0"/>
        <w:widowControl w:val="0"/>
        <w:shd w:val="clear" w:color="auto" w:fill="auto"/>
        <w:bidi w:val="0"/>
        <w:spacing w:before="0" w:after="360" w:line="307" w:lineRule="exact"/>
        <w:ind w:left="0" w:right="0" w:firstLine="520"/>
        <w:jc w:val="both"/>
        <w:rPr>
          <w:sz w:val="22"/>
          <w:szCs w:val="22"/>
        </w:rPr>
      </w:pPr>
      <w:r>
        <w:rPr>
          <w:color w:val="000000"/>
          <w:spacing w:val="0"/>
          <w:w w:val="100"/>
          <w:position w:val="0"/>
          <w:sz w:val="22"/>
          <w:szCs w:val="22"/>
        </w:rPr>
        <w:t>实行职工内部退休计划的，在正式退休日之前的经济补偿，属于辞退福利，自职工停止 提供服务日至正常退休日期间，拟支付的内退职工工资和缴纳的社会保险费等一次性计入当 期损益。正式退休日期之后的经济补偿（如正常养老退休金），按照离职后福利处理。</w:t>
      </w:r>
    </w:p>
    <w:p>
      <w:pPr>
        <w:pStyle w:val="Style40"/>
        <w:keepNext/>
        <w:keepLines/>
        <w:widowControl w:val="0"/>
        <w:shd w:val="clear" w:color="auto" w:fill="auto"/>
        <w:tabs>
          <w:tab w:pos="493" w:val="left"/>
        </w:tabs>
        <w:bidi w:val="0"/>
        <w:spacing w:before="0" w:after="280" w:line="240" w:lineRule="auto"/>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17"/>
      <w:bookmarkEnd w:id="1018"/>
      <w:bookmarkEnd w:id="1020"/>
    </w:p>
    <w:p>
      <w:pPr>
        <w:pStyle w:val="Style11"/>
        <w:keepNext w:val="0"/>
        <w:keepLines w:val="0"/>
        <w:widowControl w:val="0"/>
        <w:shd w:val="clear" w:color="auto" w:fill="auto"/>
        <w:bidi w:val="0"/>
        <w:spacing w:before="0" w:after="360" w:line="315" w:lineRule="exact"/>
        <w:ind w:left="0" w:right="0" w:firstLine="520"/>
        <w:jc w:val="both"/>
        <w:rPr>
          <w:sz w:val="22"/>
          <w:szCs w:val="22"/>
        </w:rPr>
      </w:pPr>
      <w:r>
        <w:rPr>
          <w:color w:val="000000"/>
          <w:spacing w:val="0"/>
          <w:w w:val="100"/>
          <w:position w:val="0"/>
          <w:sz w:val="22"/>
          <w:szCs w:val="22"/>
        </w:rPr>
        <w:t>本集团向职工提供的其他长期职工福利，符合设定提存计划条件的，按照上述关于设定 提存计划的有关规定进行处理。符合设定受益计划的，按照上述关于设定受益计划的有关规 定进行处理，但相关职工薪酬成本中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重新计量设定受益计划净负债或净资产所产生的变动</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2"/>
          <w:szCs w:val="22"/>
        </w:rPr>
        <w:t>部分计入当期损益或相关资产成本。</w:t>
      </w:r>
    </w:p>
    <w:p>
      <w:pPr>
        <w:pStyle w:val="Style31"/>
        <w:keepNext/>
        <w:keepLines/>
        <w:widowControl w:val="0"/>
        <w:shd w:val="clear" w:color="auto" w:fill="auto"/>
        <w:bidi w:val="0"/>
        <w:spacing w:before="0" w:after="28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3</w:t>
      </w:r>
      <w:bookmarkEnd w:id="1023"/>
      <w:r>
        <w:rPr>
          <w:rFonts w:ascii="Times New Roman" w:eastAsia="Times New Roman" w:hAnsi="Times New Roman" w:cs="Times New Roman"/>
          <w:color w:val="000000"/>
          <w:spacing w:val="0"/>
          <w:w w:val="100"/>
          <w:position w:val="0"/>
        </w:rPr>
        <w:t>0</w:t>
      </w:r>
      <w:r>
        <w:rPr>
          <w:color w:val="000000"/>
          <w:spacing w:val="0"/>
          <w:w w:val="100"/>
          <w:position w:val="0"/>
        </w:rPr>
        <w:t>、租赁负债</w:t>
      </w:r>
      <w:bookmarkEnd w:id="1021"/>
      <w:bookmarkEnd w:id="1022"/>
      <w:bookmarkEnd w:id="1024"/>
    </w:p>
    <w:p>
      <w:pPr>
        <w:pStyle w:val="Style11"/>
        <w:keepNext w:val="0"/>
        <w:keepLines w:val="0"/>
        <w:widowControl w:val="0"/>
        <w:shd w:val="clear" w:color="auto" w:fill="auto"/>
        <w:bidi w:val="0"/>
        <w:spacing w:before="0" w:after="120" w:line="317" w:lineRule="exact"/>
        <w:ind w:left="0" w:right="0" w:firstLine="520"/>
        <w:jc w:val="both"/>
        <w:rPr>
          <w:sz w:val="24"/>
          <w:szCs w:val="24"/>
        </w:rPr>
      </w:pPr>
      <w:r>
        <w:rPr>
          <w:color w:val="000000"/>
          <w:spacing w:val="0"/>
          <w:w w:val="100"/>
          <w:position w:val="0"/>
          <w:sz w:val="22"/>
          <w:szCs w:val="22"/>
        </w:rPr>
        <w:t>租赁负债应当按照租赁期开始日尚未支付的租赁付款额的现值进行初始计量。租赁付款 额包括以下五项内容</w:t>
      </w:r>
      <w:r>
        <w:rPr>
          <w:color w:val="000000"/>
          <w:spacing w:val="0"/>
          <w:w w:val="100"/>
          <w:position w:val="0"/>
          <w:sz w:val="24"/>
          <w:szCs w:val="24"/>
        </w:rPr>
        <w:t>：</w:t>
      </w:r>
    </w:p>
    <w:p>
      <w:pPr>
        <w:pStyle w:val="Style11"/>
        <w:keepNext w:val="0"/>
        <w:keepLines w:val="0"/>
        <w:widowControl w:val="0"/>
        <w:shd w:val="clear" w:color="auto" w:fill="auto"/>
        <w:bidi w:val="0"/>
        <w:spacing w:before="0" w:after="120" w:line="312" w:lineRule="exact"/>
        <w:ind w:left="0" w:right="0" w:firstLine="500"/>
        <w:jc w:val="both"/>
        <w:rPr>
          <w:sz w:val="22"/>
          <w:szCs w:val="22"/>
        </w:rPr>
      </w:pPr>
      <w:r>
        <w:rPr>
          <w:color w:val="000000"/>
          <w:spacing w:val="0"/>
          <w:w w:val="100"/>
          <w:position w:val="0"/>
          <w:sz w:val="22"/>
          <w:szCs w:val="22"/>
        </w:rPr>
        <w:t>•</w:t>
      </w:r>
      <w:r>
        <w:rPr>
          <w:color w:val="000000"/>
          <w:spacing w:val="0"/>
          <w:w w:val="100"/>
          <w:position w:val="0"/>
          <w:sz w:val="22"/>
          <w:szCs w:val="22"/>
        </w:rPr>
        <w:t>固定付款额及实质固定付款额，存在租赁激励的，扣除租赁激励相关金额；</w:t>
      </w:r>
    </w:p>
    <w:p>
      <w:pPr>
        <w:pStyle w:val="Style11"/>
        <w:keepNext w:val="0"/>
        <w:keepLines w:val="0"/>
        <w:widowControl w:val="0"/>
        <w:shd w:val="clear" w:color="auto" w:fill="auto"/>
        <w:bidi w:val="0"/>
        <w:spacing w:before="0" w:after="120" w:line="312" w:lineRule="exact"/>
        <w:ind w:left="0" w:right="0" w:firstLine="500"/>
        <w:jc w:val="both"/>
        <w:rPr>
          <w:sz w:val="22"/>
          <w:szCs w:val="22"/>
        </w:rPr>
      </w:pPr>
      <w:r>
        <w:rPr>
          <w:color w:val="000000"/>
          <w:spacing w:val="0"/>
          <w:w w:val="100"/>
          <w:position w:val="0"/>
          <w:sz w:val="22"/>
          <w:szCs w:val="22"/>
        </w:rPr>
        <w:t>•</w:t>
      </w:r>
      <w:r>
        <w:rPr>
          <w:color w:val="000000"/>
          <w:spacing w:val="0"/>
          <w:w w:val="100"/>
          <w:position w:val="0"/>
          <w:sz w:val="22"/>
          <w:szCs w:val="22"/>
        </w:rPr>
        <w:t>取决于指数或比率的可变租赁付款额；</w:t>
      </w:r>
    </w:p>
    <w:p>
      <w:pPr>
        <w:pStyle w:val="Style11"/>
        <w:keepNext w:val="0"/>
        <w:keepLines w:val="0"/>
        <w:widowControl w:val="0"/>
        <w:shd w:val="clear" w:color="auto" w:fill="auto"/>
        <w:bidi w:val="0"/>
        <w:spacing w:before="0" w:after="120" w:line="312" w:lineRule="exact"/>
        <w:ind w:left="0" w:right="0" w:firstLine="500"/>
        <w:jc w:val="both"/>
        <w:rPr>
          <w:sz w:val="22"/>
          <w:szCs w:val="22"/>
        </w:rPr>
      </w:pPr>
      <w:r>
        <w:rPr>
          <w:color w:val="000000"/>
          <w:spacing w:val="0"/>
          <w:w w:val="100"/>
          <w:position w:val="0"/>
          <w:sz w:val="22"/>
          <w:szCs w:val="22"/>
        </w:rPr>
        <w:t>•</w:t>
      </w:r>
      <w:r>
        <w:rPr>
          <w:color w:val="000000"/>
          <w:spacing w:val="0"/>
          <w:w w:val="100"/>
          <w:position w:val="0"/>
          <w:sz w:val="22"/>
          <w:szCs w:val="22"/>
        </w:rPr>
        <w:t>购买选择权的行权价格，前提是承租人合理确定将行使该选择权；</w:t>
      </w:r>
    </w:p>
    <w:p>
      <w:pPr>
        <w:pStyle w:val="Style11"/>
        <w:keepNext w:val="0"/>
        <w:keepLines w:val="0"/>
        <w:widowControl w:val="0"/>
        <w:shd w:val="clear" w:color="auto" w:fill="auto"/>
        <w:bidi w:val="0"/>
        <w:spacing w:before="0" w:after="120" w:line="293" w:lineRule="exact"/>
        <w:ind w:left="920" w:right="0" w:hanging="400"/>
        <w:jc w:val="both"/>
        <w:rPr>
          <w:sz w:val="22"/>
          <w:szCs w:val="22"/>
        </w:rPr>
      </w:pPr>
      <w:r>
        <w:rPr>
          <w:color w:val="000000"/>
          <w:spacing w:val="0"/>
          <w:w w:val="100"/>
          <w:position w:val="0"/>
          <w:sz w:val="22"/>
          <w:szCs w:val="22"/>
        </w:rPr>
        <w:t>•</w:t>
      </w:r>
      <w:r>
        <w:rPr>
          <w:color w:val="000000"/>
          <w:spacing w:val="0"/>
          <w:w w:val="100"/>
          <w:position w:val="0"/>
          <w:sz w:val="22"/>
          <w:szCs w:val="22"/>
        </w:rPr>
        <w:t>行使终止租赁选择权需支付的款项，前提是租赁期反映出承租人将行使终止租赁选 择权；</w:t>
      </w:r>
    </w:p>
    <w:p>
      <w:pPr>
        <w:pStyle w:val="Style11"/>
        <w:keepNext w:val="0"/>
        <w:keepLines w:val="0"/>
        <w:widowControl w:val="0"/>
        <w:shd w:val="clear" w:color="auto" w:fill="auto"/>
        <w:bidi w:val="0"/>
        <w:spacing w:before="0" w:after="120" w:line="312" w:lineRule="exact"/>
        <w:ind w:left="0" w:right="0" w:firstLine="500"/>
        <w:jc w:val="left"/>
        <w:rPr>
          <w:sz w:val="22"/>
          <w:szCs w:val="22"/>
        </w:rPr>
      </w:pPr>
      <w:r>
        <w:rPr>
          <w:color w:val="000000"/>
          <w:spacing w:val="0"/>
          <w:w w:val="100"/>
          <w:position w:val="0"/>
          <w:sz w:val="22"/>
          <w:szCs w:val="22"/>
        </w:rPr>
        <w:t>•</w:t>
      </w:r>
      <w:r>
        <w:rPr>
          <w:color w:val="000000"/>
          <w:spacing w:val="0"/>
          <w:w w:val="100"/>
          <w:position w:val="0"/>
          <w:sz w:val="22"/>
          <w:szCs w:val="22"/>
        </w:rPr>
        <w:t>根据承租人提供的担保余值预计应支付的款项。</w:t>
      </w:r>
    </w:p>
    <w:p>
      <w:pPr>
        <w:pStyle w:val="Style11"/>
        <w:keepNext w:val="0"/>
        <w:keepLines w:val="0"/>
        <w:widowControl w:val="0"/>
        <w:shd w:val="clear" w:color="auto" w:fill="auto"/>
        <w:bidi w:val="0"/>
        <w:spacing w:before="0" w:after="120" w:line="312" w:lineRule="exact"/>
        <w:ind w:left="0" w:right="0" w:firstLine="520"/>
        <w:jc w:val="both"/>
        <w:rPr>
          <w:sz w:val="22"/>
          <w:szCs w:val="22"/>
        </w:rPr>
      </w:pPr>
      <w:r>
        <w:rPr>
          <w:color w:val="000000"/>
          <w:spacing w:val="0"/>
          <w:w w:val="100"/>
          <w:position w:val="0"/>
          <w:sz w:val="22"/>
          <w:szCs w:val="22"/>
        </w:rPr>
        <w:t>计算租赁付款额现值时采用租赁内含利率作为折现率，无法确定租赁内含利率的，采用 公司增量借款利率作为折现率。租赁付款额与其现值之间的差额作为未确认融资费用，在租 赁期各个期间内按照确认租赁付款额现值的折现率确认利息费用，并计入当期损益。未纳入 租赁负债计量的可变租赁付款额于实际发生时计入当期损益。</w:t>
      </w:r>
    </w:p>
    <w:p>
      <w:pPr>
        <w:pStyle w:val="Style11"/>
        <w:keepNext w:val="0"/>
        <w:keepLines w:val="0"/>
        <w:widowControl w:val="0"/>
        <w:shd w:val="clear" w:color="auto" w:fill="auto"/>
        <w:bidi w:val="0"/>
        <w:spacing w:before="0" w:after="660" w:line="310" w:lineRule="exact"/>
        <w:ind w:left="0" w:right="0" w:firstLine="520"/>
        <w:jc w:val="both"/>
        <w:rPr>
          <w:sz w:val="22"/>
          <w:szCs w:val="22"/>
        </w:rPr>
      </w:pPr>
      <w:r>
        <w:rPr>
          <w:color w:val="000000"/>
          <w:spacing w:val="0"/>
          <w:w w:val="100"/>
          <w:position w:val="0"/>
          <w:sz w:val="22"/>
          <w:szCs w:val="22"/>
        </w:rPr>
        <w:t>租赁期开始日后，当实质固定付款额发生变动、担保余值预计的应付金额发生变化、用 于确定租赁付款额的指数或比率发生变动、购买选择权、续租选择权或终止选择权的评估结 果或实际行权情况发生变化时，本公司按照变动后的租赁付款额的现值重新计量租赁负债， 并相应调整使用权资产的账面价值。</w:t>
      </w:r>
    </w:p>
    <w:p>
      <w:pPr>
        <w:pStyle w:val="Style31"/>
        <w:keepNext/>
        <w:keepLines/>
        <w:widowControl w:val="0"/>
        <w:shd w:val="clear" w:color="auto" w:fill="auto"/>
        <w:bidi w:val="0"/>
        <w:spacing w:before="0" w:after="36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3</w:t>
      </w:r>
      <w:bookmarkEnd w:id="1027"/>
      <w:r>
        <w:rPr>
          <w:rFonts w:ascii="Times New Roman" w:eastAsia="Times New Roman" w:hAnsi="Times New Roman" w:cs="Times New Roman"/>
          <w:color w:val="000000"/>
          <w:spacing w:val="0"/>
          <w:w w:val="100"/>
          <w:position w:val="0"/>
        </w:rPr>
        <w:t>1</w:t>
      </w:r>
      <w:r>
        <w:rPr>
          <w:color w:val="000000"/>
          <w:spacing w:val="0"/>
          <w:w w:val="100"/>
          <w:position w:val="0"/>
        </w:rPr>
        <w:t>、预计负债</w:t>
      </w:r>
      <w:bookmarkEnd w:id="1025"/>
      <w:bookmarkEnd w:id="1026"/>
      <w:bookmarkEnd w:id="1028"/>
    </w:p>
    <w:p>
      <w:pPr>
        <w:pStyle w:val="Style11"/>
        <w:keepNext w:val="0"/>
        <w:keepLines w:val="0"/>
        <w:widowControl w:val="0"/>
        <w:shd w:val="clear" w:color="auto" w:fill="auto"/>
        <w:bidi w:val="0"/>
        <w:spacing w:before="0" w:after="280" w:line="240" w:lineRule="auto"/>
        <w:ind w:left="0" w:right="0" w:firstLine="500"/>
        <w:jc w:val="both"/>
        <w:rPr>
          <w:sz w:val="22"/>
          <w:szCs w:val="22"/>
        </w:rPr>
      </w:pPr>
      <w:r>
        <w:rPr>
          <w:color w:val="000000"/>
          <w:spacing w:val="0"/>
          <w:w w:val="100"/>
          <w:position w:val="0"/>
          <w:sz w:val="22"/>
          <w:szCs w:val="22"/>
        </w:rPr>
        <w:t>如果与或有事项相关的义务同时符合以下条件，本集团将其确认为预计负债:</w:t>
      </w:r>
    </w:p>
    <w:p>
      <w:pPr>
        <w:pStyle w:val="Style11"/>
        <w:keepNext w:val="0"/>
        <w:keepLines w:val="0"/>
        <w:widowControl w:val="0"/>
        <w:shd w:val="clear" w:color="auto" w:fill="auto"/>
        <w:bidi w:val="0"/>
        <w:spacing w:before="0" w:after="200" w:line="240" w:lineRule="auto"/>
        <w:ind w:left="0" w:right="0" w:firstLine="500"/>
        <w:jc w:val="both"/>
        <w:rPr>
          <w:sz w:val="22"/>
          <w:szCs w:val="22"/>
        </w:rPr>
      </w:pPr>
      <w:bookmarkStart w:id="1029" w:name="bookmark1029"/>
      <w:r>
        <w:rPr>
          <w:color w:val="000000"/>
          <w:spacing w:val="0"/>
          <w:w w:val="100"/>
          <w:position w:val="0"/>
          <w:sz w:val="22"/>
          <w:szCs w:val="22"/>
        </w:rPr>
        <w:t>（</w:t>
      </w:r>
      <w:bookmarkEnd w:id="102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）该义务是本集团承担的现时义务；</w:t>
      </w:r>
    </w:p>
    <w:p>
      <w:pPr>
        <w:pStyle w:val="Style11"/>
        <w:keepNext w:val="0"/>
        <w:keepLines w:val="0"/>
        <w:widowControl w:val="0"/>
        <w:shd w:val="clear" w:color="auto" w:fill="auto"/>
        <w:tabs>
          <w:tab w:pos="1009" w:val="left"/>
        </w:tabs>
        <w:bidi w:val="0"/>
        <w:spacing w:before="0" w:after="200" w:line="314" w:lineRule="exact"/>
        <w:ind w:left="0" w:right="0" w:firstLine="500"/>
        <w:jc w:val="left"/>
        <w:rPr>
          <w:sz w:val="22"/>
          <w:szCs w:val="22"/>
        </w:rPr>
      </w:pPr>
      <w:bookmarkStart w:id="1030" w:name="bookmark1030"/>
      <w:r>
        <w:rPr>
          <w:color w:val="000000"/>
          <w:spacing w:val="0"/>
          <w:w w:val="100"/>
          <w:position w:val="0"/>
          <w:sz w:val="22"/>
          <w:szCs w:val="22"/>
        </w:rPr>
        <w:t>（</w:t>
      </w:r>
      <w:bookmarkEnd w:id="103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该义务的履行很可能导致经济利益流出本集团；</w:t>
      </w:r>
    </w:p>
    <w:p>
      <w:pPr>
        <w:pStyle w:val="Style11"/>
        <w:keepNext w:val="0"/>
        <w:keepLines w:val="0"/>
        <w:widowControl w:val="0"/>
        <w:shd w:val="clear" w:color="auto" w:fill="auto"/>
        <w:tabs>
          <w:tab w:pos="1009" w:val="left"/>
        </w:tabs>
        <w:bidi w:val="0"/>
        <w:spacing w:before="0" w:after="200" w:line="314" w:lineRule="exact"/>
        <w:ind w:left="0" w:right="0" w:firstLine="500"/>
        <w:jc w:val="left"/>
        <w:rPr>
          <w:sz w:val="22"/>
          <w:szCs w:val="22"/>
        </w:rPr>
      </w:pPr>
      <w:bookmarkStart w:id="1031" w:name="bookmark1031"/>
      <w:r>
        <w:rPr>
          <w:color w:val="000000"/>
          <w:spacing w:val="0"/>
          <w:w w:val="100"/>
          <w:position w:val="0"/>
          <w:sz w:val="22"/>
          <w:szCs w:val="22"/>
        </w:rPr>
        <w:t>（</w:t>
      </w:r>
      <w:bookmarkEnd w:id="1031"/>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该义务的金额能够可靠地计量。</w:t>
      </w:r>
    </w:p>
    <w:p>
      <w:pPr>
        <w:pStyle w:val="Style11"/>
        <w:keepNext w:val="0"/>
        <w:keepLines w:val="0"/>
        <w:widowControl w:val="0"/>
        <w:shd w:val="clear" w:color="auto" w:fill="auto"/>
        <w:bidi w:val="0"/>
        <w:spacing w:before="0" w:after="200" w:line="312" w:lineRule="exact"/>
        <w:ind w:left="0" w:right="0" w:firstLine="500"/>
        <w:jc w:val="both"/>
        <w:rPr>
          <w:sz w:val="22"/>
          <w:szCs w:val="22"/>
        </w:rPr>
      </w:pPr>
      <w:r>
        <w:rPr>
          <w:color w:val="000000"/>
          <w:spacing w:val="0"/>
          <w:w w:val="100"/>
          <w:position w:val="0"/>
          <w:sz w:val="22"/>
          <w:szCs w:val="22"/>
        </w:rPr>
        <w:t>预计负债按照履行相关现时义务所需支出的最佳估计数进行初始计量，并综合考虑与或 有事项有关的风险、不确定性和货币时间价值等因素。货币时间价值影响重大的，通过对相 关未来现金流出进行折现后确定最佳估计数。本集团于资产负债表日对预计负债的账面价值 进行复核，并对账面价值进行调整以反映当前最佳估计数。</w:t>
      </w:r>
    </w:p>
    <w:p>
      <w:pPr>
        <w:pStyle w:val="Style11"/>
        <w:keepNext w:val="0"/>
        <w:keepLines w:val="0"/>
        <w:widowControl w:val="0"/>
        <w:shd w:val="clear" w:color="auto" w:fill="auto"/>
        <w:bidi w:val="0"/>
        <w:spacing w:before="0" w:after="880" w:line="317" w:lineRule="exact"/>
        <w:ind w:left="0" w:right="0" w:firstLine="500"/>
        <w:jc w:val="both"/>
        <w:rPr>
          <w:sz w:val="22"/>
          <w:szCs w:val="22"/>
        </w:rPr>
      </w:pPr>
      <w:r>
        <w:rPr>
          <w:color w:val="000000"/>
          <w:spacing w:val="0"/>
          <w:w w:val="100"/>
          <w:position w:val="0"/>
          <w:sz w:val="22"/>
          <w:szCs w:val="22"/>
        </w:rPr>
        <w:t>如果清偿已确认预计负债所需支出全部或部分预期由第三方或其他方补偿，则补偿金额 只能在基本确定能收到时，作为资产单独确认。确认的补偿金额不超过所确认负债的账面价 值。</w:t>
      </w:r>
    </w:p>
    <w:p>
      <w:pPr>
        <w:pStyle w:val="Style31"/>
        <w:keepNext/>
        <w:keepLines/>
        <w:widowControl w:val="0"/>
        <w:shd w:val="clear" w:color="auto" w:fill="auto"/>
        <w:bidi w:val="0"/>
        <w:spacing w:before="0" w:after="32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3</w:t>
      </w:r>
      <w:bookmarkEnd w:id="1034"/>
      <w:r>
        <w:rPr>
          <w:rFonts w:ascii="Times New Roman" w:eastAsia="Times New Roman" w:hAnsi="Times New Roman" w:cs="Times New Roman"/>
          <w:color w:val="000000"/>
          <w:spacing w:val="0"/>
          <w:w w:val="100"/>
          <w:position w:val="0"/>
        </w:rPr>
        <w:t>2</w:t>
      </w:r>
      <w:r>
        <w:rPr>
          <w:color w:val="000000"/>
          <w:spacing w:val="0"/>
          <w:w w:val="100"/>
          <w:position w:val="0"/>
        </w:rPr>
        <w:t>、股份支付</w:t>
      </w:r>
      <w:bookmarkEnd w:id="1032"/>
      <w:bookmarkEnd w:id="1033"/>
      <w:bookmarkEnd w:id="1035"/>
    </w:p>
    <w:p>
      <w:pPr>
        <w:pStyle w:val="Style11"/>
        <w:keepNext w:val="0"/>
        <w:keepLines w:val="0"/>
        <w:widowControl w:val="0"/>
        <w:shd w:val="clear" w:color="auto" w:fill="auto"/>
        <w:tabs>
          <w:tab w:pos="1009" w:val="left"/>
        </w:tabs>
        <w:bidi w:val="0"/>
        <w:spacing w:before="0" w:after="0" w:line="311" w:lineRule="exact"/>
        <w:ind w:left="0" w:right="0" w:firstLine="500"/>
        <w:jc w:val="both"/>
        <w:rPr>
          <w:sz w:val="22"/>
          <w:szCs w:val="22"/>
        </w:rPr>
      </w:pPr>
      <w:bookmarkStart w:id="1036" w:name="bookmark1036"/>
      <w:r>
        <w:rPr>
          <w:color w:val="000000"/>
          <w:spacing w:val="0"/>
          <w:w w:val="100"/>
          <w:position w:val="0"/>
          <w:sz w:val="22"/>
          <w:szCs w:val="22"/>
        </w:rPr>
        <w:t>（</w:t>
      </w:r>
      <w:bookmarkEnd w:id="103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股份支付的种类</w:t>
      </w:r>
    </w:p>
    <w:p>
      <w:pPr>
        <w:pStyle w:val="Style11"/>
        <w:keepNext w:val="0"/>
        <w:keepLines w:val="0"/>
        <w:widowControl w:val="0"/>
        <w:shd w:val="clear" w:color="auto" w:fill="auto"/>
        <w:bidi w:val="0"/>
        <w:spacing w:before="0" w:after="200" w:line="311" w:lineRule="exact"/>
        <w:ind w:left="0" w:right="0" w:firstLine="500"/>
        <w:jc w:val="left"/>
        <w:rPr>
          <w:sz w:val="22"/>
          <w:szCs w:val="22"/>
        </w:rPr>
      </w:pPr>
      <w:r>
        <w:rPr>
          <w:color w:val="000000"/>
          <w:spacing w:val="0"/>
          <w:w w:val="100"/>
          <w:position w:val="0"/>
          <w:sz w:val="22"/>
          <w:szCs w:val="22"/>
        </w:rPr>
        <w:t>本集团股份支付分为以权益结算的股份支付和以现金结算的股份支付。</w:t>
      </w:r>
    </w:p>
    <w:p>
      <w:pPr>
        <w:pStyle w:val="Style11"/>
        <w:keepNext w:val="0"/>
        <w:keepLines w:val="0"/>
        <w:widowControl w:val="0"/>
        <w:shd w:val="clear" w:color="auto" w:fill="auto"/>
        <w:tabs>
          <w:tab w:pos="1009" w:val="left"/>
        </w:tabs>
        <w:bidi w:val="0"/>
        <w:spacing w:before="0" w:after="0" w:line="311" w:lineRule="exact"/>
        <w:ind w:left="0" w:right="0" w:firstLine="500"/>
        <w:jc w:val="left"/>
        <w:rPr>
          <w:sz w:val="22"/>
          <w:szCs w:val="22"/>
        </w:rPr>
      </w:pPr>
      <w:bookmarkStart w:id="1037" w:name="bookmark1037"/>
      <w:r>
        <w:rPr>
          <w:color w:val="000000"/>
          <w:spacing w:val="0"/>
          <w:w w:val="100"/>
          <w:position w:val="0"/>
          <w:sz w:val="22"/>
          <w:szCs w:val="22"/>
        </w:rPr>
        <w:t>（</w:t>
      </w:r>
      <w:bookmarkEnd w:id="103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权益工具公允价值的确定方法</w:t>
      </w:r>
    </w:p>
    <w:p>
      <w:pPr>
        <w:pStyle w:val="Style11"/>
        <w:keepNext w:val="0"/>
        <w:keepLines w:val="0"/>
        <w:widowControl w:val="0"/>
        <w:shd w:val="clear" w:color="auto" w:fill="auto"/>
        <w:bidi w:val="0"/>
        <w:spacing w:before="0" w:after="200" w:line="306" w:lineRule="exact"/>
        <w:ind w:left="0" w:right="0" w:firstLine="500"/>
        <w:jc w:val="both"/>
        <w:rPr>
          <w:sz w:val="22"/>
          <w:szCs w:val="22"/>
        </w:rPr>
      </w:pPr>
      <w:r>
        <w:rPr>
          <w:color w:val="000000"/>
          <w:spacing w:val="0"/>
          <w:w w:val="100"/>
          <w:position w:val="0"/>
          <w:sz w:val="22"/>
          <w:szCs w:val="22"/>
        </w:rPr>
        <w:t>本集团对于授予的存在活跃市场的期权等权益工具，按照活跃市场中的报价确定其公允 价值。对于授予的不存在活跃市场的期权等权益工具，采用期权定价模型等确定其公允价值。 选用的期权定价模型考虑以下因素：</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w:t>
      </w:r>
      <w:r>
        <w:rPr>
          <w:color w:val="000000"/>
          <w:spacing w:val="0"/>
          <w:w w:val="100"/>
          <w:position w:val="0"/>
          <w:sz w:val="22"/>
          <w:szCs w:val="22"/>
        </w:rPr>
        <w:t>期权的行权价格；</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2"/>
          <w:szCs w:val="22"/>
        </w:rPr>
        <w:t>、</w:t>
      </w:r>
      <w:r>
        <w:rPr>
          <w:color w:val="000000"/>
          <w:spacing w:val="0"/>
          <w:w w:val="100"/>
          <w:position w:val="0"/>
          <w:sz w:val="22"/>
          <w:szCs w:val="22"/>
        </w:rPr>
        <w:t>期权的有效期；</w:t>
      </w:r>
      <w:r>
        <w:rPr>
          <w:rFonts w:ascii="Times New Roman" w:eastAsia="Times New Roman" w:hAnsi="Times New Roman" w:cs="Times New Roman"/>
          <w:color w:val="000000"/>
          <w:spacing w:val="0"/>
          <w:w w:val="100"/>
          <w:position w:val="0"/>
          <w:sz w:val="24"/>
          <w:szCs w:val="24"/>
        </w:rPr>
        <w:t>C</w:t>
      </w:r>
      <w:r>
        <w:rPr>
          <w:color w:val="000000"/>
          <w:spacing w:val="0"/>
          <w:w w:val="100"/>
          <w:position w:val="0"/>
          <w:sz w:val="22"/>
          <w:szCs w:val="22"/>
        </w:rPr>
        <w:t>、</w:t>
      </w:r>
      <w:r>
        <w:rPr>
          <w:color w:val="000000"/>
          <w:spacing w:val="0"/>
          <w:w w:val="100"/>
          <w:position w:val="0"/>
          <w:sz w:val="22"/>
          <w:szCs w:val="22"/>
        </w:rPr>
        <w:t>标的股份 的现行价格；</w:t>
      </w:r>
      <w:r>
        <w:rPr>
          <w:rFonts w:ascii="Times New Roman" w:eastAsia="Times New Roman" w:hAnsi="Times New Roman" w:cs="Times New Roman"/>
          <w:color w:val="000000"/>
          <w:spacing w:val="0"/>
          <w:w w:val="100"/>
          <w:position w:val="0"/>
          <w:sz w:val="24"/>
          <w:szCs w:val="24"/>
        </w:rPr>
        <w:t>D</w:t>
      </w:r>
      <w:r>
        <w:rPr>
          <w:color w:val="000000"/>
          <w:spacing w:val="0"/>
          <w:w w:val="100"/>
          <w:position w:val="0"/>
          <w:sz w:val="22"/>
          <w:szCs w:val="22"/>
        </w:rPr>
        <w:t>、</w:t>
      </w:r>
      <w:r>
        <w:rPr>
          <w:color w:val="000000"/>
          <w:spacing w:val="0"/>
          <w:w w:val="100"/>
          <w:position w:val="0"/>
          <w:sz w:val="22"/>
          <w:szCs w:val="22"/>
        </w:rPr>
        <w:t>股价预计波动率；</w:t>
      </w:r>
      <w:r>
        <w:rPr>
          <w:rFonts w:ascii="Times New Roman" w:eastAsia="Times New Roman" w:hAnsi="Times New Roman" w:cs="Times New Roman"/>
          <w:color w:val="000000"/>
          <w:spacing w:val="0"/>
          <w:w w:val="100"/>
          <w:position w:val="0"/>
          <w:sz w:val="24"/>
          <w:szCs w:val="24"/>
        </w:rPr>
        <w:t>E</w:t>
      </w:r>
      <w:r>
        <w:rPr>
          <w:color w:val="000000"/>
          <w:spacing w:val="0"/>
          <w:w w:val="100"/>
          <w:position w:val="0"/>
          <w:sz w:val="22"/>
          <w:szCs w:val="22"/>
        </w:rPr>
        <w:t>、</w:t>
      </w:r>
      <w:r>
        <w:rPr>
          <w:color w:val="000000"/>
          <w:spacing w:val="0"/>
          <w:w w:val="100"/>
          <w:position w:val="0"/>
          <w:sz w:val="22"/>
          <w:szCs w:val="22"/>
        </w:rPr>
        <w:t>股份的预计股利；</w:t>
      </w:r>
      <w:r>
        <w:rPr>
          <w:rFonts w:ascii="Times New Roman" w:eastAsia="Times New Roman" w:hAnsi="Times New Roman" w:cs="Times New Roman"/>
          <w:color w:val="000000"/>
          <w:spacing w:val="0"/>
          <w:w w:val="100"/>
          <w:position w:val="0"/>
          <w:sz w:val="24"/>
          <w:szCs w:val="24"/>
        </w:rPr>
        <w:t>F</w:t>
      </w:r>
      <w:r>
        <w:rPr>
          <w:color w:val="000000"/>
          <w:spacing w:val="0"/>
          <w:w w:val="100"/>
          <w:position w:val="0"/>
          <w:sz w:val="22"/>
          <w:szCs w:val="22"/>
        </w:rPr>
        <w:t>、</w:t>
      </w:r>
      <w:r>
        <w:rPr>
          <w:color w:val="000000"/>
          <w:spacing w:val="0"/>
          <w:w w:val="100"/>
          <w:position w:val="0"/>
          <w:sz w:val="22"/>
          <w:szCs w:val="22"/>
        </w:rPr>
        <w:t>期权有效期内的无风险利率。</w:t>
      </w:r>
    </w:p>
    <w:p>
      <w:pPr>
        <w:pStyle w:val="Style11"/>
        <w:keepNext w:val="0"/>
        <w:keepLines w:val="0"/>
        <w:widowControl w:val="0"/>
        <w:shd w:val="clear" w:color="auto" w:fill="auto"/>
        <w:tabs>
          <w:tab w:pos="1009" w:val="left"/>
        </w:tabs>
        <w:bidi w:val="0"/>
        <w:spacing w:before="0" w:after="0" w:line="311" w:lineRule="exact"/>
        <w:ind w:left="0" w:right="0" w:firstLine="500"/>
        <w:jc w:val="left"/>
        <w:rPr>
          <w:sz w:val="22"/>
          <w:szCs w:val="22"/>
        </w:rPr>
      </w:pPr>
      <w:bookmarkStart w:id="1038" w:name="bookmark1038"/>
      <w:r>
        <w:rPr>
          <w:color w:val="000000"/>
          <w:spacing w:val="0"/>
          <w:w w:val="100"/>
          <w:position w:val="0"/>
          <w:sz w:val="22"/>
          <w:szCs w:val="22"/>
        </w:rPr>
        <w:t>（</w:t>
      </w:r>
      <w:bookmarkEnd w:id="103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确认可行权权益工具最佳估计的依据</w:t>
      </w:r>
    </w:p>
    <w:p>
      <w:pPr>
        <w:pStyle w:val="Style11"/>
        <w:keepNext w:val="0"/>
        <w:keepLines w:val="0"/>
        <w:widowControl w:val="0"/>
        <w:shd w:val="clear" w:color="auto" w:fill="auto"/>
        <w:bidi w:val="0"/>
        <w:spacing w:before="0" w:after="200" w:line="307" w:lineRule="exact"/>
        <w:ind w:left="0" w:right="0" w:firstLine="500"/>
        <w:jc w:val="both"/>
        <w:rPr>
          <w:sz w:val="22"/>
          <w:szCs w:val="22"/>
        </w:rPr>
      </w:pPr>
      <w:r>
        <w:rPr>
          <w:color w:val="000000"/>
          <w:spacing w:val="0"/>
          <w:w w:val="100"/>
          <w:position w:val="0"/>
          <w:sz w:val="22"/>
          <w:szCs w:val="22"/>
        </w:rPr>
        <w:t>等待期内每个资产负债表日，本集团根据最新取得的可行权职工人数变动等后续信息作 出最佳估计，修正预计可行权的权益工具数量。在可行权日，最终预计可行权权益工具的数 量应当与实际可行权数量一致。</w:t>
      </w:r>
    </w:p>
    <w:p>
      <w:pPr>
        <w:pStyle w:val="Style11"/>
        <w:keepNext w:val="0"/>
        <w:keepLines w:val="0"/>
        <w:widowControl w:val="0"/>
        <w:shd w:val="clear" w:color="auto" w:fill="auto"/>
        <w:tabs>
          <w:tab w:pos="1009" w:val="left"/>
        </w:tabs>
        <w:bidi w:val="0"/>
        <w:spacing w:before="0" w:after="0" w:line="312" w:lineRule="exact"/>
        <w:ind w:left="0" w:right="0" w:firstLine="500"/>
        <w:jc w:val="left"/>
        <w:rPr>
          <w:sz w:val="22"/>
          <w:szCs w:val="22"/>
        </w:rPr>
      </w:pPr>
      <w:bookmarkStart w:id="1039" w:name="bookmark1039"/>
      <w:r>
        <w:rPr>
          <w:color w:val="000000"/>
          <w:spacing w:val="0"/>
          <w:w w:val="100"/>
          <w:position w:val="0"/>
          <w:sz w:val="22"/>
          <w:szCs w:val="22"/>
        </w:rPr>
        <w:t>（</w:t>
      </w:r>
      <w:bookmarkEnd w:id="1039"/>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w:t>
        <w:tab/>
        <w:t>实施、修改、终止股份支付计划的相关会计处理</w:t>
      </w:r>
    </w:p>
    <w:p>
      <w:pPr>
        <w:pStyle w:val="Style11"/>
        <w:keepNext w:val="0"/>
        <w:keepLines w:val="0"/>
        <w:widowControl w:val="0"/>
        <w:shd w:val="clear" w:color="auto" w:fill="auto"/>
        <w:bidi w:val="0"/>
        <w:spacing w:before="0" w:after="200" w:line="312" w:lineRule="exact"/>
        <w:ind w:left="0" w:right="0" w:firstLine="500"/>
        <w:jc w:val="both"/>
        <w:rPr>
          <w:sz w:val="22"/>
          <w:szCs w:val="22"/>
        </w:rPr>
      </w:pPr>
      <w:r>
        <w:rPr>
          <w:color w:val="000000"/>
          <w:spacing w:val="0"/>
          <w:w w:val="100"/>
          <w:position w:val="0"/>
          <w:sz w:val="22"/>
          <w:szCs w:val="22"/>
        </w:rPr>
        <w:t>以权益结算的股份支付，按授予职工权益工具的公允价值计量。授予后立即可行权的， 在授予日按照权益工具的公允价值计入相关成本或费用，相应增加资本公积。在完成等待期 内的服务或达到规定业绩条件才可行权的，在等待期内的每个资产负债表日，以对可行权权 益工具数量的最佳估计为基础，按照权益工具授予日的公允价值，将当期取得的服务计入相 关成本或费用和资本公积。在可行权日之后不再对已确认的相关成本或费用和所有者权益总 额进行调整。</w:t>
      </w:r>
    </w:p>
    <w:p>
      <w:pPr>
        <w:pStyle w:val="Style11"/>
        <w:keepNext w:val="0"/>
        <w:keepLines w:val="0"/>
        <w:widowControl w:val="0"/>
        <w:shd w:val="clear" w:color="auto" w:fill="auto"/>
        <w:bidi w:val="0"/>
        <w:spacing w:before="0" w:after="200" w:line="311" w:lineRule="exact"/>
        <w:ind w:left="0" w:right="0" w:firstLine="500"/>
        <w:jc w:val="both"/>
        <w:rPr>
          <w:sz w:val="22"/>
          <w:szCs w:val="22"/>
        </w:rPr>
      </w:pPr>
      <w:r>
        <w:rPr>
          <w:color w:val="000000"/>
          <w:spacing w:val="0"/>
          <w:w w:val="100"/>
          <w:position w:val="0"/>
          <w:sz w:val="22"/>
          <w:szCs w:val="22"/>
        </w:rPr>
        <w:t>本集团对股份支付计划进行修改时，若修改增加了所授予权益工具的公允价值，按照权 益工具公允价值的增加相应地确认取得服务的增加；若修改增加了所授予权益工具的数量， 则将增加的权益工具的公允价值相应地确认为取得服务的增加。权益工具公允价值的增加是 指修改前后的权益工具在修改日的公允价值之间的差额。若修改减少了股份支付公允价值总 额或采用了其他不利于职工的方式修改股份支付计划的条款和条件，则仍继续对取得的服务 进行会计处理，视同该变更从未发生，除非本集团取消了部分或全部已授予的权益工具。</w:t>
      </w:r>
    </w:p>
    <w:p>
      <w:pPr>
        <w:pStyle w:val="Style11"/>
        <w:keepNext w:val="0"/>
        <w:keepLines w:val="0"/>
        <w:widowControl w:val="0"/>
        <w:shd w:val="clear" w:color="auto" w:fill="auto"/>
        <w:bidi w:val="0"/>
        <w:spacing w:before="0" w:after="380" w:line="311" w:lineRule="exact"/>
        <w:ind w:left="0" w:right="0" w:firstLine="0"/>
        <w:jc w:val="both"/>
        <w:rPr>
          <w:sz w:val="22"/>
          <w:szCs w:val="22"/>
        </w:rPr>
      </w:pPr>
      <w:r>
        <w:rPr>
          <w:color w:val="000000"/>
          <w:spacing w:val="0"/>
          <w:w w:val="100"/>
          <w:position w:val="0"/>
          <w:sz w:val="22"/>
          <w:szCs w:val="22"/>
        </w:rPr>
        <w:t xml:space="preserve">在等待期内，如果取消了授予的权益工具（因未满足可行权条件的非市场条件而被取消的除 </w:t>
      </w:r>
      <w:r>
        <w:rPr>
          <w:color w:val="000000"/>
          <w:spacing w:val="0"/>
          <w:w w:val="100"/>
          <w:position w:val="0"/>
          <w:sz w:val="22"/>
          <w:szCs w:val="22"/>
        </w:rPr>
        <w:t>外），本集团对取消所授予的权益性工具作为加速行权处理，将剩余等待期内应确认的金额 立即计入当期损益，同时确认资本公积。职工或其他方能够选择满足非可行权条件但在等待 期内未满足的，本集团将其作为授予权益工具的取消处理。</w:t>
      </w:r>
    </w:p>
    <w:p>
      <w:pPr>
        <w:pStyle w:val="Style31"/>
        <w:keepNext/>
        <w:keepLines/>
        <w:widowControl w:val="0"/>
        <w:shd w:val="clear" w:color="auto" w:fill="auto"/>
        <w:bidi w:val="0"/>
        <w:spacing w:before="0" w:after="380" w:line="240" w:lineRule="auto"/>
        <w:ind w:left="0" w:right="0" w:firstLine="0"/>
        <w:jc w:val="both"/>
      </w:pPr>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33</w:t>
      </w:r>
      <w:r>
        <w:rPr>
          <w:color w:val="000000"/>
          <w:spacing w:val="0"/>
          <w:w w:val="100"/>
          <w:position w:val="0"/>
        </w:rPr>
        <w:t>、收入</w:t>
      </w:r>
      <w:bookmarkEnd w:id="1040"/>
      <w:bookmarkEnd w:id="1041"/>
      <w:bookmarkEnd w:id="1042"/>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收入确认和计量所采用的会计政策</w:t>
      </w:r>
    </w:p>
    <w:p>
      <w:pPr>
        <w:pStyle w:val="Style11"/>
        <w:keepNext w:val="0"/>
        <w:keepLines w:val="0"/>
        <w:widowControl w:val="0"/>
        <w:shd w:val="clear" w:color="auto" w:fill="auto"/>
        <w:bidi w:val="0"/>
        <w:spacing w:before="0" w:after="120" w:line="312" w:lineRule="exact"/>
        <w:ind w:left="0" w:right="0" w:firstLine="500"/>
        <w:jc w:val="both"/>
        <w:rPr>
          <w:sz w:val="22"/>
          <w:szCs w:val="22"/>
        </w:rPr>
      </w:pPr>
      <w:bookmarkStart w:id="1043" w:name="bookmark1043"/>
      <w:r>
        <w:rPr>
          <w:b/>
          <w:bCs/>
          <w:color w:val="000000"/>
          <w:spacing w:val="0"/>
          <w:w w:val="100"/>
          <w:position w:val="0"/>
          <w:sz w:val="22"/>
          <w:szCs w:val="22"/>
        </w:rPr>
        <w:t>（</w:t>
      </w:r>
      <w:bookmarkEnd w:id="1043"/>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2"/>
          <w:szCs w:val="22"/>
        </w:rPr>
        <w:t>）一般原则</w:t>
      </w:r>
    </w:p>
    <w:p>
      <w:pPr>
        <w:pStyle w:val="Style11"/>
        <w:keepNext w:val="0"/>
        <w:keepLines w:val="0"/>
        <w:widowControl w:val="0"/>
        <w:shd w:val="clear" w:color="auto" w:fill="auto"/>
        <w:bidi w:val="0"/>
        <w:spacing w:before="0" w:after="120" w:line="307" w:lineRule="exact"/>
        <w:ind w:left="0" w:right="0" w:firstLine="500"/>
        <w:jc w:val="both"/>
        <w:rPr>
          <w:sz w:val="22"/>
          <w:szCs w:val="22"/>
        </w:rPr>
      </w:pPr>
      <w:r>
        <w:rPr>
          <w:color w:val="000000"/>
          <w:spacing w:val="0"/>
          <w:w w:val="100"/>
          <w:position w:val="0"/>
          <w:sz w:val="22"/>
          <w:szCs w:val="22"/>
        </w:rPr>
        <w:t>收入是本公司在日常活动中形成的、会导致股东权益增加且与股东投入资本无关的经济 利益的总流入。</w:t>
      </w:r>
    </w:p>
    <w:p>
      <w:pPr>
        <w:pStyle w:val="Style11"/>
        <w:keepNext w:val="0"/>
        <w:keepLines w:val="0"/>
        <w:widowControl w:val="0"/>
        <w:shd w:val="clear" w:color="auto" w:fill="auto"/>
        <w:bidi w:val="0"/>
        <w:spacing w:before="0" w:after="120" w:line="312" w:lineRule="exact"/>
        <w:ind w:left="0" w:right="0" w:firstLine="500"/>
        <w:jc w:val="both"/>
        <w:rPr>
          <w:sz w:val="22"/>
          <w:szCs w:val="22"/>
        </w:rPr>
      </w:pPr>
      <w:r>
        <w:rPr>
          <w:color w:val="000000"/>
          <w:spacing w:val="0"/>
          <w:w w:val="100"/>
          <w:position w:val="0"/>
          <w:sz w:val="22"/>
          <w:szCs w:val="22"/>
        </w:rPr>
        <w:t>本公司在履行了合同中的履约义务，即在客户取得相关商品控制权时确认收入。取得相 关商品控制权，是指能够主导该商品的使用并从中获得几乎全部的经济利益。</w:t>
      </w:r>
    </w:p>
    <w:p>
      <w:pPr>
        <w:pStyle w:val="Style11"/>
        <w:keepNext w:val="0"/>
        <w:keepLines w:val="0"/>
        <w:widowControl w:val="0"/>
        <w:shd w:val="clear" w:color="auto" w:fill="auto"/>
        <w:bidi w:val="0"/>
        <w:spacing w:before="0" w:after="120" w:line="312" w:lineRule="exact"/>
        <w:ind w:left="0" w:right="0" w:firstLine="500"/>
        <w:jc w:val="both"/>
        <w:rPr>
          <w:sz w:val="22"/>
          <w:szCs w:val="22"/>
        </w:rPr>
      </w:pPr>
      <w:r>
        <w:rPr>
          <w:color w:val="000000"/>
          <w:spacing w:val="0"/>
          <w:w w:val="100"/>
          <w:position w:val="0"/>
          <w:sz w:val="22"/>
          <w:szCs w:val="22"/>
        </w:rPr>
        <w:t>合同中包含两项或多项履约义务的，本公司在合同开始日，按照各单项履约义务所承诺 商品或服务的单独售价的相对比例，将交易价格分摊至各单项履约义务，按照分摊至各单项 履约义务的交易价格计量收入。</w:t>
      </w:r>
    </w:p>
    <w:p>
      <w:pPr>
        <w:pStyle w:val="Style11"/>
        <w:keepNext w:val="0"/>
        <w:keepLines w:val="0"/>
        <w:widowControl w:val="0"/>
        <w:shd w:val="clear" w:color="auto" w:fill="auto"/>
        <w:bidi w:val="0"/>
        <w:spacing w:before="0" w:after="120" w:line="312" w:lineRule="exact"/>
        <w:ind w:left="0" w:right="0" w:firstLine="500"/>
        <w:jc w:val="both"/>
        <w:rPr>
          <w:sz w:val="22"/>
          <w:szCs w:val="22"/>
        </w:rPr>
      </w:pPr>
      <w:r>
        <w:rPr>
          <w:color w:val="000000"/>
          <w:spacing w:val="0"/>
          <w:w w:val="100"/>
          <w:position w:val="0"/>
          <w:sz w:val="22"/>
          <w:szCs w:val="22"/>
        </w:rPr>
        <w:t>交易价格是本公司因向客户转让商品或服务而预期有权收取的对价金额，不包括代第三 方收取的款项。在确定合同交易价格时，如果存在可变对价，本公司按照期望值或最可能发 生金额确定可变对价的最佳估计数，并以不超过在相关不确定性消除时累计已确认收入极可 能不会发生重大转回的金额计入交易价格。合同中如果存在重大融资成分，本公司将根据客 户在取得商品控制权时即以现金支付的应付金额确定交易价格，该交易价格与合同对价之间 的差额，在合同期间内采用实际利率法摊销，对于控制权转移与客户支付价款间隔未超过一 年的，本公司不考虑其中的融资成分。</w:t>
      </w:r>
    </w:p>
    <w:p>
      <w:pPr>
        <w:pStyle w:val="Style11"/>
        <w:keepNext w:val="0"/>
        <w:keepLines w:val="0"/>
        <w:widowControl w:val="0"/>
        <w:shd w:val="clear" w:color="auto" w:fill="auto"/>
        <w:bidi w:val="0"/>
        <w:spacing w:before="0" w:after="60" w:line="317" w:lineRule="exact"/>
        <w:ind w:left="0" w:right="0" w:firstLine="500"/>
        <w:jc w:val="both"/>
        <w:rPr>
          <w:sz w:val="22"/>
          <w:szCs w:val="22"/>
        </w:rPr>
      </w:pPr>
      <w:r>
        <w:rPr>
          <w:color w:val="000000"/>
          <w:spacing w:val="0"/>
          <w:w w:val="100"/>
          <w:position w:val="0"/>
          <w:sz w:val="22"/>
          <w:szCs w:val="22"/>
        </w:rPr>
        <w:t>满足下列条件之一的，属于在某一时段内履行履约义务；否则，属于在某一时点履行履 约义务：</w:t>
      </w:r>
    </w:p>
    <w:p>
      <w:pPr>
        <w:pStyle w:val="Style11"/>
        <w:keepNext w:val="0"/>
        <w:keepLines w:val="0"/>
        <w:widowControl w:val="0"/>
        <w:numPr>
          <w:ilvl w:val="0"/>
          <w:numId w:val="73"/>
        </w:numPr>
        <w:shd w:val="clear" w:color="auto" w:fill="auto"/>
        <w:tabs>
          <w:tab w:pos="921" w:val="left"/>
        </w:tabs>
        <w:bidi w:val="0"/>
        <w:spacing w:before="0" w:after="120" w:line="312" w:lineRule="exact"/>
        <w:ind w:left="0" w:right="0" w:firstLine="500"/>
        <w:jc w:val="left"/>
        <w:rPr>
          <w:sz w:val="22"/>
          <w:szCs w:val="22"/>
        </w:rPr>
      </w:pPr>
      <w:bookmarkStart w:id="1044" w:name="bookmark1044"/>
      <w:bookmarkEnd w:id="1044"/>
      <w:r>
        <w:rPr>
          <w:color w:val="000000"/>
          <w:spacing w:val="0"/>
          <w:w w:val="100"/>
          <w:position w:val="0"/>
          <w:sz w:val="22"/>
          <w:szCs w:val="22"/>
        </w:rPr>
        <w:t>客户在本公司履约的同时即取得并消耗本公司履约所带来的经济利益；</w:t>
      </w:r>
    </w:p>
    <w:p>
      <w:pPr>
        <w:pStyle w:val="Style11"/>
        <w:keepNext w:val="0"/>
        <w:keepLines w:val="0"/>
        <w:widowControl w:val="0"/>
        <w:numPr>
          <w:ilvl w:val="0"/>
          <w:numId w:val="73"/>
        </w:numPr>
        <w:shd w:val="clear" w:color="auto" w:fill="auto"/>
        <w:tabs>
          <w:tab w:pos="921" w:val="left"/>
        </w:tabs>
        <w:bidi w:val="0"/>
        <w:spacing w:before="0" w:after="120" w:line="312" w:lineRule="exact"/>
        <w:ind w:left="0" w:right="0" w:firstLine="500"/>
        <w:jc w:val="left"/>
        <w:rPr>
          <w:sz w:val="22"/>
          <w:szCs w:val="22"/>
        </w:rPr>
      </w:pPr>
      <w:bookmarkStart w:id="1045" w:name="bookmark1045"/>
      <w:bookmarkEnd w:id="1045"/>
      <w:r>
        <w:rPr>
          <w:color w:val="000000"/>
          <w:spacing w:val="0"/>
          <w:w w:val="100"/>
          <w:position w:val="0"/>
          <w:sz w:val="22"/>
          <w:szCs w:val="22"/>
        </w:rPr>
        <w:t>客户能够控制本公司履约过程中在建的商品；</w:t>
      </w:r>
    </w:p>
    <w:p>
      <w:pPr>
        <w:pStyle w:val="Style11"/>
        <w:keepNext w:val="0"/>
        <w:keepLines w:val="0"/>
        <w:widowControl w:val="0"/>
        <w:numPr>
          <w:ilvl w:val="0"/>
          <w:numId w:val="73"/>
        </w:numPr>
        <w:shd w:val="clear" w:color="auto" w:fill="auto"/>
        <w:tabs>
          <w:tab w:pos="896" w:val="left"/>
        </w:tabs>
        <w:bidi w:val="0"/>
        <w:spacing w:before="0" w:after="120" w:line="302" w:lineRule="exact"/>
        <w:ind w:left="0" w:right="0" w:firstLine="500"/>
        <w:jc w:val="left"/>
        <w:rPr>
          <w:sz w:val="22"/>
          <w:szCs w:val="22"/>
        </w:rPr>
      </w:pPr>
      <w:bookmarkStart w:id="1046" w:name="bookmark1046"/>
      <w:bookmarkEnd w:id="1046"/>
      <w:r>
        <w:rPr>
          <w:color w:val="000000"/>
          <w:spacing w:val="0"/>
          <w:w w:val="100"/>
          <w:position w:val="0"/>
          <w:sz w:val="22"/>
          <w:szCs w:val="22"/>
        </w:rPr>
        <w:t>本公司履约过程中所产出的商品具有不可替代用途，且本公司在整个合同期间内有权 就累计至今已完成的履约部分收取款项。</w:t>
      </w:r>
    </w:p>
    <w:p>
      <w:pPr>
        <w:pStyle w:val="Style11"/>
        <w:keepNext w:val="0"/>
        <w:keepLines w:val="0"/>
        <w:widowControl w:val="0"/>
        <w:shd w:val="clear" w:color="auto" w:fill="auto"/>
        <w:bidi w:val="0"/>
        <w:spacing w:before="0" w:after="120" w:line="312" w:lineRule="exact"/>
        <w:ind w:left="0" w:right="0" w:firstLine="500"/>
        <w:jc w:val="left"/>
        <w:rPr>
          <w:sz w:val="22"/>
          <w:szCs w:val="22"/>
        </w:rPr>
      </w:pPr>
      <w:r>
        <w:rPr>
          <w:color w:val="000000"/>
          <w:spacing w:val="0"/>
          <w:w w:val="100"/>
          <w:position w:val="0"/>
          <w:sz w:val="22"/>
          <w:szCs w:val="22"/>
        </w:rPr>
        <w:t>对于在某一时段内履行的履约义务，本公司在该段时间内按照履约进度确认收入，但是， 履约进度不能合理确定的除外。本公司按照投入法（或产出法）确定提供服务的履约进度。 当履约进度不能合理确定时，本公司已经发生的成本预计能够得到补偿的，按照已经发生的 成本金额确认收入，直到履约进度能够合理确定为止。</w:t>
      </w:r>
    </w:p>
    <w:p>
      <w:pPr>
        <w:pStyle w:val="Style11"/>
        <w:keepNext w:val="0"/>
        <w:keepLines w:val="0"/>
        <w:widowControl w:val="0"/>
        <w:shd w:val="clear" w:color="auto" w:fill="auto"/>
        <w:bidi w:val="0"/>
        <w:spacing w:before="0" w:after="120" w:line="307" w:lineRule="exact"/>
        <w:ind w:left="0" w:right="0" w:firstLine="500"/>
        <w:jc w:val="left"/>
        <w:rPr>
          <w:sz w:val="22"/>
          <w:szCs w:val="22"/>
        </w:rPr>
      </w:pPr>
      <w:r>
        <w:rPr>
          <w:color w:val="000000"/>
          <w:spacing w:val="0"/>
          <w:w w:val="100"/>
          <w:position w:val="0"/>
          <w:sz w:val="22"/>
          <w:szCs w:val="22"/>
        </w:rPr>
        <w:t>对于在某一时点履行的履约义务，本公司在客户取得相关商品控制权时点确认收入。在 判断客户是否已取得商品或服务控制权时，本公司会考虑下列迹象：</w:t>
      </w:r>
    </w:p>
    <w:p>
      <w:pPr>
        <w:pStyle w:val="Style11"/>
        <w:keepNext w:val="0"/>
        <w:keepLines w:val="0"/>
        <w:widowControl w:val="0"/>
        <w:numPr>
          <w:ilvl w:val="0"/>
          <w:numId w:val="75"/>
        </w:numPr>
        <w:shd w:val="clear" w:color="auto" w:fill="auto"/>
        <w:tabs>
          <w:tab w:pos="921" w:val="left"/>
        </w:tabs>
        <w:bidi w:val="0"/>
        <w:spacing w:before="0" w:after="120" w:line="312" w:lineRule="exact"/>
        <w:ind w:left="0" w:right="0" w:firstLine="500"/>
        <w:jc w:val="left"/>
        <w:rPr>
          <w:sz w:val="22"/>
          <w:szCs w:val="22"/>
        </w:rPr>
      </w:pPr>
      <w:bookmarkStart w:id="1047" w:name="bookmark1047"/>
      <w:bookmarkEnd w:id="1047"/>
      <w:r>
        <w:rPr>
          <w:color w:val="000000"/>
          <w:spacing w:val="0"/>
          <w:w w:val="100"/>
          <w:position w:val="0"/>
          <w:sz w:val="22"/>
          <w:szCs w:val="22"/>
        </w:rPr>
        <w:t>本公司就该商品或服务享有现时收款权利，即客户就该商品负有现时付款义务；</w:t>
      </w:r>
    </w:p>
    <w:p>
      <w:pPr>
        <w:pStyle w:val="Style11"/>
        <w:keepNext w:val="0"/>
        <w:keepLines w:val="0"/>
        <w:widowControl w:val="0"/>
        <w:numPr>
          <w:ilvl w:val="0"/>
          <w:numId w:val="75"/>
        </w:numPr>
        <w:shd w:val="clear" w:color="auto" w:fill="auto"/>
        <w:tabs>
          <w:tab w:pos="921" w:val="left"/>
        </w:tabs>
        <w:bidi w:val="0"/>
        <w:spacing w:before="0" w:after="120" w:line="312" w:lineRule="exact"/>
        <w:ind w:left="0" w:right="0" w:firstLine="500"/>
        <w:jc w:val="left"/>
        <w:rPr>
          <w:sz w:val="22"/>
          <w:szCs w:val="22"/>
        </w:rPr>
      </w:pPr>
      <w:bookmarkStart w:id="1048" w:name="bookmark1048"/>
      <w:bookmarkEnd w:id="1048"/>
      <w:r>
        <w:rPr>
          <w:color w:val="000000"/>
          <w:spacing w:val="0"/>
          <w:w w:val="100"/>
          <w:position w:val="0"/>
          <w:sz w:val="22"/>
          <w:szCs w:val="22"/>
        </w:rPr>
        <w:t>本公司已将该商品的法定所有权转移给客户，即客户已拥有了该商品的法定所有权；</w:t>
      </w:r>
    </w:p>
    <w:p>
      <w:pPr>
        <w:pStyle w:val="Style11"/>
        <w:keepNext w:val="0"/>
        <w:keepLines w:val="0"/>
        <w:widowControl w:val="0"/>
        <w:numPr>
          <w:ilvl w:val="0"/>
          <w:numId w:val="75"/>
        </w:numPr>
        <w:shd w:val="clear" w:color="auto" w:fill="auto"/>
        <w:tabs>
          <w:tab w:pos="921" w:val="left"/>
        </w:tabs>
        <w:bidi w:val="0"/>
        <w:spacing w:before="0" w:after="120" w:line="312" w:lineRule="exact"/>
        <w:ind w:left="0" w:right="0" w:firstLine="500"/>
        <w:jc w:val="left"/>
        <w:rPr>
          <w:sz w:val="22"/>
          <w:szCs w:val="22"/>
        </w:rPr>
      </w:pPr>
      <w:bookmarkStart w:id="1049" w:name="bookmark1049"/>
      <w:bookmarkEnd w:id="1049"/>
      <w:r>
        <w:rPr>
          <w:color w:val="000000"/>
          <w:spacing w:val="0"/>
          <w:w w:val="100"/>
          <w:position w:val="0"/>
          <w:sz w:val="22"/>
          <w:szCs w:val="22"/>
        </w:rPr>
        <w:t>本公司已将该商品的实物转移给客户，即客户已实物占有该商品；</w:t>
      </w:r>
    </w:p>
    <w:p>
      <w:pPr>
        <w:pStyle w:val="Style11"/>
        <w:keepNext w:val="0"/>
        <w:keepLines w:val="0"/>
        <w:widowControl w:val="0"/>
        <w:numPr>
          <w:ilvl w:val="0"/>
          <w:numId w:val="75"/>
        </w:numPr>
        <w:shd w:val="clear" w:color="auto" w:fill="auto"/>
        <w:tabs>
          <w:tab w:pos="901" w:val="left"/>
        </w:tabs>
        <w:bidi w:val="0"/>
        <w:spacing w:before="0" w:after="120" w:line="317" w:lineRule="exact"/>
        <w:ind w:left="0" w:right="0" w:firstLine="500"/>
        <w:jc w:val="both"/>
        <w:rPr>
          <w:sz w:val="22"/>
          <w:szCs w:val="22"/>
        </w:rPr>
      </w:pPr>
      <w:bookmarkStart w:id="1050" w:name="bookmark1050"/>
      <w:bookmarkEnd w:id="1050"/>
      <w:r>
        <w:rPr>
          <w:color w:val="000000"/>
          <w:spacing w:val="0"/>
          <w:w w:val="100"/>
          <w:position w:val="0"/>
          <w:sz w:val="22"/>
          <w:szCs w:val="22"/>
        </w:rPr>
        <w:t>本公司已将该商品所有权上的主要风险和报酬转移给客户，即客户已取得该商品所有 权上的主要风险和报酬；</w:t>
      </w:r>
    </w:p>
    <w:p>
      <w:pPr>
        <w:pStyle w:val="Style11"/>
        <w:keepNext w:val="0"/>
        <w:keepLines w:val="0"/>
        <w:widowControl w:val="0"/>
        <w:numPr>
          <w:ilvl w:val="0"/>
          <w:numId w:val="75"/>
        </w:numPr>
        <w:shd w:val="clear" w:color="auto" w:fill="auto"/>
        <w:bidi w:val="0"/>
        <w:spacing w:before="0" w:after="100" w:line="313" w:lineRule="exact"/>
        <w:ind w:left="0" w:right="0" w:firstLine="480"/>
        <w:jc w:val="both"/>
        <w:rPr>
          <w:sz w:val="22"/>
          <w:szCs w:val="22"/>
        </w:rPr>
      </w:pPr>
      <w:bookmarkStart w:id="1051" w:name="bookmark1051"/>
      <w:bookmarkEnd w:id="1051"/>
      <w:r>
        <w:rPr>
          <w:color w:val="000000"/>
          <w:spacing w:val="0"/>
          <w:w w:val="100"/>
          <w:position w:val="0"/>
          <w:sz w:val="22"/>
          <w:szCs w:val="22"/>
        </w:rPr>
        <w:t>客户已接受该商品。</w:t>
      </w:r>
    </w:p>
    <w:p>
      <w:pPr>
        <w:pStyle w:val="Style11"/>
        <w:keepNext w:val="0"/>
        <w:keepLines w:val="0"/>
        <w:widowControl w:val="0"/>
        <w:shd w:val="clear" w:color="auto" w:fill="auto"/>
        <w:bidi w:val="0"/>
        <w:spacing w:before="0" w:after="100" w:line="313" w:lineRule="exact"/>
        <w:ind w:left="0" w:right="0" w:firstLine="480"/>
        <w:jc w:val="both"/>
        <w:rPr>
          <w:sz w:val="22"/>
          <w:szCs w:val="22"/>
        </w:rPr>
      </w:pPr>
      <w:r>
        <w:rPr>
          <w:color w:val="000000"/>
          <w:spacing w:val="0"/>
          <w:w w:val="100"/>
          <w:position w:val="0"/>
          <w:sz w:val="22"/>
          <w:szCs w:val="22"/>
        </w:rPr>
        <w:t>销售退回条款</w:t>
      </w:r>
    </w:p>
    <w:p>
      <w:pPr>
        <w:pStyle w:val="Style11"/>
        <w:keepNext w:val="0"/>
        <w:keepLines w:val="0"/>
        <w:widowControl w:val="0"/>
        <w:shd w:val="clear" w:color="auto" w:fill="auto"/>
        <w:bidi w:val="0"/>
        <w:spacing w:before="0" w:after="100" w:line="313" w:lineRule="exact"/>
        <w:ind w:left="0" w:right="0" w:firstLine="480"/>
        <w:jc w:val="both"/>
        <w:rPr>
          <w:sz w:val="22"/>
          <w:szCs w:val="22"/>
        </w:rPr>
      </w:pPr>
      <w:r>
        <w:rPr>
          <w:color w:val="000000"/>
          <w:spacing w:val="0"/>
          <w:w w:val="100"/>
          <w:position w:val="0"/>
          <w:sz w:val="22"/>
          <w:szCs w:val="22"/>
        </w:rPr>
        <w:t>对于附有销售退回条款的销售，公司在客户取得相关商品控制权时，按照因向客户转让 商品而与其有权取得的对价金额确认收入，按照预期因销售退回将退还的金额确认为预计负 债；同时，按照预期将退回商品转让时的账面价值，扣除收回该商品预计发生的成本（包括 退回商品的价值减损）后的余额，确认为一项资产，即应收退货成本，按照所转让商品转让 时的账面价值，扣除上述资产成本的净额结转成本。每一资产负债表日，公司重新估计未来 销售退回情况，并对上述资产和负债进行重新计量。</w:t>
      </w:r>
    </w:p>
    <w:p>
      <w:pPr>
        <w:pStyle w:val="Style11"/>
        <w:keepNext w:val="0"/>
        <w:keepLines w:val="0"/>
        <w:widowControl w:val="0"/>
        <w:shd w:val="clear" w:color="auto" w:fill="auto"/>
        <w:bidi w:val="0"/>
        <w:spacing w:before="0" w:after="100" w:line="313" w:lineRule="exact"/>
        <w:ind w:left="0" w:right="0" w:firstLine="480"/>
        <w:jc w:val="both"/>
        <w:rPr>
          <w:sz w:val="22"/>
          <w:szCs w:val="22"/>
        </w:rPr>
      </w:pPr>
      <w:r>
        <w:rPr>
          <w:color w:val="000000"/>
          <w:spacing w:val="0"/>
          <w:w w:val="100"/>
          <w:position w:val="0"/>
          <w:sz w:val="22"/>
          <w:szCs w:val="22"/>
        </w:rPr>
        <w:t>质保义务</w:t>
      </w:r>
    </w:p>
    <w:p>
      <w:pPr>
        <w:pStyle w:val="Style11"/>
        <w:keepNext w:val="0"/>
        <w:keepLines w:val="0"/>
        <w:widowControl w:val="0"/>
        <w:shd w:val="clear" w:color="auto" w:fill="auto"/>
        <w:bidi w:val="0"/>
        <w:spacing w:before="0" w:after="100" w:line="313" w:lineRule="exact"/>
        <w:ind w:left="0" w:right="0" w:firstLine="480"/>
        <w:jc w:val="both"/>
        <w:rPr>
          <w:sz w:val="22"/>
          <w:szCs w:val="22"/>
        </w:rPr>
      </w:pPr>
      <w:r>
        <w:rPr>
          <w:color w:val="000000"/>
          <w:spacing w:val="0"/>
          <w:w w:val="100"/>
          <w:position w:val="0"/>
          <w:sz w:val="22"/>
          <w:szCs w:val="22"/>
        </w:rPr>
        <w:t>根据合同约定、法律规定等，本公司为所销售的商品、所建造的工程等提供质量保证。 对于为向客户保证所销售的商品符合既定标准的保证类质量保证，本公司按照《企业会计准 则第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2"/>
          <w:szCs w:val="22"/>
        </w:rPr>
        <w:t>号——或有事项》进行会计处理。对于为向客户保证所销售的商品符合既定标准之外 提供了一项单独服务的服务类质量保证，本公司将其作为一项单项履约义务，按照提供商品 和服务类质量保证的单独售价的相对比例，将部分交易价格分摊至服务类质量保证，并在客 户取得服务控制权时确认收入。在评估质量保证是否在向客户保证所销售商品符合既定标准 之外提供了一项单独服务时，本公司考虑该质量保证是否为法定要求、质量保证期限以及本 公司承诺履行任务的性质等因素。</w:t>
      </w:r>
    </w:p>
    <w:p>
      <w:pPr>
        <w:pStyle w:val="Style11"/>
        <w:keepNext w:val="0"/>
        <w:keepLines w:val="0"/>
        <w:widowControl w:val="0"/>
        <w:shd w:val="clear" w:color="auto" w:fill="auto"/>
        <w:bidi w:val="0"/>
        <w:spacing w:before="0" w:after="0" w:line="313" w:lineRule="exact"/>
        <w:ind w:left="0" w:right="0" w:firstLine="480"/>
        <w:jc w:val="both"/>
        <w:rPr>
          <w:sz w:val="22"/>
          <w:szCs w:val="22"/>
        </w:rPr>
      </w:pPr>
      <w:bookmarkStart w:id="1052" w:name="bookmark1052"/>
      <w:r>
        <w:rPr>
          <w:b/>
          <w:bCs/>
          <w:color w:val="000000"/>
          <w:spacing w:val="0"/>
          <w:w w:val="100"/>
          <w:position w:val="0"/>
          <w:sz w:val="22"/>
          <w:szCs w:val="22"/>
        </w:rPr>
        <w:t>（</w:t>
      </w:r>
      <w:bookmarkEnd w:id="1052"/>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）收入确认的具体方法</w:t>
      </w:r>
    </w:p>
    <w:p>
      <w:pPr>
        <w:pStyle w:val="Style11"/>
        <w:keepNext w:val="0"/>
        <w:keepLines w:val="0"/>
        <w:widowControl w:val="0"/>
        <w:shd w:val="clear" w:color="auto" w:fill="auto"/>
        <w:bidi w:val="0"/>
        <w:spacing w:before="0" w:after="200" w:line="313" w:lineRule="exact"/>
        <w:ind w:left="0" w:right="0" w:firstLine="480"/>
        <w:jc w:val="both"/>
        <w:rPr>
          <w:sz w:val="22"/>
          <w:szCs w:val="22"/>
        </w:rPr>
      </w:pPr>
      <w:r>
        <w:rPr>
          <w:color w:val="000000"/>
          <w:spacing w:val="0"/>
          <w:w w:val="100"/>
          <w:position w:val="0"/>
          <w:sz w:val="22"/>
          <w:szCs w:val="22"/>
        </w:rPr>
        <w:t>本集团收入确认的具体方法如下：</w:t>
      </w:r>
    </w:p>
    <w:p>
      <w:pPr>
        <w:pStyle w:val="Style11"/>
        <w:keepNext w:val="0"/>
        <w:keepLines w:val="0"/>
        <w:widowControl w:val="0"/>
        <w:shd w:val="clear" w:color="auto" w:fill="auto"/>
        <w:bidi w:val="0"/>
        <w:spacing w:before="0" w:after="200" w:line="313" w:lineRule="exact"/>
        <w:ind w:left="0" w:right="0" w:firstLine="480"/>
        <w:jc w:val="both"/>
        <w:rPr>
          <w:sz w:val="22"/>
          <w:szCs w:val="22"/>
        </w:rPr>
      </w:pPr>
      <w:r>
        <w:rPr>
          <w:b/>
          <w:bCs/>
          <w:color w:val="000000"/>
          <w:spacing w:val="0"/>
          <w:w w:val="100"/>
          <w:position w:val="0"/>
          <w:sz w:val="22"/>
          <w:szCs w:val="22"/>
        </w:rPr>
        <w:t>电力板块</w:t>
      </w:r>
    </w:p>
    <w:p>
      <w:pPr>
        <w:pStyle w:val="Style11"/>
        <w:keepNext w:val="0"/>
        <w:keepLines w:val="0"/>
        <w:widowControl w:val="0"/>
        <w:shd w:val="clear" w:color="auto" w:fill="auto"/>
        <w:bidi w:val="0"/>
        <w:spacing w:before="0" w:after="100" w:line="313" w:lineRule="exact"/>
        <w:ind w:left="0" w:right="0" w:firstLine="480"/>
        <w:jc w:val="both"/>
        <w:rPr>
          <w:sz w:val="22"/>
          <w:szCs w:val="22"/>
        </w:rPr>
      </w:pPr>
      <w:r>
        <w:rPr>
          <w:color w:val="000000"/>
          <w:spacing w:val="0"/>
          <w:w w:val="100"/>
          <w:position w:val="0"/>
          <w:sz w:val="22"/>
          <w:szCs w:val="22"/>
        </w:rPr>
        <w:t>本集团销售模式包括直销和经销，直销和经销模式下收入确认的情况如下</w:t>
      </w:r>
    </w:p>
    <w:p>
      <w:pPr>
        <w:pStyle w:val="Style11"/>
        <w:keepNext w:val="0"/>
        <w:keepLines w:val="0"/>
        <w:widowControl w:val="0"/>
        <w:numPr>
          <w:ilvl w:val="0"/>
          <w:numId w:val="77"/>
        </w:numPr>
        <w:shd w:val="clear" w:color="auto" w:fill="auto"/>
        <w:bidi w:val="0"/>
        <w:spacing w:before="0" w:after="160" w:line="313" w:lineRule="exact"/>
        <w:ind w:left="0" w:right="0" w:firstLine="480"/>
        <w:jc w:val="both"/>
        <w:rPr>
          <w:sz w:val="22"/>
          <w:szCs w:val="22"/>
        </w:rPr>
      </w:pPr>
      <w:bookmarkStart w:id="1053" w:name="bookmark1053"/>
      <w:bookmarkEnd w:id="1053"/>
      <w:r>
        <w:rPr>
          <w:color w:val="000000"/>
          <w:spacing w:val="0"/>
          <w:w w:val="100"/>
          <w:position w:val="0"/>
          <w:sz w:val="22"/>
          <w:szCs w:val="22"/>
        </w:rPr>
        <w:t>本集团直销模式下收入的确认政策</w:t>
      </w:r>
    </w:p>
    <w:p>
      <w:pPr>
        <w:pStyle w:val="Style11"/>
        <w:keepNext w:val="0"/>
        <w:keepLines w:val="0"/>
        <w:widowControl w:val="0"/>
        <w:shd w:val="clear" w:color="auto" w:fill="auto"/>
        <w:bidi w:val="0"/>
        <w:spacing w:before="0" w:after="100" w:line="276" w:lineRule="auto"/>
        <w:ind w:left="0" w:right="0" w:firstLine="480"/>
        <w:jc w:val="both"/>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销售商品收入确认的具体原则</w:t>
      </w:r>
    </w:p>
    <w:p>
      <w:pPr>
        <w:pStyle w:val="Style11"/>
        <w:keepNext w:val="0"/>
        <w:keepLines w:val="0"/>
        <w:widowControl w:val="0"/>
        <w:shd w:val="clear" w:color="auto" w:fill="auto"/>
        <w:bidi w:val="0"/>
        <w:spacing w:before="0" w:after="100" w:line="322" w:lineRule="exact"/>
        <w:ind w:left="0" w:right="0" w:firstLine="480"/>
        <w:jc w:val="both"/>
        <w:rPr>
          <w:sz w:val="22"/>
          <w:szCs w:val="22"/>
        </w:rPr>
      </w:pPr>
      <w:r>
        <w:rPr>
          <w:color w:val="000000"/>
          <w:spacing w:val="0"/>
          <w:w w:val="100"/>
          <w:position w:val="0"/>
          <w:sz w:val="22"/>
          <w:szCs w:val="22"/>
        </w:rPr>
        <w:t>本公司与客户之间的销售商品合同包含转让商品的履约义务，属于在某一时点履行履约 义务。</w:t>
      </w:r>
    </w:p>
    <w:p>
      <w:pPr>
        <w:pStyle w:val="Style11"/>
        <w:keepNext w:val="0"/>
        <w:keepLines w:val="0"/>
        <w:widowControl w:val="0"/>
        <w:shd w:val="clear" w:color="auto" w:fill="auto"/>
        <w:bidi w:val="0"/>
        <w:spacing w:before="0" w:after="100" w:line="317" w:lineRule="exact"/>
        <w:ind w:left="0" w:right="0" w:firstLine="480"/>
        <w:jc w:val="both"/>
        <w:rPr>
          <w:sz w:val="22"/>
          <w:szCs w:val="22"/>
        </w:rPr>
      </w:pPr>
      <w:r>
        <w:rPr>
          <w:color w:val="000000"/>
          <w:spacing w:val="0"/>
          <w:w w:val="100"/>
          <w:position w:val="0"/>
          <w:sz w:val="22"/>
          <w:szCs w:val="22"/>
        </w:rPr>
        <w:t>对于需要承担安装调试义务的产品，本集团通过第三方物流公司将产品发出后，于产品 安装调试完毕，经客户验收后确认营业收入。</w:t>
      </w:r>
    </w:p>
    <w:p>
      <w:pPr>
        <w:pStyle w:val="Style11"/>
        <w:keepNext w:val="0"/>
        <w:keepLines w:val="0"/>
        <w:widowControl w:val="0"/>
        <w:shd w:val="clear" w:color="auto" w:fill="auto"/>
        <w:bidi w:val="0"/>
        <w:spacing w:before="0" w:after="100" w:line="312" w:lineRule="exact"/>
        <w:ind w:left="0" w:right="0" w:firstLine="480"/>
        <w:jc w:val="both"/>
        <w:rPr>
          <w:sz w:val="22"/>
          <w:szCs w:val="22"/>
        </w:rPr>
      </w:pPr>
      <w:r>
        <w:rPr>
          <w:color w:val="000000"/>
          <w:spacing w:val="0"/>
          <w:w w:val="100"/>
          <w:position w:val="0"/>
          <w:sz w:val="22"/>
          <w:szCs w:val="22"/>
        </w:rPr>
        <w:t>对于不需要承担安装调试义务的产品，本集团的合同义务仅限于向客户提供符合要求的 产品。本集团通过第三方物流公司将产品交付客户后，与产品所有权相关的主要风险和报酬 也同时转移。对此类产品的销售，本集团于产品交付并取得客户签收确认后确认营业收入。</w:t>
      </w:r>
    </w:p>
    <w:p>
      <w:pPr>
        <w:pStyle w:val="Style11"/>
        <w:keepNext w:val="0"/>
        <w:keepLines w:val="0"/>
        <w:widowControl w:val="0"/>
        <w:shd w:val="clear" w:color="auto" w:fill="auto"/>
        <w:bidi w:val="0"/>
        <w:spacing w:before="0" w:after="160" w:line="322" w:lineRule="exact"/>
        <w:ind w:left="0" w:right="0" w:firstLine="480"/>
        <w:jc w:val="both"/>
        <w:rPr>
          <w:sz w:val="22"/>
          <w:szCs w:val="22"/>
        </w:rPr>
      </w:pPr>
      <w:r>
        <w:rPr>
          <w:color w:val="000000"/>
          <w:spacing w:val="0"/>
          <w:w w:val="100"/>
          <w:position w:val="0"/>
          <w:sz w:val="22"/>
          <w:szCs w:val="22"/>
        </w:rPr>
        <w:t>在无法获取验收单据的情况下，将回款比例达到应收款</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2"/>
          <w:szCs w:val="22"/>
        </w:rPr>
        <w:t>的时点，作为认定客户已完 成验收的替代时点，进行收入的确认。</w:t>
      </w:r>
    </w:p>
    <w:p>
      <w:pPr>
        <w:pStyle w:val="Style11"/>
        <w:keepNext w:val="0"/>
        <w:keepLines w:val="0"/>
        <w:widowControl w:val="0"/>
        <w:shd w:val="clear" w:color="auto" w:fill="auto"/>
        <w:bidi w:val="0"/>
        <w:spacing w:before="0" w:after="100" w:line="276" w:lineRule="auto"/>
        <w:ind w:left="0" w:right="0" w:firstLine="480"/>
        <w:jc w:val="both"/>
        <w:rPr>
          <w:sz w:val="22"/>
          <w:szCs w:val="22"/>
        </w:rPr>
      </w:pP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2"/>
          <w:szCs w:val="22"/>
        </w:rPr>
        <w:t>提供劳务收入确认具体原则</w:t>
      </w:r>
    </w:p>
    <w:p>
      <w:pPr>
        <w:pStyle w:val="Style11"/>
        <w:keepNext w:val="0"/>
        <w:keepLines w:val="0"/>
        <w:widowControl w:val="0"/>
        <w:shd w:val="clear" w:color="auto" w:fill="auto"/>
        <w:bidi w:val="0"/>
        <w:spacing w:before="0" w:after="100" w:line="317" w:lineRule="exact"/>
        <w:ind w:left="0" w:right="0" w:firstLine="480"/>
        <w:jc w:val="both"/>
        <w:rPr>
          <w:sz w:val="22"/>
          <w:szCs w:val="22"/>
        </w:rPr>
      </w:pPr>
      <w:r>
        <w:rPr>
          <w:color w:val="000000"/>
          <w:spacing w:val="0"/>
          <w:w w:val="100"/>
          <w:position w:val="0"/>
          <w:sz w:val="22"/>
          <w:szCs w:val="22"/>
        </w:rPr>
        <w:t>提供劳务收入包括向客户提供的技术开发、产品维护、委托测试服务以及技术培训服务 收入等。</w:t>
      </w:r>
    </w:p>
    <w:p>
      <w:pPr>
        <w:pStyle w:val="Style11"/>
        <w:keepNext w:val="0"/>
        <w:keepLines w:val="0"/>
        <w:widowControl w:val="0"/>
        <w:shd w:val="clear" w:color="auto" w:fill="auto"/>
        <w:bidi w:val="0"/>
        <w:spacing w:before="0" w:after="100" w:line="312" w:lineRule="exact"/>
        <w:ind w:left="0" w:right="0" w:firstLine="480"/>
        <w:jc w:val="both"/>
        <w:rPr>
          <w:sz w:val="22"/>
          <w:szCs w:val="22"/>
        </w:rPr>
      </w:pPr>
      <w:r>
        <w:rPr>
          <w:color w:val="000000"/>
          <w:spacing w:val="0"/>
          <w:w w:val="100"/>
          <w:position w:val="0"/>
          <w:sz w:val="22"/>
          <w:szCs w:val="22"/>
        </w:rPr>
        <w:t>对于技术开发和委托测试服务，在本集团提交相应服务成果，通过客户验收并取得客户 盖章确认的《验收单》后确认收入。</w:t>
      </w:r>
    </w:p>
    <w:p>
      <w:pPr>
        <w:pStyle w:val="Style11"/>
        <w:keepNext w:val="0"/>
        <w:keepLines w:val="0"/>
        <w:widowControl w:val="0"/>
        <w:shd w:val="clear" w:color="auto" w:fill="auto"/>
        <w:bidi w:val="0"/>
        <w:spacing w:before="0" w:after="200" w:line="310" w:lineRule="exact"/>
        <w:ind w:left="0" w:right="0" w:firstLine="500"/>
        <w:jc w:val="both"/>
        <w:rPr>
          <w:sz w:val="22"/>
          <w:szCs w:val="22"/>
        </w:rPr>
      </w:pPr>
      <w:r>
        <w:rPr>
          <w:color w:val="000000"/>
          <w:spacing w:val="0"/>
          <w:w w:val="100"/>
          <w:position w:val="0"/>
          <w:sz w:val="22"/>
          <w:szCs w:val="22"/>
        </w:rPr>
        <w:t>对于产品维护及技术培训服务，合同包含提供技术培训、质保期内对产品进行维护的履 约义务，属于在某一时段内履行履约义务。在提供劳务交易的结果能够可靠估计的情况下， 本集团在该段时间内按照完工百分比确认收入，完工进度不能合理确定的除外。</w:t>
      </w:r>
    </w:p>
    <w:p>
      <w:pPr>
        <w:pStyle w:val="Style11"/>
        <w:keepNext w:val="0"/>
        <w:keepLines w:val="0"/>
        <w:widowControl w:val="0"/>
        <w:numPr>
          <w:ilvl w:val="0"/>
          <w:numId w:val="77"/>
        </w:numPr>
        <w:shd w:val="clear" w:color="auto" w:fill="auto"/>
        <w:bidi w:val="0"/>
        <w:spacing w:before="0" w:after="120" w:line="312" w:lineRule="exact"/>
        <w:ind w:left="0" w:right="0" w:firstLine="500"/>
        <w:jc w:val="both"/>
        <w:rPr>
          <w:sz w:val="22"/>
          <w:szCs w:val="22"/>
        </w:rPr>
      </w:pPr>
      <w:bookmarkStart w:id="1054" w:name="bookmark1054"/>
      <w:bookmarkEnd w:id="1054"/>
      <w:r>
        <w:rPr>
          <w:color w:val="000000"/>
          <w:spacing w:val="0"/>
          <w:w w:val="100"/>
          <w:position w:val="0"/>
          <w:sz w:val="22"/>
          <w:szCs w:val="22"/>
        </w:rPr>
        <w:t>经销模式收入确认政策</w:t>
      </w:r>
    </w:p>
    <w:p>
      <w:pPr>
        <w:pStyle w:val="Style11"/>
        <w:keepNext w:val="0"/>
        <w:keepLines w:val="0"/>
        <w:widowControl w:val="0"/>
        <w:shd w:val="clear" w:color="auto" w:fill="auto"/>
        <w:bidi w:val="0"/>
        <w:spacing w:before="0" w:after="0" w:line="302" w:lineRule="exact"/>
        <w:ind w:left="0" w:right="0" w:firstLine="500"/>
        <w:jc w:val="both"/>
        <w:rPr>
          <w:sz w:val="22"/>
          <w:szCs w:val="22"/>
        </w:rPr>
      </w:pPr>
      <w:r>
        <w:rPr>
          <w:color w:val="000000"/>
          <w:spacing w:val="0"/>
          <w:w w:val="100"/>
          <w:position w:val="0"/>
          <w:sz w:val="22"/>
          <w:szCs w:val="22"/>
        </w:rPr>
        <w:t>经销模式下，本集团产品在交付经销商或经其验收合格后，产品的所有权相关的风险和 报酬已经转移时确认收入。</w:t>
      </w:r>
    </w:p>
    <w:p>
      <w:pPr>
        <w:pStyle w:val="Style11"/>
        <w:keepNext w:val="0"/>
        <w:keepLines w:val="0"/>
        <w:widowControl w:val="0"/>
        <w:shd w:val="clear" w:color="auto" w:fill="auto"/>
        <w:bidi w:val="0"/>
        <w:spacing w:before="0" w:after="200" w:line="302" w:lineRule="exact"/>
        <w:ind w:left="0" w:right="0" w:firstLine="500"/>
        <w:jc w:val="both"/>
        <w:rPr>
          <w:sz w:val="22"/>
          <w:szCs w:val="22"/>
        </w:rPr>
      </w:pPr>
      <w:r>
        <w:rPr>
          <w:b/>
          <w:bCs/>
          <w:color w:val="000000"/>
          <w:spacing w:val="0"/>
          <w:w w:val="100"/>
          <w:position w:val="0"/>
          <w:sz w:val="22"/>
          <w:szCs w:val="22"/>
        </w:rPr>
        <w:t>铁路与轨道交通板块</w:t>
      </w:r>
    </w:p>
    <w:p>
      <w:pPr>
        <w:pStyle w:val="Style11"/>
        <w:keepNext w:val="0"/>
        <w:keepLines w:val="0"/>
        <w:widowControl w:val="0"/>
        <w:shd w:val="clear" w:color="auto" w:fill="auto"/>
        <w:bidi w:val="0"/>
        <w:spacing w:before="0" w:after="120" w:line="307" w:lineRule="exact"/>
        <w:ind w:left="0" w:right="0" w:firstLine="500"/>
        <w:jc w:val="both"/>
        <w:rPr>
          <w:sz w:val="22"/>
          <w:szCs w:val="22"/>
        </w:rPr>
      </w:pPr>
      <w:r>
        <w:rPr>
          <w:color w:val="000000"/>
          <w:spacing w:val="0"/>
          <w:w w:val="100"/>
          <w:position w:val="0"/>
          <w:sz w:val="22"/>
          <w:szCs w:val="22"/>
        </w:rPr>
        <w:t>对于牵引供电装备产品销售业务，属于在某一时点履行履约义务，在交付产品并取得客 户签收回执时确认。</w:t>
      </w:r>
    </w:p>
    <w:p>
      <w:pPr>
        <w:pStyle w:val="Style11"/>
        <w:keepNext w:val="0"/>
        <w:keepLines w:val="0"/>
        <w:widowControl w:val="0"/>
        <w:shd w:val="clear" w:color="auto" w:fill="auto"/>
        <w:bidi w:val="0"/>
        <w:spacing w:before="0" w:after="0" w:line="312" w:lineRule="exact"/>
        <w:ind w:left="0" w:right="0" w:firstLine="500"/>
        <w:jc w:val="both"/>
        <w:rPr>
          <w:sz w:val="22"/>
          <w:szCs w:val="22"/>
        </w:rPr>
      </w:pPr>
      <w:r>
        <w:rPr>
          <w:color w:val="000000"/>
          <w:spacing w:val="0"/>
          <w:w w:val="100"/>
          <w:position w:val="0"/>
          <w:sz w:val="22"/>
          <w:szCs w:val="22"/>
        </w:rPr>
        <w:t>对于新能源工程业务和其他劳务服务业务，在服务期间内按照履约进度确认收入，对不 满足某一时段内履行的履约义务，本公司将其变更为在客户取得相关商品控制权时点确认收 入。</w:t>
      </w:r>
    </w:p>
    <w:p>
      <w:pPr>
        <w:pStyle w:val="Style11"/>
        <w:keepNext w:val="0"/>
        <w:keepLines w:val="0"/>
        <w:widowControl w:val="0"/>
        <w:shd w:val="clear" w:color="auto" w:fill="auto"/>
        <w:bidi w:val="0"/>
        <w:spacing w:before="0" w:after="200" w:line="312" w:lineRule="exact"/>
        <w:ind w:left="0" w:right="0" w:firstLine="500"/>
        <w:jc w:val="both"/>
        <w:rPr>
          <w:sz w:val="22"/>
          <w:szCs w:val="22"/>
        </w:rPr>
      </w:pPr>
      <w:r>
        <w:rPr>
          <w:b/>
          <w:bCs/>
          <w:color w:val="000000"/>
          <w:spacing w:val="0"/>
          <w:w w:val="100"/>
          <w:position w:val="0"/>
          <w:sz w:val="22"/>
          <w:szCs w:val="22"/>
        </w:rPr>
        <w:t>军工板块</w:t>
      </w:r>
    </w:p>
    <w:p>
      <w:pPr>
        <w:pStyle w:val="Style11"/>
        <w:keepNext w:val="0"/>
        <w:keepLines w:val="0"/>
        <w:widowControl w:val="0"/>
        <w:shd w:val="clear" w:color="auto" w:fill="auto"/>
        <w:bidi w:val="0"/>
        <w:spacing w:before="0" w:after="0" w:line="312" w:lineRule="exact"/>
        <w:ind w:left="0" w:right="0" w:firstLine="500"/>
        <w:jc w:val="both"/>
        <w:rPr>
          <w:sz w:val="22"/>
          <w:szCs w:val="22"/>
        </w:rPr>
      </w:pPr>
      <w:r>
        <w:rPr>
          <w:color w:val="000000"/>
          <w:spacing w:val="0"/>
          <w:w w:val="100"/>
          <w:position w:val="0"/>
          <w:sz w:val="22"/>
          <w:szCs w:val="22"/>
        </w:rPr>
        <w:t>属于在某一时点履行履约义务，向客户发货或提交相应服务成果，并取得客户确认后确 认收入。</w:t>
      </w:r>
    </w:p>
    <w:p>
      <w:pPr>
        <w:pStyle w:val="Style11"/>
        <w:keepNext w:val="0"/>
        <w:keepLines w:val="0"/>
        <w:widowControl w:val="0"/>
        <w:shd w:val="clear" w:color="auto" w:fill="auto"/>
        <w:bidi w:val="0"/>
        <w:spacing w:before="0" w:after="200" w:line="312" w:lineRule="exact"/>
        <w:ind w:left="0" w:right="0" w:firstLine="500"/>
        <w:jc w:val="both"/>
        <w:rPr>
          <w:sz w:val="22"/>
          <w:szCs w:val="22"/>
        </w:rPr>
      </w:pPr>
      <w:r>
        <w:rPr>
          <w:b/>
          <w:bCs/>
          <w:color w:val="000000"/>
          <w:spacing w:val="0"/>
          <w:w w:val="100"/>
          <w:position w:val="0"/>
          <w:sz w:val="22"/>
          <w:szCs w:val="22"/>
        </w:rPr>
        <w:t>新能源发电板块</w:t>
      </w:r>
    </w:p>
    <w:p>
      <w:pPr>
        <w:pStyle w:val="Style11"/>
        <w:keepNext w:val="0"/>
        <w:keepLines w:val="0"/>
        <w:widowControl w:val="0"/>
        <w:shd w:val="clear" w:color="auto" w:fill="auto"/>
        <w:bidi w:val="0"/>
        <w:spacing w:before="0" w:after="560" w:line="313" w:lineRule="exact"/>
        <w:ind w:left="0" w:right="0" w:firstLine="500"/>
        <w:jc w:val="both"/>
        <w:rPr>
          <w:sz w:val="22"/>
          <w:szCs w:val="22"/>
        </w:rPr>
      </w:pPr>
      <w:r>
        <w:rPr>
          <w:color w:val="000000"/>
          <w:spacing w:val="0"/>
          <w:w w:val="100"/>
          <w:position w:val="0"/>
          <w:sz w:val="22"/>
          <w:szCs w:val="22"/>
        </w:rPr>
        <w:t>本公司新能源电站的开发建设采用项目公司运作。新能源电站发电业务的会计核算主要 涉及前期开发阶段、建设阶段及运营发电阶段。其中，前期开发阶段发生的费用支出计入当 期费用；建设阶段发生的费用支出作为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在建工程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进行归集核算，竣工结算完成转入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固定资 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；电站投入运营之后，收入确认原则为：每月月底按当地供电局出具的电费结算单中的抄 表电量数额及批复的电价确认电费收入。</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同类业务采用不同经营模式导致收入确认会计政策存在差异的情况</w:t>
      </w:r>
    </w:p>
    <w:p>
      <w:pPr>
        <w:pStyle w:val="Style31"/>
        <w:keepNext/>
        <w:keepLines/>
        <w:widowControl w:val="0"/>
        <w:shd w:val="clear" w:color="auto" w:fill="auto"/>
        <w:bidi w:val="0"/>
        <w:spacing w:before="0" w:after="32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3</w:t>
      </w:r>
      <w:bookmarkEnd w:id="1057"/>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055"/>
      <w:bookmarkEnd w:id="1056"/>
      <w:bookmarkEnd w:id="1058"/>
    </w:p>
    <w:p>
      <w:pPr>
        <w:pStyle w:val="Style11"/>
        <w:keepNext w:val="0"/>
        <w:keepLines w:val="0"/>
        <w:widowControl w:val="0"/>
        <w:shd w:val="clear" w:color="auto" w:fill="auto"/>
        <w:bidi w:val="0"/>
        <w:spacing w:before="0" w:after="200" w:line="311" w:lineRule="exact"/>
        <w:ind w:left="0" w:right="0" w:firstLine="500"/>
        <w:jc w:val="left"/>
        <w:rPr>
          <w:sz w:val="22"/>
          <w:szCs w:val="22"/>
        </w:rPr>
      </w:pPr>
      <w:r>
        <w:rPr>
          <w:color w:val="000000"/>
          <w:spacing w:val="0"/>
          <w:w w:val="100"/>
          <w:position w:val="0"/>
          <w:sz w:val="22"/>
          <w:szCs w:val="22"/>
        </w:rPr>
        <w:t>政府补助在满足政府补助所附条件并能够收到时确认。</w:t>
      </w:r>
    </w:p>
    <w:p>
      <w:pPr>
        <w:pStyle w:val="Style11"/>
        <w:keepNext w:val="0"/>
        <w:keepLines w:val="0"/>
        <w:widowControl w:val="0"/>
        <w:shd w:val="clear" w:color="auto" w:fill="auto"/>
        <w:bidi w:val="0"/>
        <w:spacing w:before="0" w:after="200" w:line="317" w:lineRule="exact"/>
        <w:ind w:left="0" w:right="0" w:firstLine="500"/>
        <w:jc w:val="both"/>
        <w:rPr>
          <w:sz w:val="22"/>
          <w:szCs w:val="22"/>
        </w:rPr>
      </w:pPr>
      <w:r>
        <w:rPr>
          <w:color w:val="000000"/>
          <w:spacing w:val="0"/>
          <w:w w:val="100"/>
          <w:position w:val="0"/>
          <w:sz w:val="22"/>
          <w:szCs w:val="22"/>
        </w:rPr>
        <w:t>对于货币性资产的政府补助，按照收到或应收的金额计量。对于非货币性资产的政府补 助，按照公允价值计量；公允价值不能够可靠取得的，按照名义金额</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元计量。</w:t>
      </w:r>
    </w:p>
    <w:p>
      <w:pPr>
        <w:pStyle w:val="Style11"/>
        <w:keepNext w:val="0"/>
        <w:keepLines w:val="0"/>
        <w:widowControl w:val="0"/>
        <w:shd w:val="clear" w:color="auto" w:fill="auto"/>
        <w:bidi w:val="0"/>
        <w:spacing w:before="0" w:after="200" w:line="307" w:lineRule="exact"/>
        <w:ind w:left="0" w:right="0" w:firstLine="500"/>
        <w:jc w:val="both"/>
        <w:rPr>
          <w:sz w:val="22"/>
          <w:szCs w:val="22"/>
        </w:rPr>
      </w:pPr>
      <w:r>
        <w:rPr>
          <w:color w:val="000000"/>
          <w:spacing w:val="0"/>
          <w:w w:val="100"/>
          <w:position w:val="0"/>
          <w:sz w:val="22"/>
          <w:szCs w:val="22"/>
        </w:rPr>
        <w:t>与资产相关的政府补助，是指本集团取得的、用于购建或以其他方式形成长期资产的政 府补助；除此之外，作为与收益相关的政府补助。</w:t>
      </w:r>
    </w:p>
    <w:p>
      <w:pPr>
        <w:pStyle w:val="Style11"/>
        <w:keepNext w:val="0"/>
        <w:keepLines w:val="0"/>
        <w:widowControl w:val="0"/>
        <w:shd w:val="clear" w:color="auto" w:fill="auto"/>
        <w:bidi w:val="0"/>
        <w:spacing w:before="0" w:after="200" w:line="312" w:lineRule="exact"/>
        <w:ind w:left="0" w:right="0" w:firstLine="500"/>
        <w:jc w:val="both"/>
        <w:rPr>
          <w:sz w:val="22"/>
          <w:szCs w:val="22"/>
        </w:rPr>
      </w:pPr>
      <w:r>
        <w:rPr>
          <w:color w:val="000000"/>
          <w:spacing w:val="0"/>
          <w:w w:val="100"/>
          <w:position w:val="0"/>
          <w:sz w:val="22"/>
          <w:szCs w:val="22"/>
        </w:rPr>
        <w:t>对于政府文件未明确规定补助对象的，能够形成长期资产的，与资产价值相对应的政府 补助部分作为与资产相关的政府补助，其余部分作为与收益相关的政府补助；难以区分的， 将政府补助整体作为与收益相关的政府补助。</w:t>
      </w:r>
    </w:p>
    <w:p>
      <w:pPr>
        <w:pStyle w:val="Style11"/>
        <w:keepNext w:val="0"/>
        <w:keepLines w:val="0"/>
        <w:widowControl w:val="0"/>
        <w:shd w:val="clear" w:color="auto" w:fill="auto"/>
        <w:bidi w:val="0"/>
        <w:spacing w:before="0" w:after="200" w:line="310" w:lineRule="exact"/>
        <w:ind w:left="0" w:right="0" w:firstLine="500"/>
        <w:jc w:val="both"/>
        <w:rPr>
          <w:sz w:val="22"/>
          <w:szCs w:val="22"/>
        </w:rPr>
      </w:pPr>
      <w:r>
        <w:rPr>
          <w:color w:val="000000"/>
          <w:spacing w:val="0"/>
          <w:w w:val="100"/>
          <w:position w:val="0"/>
          <w:sz w:val="22"/>
          <w:szCs w:val="22"/>
        </w:rPr>
        <w:t xml:space="preserve">与资产相关的政府补助确认为递延收益在相关资产使用期限内按照合理、系统的方法分 期计入损益。与收益相关的政府补助，用于补偿已发生的相关成本费用或损失的，计入当期 损益或冲减相关成本；用于补偿以后期间的相关成本费用或损失的，则计入递延收益，于相 </w:t>
      </w:r>
      <w:r>
        <w:rPr>
          <w:color w:val="000000"/>
          <w:spacing w:val="0"/>
          <w:w w:val="100"/>
          <w:position w:val="0"/>
          <w:sz w:val="22"/>
          <w:szCs w:val="22"/>
        </w:rPr>
        <w:t>关成本费用或损失确认期间计入当期损益或冲减相关成本。按照名义金额计量的政府补助， 直接计入当期损益。本集团对相同或类似的政府补助业务，采用一致的方法处理。</w:t>
      </w:r>
    </w:p>
    <w:p>
      <w:pPr>
        <w:pStyle w:val="Style11"/>
        <w:keepNext w:val="0"/>
        <w:keepLines w:val="0"/>
        <w:widowControl w:val="0"/>
        <w:shd w:val="clear" w:color="auto" w:fill="auto"/>
        <w:bidi w:val="0"/>
        <w:spacing w:before="0" w:after="200" w:line="317" w:lineRule="exact"/>
        <w:ind w:left="0" w:right="0" w:firstLine="500"/>
        <w:jc w:val="both"/>
        <w:rPr>
          <w:sz w:val="22"/>
          <w:szCs w:val="22"/>
        </w:rPr>
      </w:pPr>
      <w:r>
        <w:rPr>
          <w:color w:val="000000"/>
          <w:spacing w:val="0"/>
          <w:w w:val="100"/>
          <w:position w:val="0"/>
          <w:sz w:val="22"/>
          <w:szCs w:val="22"/>
        </w:rPr>
        <w:t>与日常活动相关的政府补助，按照经济业务实质，计入其他收益或冲减相关成本费用。 与日常活动无关的政府补助，计入营业外收支。</w:t>
      </w:r>
    </w:p>
    <w:p>
      <w:pPr>
        <w:pStyle w:val="Style11"/>
        <w:keepNext w:val="0"/>
        <w:keepLines w:val="0"/>
        <w:widowControl w:val="0"/>
        <w:shd w:val="clear" w:color="auto" w:fill="auto"/>
        <w:bidi w:val="0"/>
        <w:spacing w:before="0" w:after="880" w:line="314" w:lineRule="exact"/>
        <w:ind w:left="0" w:right="0" w:firstLine="500"/>
        <w:jc w:val="both"/>
        <w:rPr>
          <w:sz w:val="22"/>
          <w:szCs w:val="22"/>
        </w:rPr>
      </w:pPr>
      <w:r>
        <w:rPr>
          <w:color w:val="000000"/>
          <w:spacing w:val="0"/>
          <w:w w:val="100"/>
          <w:position w:val="0"/>
          <w:sz w:val="22"/>
          <w:szCs w:val="22"/>
        </w:rPr>
        <w:t>已确认的政府补助需要返还时，初始确认时冲减相关资产账面价值的，调整资产账面价 值；存在相关递延收益余额的，冲减相关递延收益账面余额，超出部分计入当期损益；属于 其他情况的，直接计入当期损益。</w:t>
      </w:r>
    </w:p>
    <w:p>
      <w:pPr>
        <w:pStyle w:val="Style31"/>
        <w:keepNext/>
        <w:keepLines/>
        <w:widowControl w:val="0"/>
        <w:shd w:val="clear" w:color="auto" w:fill="auto"/>
        <w:bidi w:val="0"/>
        <w:spacing w:before="0" w:after="30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w:t>
      </w:r>
      <w:bookmarkEnd w:id="1061"/>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59"/>
      <w:bookmarkEnd w:id="1060"/>
      <w:bookmarkEnd w:id="1062"/>
    </w:p>
    <w:p>
      <w:pPr>
        <w:pStyle w:val="Style11"/>
        <w:keepNext w:val="0"/>
        <w:keepLines w:val="0"/>
        <w:widowControl w:val="0"/>
        <w:shd w:val="clear" w:color="auto" w:fill="auto"/>
        <w:bidi w:val="0"/>
        <w:spacing w:before="0" w:after="200" w:line="312" w:lineRule="exact"/>
        <w:ind w:left="0" w:right="0" w:firstLine="500"/>
        <w:jc w:val="both"/>
        <w:rPr>
          <w:sz w:val="22"/>
          <w:szCs w:val="22"/>
        </w:rPr>
      </w:pPr>
      <w:r>
        <w:rPr>
          <w:color w:val="000000"/>
          <w:spacing w:val="0"/>
          <w:w w:val="100"/>
          <w:position w:val="0"/>
          <w:sz w:val="22"/>
          <w:szCs w:val="22"/>
        </w:rPr>
        <w:t>所得税包括当期所得税和递延所得税。除由于企业合并产生的调整商誉，或与直接计入 所有者权益的交易或者事项相关的递延所得税计入所有者权益外，均作为所得税费用计入当 期损益。</w:t>
      </w:r>
    </w:p>
    <w:p>
      <w:pPr>
        <w:pStyle w:val="Style11"/>
        <w:keepNext w:val="0"/>
        <w:keepLines w:val="0"/>
        <w:widowControl w:val="0"/>
        <w:shd w:val="clear" w:color="auto" w:fill="auto"/>
        <w:bidi w:val="0"/>
        <w:spacing w:before="0" w:after="200" w:line="317" w:lineRule="exact"/>
        <w:ind w:left="0" w:right="0" w:firstLine="500"/>
        <w:jc w:val="both"/>
        <w:rPr>
          <w:sz w:val="22"/>
          <w:szCs w:val="22"/>
        </w:rPr>
      </w:pPr>
      <w:r>
        <w:rPr>
          <w:color w:val="000000"/>
          <w:spacing w:val="0"/>
          <w:w w:val="100"/>
          <w:position w:val="0"/>
          <w:sz w:val="22"/>
          <w:szCs w:val="22"/>
        </w:rPr>
        <w:t>本集团根据资产、负债于资产负债表日的账面价值与计税基础之间的暂时性差异，采用 资产负债表债务法确认递延所得税。</w:t>
      </w:r>
    </w:p>
    <w:p>
      <w:pPr>
        <w:pStyle w:val="Style11"/>
        <w:keepNext w:val="0"/>
        <w:keepLines w:val="0"/>
        <w:widowControl w:val="0"/>
        <w:shd w:val="clear" w:color="auto" w:fill="auto"/>
        <w:bidi w:val="0"/>
        <w:spacing w:before="0" w:after="200" w:line="317" w:lineRule="exact"/>
        <w:ind w:left="0" w:right="0" w:firstLine="500"/>
        <w:jc w:val="both"/>
        <w:rPr>
          <w:sz w:val="22"/>
          <w:szCs w:val="22"/>
        </w:rPr>
      </w:pPr>
      <w:r>
        <w:rPr>
          <w:color w:val="000000"/>
          <w:spacing w:val="0"/>
          <w:w w:val="100"/>
          <w:position w:val="0"/>
          <w:sz w:val="22"/>
          <w:szCs w:val="22"/>
        </w:rPr>
        <w:t>各项应纳税暂时性差异均确认相关的递延所得税负债，除非该应纳税暂时性差异是在以 下交易中产生的：</w:t>
      </w:r>
    </w:p>
    <w:p>
      <w:pPr>
        <w:pStyle w:val="Style11"/>
        <w:keepNext w:val="0"/>
        <w:keepLines w:val="0"/>
        <w:widowControl w:val="0"/>
        <w:shd w:val="clear" w:color="auto" w:fill="auto"/>
        <w:tabs>
          <w:tab w:pos="1114" w:val="left"/>
        </w:tabs>
        <w:bidi w:val="0"/>
        <w:spacing w:before="0" w:after="200" w:line="302" w:lineRule="exact"/>
        <w:ind w:left="0" w:right="0" w:firstLine="500"/>
        <w:jc w:val="both"/>
        <w:rPr>
          <w:sz w:val="22"/>
          <w:szCs w:val="22"/>
        </w:rPr>
      </w:pPr>
      <w:bookmarkStart w:id="1063" w:name="bookmark1063"/>
      <w:r>
        <w:rPr>
          <w:color w:val="000000"/>
          <w:spacing w:val="0"/>
          <w:w w:val="100"/>
          <w:position w:val="0"/>
          <w:sz w:val="22"/>
          <w:szCs w:val="22"/>
        </w:rPr>
        <w:t>（</w:t>
      </w:r>
      <w:bookmarkEnd w:id="106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商誉的初始确认，或者具有以下特征的交易中产生的资产或负债的初始确认：该交 易不是企业合并，并且交易发生时既不影响会计利润也不影响应纳税所得额；</w:t>
      </w:r>
    </w:p>
    <w:p>
      <w:pPr>
        <w:pStyle w:val="Style11"/>
        <w:keepNext w:val="0"/>
        <w:keepLines w:val="0"/>
        <w:widowControl w:val="0"/>
        <w:shd w:val="clear" w:color="auto" w:fill="auto"/>
        <w:tabs>
          <w:tab w:pos="1129" w:val="left"/>
        </w:tabs>
        <w:bidi w:val="0"/>
        <w:spacing w:before="0" w:after="200" w:line="331" w:lineRule="exact"/>
        <w:ind w:left="0" w:right="0" w:firstLine="500"/>
        <w:jc w:val="both"/>
        <w:rPr>
          <w:sz w:val="22"/>
          <w:szCs w:val="22"/>
        </w:rPr>
      </w:pPr>
      <w:bookmarkStart w:id="1064" w:name="bookmark1064"/>
      <w:r>
        <w:rPr>
          <w:color w:val="000000"/>
          <w:spacing w:val="0"/>
          <w:w w:val="100"/>
          <w:position w:val="0"/>
          <w:sz w:val="22"/>
          <w:szCs w:val="22"/>
        </w:rPr>
        <w:t>（</w:t>
      </w:r>
      <w:bookmarkEnd w:id="106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对于与子公司、合营企业及联营企业投资相关的应纳税暂时性差异，该暂时性差异 转回的时间能够控制并且该暂时性差异在可预见的未来很可能不会转回。</w:t>
      </w:r>
    </w:p>
    <w:p>
      <w:pPr>
        <w:pStyle w:val="Style11"/>
        <w:keepNext w:val="0"/>
        <w:keepLines w:val="0"/>
        <w:widowControl w:val="0"/>
        <w:shd w:val="clear" w:color="auto" w:fill="auto"/>
        <w:bidi w:val="0"/>
        <w:spacing w:before="0" w:after="200" w:line="310" w:lineRule="exact"/>
        <w:ind w:left="0" w:right="0" w:firstLine="500"/>
        <w:jc w:val="both"/>
        <w:rPr>
          <w:sz w:val="22"/>
          <w:szCs w:val="22"/>
        </w:rPr>
      </w:pPr>
      <w:r>
        <w:rPr>
          <w:color w:val="000000"/>
          <w:spacing w:val="0"/>
          <w:w w:val="100"/>
          <w:position w:val="0"/>
          <w:sz w:val="22"/>
          <w:szCs w:val="22"/>
        </w:rPr>
        <w:t>对于可抵扣暂时性差异、能够结转以后年度的可抵扣亏损和税款抵减，本集团以很可能 取得用来抵扣可抵扣暂时性差异、可抵扣亏损和税款抵减的未来应纳税所得额为限，确认由 此产生的递延所得税资产，除非该可抵扣暂时性差异是在以下交易中产生的：</w:t>
      </w:r>
    </w:p>
    <w:p>
      <w:pPr>
        <w:pStyle w:val="Style11"/>
        <w:keepNext w:val="0"/>
        <w:keepLines w:val="0"/>
        <w:widowControl w:val="0"/>
        <w:shd w:val="clear" w:color="auto" w:fill="auto"/>
        <w:tabs>
          <w:tab w:pos="1033" w:val="left"/>
        </w:tabs>
        <w:bidi w:val="0"/>
        <w:spacing w:before="0" w:after="200" w:line="312" w:lineRule="exact"/>
        <w:ind w:left="0" w:right="0" w:firstLine="500"/>
        <w:jc w:val="both"/>
        <w:rPr>
          <w:sz w:val="22"/>
          <w:szCs w:val="22"/>
        </w:rPr>
      </w:pPr>
      <w:bookmarkStart w:id="1065" w:name="bookmark1065"/>
      <w:r>
        <w:rPr>
          <w:color w:val="000000"/>
          <w:spacing w:val="0"/>
          <w:w w:val="100"/>
          <w:position w:val="0"/>
          <w:sz w:val="22"/>
          <w:szCs w:val="22"/>
        </w:rPr>
        <w:t>（</w:t>
      </w:r>
      <w:bookmarkEnd w:id="106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该交易不是企业合并，并且交易发生时既不影响会计利润也不影响应纳税所得额；</w:t>
      </w:r>
    </w:p>
    <w:p>
      <w:pPr>
        <w:pStyle w:val="Style11"/>
        <w:keepNext w:val="0"/>
        <w:keepLines w:val="0"/>
        <w:widowControl w:val="0"/>
        <w:shd w:val="clear" w:color="auto" w:fill="auto"/>
        <w:tabs>
          <w:tab w:pos="1124" w:val="left"/>
        </w:tabs>
        <w:bidi w:val="0"/>
        <w:spacing w:before="0" w:after="200" w:line="319" w:lineRule="exact"/>
        <w:ind w:left="0" w:right="0" w:firstLine="500"/>
        <w:jc w:val="both"/>
        <w:rPr>
          <w:sz w:val="22"/>
          <w:szCs w:val="22"/>
        </w:rPr>
      </w:pPr>
      <w:bookmarkStart w:id="1066" w:name="bookmark1066"/>
      <w:r>
        <w:rPr>
          <w:color w:val="000000"/>
          <w:spacing w:val="0"/>
          <w:w w:val="100"/>
          <w:position w:val="0"/>
          <w:sz w:val="22"/>
          <w:szCs w:val="22"/>
        </w:rPr>
        <w:t>（</w:t>
      </w:r>
      <w:bookmarkEnd w:id="106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对于与子公司、合营企业及联营企业投资相关的可抵扣暂时性差异，同时满足下列 条件的，确认相应的递延所得税资产：暂时性差异在可预见的未来很可能转回，且未来很可 能获得用来抵扣可抵扣暂时性差异的应纳税所得额。</w:t>
      </w:r>
    </w:p>
    <w:p>
      <w:pPr>
        <w:pStyle w:val="Style11"/>
        <w:keepNext w:val="0"/>
        <w:keepLines w:val="0"/>
        <w:widowControl w:val="0"/>
        <w:shd w:val="clear" w:color="auto" w:fill="auto"/>
        <w:bidi w:val="0"/>
        <w:spacing w:before="0" w:after="200" w:line="312" w:lineRule="exact"/>
        <w:ind w:left="0" w:right="0" w:firstLine="500"/>
        <w:jc w:val="both"/>
        <w:rPr>
          <w:sz w:val="22"/>
          <w:szCs w:val="22"/>
        </w:rPr>
      </w:pPr>
      <w:r>
        <w:rPr>
          <w:color w:val="000000"/>
          <w:spacing w:val="0"/>
          <w:w w:val="100"/>
          <w:position w:val="0"/>
          <w:sz w:val="22"/>
          <w:szCs w:val="22"/>
        </w:rPr>
        <w:t>于资产负债表日，本集团对递延所得税资产和递延所得税负债，按照预期收回该资产或 清偿该负债期间的适用税率计量，并反映资产负债表日预期收回资产或清偿负债方式的所得 税影响。</w:t>
      </w:r>
    </w:p>
    <w:p>
      <w:pPr>
        <w:pStyle w:val="Style11"/>
        <w:keepNext w:val="0"/>
        <w:keepLines w:val="0"/>
        <w:widowControl w:val="0"/>
        <w:shd w:val="clear" w:color="auto" w:fill="auto"/>
        <w:bidi w:val="0"/>
        <w:spacing w:before="0" w:after="200" w:line="312" w:lineRule="exact"/>
        <w:ind w:left="0" w:right="0" w:firstLine="0"/>
        <w:jc w:val="left"/>
        <w:rPr>
          <w:sz w:val="22"/>
          <w:szCs w:val="22"/>
        </w:rPr>
      </w:pPr>
      <w:r>
        <w:rPr>
          <w:color w:val="000000"/>
          <w:spacing w:val="0"/>
          <w:w w:val="100"/>
          <w:position w:val="0"/>
          <w:sz w:val="22"/>
          <w:szCs w:val="22"/>
        </w:rPr>
        <w:t>于资产负债表日，本集团对递延所得税资产的账面价值进行复核。如果未来期间很可能无法 获得足够的应纳税所得额用以抵扣递延所得税资产的利益，减记递延所得税资产的账面价值。 在很可能获得足够的应纳税所得额时，减记的金额予以转回。</w:t>
      </w:r>
    </w:p>
    <w:p>
      <w:pPr>
        <w:pStyle w:val="Style31"/>
        <w:keepNext/>
        <w:keepLines/>
        <w:widowControl w:val="0"/>
        <w:shd w:val="clear" w:color="auto" w:fill="auto"/>
        <w:bidi w:val="0"/>
        <w:spacing w:before="0" w:after="320" w:line="240" w:lineRule="auto"/>
        <w:ind w:left="0" w:right="0" w:firstLine="0"/>
        <w:jc w:val="left"/>
      </w:pPr>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36</w:t>
      </w:r>
      <w:r>
        <w:rPr>
          <w:color w:val="000000"/>
          <w:spacing w:val="0"/>
          <w:w w:val="100"/>
          <w:position w:val="0"/>
        </w:rPr>
        <w:t>、租赁</w:t>
      </w:r>
      <w:bookmarkEnd w:id="1067"/>
      <w:bookmarkEnd w:id="1068"/>
      <w:bookmarkEnd w:id="1069"/>
    </w:p>
    <w:p>
      <w:pPr>
        <w:pStyle w:val="Style11"/>
        <w:keepNext w:val="0"/>
        <w:keepLines w:val="0"/>
        <w:widowControl w:val="0"/>
        <w:shd w:val="clear" w:color="auto" w:fill="auto"/>
        <w:bidi w:val="0"/>
        <w:spacing w:before="0" w:after="100" w:line="312" w:lineRule="exact"/>
        <w:ind w:left="0" w:right="0" w:firstLine="500"/>
        <w:jc w:val="both"/>
        <w:rPr>
          <w:sz w:val="22"/>
          <w:szCs w:val="22"/>
        </w:rPr>
      </w:pPr>
      <w:r>
        <w:rPr>
          <w:b/>
          <w:bCs/>
          <w:color w:val="000000"/>
          <w:spacing w:val="0"/>
          <w:w w:val="100"/>
          <w:position w:val="0"/>
          <w:sz w:val="22"/>
          <w:szCs w:val="22"/>
        </w:rPr>
        <w:t>自</w:t>
      </w:r>
      <w:r>
        <w:rPr>
          <w:rFonts w:ascii="Times New Roman" w:eastAsia="Times New Roman" w:hAnsi="Times New Roman" w:cs="Times New Roman"/>
          <w:b/>
          <w:bCs/>
          <w:color w:val="000000"/>
          <w:spacing w:val="0"/>
          <w:w w:val="100"/>
          <w:position w:val="0"/>
          <w:sz w:val="24"/>
          <w:szCs w:val="24"/>
        </w:rPr>
        <w:t>2021</w:t>
      </w:r>
      <w:r>
        <w:rPr>
          <w:b/>
          <w:bCs/>
          <w:color w:val="000000"/>
          <w:spacing w:val="0"/>
          <w:w w:val="100"/>
          <w:position w:val="0"/>
          <w:sz w:val="22"/>
          <w:szCs w:val="22"/>
        </w:rPr>
        <w:t>年</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2"/>
          <w:szCs w:val="22"/>
        </w:rPr>
        <w:t>月</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2"/>
          <w:szCs w:val="22"/>
        </w:rPr>
        <w:t>日起适用</w:t>
      </w:r>
    </w:p>
    <w:p>
      <w:pPr>
        <w:pStyle w:val="Style11"/>
        <w:keepNext w:val="0"/>
        <w:keepLines w:val="0"/>
        <w:widowControl w:val="0"/>
        <w:shd w:val="clear" w:color="auto" w:fill="auto"/>
        <w:tabs>
          <w:tab w:pos="1031" w:val="left"/>
        </w:tabs>
        <w:bidi w:val="0"/>
        <w:spacing w:before="0" w:after="100" w:line="312" w:lineRule="exact"/>
        <w:ind w:left="0" w:right="0" w:firstLine="500"/>
        <w:jc w:val="both"/>
        <w:rPr>
          <w:sz w:val="22"/>
          <w:szCs w:val="22"/>
        </w:rPr>
      </w:pPr>
      <w:bookmarkStart w:id="1070" w:name="bookmark1070"/>
      <w:r>
        <w:rPr>
          <w:b/>
          <w:bCs/>
          <w:color w:val="000000"/>
          <w:spacing w:val="0"/>
          <w:w w:val="100"/>
          <w:position w:val="0"/>
          <w:sz w:val="22"/>
          <w:szCs w:val="22"/>
        </w:rPr>
        <w:t>（</w:t>
      </w:r>
      <w:bookmarkEnd w:id="1070"/>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2"/>
          <w:szCs w:val="22"/>
        </w:rPr>
        <w:t>）</w:t>
        <w:tab/>
        <w:t>租赁的识别</w:t>
      </w:r>
    </w:p>
    <w:p>
      <w:pPr>
        <w:pStyle w:val="Style11"/>
        <w:keepNext w:val="0"/>
        <w:keepLines w:val="0"/>
        <w:widowControl w:val="0"/>
        <w:shd w:val="clear" w:color="auto" w:fill="auto"/>
        <w:bidi w:val="0"/>
        <w:spacing w:before="0" w:after="100" w:line="311" w:lineRule="exact"/>
        <w:ind w:left="0" w:right="0" w:firstLine="500"/>
        <w:jc w:val="both"/>
        <w:rPr>
          <w:sz w:val="22"/>
          <w:szCs w:val="22"/>
        </w:rPr>
      </w:pPr>
      <w:r>
        <w:rPr>
          <w:color w:val="000000"/>
          <w:spacing w:val="0"/>
          <w:w w:val="100"/>
          <w:position w:val="0"/>
          <w:sz w:val="22"/>
          <w:szCs w:val="22"/>
        </w:rPr>
        <w:t>在合同开始日，本公司评估合同是否为租赁或者包含租赁，如果合同中一方让渡了在一 定期间内控制一项或多项已识别资产使用的权利以换取对价，则该合同为租赁或者包含租赁。 为确定合同是否让渡了在一定期间内控制已识别资产使用的权利，本公司评估合同中的客户 是否有权获得在使用期间内因使用已识别资产所产生的几乎全部经济利益，并有权在该使用 期间主导已识别资产的使用。</w:t>
      </w:r>
    </w:p>
    <w:p>
      <w:pPr>
        <w:pStyle w:val="Style11"/>
        <w:keepNext w:val="0"/>
        <w:keepLines w:val="0"/>
        <w:widowControl w:val="0"/>
        <w:shd w:val="clear" w:color="auto" w:fill="auto"/>
        <w:tabs>
          <w:tab w:pos="1031" w:val="left"/>
        </w:tabs>
        <w:bidi w:val="0"/>
        <w:spacing w:before="0" w:after="100" w:line="312" w:lineRule="exact"/>
        <w:ind w:left="0" w:right="0" w:firstLine="500"/>
        <w:jc w:val="both"/>
        <w:rPr>
          <w:sz w:val="22"/>
          <w:szCs w:val="22"/>
        </w:rPr>
      </w:pPr>
      <w:bookmarkStart w:id="1071" w:name="bookmark1071"/>
      <w:r>
        <w:rPr>
          <w:b/>
          <w:bCs/>
          <w:color w:val="000000"/>
          <w:spacing w:val="0"/>
          <w:w w:val="100"/>
          <w:position w:val="0"/>
          <w:sz w:val="22"/>
          <w:szCs w:val="22"/>
        </w:rPr>
        <w:t>（</w:t>
      </w:r>
      <w:bookmarkEnd w:id="1071"/>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w:t>
        <w:tab/>
        <w:t>单独租赁的识别</w:t>
      </w:r>
    </w:p>
    <w:p>
      <w:pPr>
        <w:pStyle w:val="Style11"/>
        <w:keepNext w:val="0"/>
        <w:keepLines w:val="0"/>
        <w:widowControl w:val="0"/>
        <w:shd w:val="clear" w:color="auto" w:fill="auto"/>
        <w:bidi w:val="0"/>
        <w:spacing w:before="0" w:after="100" w:line="314" w:lineRule="exact"/>
        <w:ind w:left="0" w:right="0" w:firstLine="500"/>
        <w:jc w:val="both"/>
        <w:rPr>
          <w:sz w:val="22"/>
          <w:szCs w:val="22"/>
        </w:rPr>
      </w:pPr>
      <w:r>
        <w:rPr>
          <w:color w:val="000000"/>
          <w:spacing w:val="0"/>
          <w:w w:val="100"/>
          <w:position w:val="0"/>
          <w:sz w:val="22"/>
          <w:szCs w:val="22"/>
        </w:rPr>
        <w:t>合同中同时包含多项单独租赁的，本公司将合同予以分拆，并分别各项单独租赁进行会 计处理。同时符合下列条件的，使用已识别资产的权利构成合同中的一项单独租赁：①承租 人可从单独使用该资产或将其与易于获得的其他资源一起使用中获利；②该资产与合同中的 其他资产不存在高度依赖或高度关联关系。</w:t>
      </w:r>
    </w:p>
    <w:p>
      <w:pPr>
        <w:pStyle w:val="Style11"/>
        <w:keepNext w:val="0"/>
        <w:keepLines w:val="0"/>
        <w:widowControl w:val="0"/>
        <w:shd w:val="clear" w:color="auto" w:fill="auto"/>
        <w:tabs>
          <w:tab w:pos="1031" w:val="left"/>
        </w:tabs>
        <w:bidi w:val="0"/>
        <w:spacing w:before="0" w:after="100" w:line="312" w:lineRule="exact"/>
        <w:ind w:left="0" w:right="0" w:firstLine="500"/>
        <w:jc w:val="left"/>
        <w:rPr>
          <w:sz w:val="22"/>
          <w:szCs w:val="22"/>
        </w:rPr>
      </w:pPr>
      <w:bookmarkStart w:id="1072" w:name="bookmark1072"/>
      <w:r>
        <w:rPr>
          <w:b/>
          <w:bCs/>
          <w:color w:val="000000"/>
          <w:spacing w:val="0"/>
          <w:w w:val="100"/>
          <w:position w:val="0"/>
          <w:sz w:val="22"/>
          <w:szCs w:val="22"/>
        </w:rPr>
        <w:t>（</w:t>
      </w:r>
      <w:bookmarkEnd w:id="1072"/>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2"/>
          <w:szCs w:val="22"/>
        </w:rPr>
        <w:t>）</w:t>
        <w:tab/>
        <w:t>本公司作为承租人的会计处理方法</w:t>
      </w:r>
    </w:p>
    <w:p>
      <w:pPr>
        <w:pStyle w:val="Style11"/>
        <w:keepNext w:val="0"/>
        <w:keepLines w:val="0"/>
        <w:widowControl w:val="0"/>
        <w:shd w:val="clear" w:color="auto" w:fill="auto"/>
        <w:bidi w:val="0"/>
        <w:spacing w:before="0" w:after="100" w:line="317" w:lineRule="exact"/>
        <w:ind w:left="0" w:right="0" w:firstLine="500"/>
        <w:jc w:val="both"/>
        <w:rPr>
          <w:sz w:val="22"/>
          <w:szCs w:val="22"/>
        </w:rPr>
      </w:pPr>
      <w:r>
        <w:rPr>
          <w:color w:val="000000"/>
          <w:spacing w:val="0"/>
          <w:w w:val="100"/>
          <w:position w:val="0"/>
          <w:sz w:val="22"/>
          <w:szCs w:val="22"/>
        </w:rPr>
        <w:t>在租赁期开始日，本公司将租赁期不超过</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个月，且不包含购买选择权的租赁认定为短 期租赁；将单项租赁资产为全新资产时价值较低的租赁认定为低价值资产租赁。本公司转租 或预期转租租赁资产的，原租赁不认定为低价值资产租赁。</w:t>
      </w:r>
    </w:p>
    <w:p>
      <w:pPr>
        <w:pStyle w:val="Style11"/>
        <w:keepNext w:val="0"/>
        <w:keepLines w:val="0"/>
        <w:widowControl w:val="0"/>
        <w:shd w:val="clear" w:color="auto" w:fill="auto"/>
        <w:bidi w:val="0"/>
        <w:spacing w:before="0" w:after="100" w:line="302" w:lineRule="exact"/>
        <w:ind w:left="0" w:right="0" w:firstLine="500"/>
        <w:jc w:val="both"/>
        <w:rPr>
          <w:sz w:val="22"/>
          <w:szCs w:val="22"/>
        </w:rPr>
      </w:pPr>
      <w:r>
        <w:rPr>
          <w:color w:val="000000"/>
          <w:spacing w:val="0"/>
          <w:w w:val="100"/>
          <w:position w:val="0"/>
          <w:sz w:val="22"/>
          <w:szCs w:val="22"/>
        </w:rPr>
        <w:t>对于所有短期租赁和低价值资产租赁，本公司在租赁期内各个期间按照直线法将租赁付 款额计入相关资产成本或当期损益。</w:t>
      </w:r>
    </w:p>
    <w:p>
      <w:pPr>
        <w:pStyle w:val="Style11"/>
        <w:keepNext w:val="0"/>
        <w:keepLines w:val="0"/>
        <w:widowControl w:val="0"/>
        <w:shd w:val="clear" w:color="auto" w:fill="auto"/>
        <w:bidi w:val="0"/>
        <w:spacing w:before="0" w:after="100" w:line="312" w:lineRule="exact"/>
        <w:ind w:left="0" w:right="0" w:firstLine="500"/>
        <w:jc w:val="both"/>
        <w:rPr>
          <w:sz w:val="22"/>
          <w:szCs w:val="22"/>
        </w:rPr>
      </w:pPr>
      <w:r>
        <w:rPr>
          <w:color w:val="000000"/>
          <w:spacing w:val="0"/>
          <w:w w:val="100"/>
          <w:position w:val="0"/>
          <w:sz w:val="22"/>
          <w:szCs w:val="22"/>
        </w:rPr>
        <w:t>除上述采用简化处理的短期租赁和低价值资产租赁外，在租赁期开始日，公司对租赁确 认使用权资产和租赁负债。</w:t>
      </w:r>
    </w:p>
    <w:p>
      <w:pPr>
        <w:pStyle w:val="Style11"/>
        <w:keepNext w:val="0"/>
        <w:keepLines w:val="0"/>
        <w:widowControl w:val="0"/>
        <w:shd w:val="clear" w:color="auto" w:fill="auto"/>
        <w:bidi w:val="0"/>
        <w:spacing w:before="0" w:after="100" w:line="312" w:lineRule="exact"/>
        <w:ind w:left="0" w:right="0" w:firstLine="500"/>
        <w:jc w:val="left"/>
        <w:rPr>
          <w:sz w:val="22"/>
          <w:szCs w:val="22"/>
        </w:rPr>
      </w:pPr>
      <w:r>
        <w:rPr>
          <w:color w:val="000000"/>
          <w:spacing w:val="0"/>
          <w:w w:val="100"/>
          <w:position w:val="0"/>
          <w:sz w:val="22"/>
          <w:szCs w:val="22"/>
        </w:rPr>
        <w:t>①使用权资产</w:t>
      </w:r>
    </w:p>
    <w:p>
      <w:pPr>
        <w:pStyle w:val="Style11"/>
        <w:keepNext w:val="0"/>
        <w:keepLines w:val="0"/>
        <w:widowControl w:val="0"/>
        <w:shd w:val="clear" w:color="auto" w:fill="auto"/>
        <w:bidi w:val="0"/>
        <w:spacing w:before="0" w:after="100" w:line="312" w:lineRule="exact"/>
        <w:ind w:left="0" w:right="0" w:firstLine="500"/>
        <w:jc w:val="left"/>
        <w:rPr>
          <w:sz w:val="22"/>
          <w:szCs w:val="22"/>
        </w:rPr>
      </w:pPr>
      <w:r>
        <w:rPr>
          <w:color w:val="000000"/>
          <w:spacing w:val="0"/>
          <w:w w:val="100"/>
          <w:position w:val="0"/>
          <w:sz w:val="22"/>
          <w:szCs w:val="22"/>
        </w:rPr>
        <w:t>使用权资产，是指承租人可在租赁期内使用租赁资产的权利。</w:t>
      </w:r>
    </w:p>
    <w:p>
      <w:pPr>
        <w:pStyle w:val="Style11"/>
        <w:keepNext w:val="0"/>
        <w:keepLines w:val="0"/>
        <w:widowControl w:val="0"/>
        <w:shd w:val="clear" w:color="auto" w:fill="auto"/>
        <w:bidi w:val="0"/>
        <w:spacing w:before="0" w:after="100" w:line="312" w:lineRule="exact"/>
        <w:ind w:left="0" w:right="0" w:firstLine="500"/>
        <w:jc w:val="left"/>
        <w:rPr>
          <w:sz w:val="22"/>
          <w:szCs w:val="22"/>
        </w:rPr>
      </w:pPr>
      <w:r>
        <w:rPr>
          <w:color w:val="000000"/>
          <w:spacing w:val="0"/>
          <w:w w:val="100"/>
          <w:position w:val="0"/>
          <w:sz w:val="22"/>
          <w:szCs w:val="22"/>
        </w:rPr>
        <w:t>在租赁期开始日，使用权资产按照成本进行初始计量。该成本包括：</w:t>
      </w:r>
    </w:p>
    <w:p>
      <w:pPr>
        <w:pStyle w:val="Style11"/>
        <w:keepNext w:val="0"/>
        <w:keepLines w:val="0"/>
        <w:widowControl w:val="0"/>
        <w:shd w:val="clear" w:color="auto" w:fill="auto"/>
        <w:bidi w:val="0"/>
        <w:spacing w:before="0" w:after="100" w:line="312" w:lineRule="exact"/>
        <w:ind w:left="0" w:right="0" w:firstLine="500"/>
        <w:jc w:val="both"/>
        <w:rPr>
          <w:sz w:val="22"/>
          <w:szCs w:val="22"/>
        </w:rPr>
      </w:pPr>
      <w:r>
        <w:rPr>
          <w:color w:val="000000"/>
          <w:spacing w:val="0"/>
          <w:w w:val="100"/>
          <w:position w:val="0"/>
          <w:sz w:val="22"/>
          <w:szCs w:val="22"/>
        </w:rPr>
        <w:t>•</w:t>
      </w:r>
      <w:r>
        <w:rPr>
          <w:color w:val="000000"/>
          <w:spacing w:val="0"/>
          <w:w w:val="100"/>
          <w:position w:val="0"/>
          <w:sz w:val="22"/>
          <w:szCs w:val="22"/>
        </w:rPr>
        <w:t>租赁负债的初始计量金额；</w:t>
      </w:r>
    </w:p>
    <w:p>
      <w:pPr>
        <w:pStyle w:val="Style11"/>
        <w:keepNext w:val="0"/>
        <w:keepLines w:val="0"/>
        <w:widowControl w:val="0"/>
        <w:shd w:val="clear" w:color="auto" w:fill="auto"/>
        <w:bidi w:val="0"/>
        <w:spacing w:before="0" w:after="100" w:line="322" w:lineRule="exact"/>
        <w:ind w:left="920" w:right="0" w:hanging="420"/>
        <w:jc w:val="both"/>
        <w:rPr>
          <w:sz w:val="22"/>
          <w:szCs w:val="22"/>
        </w:rPr>
      </w:pPr>
      <w:r>
        <w:rPr>
          <w:color w:val="000000"/>
          <w:spacing w:val="0"/>
          <w:w w:val="100"/>
          <w:position w:val="0"/>
          <w:sz w:val="22"/>
          <w:szCs w:val="22"/>
        </w:rPr>
        <w:t>•</w:t>
      </w:r>
      <w:r>
        <w:rPr>
          <w:color w:val="000000"/>
          <w:spacing w:val="0"/>
          <w:w w:val="100"/>
          <w:position w:val="0"/>
          <w:sz w:val="22"/>
          <w:szCs w:val="22"/>
        </w:rPr>
        <w:t>在租赁期开始日或之前支付的租赁付款额，存在租赁激励的，扣除已享受的租赁激 励相关金额；</w:t>
      </w:r>
    </w:p>
    <w:p>
      <w:pPr>
        <w:pStyle w:val="Style11"/>
        <w:keepNext w:val="0"/>
        <w:keepLines w:val="0"/>
        <w:widowControl w:val="0"/>
        <w:shd w:val="clear" w:color="auto" w:fill="auto"/>
        <w:bidi w:val="0"/>
        <w:spacing w:before="0" w:after="100" w:line="312" w:lineRule="exact"/>
        <w:ind w:left="0" w:right="0" w:firstLine="500"/>
        <w:jc w:val="both"/>
        <w:rPr>
          <w:sz w:val="22"/>
          <w:szCs w:val="22"/>
        </w:rPr>
      </w:pPr>
      <w:r>
        <w:rPr>
          <w:color w:val="000000"/>
          <w:spacing w:val="0"/>
          <w:w w:val="100"/>
          <w:position w:val="0"/>
          <w:sz w:val="22"/>
          <w:szCs w:val="22"/>
        </w:rPr>
        <w:t>•</w:t>
      </w:r>
      <w:r>
        <w:rPr>
          <w:color w:val="000000"/>
          <w:spacing w:val="0"/>
          <w:w w:val="100"/>
          <w:position w:val="0"/>
          <w:sz w:val="22"/>
          <w:szCs w:val="22"/>
        </w:rPr>
        <w:t>承租人发生的初始直接费用；</w:t>
      </w:r>
    </w:p>
    <w:p>
      <w:pPr>
        <w:pStyle w:val="Style11"/>
        <w:keepNext w:val="0"/>
        <w:keepLines w:val="0"/>
        <w:widowControl w:val="0"/>
        <w:shd w:val="clear" w:color="auto" w:fill="auto"/>
        <w:bidi w:val="0"/>
        <w:spacing w:before="0" w:after="100" w:line="312" w:lineRule="exact"/>
        <w:ind w:left="920" w:right="0" w:hanging="420"/>
        <w:jc w:val="both"/>
        <w:rPr>
          <w:sz w:val="22"/>
          <w:szCs w:val="22"/>
        </w:rPr>
      </w:pPr>
      <w:r>
        <w:rPr>
          <w:color w:val="000000"/>
          <w:spacing w:val="0"/>
          <w:w w:val="100"/>
          <w:position w:val="0"/>
          <w:sz w:val="22"/>
          <w:szCs w:val="22"/>
        </w:rPr>
        <w:t>•</w:t>
      </w:r>
      <w:r>
        <w:rPr>
          <w:color w:val="000000"/>
          <w:spacing w:val="0"/>
          <w:w w:val="100"/>
          <w:position w:val="0"/>
          <w:sz w:val="22"/>
          <w:szCs w:val="22"/>
        </w:rPr>
        <w:t>承租人为拆卸及移除租赁资产、复原租赁资产所在场地或将租赁资产恢复至租赁条 款约定状态预计将发生的成本。本公司按照预计负债的确认标准和计量方法对该成 本进行确认和计量，详见本节附注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五、重要会计政策及会计估计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之</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、预计负债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前述成本属于为生产存货而发生的将计入存货成本。</w:t>
      </w:r>
    </w:p>
    <w:p>
      <w:pPr>
        <w:pStyle w:val="Style11"/>
        <w:keepNext w:val="0"/>
        <w:keepLines w:val="0"/>
        <w:widowControl w:val="0"/>
        <w:shd w:val="clear" w:color="auto" w:fill="auto"/>
        <w:bidi w:val="0"/>
        <w:spacing w:before="0" w:after="160" w:line="312" w:lineRule="exact"/>
        <w:ind w:left="0" w:right="0" w:firstLine="500"/>
        <w:jc w:val="both"/>
        <w:rPr>
          <w:sz w:val="22"/>
          <w:szCs w:val="22"/>
        </w:rPr>
      </w:pPr>
      <w:r>
        <w:rPr>
          <w:color w:val="000000"/>
          <w:spacing w:val="0"/>
          <w:w w:val="100"/>
          <w:position w:val="0"/>
          <w:sz w:val="22"/>
          <w:szCs w:val="22"/>
        </w:rPr>
        <w:t>使用权资产折旧采用年限平均法分类计提。对于能合理确定租赁期届满时将会取得租赁 资产所有权的，在租赁资产预计剩余使用寿命内，根据使用权资产类别和预计净残值率确定 折旧率；对于无法合理确定租赁期届满时将会取得租赁资产所有权的，在租赁期与租赁资产 剩余使用寿命两者孰短的期间内，根据使用权资产类别确定折旧率。</w:t>
      </w:r>
    </w:p>
    <w:p>
      <w:pPr>
        <w:pStyle w:val="Style11"/>
        <w:keepNext w:val="0"/>
        <w:keepLines w:val="0"/>
        <w:widowControl w:val="0"/>
        <w:shd w:val="clear" w:color="auto" w:fill="auto"/>
        <w:bidi w:val="0"/>
        <w:spacing w:before="0" w:after="100" w:line="240" w:lineRule="auto"/>
        <w:ind w:left="0" w:right="0" w:firstLine="500"/>
        <w:jc w:val="left"/>
        <w:rPr>
          <w:sz w:val="22"/>
          <w:szCs w:val="22"/>
        </w:rPr>
      </w:pPr>
      <w:r>
        <w:rPr>
          <w:color w:val="000000"/>
          <w:spacing w:val="0"/>
          <w:w w:val="100"/>
          <w:position w:val="0"/>
          <w:sz w:val="22"/>
          <w:szCs w:val="22"/>
        </w:rPr>
        <w:t>②租赁负债</w:t>
      </w:r>
    </w:p>
    <w:p>
      <w:pPr>
        <w:pStyle w:val="Style11"/>
        <w:keepNext w:val="0"/>
        <w:keepLines w:val="0"/>
        <w:widowControl w:val="0"/>
        <w:shd w:val="clear" w:color="auto" w:fill="auto"/>
        <w:bidi w:val="0"/>
        <w:spacing w:before="0" w:after="100" w:line="317" w:lineRule="exact"/>
        <w:ind w:left="0" w:right="0" w:firstLine="500"/>
        <w:jc w:val="both"/>
        <w:rPr>
          <w:sz w:val="24"/>
          <w:szCs w:val="24"/>
        </w:rPr>
      </w:pPr>
      <w:r>
        <w:rPr>
          <w:color w:val="000000"/>
          <w:spacing w:val="0"/>
          <w:w w:val="100"/>
          <w:position w:val="0"/>
          <w:sz w:val="22"/>
          <w:szCs w:val="22"/>
        </w:rPr>
        <w:t>租赁负债应当按照租赁期开始日尚未支付的租赁付款额的现值进行初始计量。租赁付款 额包括以下五项内容</w:t>
      </w:r>
      <w:r>
        <w:rPr>
          <w:color w:val="000000"/>
          <w:spacing w:val="0"/>
          <w:w w:val="100"/>
          <w:position w:val="0"/>
          <w:sz w:val="24"/>
          <w:szCs w:val="24"/>
        </w:rPr>
        <w:t>：</w:t>
      </w:r>
    </w:p>
    <w:p>
      <w:pPr>
        <w:pStyle w:val="Style11"/>
        <w:keepNext w:val="0"/>
        <w:keepLines w:val="0"/>
        <w:widowControl w:val="0"/>
        <w:shd w:val="clear" w:color="auto" w:fill="auto"/>
        <w:bidi w:val="0"/>
        <w:spacing w:before="0" w:after="100" w:line="312" w:lineRule="exact"/>
        <w:ind w:left="0" w:right="0" w:firstLine="500"/>
        <w:jc w:val="left"/>
        <w:rPr>
          <w:sz w:val="22"/>
          <w:szCs w:val="22"/>
        </w:rPr>
      </w:pPr>
      <w:r>
        <w:rPr>
          <w:color w:val="000000"/>
          <w:spacing w:val="0"/>
          <w:w w:val="100"/>
          <w:position w:val="0"/>
          <w:sz w:val="22"/>
          <w:szCs w:val="22"/>
        </w:rPr>
        <w:t>•</w:t>
      </w:r>
      <w:r>
        <w:rPr>
          <w:color w:val="000000"/>
          <w:spacing w:val="0"/>
          <w:w w:val="100"/>
          <w:position w:val="0"/>
          <w:sz w:val="22"/>
          <w:szCs w:val="22"/>
        </w:rPr>
        <w:t>固定付款额及实质固定付款额，存在租赁激励的，扣除租赁激励相关金额；</w:t>
      </w:r>
    </w:p>
    <w:p>
      <w:pPr>
        <w:pStyle w:val="Style11"/>
        <w:keepNext w:val="0"/>
        <w:keepLines w:val="0"/>
        <w:widowControl w:val="0"/>
        <w:shd w:val="clear" w:color="auto" w:fill="auto"/>
        <w:bidi w:val="0"/>
        <w:spacing w:before="0" w:after="100" w:line="312" w:lineRule="exact"/>
        <w:ind w:left="0" w:right="0" w:firstLine="500"/>
        <w:jc w:val="left"/>
        <w:rPr>
          <w:sz w:val="22"/>
          <w:szCs w:val="22"/>
        </w:rPr>
      </w:pPr>
      <w:r>
        <w:rPr>
          <w:color w:val="000000"/>
          <w:spacing w:val="0"/>
          <w:w w:val="100"/>
          <w:position w:val="0"/>
          <w:sz w:val="22"/>
          <w:szCs w:val="22"/>
        </w:rPr>
        <w:t>•</w:t>
      </w:r>
      <w:r>
        <w:rPr>
          <w:color w:val="000000"/>
          <w:spacing w:val="0"/>
          <w:w w:val="100"/>
          <w:position w:val="0"/>
          <w:sz w:val="22"/>
          <w:szCs w:val="22"/>
        </w:rPr>
        <w:t>取决于指数或比率的可变租赁付款额；</w:t>
      </w:r>
    </w:p>
    <w:p>
      <w:pPr>
        <w:pStyle w:val="Style11"/>
        <w:keepNext w:val="0"/>
        <w:keepLines w:val="0"/>
        <w:widowControl w:val="0"/>
        <w:shd w:val="clear" w:color="auto" w:fill="auto"/>
        <w:bidi w:val="0"/>
        <w:spacing w:before="0" w:after="100" w:line="312" w:lineRule="exact"/>
        <w:ind w:left="0" w:right="0" w:firstLine="500"/>
        <w:jc w:val="left"/>
        <w:rPr>
          <w:sz w:val="22"/>
          <w:szCs w:val="22"/>
        </w:rPr>
      </w:pPr>
      <w:r>
        <w:rPr>
          <w:color w:val="000000"/>
          <w:spacing w:val="0"/>
          <w:w w:val="100"/>
          <w:position w:val="0"/>
          <w:sz w:val="22"/>
          <w:szCs w:val="22"/>
        </w:rPr>
        <w:t>•</w:t>
      </w:r>
      <w:r>
        <w:rPr>
          <w:color w:val="000000"/>
          <w:spacing w:val="0"/>
          <w:w w:val="100"/>
          <w:position w:val="0"/>
          <w:sz w:val="22"/>
          <w:szCs w:val="22"/>
        </w:rPr>
        <w:t>购买选择权的行权价格，前提是承租人合理确定将行使该选择权；</w:t>
      </w:r>
    </w:p>
    <w:p>
      <w:pPr>
        <w:pStyle w:val="Style11"/>
        <w:keepNext w:val="0"/>
        <w:keepLines w:val="0"/>
        <w:widowControl w:val="0"/>
        <w:shd w:val="clear" w:color="auto" w:fill="auto"/>
        <w:bidi w:val="0"/>
        <w:spacing w:before="0" w:after="100" w:line="293" w:lineRule="exact"/>
        <w:ind w:left="920" w:right="0" w:hanging="420"/>
        <w:jc w:val="both"/>
        <w:rPr>
          <w:sz w:val="22"/>
          <w:szCs w:val="22"/>
        </w:rPr>
      </w:pPr>
      <w:r>
        <w:rPr>
          <w:color w:val="000000"/>
          <w:spacing w:val="0"/>
          <w:w w:val="100"/>
          <w:position w:val="0"/>
          <w:sz w:val="22"/>
          <w:szCs w:val="22"/>
        </w:rPr>
        <w:t>•</w:t>
      </w:r>
      <w:r>
        <w:rPr>
          <w:color w:val="000000"/>
          <w:spacing w:val="0"/>
          <w:w w:val="100"/>
          <w:position w:val="0"/>
          <w:sz w:val="22"/>
          <w:szCs w:val="22"/>
        </w:rPr>
        <w:t>行使终止租赁选择权需支付的款项，前提是租赁期反映出承租人将行使终止租赁选 择权；</w:t>
      </w:r>
    </w:p>
    <w:p>
      <w:pPr>
        <w:pStyle w:val="Style11"/>
        <w:keepNext w:val="0"/>
        <w:keepLines w:val="0"/>
        <w:widowControl w:val="0"/>
        <w:shd w:val="clear" w:color="auto" w:fill="auto"/>
        <w:bidi w:val="0"/>
        <w:spacing w:before="0" w:after="100" w:line="312" w:lineRule="exact"/>
        <w:ind w:left="0" w:right="0" w:firstLine="500"/>
        <w:jc w:val="both"/>
        <w:rPr>
          <w:sz w:val="22"/>
          <w:szCs w:val="22"/>
        </w:rPr>
      </w:pPr>
      <w:r>
        <w:rPr>
          <w:color w:val="000000"/>
          <w:spacing w:val="0"/>
          <w:w w:val="100"/>
          <w:position w:val="0"/>
          <w:sz w:val="22"/>
          <w:szCs w:val="22"/>
        </w:rPr>
        <w:t>•</w:t>
      </w:r>
      <w:r>
        <w:rPr>
          <w:color w:val="000000"/>
          <w:spacing w:val="0"/>
          <w:w w:val="100"/>
          <w:position w:val="0"/>
          <w:sz w:val="22"/>
          <w:szCs w:val="22"/>
        </w:rPr>
        <w:t>根据承租人提供的担保余值预计应支付的款项。</w:t>
      </w:r>
    </w:p>
    <w:p>
      <w:pPr>
        <w:pStyle w:val="Style11"/>
        <w:keepNext w:val="0"/>
        <w:keepLines w:val="0"/>
        <w:widowControl w:val="0"/>
        <w:shd w:val="clear" w:color="auto" w:fill="auto"/>
        <w:bidi w:val="0"/>
        <w:spacing w:before="0" w:after="100" w:line="312" w:lineRule="exact"/>
        <w:ind w:left="0" w:right="0" w:firstLine="500"/>
        <w:jc w:val="both"/>
        <w:rPr>
          <w:sz w:val="22"/>
          <w:szCs w:val="22"/>
        </w:rPr>
      </w:pPr>
      <w:r>
        <w:rPr>
          <w:color w:val="000000"/>
          <w:spacing w:val="0"/>
          <w:w w:val="100"/>
          <w:position w:val="0"/>
          <w:sz w:val="22"/>
          <w:szCs w:val="22"/>
        </w:rPr>
        <w:t>计算租赁付款额现值时采用租赁内含利率作为折现率，无法确定租赁内含利率的，采用 公司增量借款利率作为折现率。租赁付款额与其现值之间的差额作为未确认融资费用，在租 赁期各个期间内按照确认租赁付款额现值的折现率确认利息费用，并计入当期损益。未纳入 租赁负债计量的可变租赁付款额于实际发生时计入当期损益。</w:t>
      </w:r>
    </w:p>
    <w:p>
      <w:pPr>
        <w:pStyle w:val="Style11"/>
        <w:keepNext w:val="0"/>
        <w:keepLines w:val="0"/>
        <w:widowControl w:val="0"/>
        <w:shd w:val="clear" w:color="auto" w:fill="auto"/>
        <w:bidi w:val="0"/>
        <w:spacing w:before="0" w:after="100" w:line="310" w:lineRule="exact"/>
        <w:ind w:left="0" w:right="0" w:firstLine="500"/>
        <w:jc w:val="both"/>
        <w:rPr>
          <w:sz w:val="22"/>
          <w:szCs w:val="22"/>
        </w:rPr>
      </w:pPr>
      <w:r>
        <w:rPr>
          <w:color w:val="000000"/>
          <w:spacing w:val="0"/>
          <w:w w:val="100"/>
          <w:position w:val="0"/>
          <w:sz w:val="22"/>
          <w:szCs w:val="22"/>
        </w:rPr>
        <w:t>租赁期开始日后，当实质固定付款额发生变动、担保余值预计的应付金额发生变化、用 于确定租赁付款额的指数或比率发生变动、购买选择权、续租选择权或终止选择权的评估结 果或实际行权情况发生变化时，本公司按照变动后的租赁付款额的现值重新计量租赁负债， 并相应调整使用权资产的账面价值。</w:t>
      </w:r>
    </w:p>
    <w:p>
      <w:pPr>
        <w:pStyle w:val="Style11"/>
        <w:keepNext w:val="0"/>
        <w:keepLines w:val="0"/>
        <w:widowControl w:val="0"/>
        <w:shd w:val="clear" w:color="auto" w:fill="auto"/>
        <w:tabs>
          <w:tab w:pos="1031" w:val="left"/>
        </w:tabs>
        <w:bidi w:val="0"/>
        <w:spacing w:before="0" w:after="100" w:line="312" w:lineRule="exact"/>
        <w:ind w:left="0" w:right="0" w:firstLine="500"/>
        <w:jc w:val="left"/>
        <w:rPr>
          <w:sz w:val="22"/>
          <w:szCs w:val="22"/>
        </w:rPr>
      </w:pPr>
      <w:bookmarkStart w:id="1073" w:name="bookmark1073"/>
      <w:r>
        <w:rPr>
          <w:b/>
          <w:bCs/>
          <w:color w:val="000000"/>
          <w:spacing w:val="0"/>
          <w:w w:val="100"/>
          <w:position w:val="0"/>
          <w:sz w:val="22"/>
          <w:szCs w:val="22"/>
        </w:rPr>
        <w:t>（</w:t>
      </w:r>
      <w:bookmarkEnd w:id="1073"/>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sz w:val="22"/>
          <w:szCs w:val="22"/>
        </w:rPr>
        <w:t>）</w:t>
        <w:tab/>
        <w:t>本公司作为出租人的会计处理方法</w:t>
      </w:r>
    </w:p>
    <w:p>
      <w:pPr>
        <w:pStyle w:val="Style11"/>
        <w:keepNext w:val="0"/>
        <w:keepLines w:val="0"/>
        <w:widowControl w:val="0"/>
        <w:shd w:val="clear" w:color="auto" w:fill="auto"/>
        <w:bidi w:val="0"/>
        <w:spacing w:before="0" w:after="100" w:line="322" w:lineRule="exact"/>
        <w:ind w:left="0" w:right="0" w:firstLine="500"/>
        <w:jc w:val="both"/>
        <w:rPr>
          <w:sz w:val="22"/>
          <w:szCs w:val="22"/>
        </w:rPr>
      </w:pPr>
      <w:r>
        <w:rPr>
          <w:color w:val="000000"/>
          <w:spacing w:val="0"/>
          <w:w w:val="100"/>
          <w:position w:val="0"/>
          <w:sz w:val="22"/>
          <w:szCs w:val="22"/>
        </w:rPr>
        <w:t>在租赁开始日，本公司将实质上转移了与租赁资产所有权有关的几乎全部风险和报酬的 租赁划分为融资租赁，除此之外的均为经营租赁。</w:t>
      </w:r>
    </w:p>
    <w:p>
      <w:pPr>
        <w:pStyle w:val="Style11"/>
        <w:keepNext w:val="0"/>
        <w:keepLines w:val="0"/>
        <w:widowControl w:val="0"/>
        <w:numPr>
          <w:ilvl w:val="0"/>
          <w:numId w:val="79"/>
        </w:numPr>
        <w:shd w:val="clear" w:color="auto" w:fill="auto"/>
        <w:tabs>
          <w:tab w:pos="921" w:val="left"/>
        </w:tabs>
        <w:bidi w:val="0"/>
        <w:spacing w:before="0" w:after="100" w:line="312" w:lineRule="exact"/>
        <w:ind w:left="0" w:right="0" w:firstLine="500"/>
        <w:jc w:val="both"/>
        <w:rPr>
          <w:sz w:val="22"/>
          <w:szCs w:val="22"/>
        </w:rPr>
      </w:pPr>
      <w:bookmarkStart w:id="1074" w:name="bookmark1074"/>
      <w:bookmarkEnd w:id="1074"/>
      <w:r>
        <w:rPr>
          <w:color w:val="000000"/>
          <w:spacing w:val="0"/>
          <w:w w:val="100"/>
          <w:position w:val="0"/>
          <w:sz w:val="22"/>
          <w:szCs w:val="22"/>
        </w:rPr>
        <w:t>经营租赁</w:t>
      </w:r>
    </w:p>
    <w:p>
      <w:pPr>
        <w:pStyle w:val="Style11"/>
        <w:keepNext w:val="0"/>
        <w:keepLines w:val="0"/>
        <w:widowControl w:val="0"/>
        <w:shd w:val="clear" w:color="auto" w:fill="auto"/>
        <w:bidi w:val="0"/>
        <w:spacing w:before="0" w:after="100" w:line="314" w:lineRule="exact"/>
        <w:ind w:left="0" w:right="0" w:firstLine="500"/>
        <w:jc w:val="both"/>
        <w:rPr>
          <w:sz w:val="22"/>
          <w:szCs w:val="22"/>
        </w:rPr>
      </w:pPr>
      <w:r>
        <w:rPr>
          <w:color w:val="000000"/>
          <w:spacing w:val="0"/>
          <w:w w:val="100"/>
          <w:position w:val="0"/>
          <w:sz w:val="22"/>
          <w:szCs w:val="22"/>
        </w:rPr>
        <w:t>本公司在租赁期内各个期间按照直线法将租赁收款额确认为租金收入，发生的初始直接 费用予以资本化并按照与租金收入确认相同的基础进行分摊，分期计入当期损益。本公司取 得的与经营租赁有关的未计入租赁收款额的可变租赁付款额在实际发生时计入当期损益。</w:t>
      </w:r>
    </w:p>
    <w:p>
      <w:pPr>
        <w:pStyle w:val="Style11"/>
        <w:keepNext w:val="0"/>
        <w:keepLines w:val="0"/>
        <w:widowControl w:val="0"/>
        <w:numPr>
          <w:ilvl w:val="0"/>
          <w:numId w:val="79"/>
        </w:numPr>
        <w:shd w:val="clear" w:color="auto" w:fill="auto"/>
        <w:tabs>
          <w:tab w:pos="921" w:val="left"/>
        </w:tabs>
        <w:bidi w:val="0"/>
        <w:spacing w:before="0" w:after="100" w:line="312" w:lineRule="exact"/>
        <w:ind w:left="0" w:right="0" w:firstLine="500"/>
        <w:jc w:val="both"/>
        <w:rPr>
          <w:sz w:val="22"/>
          <w:szCs w:val="22"/>
        </w:rPr>
      </w:pPr>
      <w:bookmarkStart w:id="1075" w:name="bookmark1075"/>
      <w:bookmarkEnd w:id="1075"/>
      <w:r>
        <w:rPr>
          <w:color w:val="000000"/>
          <w:spacing w:val="0"/>
          <w:w w:val="100"/>
          <w:position w:val="0"/>
          <w:sz w:val="22"/>
          <w:szCs w:val="22"/>
        </w:rPr>
        <w:t>融资租赁</w:t>
      </w:r>
    </w:p>
    <w:p>
      <w:pPr>
        <w:pStyle w:val="Style11"/>
        <w:keepNext w:val="0"/>
        <w:keepLines w:val="0"/>
        <w:widowControl w:val="0"/>
        <w:shd w:val="clear" w:color="auto" w:fill="auto"/>
        <w:bidi w:val="0"/>
        <w:spacing w:before="0" w:after="100" w:line="317" w:lineRule="exact"/>
        <w:ind w:left="0" w:right="0" w:firstLine="500"/>
        <w:jc w:val="both"/>
        <w:rPr>
          <w:sz w:val="22"/>
          <w:szCs w:val="22"/>
        </w:rPr>
      </w:pPr>
      <w:r>
        <w:rPr>
          <w:color w:val="000000"/>
          <w:spacing w:val="0"/>
          <w:w w:val="100"/>
          <w:position w:val="0"/>
          <w:sz w:val="22"/>
          <w:szCs w:val="22"/>
        </w:rPr>
        <w:t>在租赁开始日，本公司按照租赁投资净额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未担保余值和租赁期开始日尚未收到的租赁收 款额按照租赁内含利率折现的现值之和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确认应收融资租赁款，并终止确认融资租赁资产。在 租赁期的各个期间，本公司按照租赁内含利率计算并确认利息收入。</w:t>
      </w:r>
    </w:p>
    <w:p>
      <w:pPr>
        <w:pStyle w:val="Style11"/>
        <w:keepNext w:val="0"/>
        <w:keepLines w:val="0"/>
        <w:widowControl w:val="0"/>
        <w:shd w:val="clear" w:color="auto" w:fill="auto"/>
        <w:bidi w:val="0"/>
        <w:spacing w:before="0" w:after="100" w:line="312" w:lineRule="exact"/>
        <w:ind w:left="0" w:right="0" w:firstLine="500"/>
        <w:jc w:val="both"/>
        <w:rPr>
          <w:sz w:val="22"/>
          <w:szCs w:val="22"/>
        </w:rPr>
      </w:pPr>
      <w:r>
        <w:rPr>
          <w:color w:val="000000"/>
          <w:spacing w:val="0"/>
          <w:w w:val="100"/>
          <w:position w:val="0"/>
          <w:sz w:val="22"/>
          <w:szCs w:val="22"/>
        </w:rPr>
        <w:t>本公司取得的未纳入租赁投资净额计量的可变租赁付款额在实际发生时计入当期损益。</w:t>
      </w:r>
    </w:p>
    <w:p>
      <w:pPr>
        <w:pStyle w:val="Style11"/>
        <w:keepNext w:val="0"/>
        <w:keepLines w:val="0"/>
        <w:widowControl w:val="0"/>
        <w:shd w:val="clear" w:color="auto" w:fill="auto"/>
        <w:tabs>
          <w:tab w:pos="1031" w:val="left"/>
        </w:tabs>
        <w:bidi w:val="0"/>
        <w:spacing w:before="0" w:after="100" w:line="312" w:lineRule="exact"/>
        <w:ind w:left="0" w:right="0" w:firstLine="500"/>
        <w:jc w:val="both"/>
        <w:rPr>
          <w:sz w:val="22"/>
          <w:szCs w:val="22"/>
        </w:rPr>
      </w:pPr>
      <w:bookmarkStart w:id="1076" w:name="bookmark1076"/>
      <w:r>
        <w:rPr>
          <w:b/>
          <w:bCs/>
          <w:color w:val="000000"/>
          <w:spacing w:val="0"/>
          <w:w w:val="100"/>
          <w:position w:val="0"/>
          <w:sz w:val="22"/>
          <w:szCs w:val="22"/>
        </w:rPr>
        <w:t>（</w:t>
      </w:r>
      <w:bookmarkEnd w:id="1076"/>
      <w:r>
        <w:rPr>
          <w:rFonts w:ascii="Times New Roman" w:eastAsia="Times New Roman" w:hAnsi="Times New Roman" w:cs="Times New Roman"/>
          <w:b/>
          <w:bCs/>
          <w:color w:val="000000"/>
          <w:spacing w:val="0"/>
          <w:w w:val="100"/>
          <w:position w:val="0"/>
          <w:sz w:val="24"/>
          <w:szCs w:val="24"/>
        </w:rPr>
        <w:t>5</w:t>
      </w:r>
      <w:r>
        <w:rPr>
          <w:b/>
          <w:bCs/>
          <w:color w:val="000000"/>
          <w:spacing w:val="0"/>
          <w:w w:val="100"/>
          <w:position w:val="0"/>
          <w:sz w:val="22"/>
          <w:szCs w:val="22"/>
        </w:rPr>
        <w:t>）</w:t>
        <w:tab/>
        <w:t>租赁变更的会计处理</w:t>
      </w:r>
    </w:p>
    <w:p>
      <w:pPr>
        <w:pStyle w:val="Style11"/>
        <w:keepNext w:val="0"/>
        <w:keepLines w:val="0"/>
        <w:widowControl w:val="0"/>
        <w:numPr>
          <w:ilvl w:val="0"/>
          <w:numId w:val="81"/>
        </w:numPr>
        <w:shd w:val="clear" w:color="auto" w:fill="auto"/>
        <w:tabs>
          <w:tab w:pos="921" w:val="left"/>
        </w:tabs>
        <w:bidi w:val="0"/>
        <w:spacing w:before="0" w:after="100" w:line="312" w:lineRule="exact"/>
        <w:ind w:left="0" w:right="0" w:firstLine="500"/>
        <w:jc w:val="both"/>
        <w:rPr>
          <w:sz w:val="22"/>
          <w:szCs w:val="22"/>
        </w:rPr>
      </w:pPr>
      <w:bookmarkStart w:id="1077" w:name="bookmark1077"/>
      <w:bookmarkEnd w:id="1077"/>
      <w:r>
        <w:rPr>
          <w:color w:val="000000"/>
          <w:spacing w:val="0"/>
          <w:w w:val="100"/>
          <w:position w:val="0"/>
          <w:sz w:val="22"/>
          <w:szCs w:val="22"/>
        </w:rPr>
        <w:t>租赁变更作为一项单独租赁</w:t>
      </w:r>
    </w:p>
    <w:p>
      <w:pPr>
        <w:pStyle w:val="Style11"/>
        <w:keepNext w:val="0"/>
        <w:keepLines w:val="0"/>
        <w:widowControl w:val="0"/>
        <w:shd w:val="clear" w:color="auto" w:fill="auto"/>
        <w:bidi w:val="0"/>
        <w:spacing w:before="0" w:after="100" w:line="307" w:lineRule="exact"/>
        <w:ind w:left="0" w:right="0" w:firstLine="500"/>
        <w:jc w:val="both"/>
        <w:rPr>
          <w:sz w:val="22"/>
          <w:szCs w:val="22"/>
        </w:rPr>
      </w:pPr>
      <w:r>
        <w:rPr>
          <w:color w:val="000000"/>
          <w:spacing w:val="0"/>
          <w:w w:val="100"/>
          <w:position w:val="0"/>
          <w:sz w:val="22"/>
          <w:szCs w:val="22"/>
        </w:rPr>
        <w:t>租赁发生变更且同时符合下列条件的，本公司将该租赁变更作为一项单独租赁进行会计 处理：</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该租赁变更通过增加一项或多项租赁资产的使用权而扩大了租赁范围；</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2"/>
          <w:szCs w:val="22"/>
        </w:rPr>
        <w:t>增加的对 价与租赁范围扩大部分的单独价格按该合同情况调整后的金额相当。</w:t>
      </w:r>
    </w:p>
    <w:p>
      <w:pPr>
        <w:pStyle w:val="Style11"/>
        <w:keepNext w:val="0"/>
        <w:keepLines w:val="0"/>
        <w:widowControl w:val="0"/>
        <w:numPr>
          <w:ilvl w:val="0"/>
          <w:numId w:val="81"/>
        </w:numPr>
        <w:shd w:val="clear" w:color="auto" w:fill="auto"/>
        <w:tabs>
          <w:tab w:pos="921" w:val="left"/>
        </w:tabs>
        <w:bidi w:val="0"/>
        <w:spacing w:before="0" w:after="160" w:line="312" w:lineRule="exact"/>
        <w:ind w:left="0" w:right="0" w:firstLine="500"/>
        <w:jc w:val="both"/>
        <w:rPr>
          <w:sz w:val="22"/>
          <w:szCs w:val="22"/>
        </w:rPr>
      </w:pPr>
      <w:bookmarkStart w:id="1078" w:name="bookmark1078"/>
      <w:bookmarkEnd w:id="1078"/>
      <w:r>
        <w:rPr>
          <w:color w:val="000000"/>
          <w:spacing w:val="0"/>
          <w:w w:val="100"/>
          <w:position w:val="0"/>
          <w:sz w:val="22"/>
          <w:szCs w:val="22"/>
        </w:rPr>
        <w:t>租赁变更未作为一项单独租赁</w:t>
      </w:r>
    </w:p>
    <w:p>
      <w:pPr>
        <w:pStyle w:val="Style11"/>
        <w:keepNext w:val="0"/>
        <w:keepLines w:val="0"/>
        <w:widowControl w:val="0"/>
        <w:shd w:val="clear" w:color="auto" w:fill="auto"/>
        <w:bidi w:val="0"/>
        <w:spacing w:before="0" w:after="100" w:line="271" w:lineRule="auto"/>
        <w:ind w:left="0" w:right="0" w:firstLine="500"/>
        <w:jc w:val="both"/>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本公司作为承租人</w:t>
      </w:r>
    </w:p>
    <w:p>
      <w:pPr>
        <w:pStyle w:val="Style11"/>
        <w:keepNext w:val="0"/>
        <w:keepLines w:val="0"/>
        <w:widowControl w:val="0"/>
        <w:shd w:val="clear" w:color="auto" w:fill="auto"/>
        <w:bidi w:val="0"/>
        <w:spacing w:before="0" w:after="100" w:line="312" w:lineRule="exact"/>
        <w:ind w:left="0" w:right="0" w:firstLine="500"/>
        <w:jc w:val="both"/>
        <w:rPr>
          <w:sz w:val="22"/>
          <w:szCs w:val="22"/>
        </w:rPr>
      </w:pPr>
      <w:r>
        <w:rPr>
          <w:color w:val="000000"/>
          <w:spacing w:val="0"/>
          <w:w w:val="100"/>
          <w:position w:val="0"/>
          <w:sz w:val="22"/>
          <w:szCs w:val="22"/>
        </w:rPr>
        <w:t xml:space="preserve">在租赁变更生效日，本公司重新确定租赁期，并采用修订后的折现率对变更后的租赁付 款额进行折现，以重新计量租赁负债。在计算变更后租赁付款额的现值时，采用剩余租赁期 </w:t>
      </w:r>
      <w:r>
        <w:rPr>
          <w:color w:val="000000"/>
          <w:spacing w:val="0"/>
          <w:w w:val="100"/>
          <w:position w:val="0"/>
          <w:sz w:val="22"/>
          <w:szCs w:val="22"/>
        </w:rPr>
        <w:t>间的租赁内含利率作为折现率；无法确定剩余租赁期间的租赁内含利率的，采用租赁变更生 效日的增量借款利率作为折现率。</w:t>
      </w:r>
    </w:p>
    <w:p>
      <w:pPr>
        <w:pStyle w:val="Style11"/>
        <w:keepNext w:val="0"/>
        <w:keepLines w:val="0"/>
        <w:widowControl w:val="0"/>
        <w:shd w:val="clear" w:color="auto" w:fill="auto"/>
        <w:bidi w:val="0"/>
        <w:spacing w:before="0" w:after="100" w:line="312" w:lineRule="exact"/>
        <w:ind w:left="0" w:right="0" w:firstLine="480"/>
        <w:jc w:val="both"/>
        <w:rPr>
          <w:sz w:val="22"/>
          <w:szCs w:val="22"/>
        </w:rPr>
      </w:pPr>
      <w:r>
        <w:rPr>
          <w:color w:val="000000"/>
          <w:spacing w:val="0"/>
          <w:w w:val="100"/>
          <w:position w:val="0"/>
          <w:sz w:val="22"/>
          <w:szCs w:val="22"/>
        </w:rPr>
        <w:t>就上述租赁负债调整的影响，区分以下情形进行会计处理：</w:t>
      </w:r>
    </w:p>
    <w:p>
      <w:pPr>
        <w:pStyle w:val="Style11"/>
        <w:keepNext w:val="0"/>
        <w:keepLines w:val="0"/>
        <w:widowControl w:val="0"/>
        <w:shd w:val="clear" w:color="auto" w:fill="auto"/>
        <w:bidi w:val="0"/>
        <w:spacing w:before="0" w:after="100" w:line="302" w:lineRule="exact"/>
        <w:ind w:left="920" w:right="0" w:hanging="420"/>
        <w:jc w:val="both"/>
        <w:rPr>
          <w:sz w:val="22"/>
          <w:szCs w:val="22"/>
        </w:rPr>
      </w:pPr>
      <w:r>
        <w:rPr>
          <w:color w:val="000000"/>
          <w:spacing w:val="0"/>
          <w:w w:val="100"/>
          <w:position w:val="0"/>
          <w:sz w:val="22"/>
          <w:szCs w:val="22"/>
        </w:rPr>
        <w:t>•</w:t>
      </w:r>
      <w:r>
        <w:rPr>
          <w:color w:val="000000"/>
          <w:spacing w:val="0"/>
          <w:w w:val="100"/>
          <w:position w:val="0"/>
          <w:sz w:val="22"/>
          <w:szCs w:val="22"/>
        </w:rPr>
        <w:t>租赁变更导致租赁范围缩小或租赁期缩短的，调减使用权资产的账面价值，并将部 分终止或完全终止租赁的相关利得或损失计入当期损益；</w:t>
      </w:r>
    </w:p>
    <w:p>
      <w:pPr>
        <w:pStyle w:val="Style11"/>
        <w:keepNext w:val="0"/>
        <w:keepLines w:val="0"/>
        <w:widowControl w:val="0"/>
        <w:shd w:val="clear" w:color="auto" w:fill="auto"/>
        <w:bidi w:val="0"/>
        <w:spacing w:before="0" w:after="160" w:line="312" w:lineRule="exact"/>
        <w:ind w:left="0" w:right="0" w:firstLine="480"/>
        <w:jc w:val="both"/>
        <w:rPr>
          <w:sz w:val="22"/>
          <w:szCs w:val="22"/>
        </w:rPr>
      </w:pPr>
      <w:r>
        <w:rPr>
          <w:color w:val="000000"/>
          <w:spacing w:val="0"/>
          <w:w w:val="100"/>
          <w:position w:val="0"/>
          <w:sz w:val="22"/>
          <w:szCs w:val="22"/>
        </w:rPr>
        <w:t>•</w:t>
      </w:r>
      <w:r>
        <w:rPr>
          <w:color w:val="000000"/>
          <w:spacing w:val="0"/>
          <w:w w:val="100"/>
          <w:position w:val="0"/>
          <w:sz w:val="22"/>
          <w:szCs w:val="22"/>
        </w:rPr>
        <w:t>其他租赁变更，相应调整使用权资产的账面价值。</w:t>
      </w:r>
    </w:p>
    <w:p>
      <w:pPr>
        <w:pStyle w:val="Style11"/>
        <w:keepNext w:val="0"/>
        <w:keepLines w:val="0"/>
        <w:widowControl w:val="0"/>
        <w:shd w:val="clear" w:color="auto" w:fill="auto"/>
        <w:bidi w:val="0"/>
        <w:spacing w:before="0" w:after="100" w:line="271" w:lineRule="auto"/>
        <w:ind w:left="0" w:right="0" w:firstLine="500"/>
        <w:jc w:val="both"/>
        <w:rPr>
          <w:sz w:val="22"/>
          <w:szCs w:val="22"/>
        </w:rPr>
      </w:pP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2"/>
          <w:szCs w:val="22"/>
        </w:rPr>
        <w:t>本公司作为出租人</w:t>
      </w:r>
    </w:p>
    <w:p>
      <w:pPr>
        <w:pStyle w:val="Style11"/>
        <w:keepNext w:val="0"/>
        <w:keepLines w:val="0"/>
        <w:widowControl w:val="0"/>
        <w:shd w:val="clear" w:color="auto" w:fill="auto"/>
        <w:bidi w:val="0"/>
        <w:spacing w:before="0" w:after="100" w:line="317" w:lineRule="exact"/>
        <w:ind w:left="0" w:right="0" w:firstLine="500"/>
        <w:jc w:val="both"/>
        <w:rPr>
          <w:sz w:val="22"/>
          <w:szCs w:val="22"/>
        </w:rPr>
      </w:pPr>
      <w:r>
        <w:rPr>
          <w:color w:val="000000"/>
          <w:spacing w:val="0"/>
          <w:w w:val="100"/>
          <w:position w:val="0"/>
          <w:sz w:val="22"/>
          <w:szCs w:val="22"/>
        </w:rPr>
        <w:t>经营租赁发生变更的，本公司自变更生效日起将其作为一项新租赁进行会计处理，与变 更前租赁有关的预收或应收租赁收款额视为新租赁的收款额。</w:t>
      </w:r>
    </w:p>
    <w:p>
      <w:pPr>
        <w:pStyle w:val="Style11"/>
        <w:keepNext w:val="0"/>
        <w:keepLines w:val="0"/>
        <w:widowControl w:val="0"/>
        <w:shd w:val="clear" w:color="auto" w:fill="auto"/>
        <w:bidi w:val="0"/>
        <w:spacing w:before="0" w:after="100" w:line="312" w:lineRule="exact"/>
        <w:ind w:left="0" w:right="0" w:firstLine="500"/>
        <w:jc w:val="both"/>
        <w:rPr>
          <w:sz w:val="22"/>
          <w:szCs w:val="22"/>
        </w:rPr>
      </w:pPr>
      <w:r>
        <w:rPr>
          <w:color w:val="000000"/>
          <w:spacing w:val="0"/>
          <w:w w:val="100"/>
          <w:position w:val="0"/>
          <w:sz w:val="22"/>
          <w:szCs w:val="22"/>
        </w:rPr>
        <w:t>融资租赁的变更未作为一项单独租赁进行会计处理的，本公司分别下列情形对变更后的 租赁进行处理：如果租赁变更在租赁开始日生效，该租赁会被分类为经营租赁的，本公司自 租赁变更生效日开始将其作为一项新租赁进行会计处理，并以租赁变更生效日前的租赁投资 净额作为租赁资产的账面价值；如果租赁变更在租赁开始日生效，该租赁会被分类为融资租 赁的，本公司按照关于修改或重新议定合同的规定进行会计处理。</w:t>
      </w:r>
    </w:p>
    <w:p>
      <w:pPr>
        <w:pStyle w:val="Style64"/>
        <w:keepNext w:val="0"/>
        <w:keepLines w:val="0"/>
        <w:widowControl w:val="0"/>
        <w:numPr>
          <w:ilvl w:val="0"/>
          <w:numId w:val="83"/>
        </w:numPr>
        <w:shd w:val="clear" w:color="auto" w:fill="auto"/>
        <w:bidi w:val="0"/>
        <w:spacing w:before="0"/>
        <w:ind w:left="0" w:right="0"/>
        <w:jc w:val="both"/>
        <w:rPr>
          <w:sz w:val="24"/>
          <w:szCs w:val="24"/>
        </w:rPr>
      </w:pPr>
      <w:bookmarkStart w:id="1079" w:name="bookmark1079"/>
      <w:bookmarkEnd w:id="1079"/>
      <w:r>
        <w:rPr>
          <w:b/>
          <w:bCs/>
          <w:i/>
          <w:iCs/>
          <w:color w:val="000000"/>
          <w:spacing w:val="0"/>
          <w:w w:val="100"/>
          <w:position w:val="0"/>
          <w:sz w:val="24"/>
          <w:szCs w:val="24"/>
        </w:rPr>
        <w:t>售后租回</w:t>
      </w:r>
    </w:p>
    <w:p>
      <w:pPr>
        <w:pStyle w:val="Style64"/>
        <w:keepNext w:val="0"/>
        <w:keepLines w:val="0"/>
        <w:widowControl w:val="0"/>
        <w:shd w:val="clear" w:color="auto" w:fill="auto"/>
        <w:bidi w:val="0"/>
        <w:spacing w:before="0" w:line="322" w:lineRule="exact"/>
        <w:ind w:left="0" w:right="0"/>
        <w:jc w:val="both"/>
      </w:pPr>
      <w:r>
        <w:rPr>
          <w:color w:val="000000"/>
          <w:spacing w:val="0"/>
          <w:w w:val="100"/>
          <w:position w:val="0"/>
        </w:rPr>
        <w:t>本公司按照本节附注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之</w:t>
      </w:r>
      <w:r>
        <w:rPr>
          <w:rFonts w:ascii="Times New Roman" w:eastAsia="Times New Roman" w:hAnsi="Times New Roman" w:cs="Times New Roman"/>
          <w:color w:val="000000"/>
          <w:spacing w:val="0"/>
          <w:w w:val="100"/>
          <w:position w:val="0"/>
          <w:sz w:val="24"/>
          <w:szCs w:val="24"/>
        </w:rPr>
        <w:t>“33</w:t>
      </w:r>
      <w:r>
        <w:rPr>
          <w:color w:val="000000"/>
          <w:spacing w:val="0"/>
          <w:w w:val="100"/>
          <w:position w:val="0"/>
        </w:rPr>
        <w:t>、收入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的规定，评估确定售 后租回交易中的资产转让是否属于销售。</w:t>
      </w:r>
    </w:p>
    <w:p>
      <w:pPr>
        <w:pStyle w:val="Style64"/>
        <w:keepNext w:val="0"/>
        <w:keepLines w:val="0"/>
        <w:widowControl w:val="0"/>
        <w:numPr>
          <w:ilvl w:val="0"/>
          <w:numId w:val="85"/>
        </w:numPr>
        <w:shd w:val="clear" w:color="auto" w:fill="auto"/>
        <w:bidi w:val="0"/>
        <w:spacing w:before="0" w:line="271" w:lineRule="auto"/>
        <w:ind w:left="0" w:right="0" w:firstLine="480"/>
        <w:jc w:val="both"/>
      </w:pPr>
      <w:bookmarkStart w:id="1080" w:name="bookmark1080"/>
      <w:bookmarkEnd w:id="1080"/>
      <w:r>
        <w:rPr>
          <w:color w:val="000000"/>
          <w:spacing w:val="0"/>
          <w:w w:val="100"/>
          <w:position w:val="0"/>
        </w:rPr>
        <w:t>本公司作为卖方(承租人)</w:t>
      </w:r>
    </w:p>
    <w:p>
      <w:pPr>
        <w:pStyle w:val="Style64"/>
        <w:keepNext w:val="0"/>
        <w:keepLines w:val="0"/>
        <w:widowControl w:val="0"/>
        <w:shd w:val="clear" w:color="auto" w:fill="auto"/>
        <w:bidi w:val="0"/>
        <w:spacing w:before="0"/>
        <w:ind w:left="0" w:right="0"/>
        <w:jc w:val="both"/>
      </w:pPr>
      <w:r>
        <w:rPr>
          <w:color w:val="000000"/>
          <w:spacing w:val="0"/>
          <w:w w:val="100"/>
          <w:position w:val="0"/>
        </w:rPr>
        <w:t>售后租回交易中的资产转让不属于销售的，本公司继续确认被转让资产，同时确认一项 与转让收入等额的金融负债，并按照本节附注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之</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、金融工 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对该金融负债进行会计处理。该资产转让属于销售的，本公司按原资产账面价值中与租回 获得的使用权有关的部分，计量售后租回所形成的使用权资产，并仅就转让至出租人的权利 确认相关利得或损失。</w:t>
      </w:r>
    </w:p>
    <w:p>
      <w:pPr>
        <w:pStyle w:val="Style64"/>
        <w:keepNext w:val="0"/>
        <w:keepLines w:val="0"/>
        <w:widowControl w:val="0"/>
        <w:numPr>
          <w:ilvl w:val="0"/>
          <w:numId w:val="85"/>
        </w:numPr>
        <w:shd w:val="clear" w:color="auto" w:fill="auto"/>
        <w:bidi w:val="0"/>
        <w:spacing w:before="0" w:line="271" w:lineRule="auto"/>
        <w:ind w:left="0" w:right="0" w:firstLine="400"/>
        <w:jc w:val="both"/>
      </w:pPr>
      <w:bookmarkStart w:id="1081" w:name="bookmark1081"/>
      <w:bookmarkEnd w:id="1081"/>
      <w:r>
        <w:rPr>
          <w:color w:val="000000"/>
          <w:spacing w:val="0"/>
          <w:w w:val="100"/>
          <w:position w:val="0"/>
        </w:rPr>
        <w:t>本公司作为买方(出租人)</w:t>
      </w:r>
    </w:p>
    <w:p>
      <w:pPr>
        <w:pStyle w:val="Style64"/>
        <w:keepNext w:val="0"/>
        <w:keepLines w:val="0"/>
        <w:widowControl w:val="0"/>
        <w:shd w:val="clear" w:color="auto" w:fill="auto"/>
        <w:bidi w:val="0"/>
        <w:spacing w:before="0"/>
        <w:ind w:left="0" w:right="0"/>
        <w:jc w:val="both"/>
      </w:pPr>
      <w:r>
        <w:rPr>
          <w:color w:val="000000"/>
          <w:spacing w:val="0"/>
          <w:w w:val="100"/>
          <w:position w:val="0"/>
        </w:rPr>
        <w:t>售后租回交易中的资产转让不属于销售的，本公司不确认被转让资产，但确认一项与转 让收入等额的金融资产，并按照本节附注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之</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对 该金融资产进行会计处理。该资产转让属于销售的，本公司根据其他适用的企业会计准则对 资产购买进行会计处理，并对资产出租进行会计处理。</w:t>
      </w:r>
    </w:p>
    <w:p>
      <w:pPr>
        <w:pStyle w:val="Style64"/>
        <w:keepNext w:val="0"/>
        <w:keepLines w:val="0"/>
        <w:widowControl w:val="0"/>
        <w:shd w:val="clear" w:color="auto" w:fill="auto"/>
        <w:bidi w:val="0"/>
        <w:spacing w:before="0"/>
        <w:ind w:left="0" w:right="0"/>
        <w:jc w:val="both"/>
      </w:pPr>
      <w:r>
        <w:rPr>
          <w:b/>
          <w:bCs/>
          <w:color w:val="000000"/>
          <w:spacing w:val="0"/>
          <w:w w:val="100"/>
          <w:position w:val="0"/>
        </w:rPr>
        <w:t>以下经营租赁和融资租赁会计政策适用于</w:t>
      </w:r>
      <w:r>
        <w:rPr>
          <w:rFonts w:ascii="Times New Roman" w:eastAsia="Times New Roman" w:hAnsi="Times New Roman" w:cs="Times New Roman"/>
          <w:b/>
          <w:bCs/>
          <w:color w:val="000000"/>
          <w:spacing w:val="0"/>
          <w:w w:val="100"/>
          <w:position w:val="0"/>
          <w:sz w:val="24"/>
          <w:szCs w:val="24"/>
        </w:rPr>
        <w:t>2020</w:t>
      </w:r>
      <w:r>
        <w:rPr>
          <w:b/>
          <w:bCs/>
          <w:color w:val="000000"/>
          <w:spacing w:val="0"/>
          <w:w w:val="100"/>
          <w:position w:val="0"/>
        </w:rPr>
        <w:t>年度及以前</w:t>
      </w:r>
    </w:p>
    <w:p>
      <w:pPr>
        <w:pStyle w:val="Style64"/>
        <w:keepNext w:val="0"/>
        <w:keepLines w:val="0"/>
        <w:widowControl w:val="0"/>
        <w:shd w:val="clear" w:color="auto" w:fill="auto"/>
        <w:bidi w:val="0"/>
        <w:spacing w:before="0" w:line="307" w:lineRule="exact"/>
        <w:ind w:left="0" w:right="0"/>
        <w:jc w:val="both"/>
      </w:pPr>
      <w:r>
        <w:rPr>
          <w:color w:val="000000"/>
          <w:spacing w:val="0"/>
          <w:w w:val="100"/>
          <w:position w:val="0"/>
        </w:rPr>
        <w:t>本公司将实质上转移了与资产所有权有关的全部风险和报酬的租赁为融资租赁，除此之 外的均为经营租赁。</w:t>
      </w:r>
    </w:p>
    <w:p>
      <w:pPr>
        <w:pStyle w:val="Style64"/>
        <w:keepNext w:val="0"/>
        <w:keepLines w:val="0"/>
        <w:widowControl w:val="0"/>
        <w:shd w:val="clear" w:color="auto" w:fill="auto"/>
        <w:bidi w:val="0"/>
        <w:spacing w:before="0"/>
        <w:ind w:left="0" w:right="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)经营租赁的会计处理方法</w:t>
      </w:r>
    </w:p>
    <w:p>
      <w:pPr>
        <w:pStyle w:val="Style64"/>
        <w:keepNext w:val="0"/>
        <w:keepLines w:val="0"/>
        <w:widowControl w:val="0"/>
        <w:shd w:val="clear" w:color="auto" w:fill="auto"/>
        <w:bidi w:val="0"/>
        <w:spacing w:before="0" w:after="160" w:line="322" w:lineRule="exact"/>
        <w:ind w:left="0" w:right="0"/>
        <w:jc w:val="both"/>
      </w:pPr>
      <w:r>
        <w:rPr>
          <w:color w:val="000000"/>
          <w:spacing w:val="0"/>
          <w:w w:val="100"/>
          <w:position w:val="0"/>
        </w:rPr>
        <w:t>①本公司作为经营租赁承租人时，将经营租赁的租金支出，在租赁期内各个期间按照直 线法或根据租赁资产的使用量计入当期损益。出租人提供免租期的，本公司将租金总额在不 扣除免租期的整个租赁期内，按直线法或其他合理的方法进行分摊，免租期内确认租金费用 及相应的负债。出租人承担了承租人某些费用的，本公司按该费用从租金费用总额中扣除后 的租金费用余额在租赁期内进行分摊。</w:t>
      </w:r>
    </w:p>
    <w:p>
      <w:pPr>
        <w:pStyle w:val="Style64"/>
        <w:keepNext w:val="0"/>
        <w:keepLines w:val="0"/>
        <w:widowControl w:val="0"/>
        <w:shd w:val="clear" w:color="auto" w:fill="auto"/>
        <w:bidi w:val="0"/>
        <w:spacing w:before="0" w:line="240" w:lineRule="auto"/>
        <w:ind w:left="0" w:right="0"/>
        <w:jc w:val="both"/>
      </w:pPr>
      <w:r>
        <w:rPr>
          <w:color w:val="000000"/>
          <w:spacing w:val="0"/>
          <w:w w:val="100"/>
          <w:position w:val="0"/>
        </w:rPr>
        <w:t>初始直接费用，计入当期损益。如协议约定或有租金的在实际发生时计入当期损益。</w:t>
      </w:r>
    </w:p>
    <w:p>
      <w:pPr>
        <w:pStyle w:val="Style64"/>
        <w:keepNext w:val="0"/>
        <w:keepLines w:val="0"/>
        <w:widowControl w:val="0"/>
        <w:shd w:val="clear" w:color="auto" w:fill="auto"/>
        <w:bidi w:val="0"/>
        <w:spacing w:before="0" w:line="325" w:lineRule="exact"/>
        <w:ind w:left="0" w:right="0"/>
        <w:jc w:val="both"/>
      </w:pPr>
      <w:r>
        <w:rPr>
          <w:color w:val="000000"/>
          <w:spacing w:val="0"/>
          <w:w w:val="100"/>
          <w:position w:val="0"/>
        </w:rPr>
        <w:t>②本公司作为经营租赁出租人时，采用直线法将收到的租金在租赁期内确认为收益。出 租人提供免租期的，出租人将租金总额在不扣除免租期的整个租赁期内，按直线法或其他合 理的方法进行分配，免租期内出租人也确认租金收入。承担了承租人某些费用的，本公司按 该费用自租金收入总额中扣除后的租金收入余额在租赁期内进行分配。</w:t>
      </w:r>
    </w:p>
    <w:p>
      <w:pPr>
        <w:pStyle w:val="Style64"/>
        <w:keepNext w:val="0"/>
        <w:keepLines w:val="0"/>
        <w:widowControl w:val="0"/>
        <w:shd w:val="clear" w:color="auto" w:fill="auto"/>
        <w:bidi w:val="0"/>
        <w:spacing w:before="0" w:line="307" w:lineRule="exact"/>
        <w:ind w:left="0" w:right="0"/>
        <w:jc w:val="both"/>
      </w:pPr>
      <w:r>
        <w:rPr>
          <w:color w:val="000000"/>
          <w:spacing w:val="0"/>
          <w:w w:val="100"/>
          <w:position w:val="0"/>
        </w:rPr>
        <w:t>初始直接费用，计入当期损益。金额较大的予以资本化，在整个经营租赁期内按照与确 认租金收入相同的基础分期计入当期损益。如协议约定或有租金的在实际发生时计入当期收 益。</w:t>
      </w:r>
    </w:p>
    <w:p>
      <w:pPr>
        <w:pStyle w:val="Style64"/>
        <w:keepNext w:val="0"/>
        <w:keepLines w:val="0"/>
        <w:widowControl w:val="0"/>
        <w:shd w:val="clear" w:color="auto" w:fill="auto"/>
        <w:bidi w:val="0"/>
        <w:spacing w:before="0" w:line="323" w:lineRule="exact"/>
        <w:ind w:left="0" w:right="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）融资租赁的会计处理方法</w:t>
      </w:r>
    </w:p>
    <w:p>
      <w:pPr>
        <w:pStyle w:val="Style64"/>
        <w:keepNext w:val="0"/>
        <w:keepLines w:val="0"/>
        <w:widowControl w:val="0"/>
        <w:numPr>
          <w:ilvl w:val="0"/>
          <w:numId w:val="87"/>
        </w:numPr>
        <w:shd w:val="clear" w:color="auto" w:fill="auto"/>
        <w:tabs>
          <w:tab w:pos="866" w:val="left"/>
        </w:tabs>
        <w:bidi w:val="0"/>
        <w:spacing w:before="0" w:line="323" w:lineRule="exact"/>
        <w:ind w:left="0" w:right="0"/>
        <w:jc w:val="both"/>
      </w:pPr>
      <w:bookmarkStart w:id="1082" w:name="bookmark1082"/>
      <w:bookmarkEnd w:id="1082"/>
      <w:r>
        <w:rPr>
          <w:color w:val="000000"/>
          <w:spacing w:val="0"/>
          <w:w w:val="100"/>
          <w:position w:val="0"/>
        </w:rPr>
        <w:t>本公司作为融资租赁承租人时，在租赁期开始日，将租赁开始日租赁资产公允价值与 最低租赁付款额现值两者中较低者作为租入资产的入账价值，将最低租赁付款额作为长期应 付款的入账价值，其差额作为未确认融资费用。在租赁期内各个期间采用实际利率法进行分 摊，确认为当期融资费用，计入财务费用。</w:t>
      </w:r>
    </w:p>
    <w:p>
      <w:pPr>
        <w:pStyle w:val="Style64"/>
        <w:keepNext w:val="0"/>
        <w:keepLines w:val="0"/>
        <w:widowControl w:val="0"/>
        <w:shd w:val="clear" w:color="auto" w:fill="auto"/>
        <w:bidi w:val="0"/>
        <w:spacing w:before="0" w:line="323" w:lineRule="exact"/>
        <w:ind w:left="0" w:right="0"/>
        <w:jc w:val="both"/>
      </w:pPr>
      <w:r>
        <w:rPr>
          <w:color w:val="000000"/>
          <w:spacing w:val="0"/>
          <w:w w:val="100"/>
          <w:position w:val="0"/>
        </w:rPr>
        <w:t>发生的初始直接费用，计入租入资产价值。</w:t>
      </w:r>
    </w:p>
    <w:p>
      <w:pPr>
        <w:pStyle w:val="Style64"/>
        <w:keepNext w:val="0"/>
        <w:keepLines w:val="0"/>
        <w:widowControl w:val="0"/>
        <w:shd w:val="clear" w:color="auto" w:fill="auto"/>
        <w:bidi w:val="0"/>
        <w:spacing w:before="0" w:line="315" w:lineRule="exact"/>
        <w:ind w:left="0" w:right="0"/>
        <w:jc w:val="both"/>
      </w:pPr>
      <w:r>
        <w:rPr>
          <w:color w:val="000000"/>
          <w:spacing w:val="0"/>
          <w:w w:val="100"/>
          <w:position w:val="0"/>
        </w:rPr>
        <w:t>在计提融资租赁资产折旧时，本公司采用与自有应折旧资产相一致的折旧政策，折旧期 间以租赁合同而定。如果能够合理确定租赁期届满时本公司将会取得租赁资产所有权，以租 赁期开始日租赁资产的寿命作为折旧期间；如果无法合理确定租赁期届满后本公司是否能够 取得租赁资产的所有权，以租赁期与租赁资产寿命两者中较短者作为折旧期间。</w:t>
      </w:r>
    </w:p>
    <w:p>
      <w:pPr>
        <w:pStyle w:val="Style64"/>
        <w:keepNext w:val="0"/>
        <w:keepLines w:val="0"/>
        <w:widowControl w:val="0"/>
        <w:numPr>
          <w:ilvl w:val="0"/>
          <w:numId w:val="87"/>
        </w:numPr>
        <w:shd w:val="clear" w:color="auto" w:fill="auto"/>
        <w:tabs>
          <w:tab w:pos="866" w:val="left"/>
        </w:tabs>
        <w:bidi w:val="0"/>
        <w:spacing w:before="0" w:after="660" w:line="325" w:lineRule="exact"/>
        <w:ind w:left="0" w:right="0"/>
        <w:jc w:val="both"/>
      </w:pPr>
      <w:bookmarkStart w:id="1083" w:name="bookmark1083"/>
      <w:bookmarkEnd w:id="1083"/>
      <w:r>
        <w:rPr>
          <w:color w:val="000000"/>
          <w:spacing w:val="0"/>
          <w:w w:val="100"/>
          <w:position w:val="0"/>
        </w:rPr>
        <w:t>本公司作为融资租赁出租人时，于租赁期开始日将租赁开始日最低租赁应收款额与初 始直接费用之和作为应收融资租赁款的入账价值，计入资产负债表的长期应收款，同时记录 未担保余值；将最低租赁应收款额、初始直接费用及未担保余值之和与其现值之和的差额作 为未实现融资收益，在租赁期内各个期间采用实际利率法确认为租赁收入。</w:t>
      </w:r>
    </w:p>
    <w:p>
      <w:pPr>
        <w:pStyle w:val="Style31"/>
        <w:keepNext/>
        <w:keepLines/>
        <w:widowControl w:val="0"/>
        <w:shd w:val="clear" w:color="auto" w:fill="auto"/>
        <w:bidi w:val="0"/>
        <w:spacing w:before="0" w:after="300" w:line="240" w:lineRule="auto"/>
        <w:ind w:left="0" w:right="0" w:firstLine="0"/>
        <w:jc w:val="left"/>
      </w:pPr>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37</w:t>
      </w:r>
      <w:r>
        <w:rPr>
          <w:color w:val="000000"/>
          <w:spacing w:val="0"/>
          <w:w w:val="100"/>
          <w:position w:val="0"/>
        </w:rPr>
        <w:t>、其他重要的会计政策和会计估计</w:t>
      </w:r>
      <w:bookmarkEnd w:id="1084"/>
      <w:bookmarkEnd w:id="1085"/>
      <w:bookmarkEnd w:id="1086"/>
    </w:p>
    <w:p>
      <w:pPr>
        <w:pStyle w:val="Style64"/>
        <w:keepNext w:val="0"/>
        <w:keepLines w:val="0"/>
        <w:widowControl w:val="0"/>
        <w:shd w:val="clear" w:color="auto" w:fill="auto"/>
        <w:bidi w:val="0"/>
        <w:spacing w:before="0" w:line="314" w:lineRule="exact"/>
        <w:ind w:left="0" w:right="0"/>
        <w:jc w:val="both"/>
      </w:pPr>
      <w:r>
        <w:rPr>
          <w:color w:val="000000"/>
          <w:spacing w:val="0"/>
          <w:w w:val="100"/>
          <w:position w:val="0"/>
        </w:rPr>
        <w:t>本公司根据历史经验和其它因素，包括对未来事项的合理预期，对所采用的重要会计估 计和关键假设进行持续的评价。很可能导致下一会计年度资产和负债的账面价值出现重大调 整风险的重要会计估计和关键假设列示如下：</w:t>
      </w:r>
    </w:p>
    <w:p>
      <w:pPr>
        <w:pStyle w:val="Style64"/>
        <w:keepNext w:val="0"/>
        <w:keepLines w:val="0"/>
        <w:widowControl w:val="0"/>
        <w:shd w:val="clear" w:color="auto" w:fill="auto"/>
        <w:bidi w:val="0"/>
        <w:spacing w:before="0" w:line="314" w:lineRule="exact"/>
        <w:ind w:left="0" w:right="0"/>
        <w:jc w:val="both"/>
      </w:pPr>
      <w:r>
        <w:rPr>
          <w:color w:val="000000"/>
          <w:spacing w:val="0"/>
          <w:w w:val="100"/>
          <w:position w:val="0"/>
        </w:rPr>
        <w:t>金融资产的分类</w:t>
      </w:r>
    </w:p>
    <w:p>
      <w:pPr>
        <w:pStyle w:val="Style64"/>
        <w:keepNext w:val="0"/>
        <w:keepLines w:val="0"/>
        <w:widowControl w:val="0"/>
        <w:shd w:val="clear" w:color="auto" w:fill="auto"/>
        <w:bidi w:val="0"/>
        <w:spacing w:before="0" w:line="317" w:lineRule="exact"/>
        <w:ind w:left="0" w:right="0"/>
        <w:jc w:val="both"/>
      </w:pPr>
      <w:r>
        <w:rPr>
          <w:color w:val="000000"/>
          <w:spacing w:val="0"/>
          <w:w w:val="100"/>
          <w:position w:val="0"/>
        </w:rPr>
        <w:t>本公司在确定金融资产的分类时涉及的重大判断包括业务模式及合同现金流量特征的分 析等。</w:t>
      </w:r>
    </w:p>
    <w:p>
      <w:pPr>
        <w:pStyle w:val="Style64"/>
        <w:keepNext w:val="0"/>
        <w:keepLines w:val="0"/>
        <w:widowControl w:val="0"/>
        <w:shd w:val="clear" w:color="auto" w:fill="auto"/>
        <w:bidi w:val="0"/>
        <w:spacing w:before="0" w:line="307" w:lineRule="exact"/>
        <w:ind w:left="0" w:right="0"/>
        <w:jc w:val="both"/>
      </w:pPr>
      <w:r>
        <w:rPr>
          <w:color w:val="000000"/>
          <w:spacing w:val="0"/>
          <w:w w:val="100"/>
          <w:position w:val="0"/>
        </w:rPr>
        <w:t>本公司在金融资产组合的层次上确定管理金融资产的业务模式，考虑的因素包括评价和 向关键管理人员报告金融资产业绩的方式、影响金融资产业绩的风险及其管理方式、以及相 关业务管理人员获得报酬的方式等。</w:t>
      </w:r>
    </w:p>
    <w:p>
      <w:pPr>
        <w:pStyle w:val="Style64"/>
        <w:keepNext w:val="0"/>
        <w:keepLines w:val="0"/>
        <w:widowControl w:val="0"/>
        <w:shd w:val="clear" w:color="auto" w:fill="auto"/>
        <w:bidi w:val="0"/>
        <w:spacing w:before="0" w:line="314" w:lineRule="exact"/>
        <w:ind w:left="0" w:right="0"/>
        <w:jc w:val="both"/>
      </w:pPr>
      <w:r>
        <w:rPr>
          <w:color w:val="000000"/>
          <w:spacing w:val="0"/>
          <w:w w:val="100"/>
          <w:position w:val="0"/>
        </w:rPr>
        <w:t>本公司在评估金融资产的合同现金流量是否与基本借贷安排相一致时，存在以下主要判 断：本金是否可能因提前还款等原因导致在存续期内的时间分布或者金额发生变动；利息是 否仅包括货币时间价值、信用风险、其他基本借贷风险以及与成本和利润的对价。例如，提 前偿付的金额是否仅反映了尚未支付的本金及以未偿付本金为基础的利息，以及因提前终止 合同而支付的合理补偿。</w:t>
      </w:r>
    </w:p>
    <w:p>
      <w:pPr>
        <w:pStyle w:val="Style64"/>
        <w:keepNext w:val="0"/>
        <w:keepLines w:val="0"/>
        <w:widowControl w:val="0"/>
        <w:shd w:val="clear" w:color="auto" w:fill="auto"/>
        <w:bidi w:val="0"/>
        <w:spacing w:before="0" w:line="314" w:lineRule="exact"/>
        <w:ind w:left="0" w:right="0"/>
        <w:jc w:val="both"/>
      </w:pPr>
      <w:r>
        <w:rPr>
          <w:color w:val="000000"/>
          <w:spacing w:val="0"/>
          <w:w w:val="100"/>
          <w:position w:val="0"/>
        </w:rPr>
        <w:t>应收账款预期信用损失的计量</w:t>
      </w:r>
    </w:p>
    <w:p>
      <w:pPr>
        <w:pStyle w:val="Style64"/>
        <w:keepNext w:val="0"/>
        <w:keepLines w:val="0"/>
        <w:widowControl w:val="0"/>
        <w:shd w:val="clear" w:color="auto" w:fill="auto"/>
        <w:bidi w:val="0"/>
        <w:spacing w:before="0"/>
        <w:ind w:left="0" w:right="0"/>
        <w:jc w:val="both"/>
      </w:pPr>
      <w:r>
        <w:rPr>
          <w:color w:val="000000"/>
          <w:spacing w:val="0"/>
          <w:w w:val="100"/>
          <w:position w:val="0"/>
        </w:rPr>
        <w:t>本公司通过应收账款违约风险敞口和预期信用损失率计算应收账款预期信用损失，并基 于违约概率和违约损失率确定预期信用损失率。在确定预期信用损失率时，本公司使用内部 历史信用损失经验等数据，并结合当前状况和前瞻性信息对历史数据进行调整。在考虑前瞻 性信息时，本公司使用的指标包括经济下滑的风险、外部市场环境、技术环境和客户情况的 变化等。本公司定期监控并复核与预期信用损失计算相关的假设。</w:t>
      </w:r>
    </w:p>
    <w:p>
      <w:pPr>
        <w:pStyle w:val="Style64"/>
        <w:keepNext w:val="0"/>
        <w:keepLines w:val="0"/>
        <w:widowControl w:val="0"/>
        <w:shd w:val="clear" w:color="auto" w:fill="auto"/>
        <w:bidi w:val="0"/>
        <w:spacing w:before="0" w:line="313" w:lineRule="exact"/>
        <w:ind w:left="0" w:right="0"/>
        <w:jc w:val="left"/>
      </w:pPr>
      <w:r>
        <w:rPr>
          <w:color w:val="000000"/>
          <w:spacing w:val="0"/>
          <w:w w:val="100"/>
          <w:position w:val="0"/>
        </w:rPr>
        <w:t>商誉减值</w:t>
      </w:r>
    </w:p>
    <w:p>
      <w:pPr>
        <w:pStyle w:val="Style64"/>
        <w:keepNext w:val="0"/>
        <w:keepLines w:val="0"/>
        <w:widowControl w:val="0"/>
        <w:shd w:val="clear" w:color="auto" w:fill="auto"/>
        <w:bidi w:val="0"/>
        <w:spacing w:before="0" w:line="319" w:lineRule="exact"/>
        <w:ind w:left="0" w:right="0"/>
        <w:jc w:val="both"/>
      </w:pPr>
      <w:r>
        <w:rPr>
          <w:color w:val="000000"/>
          <w:spacing w:val="0"/>
          <w:w w:val="100"/>
          <w:position w:val="0"/>
        </w:rPr>
        <w:t>本公司至少每年评估商誉是否发生减值。这要求对分配了商誉的资产组的使用价值进行 估计。估计使用价值时，本公司需要估计未来来自资产组的现金流量，同时选择恰当的折现 率计算未来现金流量的现值。</w:t>
      </w:r>
    </w:p>
    <w:p>
      <w:pPr>
        <w:pStyle w:val="Style64"/>
        <w:keepNext w:val="0"/>
        <w:keepLines w:val="0"/>
        <w:widowControl w:val="0"/>
        <w:shd w:val="clear" w:color="auto" w:fill="auto"/>
        <w:bidi w:val="0"/>
        <w:spacing w:before="0" w:line="313" w:lineRule="exact"/>
        <w:ind w:left="0" w:right="0"/>
        <w:jc w:val="both"/>
      </w:pPr>
      <w:r>
        <w:rPr>
          <w:color w:val="000000"/>
          <w:spacing w:val="0"/>
          <w:w w:val="100"/>
          <w:position w:val="0"/>
        </w:rPr>
        <w:t>递延所得税资产</w:t>
      </w:r>
    </w:p>
    <w:p>
      <w:pPr>
        <w:pStyle w:val="Style64"/>
        <w:keepNext w:val="0"/>
        <w:keepLines w:val="0"/>
        <w:widowControl w:val="0"/>
        <w:shd w:val="clear" w:color="auto" w:fill="auto"/>
        <w:bidi w:val="0"/>
        <w:spacing w:before="0" w:line="314" w:lineRule="exact"/>
        <w:ind w:left="0" w:right="0"/>
        <w:jc w:val="both"/>
      </w:pPr>
      <w:r>
        <w:rPr>
          <w:color w:val="000000"/>
          <w:spacing w:val="0"/>
          <w:w w:val="100"/>
          <w:position w:val="0"/>
        </w:rPr>
        <w:t>在很有可能有足够的应纳税利润来抵扣亏损的限度内，应就所有未利用的税务亏损确认 递延所得税资产。这需要管理层运用大量的判断来估计未来应纳税利润发生的时间和金额， 结合纳税筹划策略，以决定应确认的递延所得税资产的金额。</w:t>
      </w:r>
    </w:p>
    <w:p>
      <w:pPr>
        <w:pStyle w:val="Style64"/>
        <w:keepNext w:val="0"/>
        <w:keepLines w:val="0"/>
        <w:widowControl w:val="0"/>
        <w:shd w:val="clear" w:color="auto" w:fill="auto"/>
        <w:bidi w:val="0"/>
        <w:spacing w:before="0" w:line="313" w:lineRule="exact"/>
        <w:ind w:left="0" w:right="0"/>
        <w:jc w:val="both"/>
      </w:pPr>
      <w:r>
        <w:rPr>
          <w:color w:val="000000"/>
          <w:spacing w:val="0"/>
          <w:w w:val="100"/>
          <w:position w:val="0"/>
        </w:rPr>
        <w:t>未上市权益投资的公允价值确定</w:t>
      </w:r>
    </w:p>
    <w:p>
      <w:pPr>
        <w:pStyle w:val="Style64"/>
        <w:keepNext w:val="0"/>
        <w:keepLines w:val="0"/>
        <w:widowControl w:val="0"/>
        <w:shd w:val="clear" w:color="auto" w:fill="auto"/>
        <w:bidi w:val="0"/>
        <w:spacing w:before="0" w:after="380" w:line="313" w:lineRule="exact"/>
        <w:ind w:left="0" w:right="0"/>
        <w:jc w:val="both"/>
      </w:pPr>
      <w:r>
        <w:rPr>
          <w:color w:val="000000"/>
          <w:spacing w:val="0"/>
          <w:w w:val="100"/>
          <w:position w:val="0"/>
        </w:rPr>
        <w:t>未上市的权益投资的公允价值是根据具有类似条款和风险特征的项目当前折现率折现的 预计未来现金流量。这种估价要求本公司估计预期未来现金流量和折现率，因此具有不确定 性。在有限情况下，如果用以确定公允价值的信息不足，或者公允价值的可能估计金额分布 范围很广，而成本代表了该范围内对公允价值的最佳估计的，该成本可代表其在该分布范围 内对公允价值的恰当估计。</w:t>
      </w:r>
    </w:p>
    <w:p>
      <w:pPr>
        <w:pStyle w:val="Style31"/>
        <w:keepNext/>
        <w:keepLines/>
        <w:widowControl w:val="0"/>
        <w:shd w:val="clear" w:color="auto" w:fill="auto"/>
        <w:bidi w:val="0"/>
        <w:spacing w:before="0" w:after="380" w:line="240" w:lineRule="auto"/>
        <w:ind w:left="0" w:right="0" w:firstLine="0"/>
        <w:jc w:val="left"/>
      </w:pPr>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38</w:t>
      </w:r>
      <w:r>
        <w:rPr>
          <w:color w:val="000000"/>
          <w:spacing w:val="0"/>
          <w:w w:val="100"/>
          <w:position w:val="0"/>
        </w:rPr>
        <w:t>、重要会计政策和会计估计变更</w:t>
      </w:r>
      <w:bookmarkEnd w:id="1087"/>
      <w:bookmarkEnd w:id="1088"/>
      <w:bookmarkEnd w:id="1089"/>
    </w:p>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1090" w:name="bookmark109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）重要会计政策变更</w:t>
      </w:r>
      <w:bookmarkEnd w:id="1090"/>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4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日，财政部 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 （以下简称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）。要求在境内 外同时上市的企业以及在境外上市并按 《国际财务报告准则》或《企业会计准 则》编制财务报表的企业自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日起实施新租赁准则，其中母公司或子 公司在境外上市且按照《国际财务报告 准则》或《企业会计准则》编制其境外 财务报表的企业可以提前实施。本公司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日执行新租赁准则，对 会计政策的相关内容进行调整，详见本 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之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日召开第五 届董事会第三次会议批准。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keepLines/>
        <w:widowControl w:val="0"/>
        <w:numPr>
          <w:ilvl w:val="0"/>
          <w:numId w:val="89"/>
        </w:numPr>
        <w:shd w:val="clear" w:color="auto" w:fill="auto"/>
        <w:tabs>
          <w:tab w:pos="493" w:val="left"/>
        </w:tabs>
        <w:bidi w:val="0"/>
        <w:spacing w:before="0" w:line="240" w:lineRule="auto"/>
        <w:ind w:left="0" w:right="0" w:firstLine="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重要会计估计变更</w:t>
      </w:r>
      <w:bookmarkEnd w:id="1091"/>
      <w:bookmarkEnd w:id="1092"/>
      <w:bookmarkEnd w:id="109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89"/>
        </w:numPr>
        <w:shd w:val="clear" w:color="auto" w:fill="auto"/>
        <w:tabs>
          <w:tab w:pos="493" w:val="left"/>
        </w:tabs>
        <w:bidi w:val="0"/>
        <w:spacing w:before="0" w:line="240" w:lineRule="auto"/>
        <w:ind w:left="0" w:right="0" w:firstLine="0"/>
        <w:jc w:val="left"/>
      </w:pPr>
      <w:bookmarkStart w:id="1095" w:name="bookmark1095"/>
      <w:bookmarkStart w:id="1096" w:name="bookmark1096"/>
      <w:bookmarkStart w:id="1097" w:name="bookmark1097"/>
      <w:bookmarkStart w:id="1098" w:name="bookmark1098"/>
      <w:bookmarkEnd w:id="1097"/>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95"/>
      <w:bookmarkEnd w:id="1096"/>
      <w:bookmarkEnd w:id="109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498,750,220.82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498,750,220.82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90,149,479.96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90,149,479.96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929,259,904.04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929,259,904.04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80,156,424.77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80,156,424.77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23,276,077.23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23,276,077.23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30,279,620.04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30,279,620.04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361,818,479.72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361,818,479.72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19,629,291.74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19,629,291.74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2,033,319,498.32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2,033,319,498.32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186,252,088.41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186,252,088.41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22,869,569.29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22,869,569.29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1,302,130,087.30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1,302,130,087.30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69,157,255.23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69,157,255.23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4,787,106.98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4,787,106.98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98,163,198.76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98,163,198.76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1,073,795,341.86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1,073,795,341.86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1,114,056.63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1,114,056.63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29,900,852.77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29,900,852.77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112,571,139.46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112,571,139.46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2,895,953,589.71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2,900,740,696.69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4,787,106.98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4,929,273,088.03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4,934,060,195.01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4,787,106.98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677,643,509.06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677,643,509.06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14,690,815.99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14,690,815.99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410,752,035.19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410,752,035.19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487,337.77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487,337.77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53,916,044.56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53,916,044.56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35,097,773.29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35,097,773.29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30,918,344.99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30,918,344.99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12,368,277.87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12,368,277.87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58,990,357.92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58,990,357.92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1,814,237.30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1,814,237.30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1,296,678,733.94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1,296,678,733.94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720,631,014.07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720,631,014.07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492,397,175.55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492,397,175.55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4,787,106.98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4,787,106.98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26,148,723.93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26,148,723.93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15,188,279.28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15,188,279.28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1,254,365,192.83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1,259,152,299.81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4,787,106.98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2,551,043,926.77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2,555,831,033.75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4,787,106.98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360,221,663.00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360,221,663.00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67,460,545.19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67,460,545.19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862,200,516.67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862,200,516.67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80,956,469.37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80,956,469.37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67,124,757.99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67,124,757.99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945,354,269.62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945,354,269.62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2,383,318,221.84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2,383,318,221.84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-5,089,060.58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-5,089,060.58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2,378,229,161.26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2,378,229,161.26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4,929,273,088.03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4,934,060,195.01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4,787,106.98</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232,914,288.13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232,914,288.13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15,299,096.36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15,299,096.36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219,713,146.78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219,713,146.78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35,369,694.83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35,369,694.83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9,072,947.09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9,072,947.09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215,516,953.40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215,516,953.40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115,832,715.55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115,832,715.55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9,247,430.50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9,247,430.50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852,966,272.64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852,966,272.64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2,270,416,357.37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2,270,416,357.37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10,850,894.85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10,850,894.85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162,654,475.80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162,654,475.80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657,063.62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657,063.62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6,108,704.86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6,108,704.86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6,383,638.84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6,383,638.84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2,457,151,135.34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2,457,151,135.34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3,310,117,407.98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3,310,117,407.98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312,143,170.57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312,143,170.57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134,957,674.20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134,957,674.20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487,337.77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487,337.77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11,893,858.31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11,893,858.31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9,856,582.40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9,856,582.40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239,244.23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239,244.23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35,801,135.30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35,801,135.30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35,054,202.03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35,054,202.03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619,026.94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619,026.94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541,052,231.75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541,052,231.75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245,780,495.32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245,780,495.32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492,397,175.55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492,397,175.55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872,066.62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872,066.62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739,049,737.49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739,049,737.49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1,280,101,969.24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1,280,101,969.24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360,221,663.00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360,221,663.00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67,460,545.19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67,460,545.19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1,160,592,223.86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1,160,592,223.86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67,124,757.99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67,124,757.99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374,616,248.70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374,616,248.70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2,030,015,438.74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2,030,015,438.74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3,310,117,407.98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3,310,117,407.98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40"/>
        <w:keepNext/>
        <w:keepLines/>
        <w:widowControl w:val="0"/>
        <w:shd w:val="clear" w:color="auto" w:fill="auto"/>
        <w:tabs>
          <w:tab w:pos="493" w:val="left"/>
        </w:tabs>
        <w:bidi w:val="0"/>
        <w:spacing w:before="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shd w:val="clear" w:color="auto" w:fill="FFFFFF"/>
        </w:rPr>
        <w:t>（</w:t>
      </w:r>
      <w:bookmarkEnd w:id="1101"/>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99"/>
      <w:bookmarkEnd w:id="1100"/>
      <w:bookmarkEnd w:id="1102"/>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39</w:t>
      </w:r>
      <w:r>
        <w:rPr>
          <w:color w:val="000000"/>
          <w:spacing w:val="0"/>
          <w:w w:val="100"/>
          <w:position w:val="0"/>
        </w:rPr>
        <w:t>、其他</w:t>
      </w:r>
      <w:bookmarkEnd w:id="1103"/>
      <w:bookmarkEnd w:id="1104"/>
      <w:bookmarkEnd w:id="1105"/>
    </w:p>
    <w:p>
      <w:pPr>
        <w:pStyle w:val="Style23"/>
        <w:keepNext/>
        <w:keepLines/>
        <w:widowControl w:val="0"/>
        <w:shd w:val="clear" w:color="auto" w:fill="auto"/>
        <w:bidi w:val="0"/>
        <w:spacing w:before="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六</w:t>
      </w:r>
      <w:bookmarkEnd w:id="1108"/>
      <w:r>
        <w:rPr>
          <w:color w:val="000000"/>
          <w:spacing w:val="0"/>
          <w:w w:val="100"/>
          <w:position w:val="0"/>
        </w:rPr>
        <w:t>、税项</w:t>
      </w:r>
      <w:bookmarkEnd w:id="1106"/>
      <w:bookmarkEnd w:id="1107"/>
      <w:bookmarkEnd w:id="1109"/>
    </w:p>
    <w:p>
      <w:pPr>
        <w:pStyle w:val="Style31"/>
        <w:keepNext/>
        <w:keepLines/>
        <w:widowControl w:val="0"/>
        <w:shd w:val="clear" w:color="auto" w:fill="auto"/>
        <w:bidi w:val="0"/>
        <w:spacing w:before="0" w:after="30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1</w:t>
      </w:r>
      <w:bookmarkEnd w:id="1112"/>
      <w:r>
        <w:rPr>
          <w:color w:val="000000"/>
          <w:spacing w:val="0"/>
          <w:w w:val="100"/>
          <w:position w:val="0"/>
        </w:rPr>
        <w:t>、主要税种及税率</w:t>
      </w:r>
      <w:bookmarkEnd w:id="1110"/>
      <w:bookmarkEnd w:id="1111"/>
      <w:bookmarkEnd w:id="111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商品与服务税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销售商品或提供服务额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房屋的计税余值或租金收入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或 </w:t>
            </w:r>
            <w:r>
              <w:rPr>
                <w:rFonts w:ascii="Times New Roman" w:eastAsia="Times New Roman" w:hAnsi="Times New Roman" w:cs="Times New Roman"/>
                <w:color w:val="000000"/>
                <w:spacing w:val="0"/>
                <w:w w:val="100"/>
                <w:position w:val="0"/>
                <w:sz w:val="18"/>
                <w:szCs w:val="18"/>
              </w:rPr>
              <w:t>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实际占用的土地面积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元</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9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澳洲红相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厄瓜多尔分公司、</w:t>
            </w:r>
            <w:r>
              <w:rPr>
                <w:rFonts w:ascii="Times New Roman" w:eastAsia="Times New Roman" w:hAnsi="Times New Roman" w:cs="Times New Roman"/>
                <w:color w:val="000000"/>
                <w:spacing w:val="0"/>
                <w:w w:val="100"/>
                <w:position w:val="0"/>
                <w:sz w:val="18"/>
                <w:szCs w:val="18"/>
              </w:rPr>
              <w:t>LONGFOR</w:t>
            </w:r>
            <w:r>
              <w:rPr>
                <w:color w:val="000000"/>
                <w:spacing w:val="0"/>
                <w:w w:val="100"/>
                <w:position w:val="0"/>
              </w:rPr>
              <w:t>联合体、</w:t>
            </w:r>
            <w:r>
              <w:rPr>
                <w:rFonts w:ascii="Times New Roman" w:eastAsia="Times New Roman" w:hAnsi="Times New Roman" w:cs="Times New Roman"/>
                <w:color w:val="000000"/>
                <w:spacing w:val="0"/>
                <w:w w:val="100"/>
                <w:position w:val="0"/>
                <w:sz w:val="18"/>
                <w:szCs w:val="18"/>
              </w:rPr>
              <w:t>WOTAL</w:t>
            </w:r>
            <w:r>
              <w:rPr>
                <w:color w:val="000000"/>
                <w:spacing w:val="0"/>
                <w:w w:val="100"/>
                <w:position w:val="0"/>
              </w:rPr>
              <w:t>联合体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1114" w:name="bookmark111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bookmarkEnd w:id="1114"/>
    </w:p>
    <w:p>
      <w:pPr>
        <w:widowControl w:val="0"/>
        <w:spacing w:after="299" w:line="1" w:lineRule="exact"/>
      </w:pPr>
    </w:p>
    <w:p>
      <w:pPr>
        <w:pStyle w:val="Style64"/>
        <w:keepNext w:val="0"/>
        <w:keepLines w:val="0"/>
        <w:widowControl w:val="0"/>
        <w:shd w:val="clear" w:color="auto" w:fill="auto"/>
        <w:bidi w:val="0"/>
        <w:spacing w:before="0" w:after="0" w:line="310"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）企业所得税优惠</w:t>
      </w:r>
    </w:p>
    <w:p>
      <w:pPr>
        <w:pStyle w:val="Style64"/>
        <w:keepNext w:val="0"/>
        <w:keepLines w:val="0"/>
        <w:widowControl w:val="0"/>
        <w:shd w:val="clear" w:color="auto" w:fill="auto"/>
        <w:bidi w:val="0"/>
        <w:spacing w:before="0" w:line="310" w:lineRule="exact"/>
        <w:ind w:left="0" w:right="0"/>
        <w:jc w:val="both"/>
      </w:pPr>
      <w:r>
        <w:rPr>
          <w:color w:val="000000"/>
          <w:spacing w:val="0"/>
          <w:w w:val="100"/>
          <w:position w:val="0"/>
        </w:rPr>
        <w:t>①高新技术企业所得税优惠</w:t>
      </w:r>
    </w:p>
    <w:p>
      <w:pPr>
        <w:pStyle w:val="Style64"/>
        <w:keepNext w:val="0"/>
        <w:keepLines w:val="0"/>
        <w:widowControl w:val="0"/>
        <w:shd w:val="clear" w:color="auto" w:fill="auto"/>
        <w:bidi w:val="0"/>
        <w:spacing w:before="0" w:after="200"/>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月取得新的高新技术企业证书，证书编号：</w:t>
      </w:r>
      <w:r>
        <w:rPr>
          <w:rFonts w:ascii="Times New Roman" w:eastAsia="Times New Roman" w:hAnsi="Times New Roman" w:cs="Times New Roman"/>
          <w:color w:val="000000"/>
          <w:spacing w:val="0"/>
          <w:w w:val="100"/>
          <w:position w:val="0"/>
          <w:sz w:val="24"/>
          <w:szCs w:val="24"/>
        </w:rPr>
        <w:t>GR202135100358</w:t>
      </w:r>
      <w:r>
        <w:rPr>
          <w:color w:val="000000"/>
          <w:spacing w:val="0"/>
          <w:w w:val="100"/>
          <w:position w:val="0"/>
        </w:rPr>
        <w:t>,</w:t>
      </w:r>
      <w:r>
        <w:rPr>
          <w:color w:val="000000"/>
          <w:spacing w:val="0"/>
          <w:w w:val="100"/>
          <w:position w:val="0"/>
        </w:rPr>
        <w:t>在有效 认定期</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2021-2023</w:t>
      </w:r>
      <w:r>
        <w:rPr>
          <w:color w:val="000000"/>
          <w:spacing w:val="0"/>
          <w:w w:val="100"/>
          <w:position w:val="0"/>
        </w:rPr>
        <w:t>年）内按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的税率征收企业所得税。</w:t>
      </w:r>
    </w:p>
    <w:p>
      <w:pPr>
        <w:pStyle w:val="Style64"/>
        <w:keepNext w:val="0"/>
        <w:keepLines w:val="0"/>
        <w:widowControl w:val="0"/>
        <w:shd w:val="clear" w:color="auto" w:fill="auto"/>
        <w:bidi w:val="0"/>
        <w:spacing w:before="0" w:after="200" w:line="307" w:lineRule="exact"/>
        <w:ind w:left="0" w:right="0"/>
        <w:jc w:val="both"/>
      </w:pPr>
      <w:r>
        <w:rPr>
          <w:color w:val="000000"/>
          <w:spacing w:val="0"/>
          <w:w w:val="100"/>
          <w:position w:val="0"/>
        </w:rPr>
        <w:t>子公司浙江涵普于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 xml:space="preserve">月份取得新的高新技术企业证书，证书编号： </w:t>
      </w:r>
      <w:r>
        <w:rPr>
          <w:rFonts w:ascii="Times New Roman" w:eastAsia="Times New Roman" w:hAnsi="Times New Roman" w:cs="Times New Roman"/>
          <w:color w:val="000000"/>
          <w:spacing w:val="0"/>
          <w:w w:val="100"/>
          <w:position w:val="0"/>
          <w:sz w:val="24"/>
          <w:szCs w:val="24"/>
        </w:rPr>
        <w:t>GR202133001878</w:t>
      </w:r>
      <w:r>
        <w:rPr>
          <w:color w:val="000000"/>
          <w:spacing w:val="0"/>
          <w:w w:val="100"/>
          <w:position w:val="0"/>
        </w:rPr>
        <w:t>，在有效认定期（</w:t>
      </w:r>
      <w:r>
        <w:rPr>
          <w:rFonts w:ascii="Times New Roman" w:eastAsia="Times New Roman" w:hAnsi="Times New Roman" w:cs="Times New Roman"/>
          <w:color w:val="000000"/>
          <w:spacing w:val="0"/>
          <w:w w:val="100"/>
          <w:position w:val="0"/>
          <w:sz w:val="24"/>
          <w:szCs w:val="24"/>
        </w:rPr>
        <w:t>2021-2023</w:t>
      </w:r>
      <w:r>
        <w:rPr>
          <w:color w:val="000000"/>
          <w:spacing w:val="0"/>
          <w:w w:val="100"/>
          <w:position w:val="0"/>
        </w:rPr>
        <w:t>年）内按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的税率缴纳企业所得税。</w:t>
      </w:r>
    </w:p>
    <w:p>
      <w:pPr>
        <w:pStyle w:val="Style64"/>
        <w:keepNext w:val="0"/>
        <w:keepLines w:val="0"/>
        <w:widowControl w:val="0"/>
        <w:shd w:val="clear" w:color="auto" w:fill="auto"/>
        <w:bidi w:val="0"/>
        <w:spacing w:before="0" w:after="200" w:line="307" w:lineRule="exact"/>
        <w:ind w:left="0" w:right="0"/>
        <w:jc w:val="both"/>
      </w:pPr>
      <w:r>
        <w:rPr>
          <w:color w:val="000000"/>
          <w:spacing w:val="0"/>
          <w:w w:val="100"/>
          <w:position w:val="0"/>
        </w:rPr>
        <w:t>子公司星波通信于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年度取得了安徽省科学技术厅、安徽省财政厅、安徽省国家税务 局联合颁发的《高新技术企业证书》（证书编号为：</w:t>
      </w:r>
      <w:r>
        <w:rPr>
          <w:rFonts w:ascii="Times New Roman" w:eastAsia="Times New Roman" w:hAnsi="Times New Roman" w:cs="Times New Roman"/>
          <w:color w:val="000000"/>
          <w:spacing w:val="0"/>
          <w:w w:val="100"/>
          <w:position w:val="0"/>
          <w:sz w:val="24"/>
          <w:szCs w:val="24"/>
        </w:rPr>
        <w:t>GR202034002542</w:t>
      </w:r>
      <w:r>
        <w:rPr>
          <w:color w:val="000000"/>
          <w:spacing w:val="0"/>
          <w:w w:val="100"/>
          <w:position w:val="0"/>
        </w:rPr>
        <w:t xml:space="preserve">号），在有效认定期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2020-2023</w:t>
      </w:r>
      <w:r>
        <w:rPr>
          <w:color w:val="000000"/>
          <w:spacing w:val="0"/>
          <w:w w:val="100"/>
          <w:position w:val="0"/>
        </w:rPr>
        <w:t>年）内按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的税率缴纳企业所得税。</w:t>
      </w:r>
    </w:p>
    <w:p>
      <w:pPr>
        <w:pStyle w:val="Style64"/>
        <w:keepNext w:val="0"/>
        <w:keepLines w:val="0"/>
        <w:widowControl w:val="0"/>
        <w:shd w:val="clear" w:color="auto" w:fill="auto"/>
        <w:bidi w:val="0"/>
        <w:spacing w:before="0" w:after="200" w:line="310" w:lineRule="exact"/>
        <w:ind w:left="0" w:right="0"/>
        <w:jc w:val="both"/>
      </w:pPr>
      <w:r>
        <w:rPr>
          <w:color w:val="000000"/>
          <w:spacing w:val="0"/>
          <w:w w:val="100"/>
          <w:position w:val="0"/>
        </w:rPr>
        <w:t>子公司银川卧龙于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年度取得宁夏回族自治区科学技术厅、宁夏回族自治区财政厅、 宁夏回族自治区国家税务局联合颁发编号为</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GR202064000128</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《高新技术企业证书》，在 有效认定期</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2020-2023</w:t>
      </w:r>
      <w:r>
        <w:rPr>
          <w:color w:val="000000"/>
          <w:spacing w:val="0"/>
          <w:w w:val="100"/>
          <w:position w:val="0"/>
        </w:rPr>
        <w:t>年）内按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的税率缴纳企业所得税。</w:t>
      </w:r>
    </w:p>
    <w:p>
      <w:pPr>
        <w:pStyle w:val="Style64"/>
        <w:keepNext w:val="0"/>
        <w:keepLines w:val="0"/>
        <w:widowControl w:val="0"/>
        <w:shd w:val="clear" w:color="auto" w:fill="auto"/>
        <w:bidi w:val="0"/>
        <w:spacing w:before="0" w:after="200" w:line="310" w:lineRule="exact"/>
        <w:ind w:left="0" w:right="0"/>
        <w:jc w:val="both"/>
      </w:pPr>
      <w:r>
        <w:rPr>
          <w:color w:val="000000"/>
          <w:spacing w:val="0"/>
          <w:w w:val="100"/>
          <w:position w:val="0"/>
        </w:rPr>
        <w:t>子公司成都鼎屹于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年度取四川省科学技术厅、四川省财政厅、四川省国家税务局联 合颁发的编号为</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GR202051002167”</w:t>
      </w:r>
      <w:r>
        <w:rPr>
          <w:color w:val="000000"/>
          <w:spacing w:val="0"/>
          <w:w w:val="100"/>
          <w:position w:val="0"/>
        </w:rPr>
        <w:t>《高新技术企业证书》，在有效认定期（</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-2023</w:t>
      </w:r>
      <w:r>
        <w:rPr>
          <w:color w:val="000000"/>
          <w:spacing w:val="0"/>
          <w:w w:val="100"/>
          <w:position w:val="0"/>
        </w:rPr>
        <w:t>年） 内按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的税率缴纳企业所得税。</w:t>
      </w:r>
    </w:p>
    <w:p>
      <w:pPr>
        <w:pStyle w:val="Style64"/>
        <w:keepNext w:val="0"/>
        <w:keepLines w:val="0"/>
        <w:widowControl w:val="0"/>
        <w:shd w:val="clear" w:color="auto" w:fill="auto"/>
        <w:bidi w:val="0"/>
        <w:spacing w:before="0" w:after="200" w:line="311" w:lineRule="exact"/>
        <w:ind w:left="0" w:right="0"/>
        <w:jc w:val="both"/>
      </w:pPr>
      <w:r>
        <w:rPr>
          <w:color w:val="000000"/>
          <w:spacing w:val="0"/>
          <w:w w:val="100"/>
          <w:position w:val="0"/>
        </w:rPr>
        <w:t>②软件企业所得税优惠</w:t>
      </w:r>
    </w:p>
    <w:p>
      <w:pPr>
        <w:pStyle w:val="Style64"/>
        <w:keepNext w:val="0"/>
        <w:keepLines w:val="0"/>
        <w:widowControl w:val="0"/>
        <w:shd w:val="clear" w:color="auto" w:fill="auto"/>
        <w:bidi w:val="0"/>
        <w:spacing w:before="0" w:after="200" w:line="317" w:lineRule="exact"/>
        <w:ind w:left="0" w:right="0"/>
        <w:jc w:val="both"/>
      </w:pPr>
      <w:r>
        <w:rPr>
          <w:color w:val="000000"/>
          <w:spacing w:val="0"/>
          <w:w w:val="100"/>
          <w:position w:val="0"/>
        </w:rPr>
        <w:t>根据国发〔</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号《国务院关于印发进一步鼓励软件产业和集成电路产业发展若干政 策的通知》（国发〔</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号）和《关于软件和集成电路产业企业所得税优惠政策有关问题 的通知》（财税〔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49</w:t>
      </w:r>
      <w:r>
        <w:rPr>
          <w:color w:val="000000"/>
          <w:spacing w:val="0"/>
          <w:w w:val="100"/>
          <w:position w:val="0"/>
        </w:rPr>
        <w:t>号）的规定，对新办的符合条件的软件企业，经备案后，自获利 年度起，享受企业所得税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两免三减半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优惠政策。</w:t>
      </w:r>
    </w:p>
    <w:p>
      <w:pPr>
        <w:pStyle w:val="Style64"/>
        <w:keepNext w:val="0"/>
        <w:keepLines w:val="0"/>
        <w:widowControl w:val="0"/>
        <w:numPr>
          <w:ilvl w:val="0"/>
          <w:numId w:val="87"/>
        </w:numPr>
        <w:shd w:val="clear" w:color="auto" w:fill="auto"/>
        <w:tabs>
          <w:tab w:pos="861" w:val="left"/>
        </w:tabs>
        <w:bidi w:val="0"/>
        <w:spacing w:before="0" w:after="200" w:line="311" w:lineRule="exact"/>
        <w:ind w:left="0" w:right="0"/>
        <w:jc w:val="both"/>
      </w:pPr>
      <w:bookmarkStart w:id="1115" w:name="bookmark1115"/>
      <w:bookmarkEnd w:id="1115"/>
      <w:r>
        <w:rPr>
          <w:color w:val="000000"/>
          <w:spacing w:val="0"/>
          <w:w w:val="100"/>
          <w:position w:val="0"/>
        </w:rPr>
        <w:t>小微企业企业所得税优惠</w:t>
      </w:r>
    </w:p>
    <w:p>
      <w:pPr>
        <w:pStyle w:val="Style64"/>
        <w:keepNext w:val="0"/>
        <w:keepLines w:val="0"/>
        <w:widowControl w:val="0"/>
        <w:shd w:val="clear" w:color="auto" w:fill="auto"/>
        <w:bidi w:val="0"/>
        <w:spacing w:before="0" w:after="200" w:line="315" w:lineRule="exact"/>
        <w:ind w:left="0" w:right="0"/>
        <w:jc w:val="both"/>
      </w:pPr>
      <w:r>
        <w:rPr>
          <w:color w:val="000000"/>
          <w:spacing w:val="0"/>
          <w:w w:val="100"/>
          <w:position w:val="0"/>
        </w:rPr>
        <w:t>根据财税〔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号《关于实施小微企业普惠性税收减免政策的通知》的规定，自</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 xml:space="preserve">万元的部分，减按 </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万元但不 超过</w:t>
      </w:r>
      <w:r>
        <w:rPr>
          <w:rFonts w:ascii="Times New Roman" w:eastAsia="Times New Roman" w:hAnsi="Times New Roman" w:cs="Times New Roman"/>
          <w:color w:val="000000"/>
          <w:spacing w:val="0"/>
          <w:w w:val="100"/>
          <w:position w:val="0"/>
          <w:sz w:val="24"/>
          <w:szCs w:val="24"/>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%的税率缴纳企业所得税。子公司红 相软件、红相信息、孙公司涵普三维、涵普新能源、涵普软件、星波电子、成都中昊、杭州 红辉系小型微利企业，享受该优惠政策。</w:t>
      </w:r>
    </w:p>
    <w:p>
      <w:pPr>
        <w:pStyle w:val="Style64"/>
        <w:keepNext w:val="0"/>
        <w:keepLines w:val="0"/>
        <w:widowControl w:val="0"/>
        <w:shd w:val="clear" w:color="auto" w:fill="auto"/>
        <w:bidi w:val="0"/>
        <w:spacing w:before="0" w:after="200" w:line="319" w:lineRule="exact"/>
        <w:ind w:left="0" w:right="0"/>
        <w:jc w:val="both"/>
      </w:pPr>
      <w:r>
        <w:rPr>
          <w:color w:val="000000"/>
          <w:spacing w:val="0"/>
          <w:w w:val="100"/>
          <w:position w:val="0"/>
        </w:rPr>
        <w:t>根据财税</w:t>
      </w:r>
      <w:r>
        <w:rPr>
          <w:rFonts w:ascii="Times New Roman" w:eastAsia="Times New Roman" w:hAnsi="Times New Roman" w:cs="Times New Roman"/>
          <w:color w:val="000000"/>
          <w:spacing w:val="0"/>
          <w:w w:val="100"/>
          <w:position w:val="0"/>
          <w:sz w:val="24"/>
          <w:szCs w:val="24"/>
        </w:rPr>
        <w:t>[2021]12</w:t>
      </w:r>
      <w:r>
        <w:rPr>
          <w:color w:val="000000"/>
          <w:spacing w:val="0"/>
          <w:w w:val="100"/>
          <w:position w:val="0"/>
        </w:rPr>
        <w:t>号文件规定，</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日，对小型微利企业年应 纳税所得额不超过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万元的部分，在财税</w:t>
      </w:r>
      <w:r>
        <w:rPr>
          <w:rFonts w:ascii="Times New Roman" w:eastAsia="Times New Roman" w:hAnsi="Times New Roman" w:cs="Times New Roman"/>
          <w:color w:val="000000"/>
          <w:spacing w:val="0"/>
          <w:w w:val="100"/>
          <w:position w:val="0"/>
          <w:sz w:val="24"/>
          <w:szCs w:val="24"/>
        </w:rPr>
        <w:t>[2019]13</w:t>
      </w:r>
      <w:r>
        <w:rPr>
          <w:color w:val="000000"/>
          <w:spacing w:val="0"/>
          <w:w w:val="100"/>
          <w:position w:val="0"/>
        </w:rPr>
        <w:t>号文件规定的优惠政策基础上，再减半征 收企业所得税。</w:t>
      </w:r>
    </w:p>
    <w:p>
      <w:pPr>
        <w:pStyle w:val="Style64"/>
        <w:keepNext w:val="0"/>
        <w:keepLines w:val="0"/>
        <w:widowControl w:val="0"/>
        <w:numPr>
          <w:ilvl w:val="0"/>
          <w:numId w:val="87"/>
        </w:numPr>
        <w:shd w:val="clear" w:color="auto" w:fill="auto"/>
        <w:tabs>
          <w:tab w:pos="861" w:val="left"/>
        </w:tabs>
        <w:bidi w:val="0"/>
        <w:spacing w:before="0" w:after="200" w:line="311" w:lineRule="exact"/>
        <w:ind w:left="0" w:right="0"/>
        <w:jc w:val="both"/>
      </w:pPr>
      <w:bookmarkStart w:id="1116" w:name="bookmark1116"/>
      <w:bookmarkEnd w:id="1116"/>
      <w:r>
        <w:rPr>
          <w:color w:val="000000"/>
          <w:spacing w:val="0"/>
          <w:w w:val="100"/>
          <w:position w:val="0"/>
        </w:rPr>
        <w:t>所得税三免三减半政策</w:t>
      </w:r>
    </w:p>
    <w:p>
      <w:pPr>
        <w:pStyle w:val="Style64"/>
        <w:keepNext w:val="0"/>
        <w:keepLines w:val="0"/>
        <w:widowControl w:val="0"/>
        <w:shd w:val="clear" w:color="auto" w:fill="auto"/>
        <w:bidi w:val="0"/>
        <w:spacing w:before="0" w:after="200" w:line="309" w:lineRule="exact"/>
        <w:ind w:left="0" w:right="0"/>
        <w:jc w:val="both"/>
      </w:pPr>
      <w:r>
        <w:rPr>
          <w:color w:val="000000"/>
          <w:spacing w:val="0"/>
          <w:w w:val="100"/>
          <w:position w:val="0"/>
        </w:rPr>
        <w:t>按照财政部、国家税务总局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关于执行公共基础设施项目企业所得税优惠目录有关问题的 通知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（财税</w:t>
      </w:r>
      <w:r>
        <w:rPr>
          <w:rFonts w:ascii="Times New Roman" w:eastAsia="Times New Roman" w:hAnsi="Times New Roman" w:cs="Times New Roman"/>
          <w:color w:val="000000"/>
          <w:spacing w:val="0"/>
          <w:w w:val="100"/>
          <w:position w:val="0"/>
          <w:sz w:val="24"/>
          <w:szCs w:val="24"/>
        </w:rPr>
        <w:t>[2008]46</w:t>
      </w:r>
      <w:r>
        <w:rPr>
          <w:color w:val="000000"/>
          <w:spacing w:val="0"/>
          <w:w w:val="100"/>
          <w:position w:val="0"/>
        </w:rPr>
        <w:t>号），系于</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日后经批准的公共基础设施项目，其投资经营所 得，自该项目取得第一笔生产经营收入所属纳税年度起，第一年至第三年免征企业所得税， 第四年至第六年减半征收企业所得税。中宁新能源目前尚处于免税期，实际企业所得税税率 为</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。盐池华秦处于减半征收第一年，同时属于设在西部地区的鼓励类产业企业减按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 税率征收企业所得税，目前所得税率</w:t>
      </w:r>
      <w:r>
        <w:rPr>
          <w:rFonts w:ascii="Times New Roman" w:eastAsia="Times New Roman" w:hAnsi="Times New Roman" w:cs="Times New Roman"/>
          <w:color w:val="000000"/>
          <w:spacing w:val="0"/>
          <w:w w:val="100"/>
          <w:position w:val="0"/>
          <w:sz w:val="24"/>
          <w:szCs w:val="24"/>
        </w:rPr>
        <w:t>7.5%</w:t>
      </w:r>
      <w:r>
        <w:rPr>
          <w:color w:val="000000"/>
          <w:spacing w:val="0"/>
          <w:w w:val="100"/>
          <w:position w:val="0"/>
        </w:rPr>
        <w:t>。</w:t>
      </w:r>
    </w:p>
    <w:p>
      <w:pPr>
        <w:pStyle w:val="Style64"/>
        <w:keepNext w:val="0"/>
        <w:keepLines w:val="0"/>
        <w:widowControl w:val="0"/>
        <w:numPr>
          <w:ilvl w:val="0"/>
          <w:numId w:val="87"/>
        </w:numPr>
        <w:shd w:val="clear" w:color="auto" w:fill="auto"/>
        <w:bidi w:val="0"/>
        <w:spacing w:before="0" w:after="200" w:line="311" w:lineRule="exact"/>
        <w:ind w:left="0" w:right="0"/>
        <w:jc w:val="both"/>
      </w:pPr>
      <w:bookmarkStart w:id="1117" w:name="bookmark1117"/>
      <w:bookmarkEnd w:id="1117"/>
      <w:r>
        <w:rPr>
          <w:color w:val="000000"/>
          <w:spacing w:val="0"/>
          <w:w w:val="100"/>
          <w:position w:val="0"/>
        </w:rPr>
        <w:t>西部大开发企业所得税优惠</w:t>
      </w:r>
    </w:p>
    <w:p>
      <w:pPr>
        <w:pStyle w:val="Style64"/>
        <w:keepNext w:val="0"/>
        <w:keepLines w:val="0"/>
        <w:widowControl w:val="0"/>
        <w:shd w:val="clear" w:color="auto" w:fill="auto"/>
        <w:bidi w:val="0"/>
        <w:spacing w:before="0" w:after="200" w:line="310" w:lineRule="exact"/>
        <w:ind w:left="0" w:right="0"/>
        <w:jc w:val="both"/>
      </w:pPr>
      <w:r>
        <w:rPr>
          <w:color w:val="000000"/>
          <w:spacing w:val="0"/>
          <w:w w:val="100"/>
          <w:position w:val="0"/>
        </w:rPr>
        <w:t>根据财政部税务总局国家发展改革委《关于延续西部大开发企业所得税政策的公告》 （财政部公告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年第</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号），自</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2030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日，对设在西部地区的鼓励 类产业企业减按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的税率征收企业所得税。本条所称鼓励类产业企业是指以《西部地区鼓 励类产业目录》中规定的产业项目为主营业务，且其主营业务收入占企业收入总额</w:t>
      </w: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以上 的企业。宁夏银变属于设在西部地区的鼓励类产业企业减按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的税率征收企业所得税。</w:t>
      </w:r>
    </w:p>
    <w:p>
      <w:pPr>
        <w:pStyle w:val="Style64"/>
        <w:keepNext w:val="0"/>
        <w:keepLines w:val="0"/>
        <w:widowControl w:val="0"/>
        <w:shd w:val="clear" w:color="auto" w:fill="auto"/>
        <w:bidi w:val="0"/>
        <w:spacing w:before="0" w:after="140" w:line="311"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）增值税优惠</w:t>
      </w:r>
    </w:p>
    <w:p>
      <w:pPr>
        <w:pStyle w:val="Style64"/>
        <w:keepNext w:val="0"/>
        <w:keepLines w:val="0"/>
        <w:widowControl w:val="0"/>
        <w:shd w:val="clear" w:color="auto" w:fill="auto"/>
        <w:bidi w:val="0"/>
        <w:spacing w:before="0" w:after="200" w:line="311" w:lineRule="exact"/>
        <w:ind w:left="0" w:right="0"/>
        <w:jc w:val="both"/>
      </w:pPr>
      <w:r>
        <w:rPr>
          <w:color w:val="000000"/>
          <w:spacing w:val="0"/>
          <w:w w:val="100"/>
          <w:position w:val="0"/>
        </w:rPr>
        <w:t>根据财政部、国家税务总局、海关总署联合下发的《关于鼓励软件产业和集成电路产业 发展有关税收政策问题的通知》（财税〔</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号）的规定，自</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日起至</w:t>
      </w:r>
      <w:r>
        <w:rPr>
          <w:rFonts w:ascii="Times New Roman" w:eastAsia="Times New Roman" w:hAnsi="Times New Roman" w:cs="Times New Roman"/>
          <w:color w:val="000000"/>
          <w:spacing w:val="0"/>
          <w:w w:val="100"/>
          <w:position w:val="0"/>
          <w:sz w:val="24"/>
          <w:szCs w:val="24"/>
        </w:rPr>
        <w:t xml:space="preserve">2010 </w:t>
      </w:r>
      <w:r>
        <w:rPr>
          <w:color w:val="000000"/>
          <w:spacing w:val="0"/>
          <w:w w:val="100"/>
          <w:position w:val="0"/>
        </w:rPr>
        <w:t>年底以前，对增值税一般纳税人销售其自行开发生产的软件产品，按</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的法定税率征收增 值税后，对其增值税实际税负超过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的部分实行即征即退政策。根据</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日国务院 发布的《国务院关于印发进一步鼓励软件产业和集成电路产业发展若干政策的通知》（国发 〔</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号文），子公司浙江涵普、红相信息、红相软件和红相智能自行开发销售的软件产 品继续享受上述增值税优惠政策。</w:t>
      </w:r>
    </w:p>
    <w:p>
      <w:pPr>
        <w:pStyle w:val="Style64"/>
        <w:keepNext w:val="0"/>
        <w:keepLines w:val="0"/>
        <w:widowControl w:val="0"/>
        <w:shd w:val="clear" w:color="auto" w:fill="auto"/>
        <w:bidi w:val="0"/>
        <w:spacing w:before="0" w:after="200" w:line="311" w:lineRule="exact"/>
        <w:ind w:left="0" w:right="0"/>
        <w:jc w:val="left"/>
      </w:pPr>
      <w:r>
        <w:rPr>
          <w:color w:val="000000"/>
          <w:spacing w:val="0"/>
          <w:w w:val="100"/>
          <w:position w:val="0"/>
        </w:rPr>
        <w:t>根据《财政部、国家税务总局关于全面推开营业税改征增值税试点的通知》（财税〔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w:t>
      </w:r>
    </w:p>
    <w:p>
      <w:pPr>
        <w:pStyle w:val="Style64"/>
        <w:keepNext w:val="0"/>
        <w:keepLines w:val="0"/>
        <w:widowControl w:val="0"/>
        <w:shd w:val="clear" w:color="auto" w:fill="auto"/>
        <w:bidi w:val="0"/>
        <w:spacing w:before="0" w:after="880" w:line="314" w:lineRule="exact"/>
        <w:ind w:left="0" w:right="0" w:firstLine="0"/>
        <w:jc w:val="both"/>
      </w:pPr>
      <w:r>
        <w:rPr>
          <w:rFonts w:ascii="Times New Roman" w:eastAsia="Times New Roman" w:hAnsi="Times New Roman" w:cs="Times New Roman"/>
          <w:color w:val="000000"/>
          <w:spacing w:val="0"/>
          <w:w w:val="100"/>
          <w:position w:val="0"/>
          <w:sz w:val="24"/>
          <w:szCs w:val="24"/>
        </w:rPr>
        <w:t>36</w:t>
      </w:r>
      <w:r>
        <w:rPr>
          <w:color w:val="000000"/>
          <w:spacing w:val="0"/>
          <w:w w:val="100"/>
          <w:position w:val="0"/>
        </w:rPr>
        <w:t>号），子公司星波通信技术开发和技术转让所得免征增值税。根据财政部、国家税务总局 以及国防科工局相关文件规定，经国防科技工业局等主管单位登记备案的军品销售及研发合 同，子公司星波通信取得的军品业务收入免征增值税。</w:t>
      </w:r>
    </w:p>
    <w:p>
      <w:pPr>
        <w:pStyle w:val="Style31"/>
        <w:keepNext/>
        <w:keepLines/>
        <w:widowControl w:val="0"/>
        <w:shd w:val="clear" w:color="auto" w:fill="auto"/>
        <w:bidi w:val="0"/>
        <w:spacing w:before="0" w:after="300" w:line="240" w:lineRule="auto"/>
        <w:ind w:left="0" w:right="0" w:firstLine="0"/>
        <w:jc w:val="both"/>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3</w:t>
      </w:r>
      <w:bookmarkEnd w:id="1120"/>
      <w:r>
        <w:rPr>
          <w:color w:val="000000"/>
          <w:spacing w:val="0"/>
          <w:w w:val="100"/>
          <w:position w:val="0"/>
        </w:rPr>
        <w:t>、其他</w:t>
      </w:r>
      <w:bookmarkEnd w:id="1118"/>
      <w:bookmarkEnd w:id="1119"/>
      <w:bookmarkEnd w:id="1121"/>
    </w:p>
    <w:p>
      <w:pPr>
        <w:pStyle w:val="Style23"/>
        <w:keepNext/>
        <w:keepLines/>
        <w:widowControl w:val="0"/>
        <w:shd w:val="clear" w:color="auto" w:fill="auto"/>
        <w:bidi w:val="0"/>
        <w:spacing w:before="0" w:line="314" w:lineRule="exact"/>
        <w:ind w:left="0" w:right="0" w:firstLine="0"/>
        <w:jc w:val="both"/>
      </w:pPr>
      <w:bookmarkStart w:id="1122" w:name="bookmark1122"/>
      <w:bookmarkStart w:id="1123" w:name="bookmark1123"/>
      <w:bookmarkStart w:id="1124" w:name="bookmark1124"/>
      <w:bookmarkStart w:id="1125" w:name="bookmark1125"/>
      <w:r>
        <w:rPr>
          <w:color w:val="000000"/>
          <w:spacing w:val="0"/>
          <w:w w:val="100"/>
          <w:position w:val="0"/>
        </w:rPr>
        <w:t>七</w:t>
      </w:r>
      <w:bookmarkEnd w:id="1124"/>
      <w:r>
        <w:rPr>
          <w:color w:val="000000"/>
          <w:spacing w:val="0"/>
          <w:w w:val="100"/>
          <w:position w:val="0"/>
        </w:rPr>
        <w:t>、合并财务报表项目注释</w:t>
      </w:r>
      <w:bookmarkEnd w:id="1122"/>
      <w:bookmarkEnd w:id="1123"/>
      <w:bookmarkEnd w:id="1125"/>
    </w:p>
    <w:p>
      <w:pPr>
        <w:pStyle w:val="Style31"/>
        <w:keepNext/>
        <w:keepLines/>
        <w:widowControl w:val="0"/>
        <w:shd w:val="clear" w:color="auto" w:fill="auto"/>
        <w:bidi w:val="0"/>
        <w:spacing w:before="0" w:after="360" w:line="240" w:lineRule="auto"/>
        <w:ind w:left="0" w:right="0" w:firstLine="0"/>
        <w:jc w:val="both"/>
      </w:pPr>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26"/>
      <w:bookmarkEnd w:id="1127"/>
      <w:bookmarkEnd w:id="112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253,310.31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129,253.54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629,347,073.14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469,327,175.77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106,182,453.79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29,293,791.51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735,782,837.24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498,750,220.82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18,101,356.88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633,509.08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64"/>
        <w:keepNext w:val="0"/>
        <w:keepLines w:val="0"/>
        <w:widowControl w:val="0"/>
        <w:shd w:val="clear" w:color="auto" w:fill="auto"/>
        <w:tabs>
          <w:tab w:pos="1131" w:val="left"/>
        </w:tabs>
        <w:bidi w:val="0"/>
        <w:spacing w:before="0" w:after="200"/>
        <w:ind w:left="0" w:right="0"/>
        <w:jc w:val="both"/>
      </w:pPr>
      <w:bookmarkStart w:id="1129" w:name="bookmark1129"/>
      <w:r>
        <w:rPr>
          <w:color w:val="000000"/>
          <w:spacing w:val="0"/>
          <w:w w:val="100"/>
          <w:position w:val="0"/>
        </w:rPr>
        <w:t>（</w:t>
      </w:r>
      <w:bookmarkEnd w:id="1129"/>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存放在境外的款项系本集团境外子公司存放于澳大利亚、厄瓜多尔的现金及银行存 款。</w:t>
      </w:r>
    </w:p>
    <w:p>
      <w:pPr>
        <w:pStyle w:val="Style64"/>
        <w:keepNext w:val="0"/>
        <w:keepLines w:val="0"/>
        <w:widowControl w:val="0"/>
        <w:shd w:val="clear" w:color="auto" w:fill="auto"/>
        <w:bidi w:val="0"/>
        <w:spacing w:before="0" w:after="200" w:line="331" w:lineRule="exact"/>
        <w:ind w:left="0" w:right="0"/>
        <w:jc w:val="both"/>
      </w:pPr>
      <w:bookmarkStart w:id="1130" w:name="bookmark1130"/>
      <w:r>
        <w:rPr>
          <w:color w:val="000000"/>
          <w:spacing w:val="0"/>
          <w:w w:val="100"/>
          <w:position w:val="0"/>
        </w:rPr>
        <w:t>（</w:t>
      </w:r>
      <w:bookmarkEnd w:id="1130"/>
      <w:r>
        <w:rPr>
          <w:rFonts w:ascii="Times New Roman" w:eastAsia="Times New Roman" w:hAnsi="Times New Roman" w:cs="Times New Roman"/>
          <w:color w:val="000000"/>
          <w:spacing w:val="0"/>
          <w:w w:val="100"/>
          <w:position w:val="0"/>
          <w:sz w:val="24"/>
          <w:szCs w:val="24"/>
        </w:rPr>
        <w:t>2</w:t>
      </w:r>
      <w:r>
        <w:rPr>
          <w:color w:val="000000"/>
          <w:spacing w:val="0"/>
          <w:w w:val="100"/>
          <w:position w:val="0"/>
        </w:rPr>
        <w:t>） 期末，其他货币资金主要为保函保证金及银行承兑汇票保证金，在编制现金流量表 时不计入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现金及现金等价物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64"/>
        <w:keepNext w:val="0"/>
        <w:keepLines w:val="0"/>
        <w:widowControl w:val="0"/>
        <w:shd w:val="clear" w:color="auto" w:fill="auto"/>
        <w:tabs>
          <w:tab w:pos="1026" w:val="left"/>
        </w:tabs>
        <w:bidi w:val="0"/>
        <w:spacing w:before="0" w:after="1400" w:line="322" w:lineRule="exact"/>
        <w:ind w:left="0" w:right="0"/>
        <w:jc w:val="left"/>
      </w:pPr>
      <w:bookmarkStart w:id="1131" w:name="bookmark1131"/>
      <w:r>
        <w:rPr>
          <w:color w:val="000000"/>
          <w:spacing w:val="0"/>
          <w:w w:val="100"/>
          <w:position w:val="0"/>
        </w:rPr>
        <w:t>（</w:t>
      </w:r>
      <w:bookmarkEnd w:id="1131"/>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除此之外，本集团期末不存在质押、冻结，或有潜在收回风险的款项。</w:t>
      </w:r>
    </w:p>
    <w:p>
      <w:pPr>
        <w:pStyle w:val="Style31"/>
        <w:keepNext/>
        <w:keepLines/>
        <w:widowControl w:val="0"/>
        <w:shd w:val="clear" w:color="auto" w:fill="auto"/>
        <w:bidi w:val="0"/>
        <w:spacing w:before="0" w:after="36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2</w:t>
      </w:r>
      <w:bookmarkEnd w:id="1134"/>
      <w:r>
        <w:rPr>
          <w:color w:val="000000"/>
          <w:spacing w:val="0"/>
          <w:w w:val="100"/>
          <w:position w:val="0"/>
        </w:rPr>
        <w:t>、应收票据</w:t>
      </w:r>
      <w:bookmarkEnd w:id="1132"/>
      <w:bookmarkEnd w:id="1133"/>
      <w:bookmarkEnd w:id="1135"/>
    </w:p>
    <w:p>
      <w:pPr>
        <w:pStyle w:val="Style40"/>
        <w:keepNext/>
        <w:keepLines/>
        <w:widowControl w:val="0"/>
        <w:shd w:val="clear" w:color="auto" w:fill="auto"/>
        <w:bidi w:val="0"/>
        <w:spacing w:before="0" w:after="36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36"/>
      <w:bookmarkEnd w:id="1137"/>
      <w:bookmarkEnd w:id="113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124,200,338.82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99,079,493.81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商业承兑汇票坏账准备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-6,650,831.08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-8,930,013.85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117,549,507.74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90,149,479.96</w:t>
            </w:r>
          </w:p>
        </w:tc>
      </w:tr>
    </w:tbl>
    <w:p>
      <w:pPr>
        <w:widowControl w:val="0"/>
        <w:spacing w:after="79" w:line="1" w:lineRule="exact"/>
      </w:pPr>
    </w:p>
    <w:p>
      <w:pPr>
        <w:pStyle w:val="Style27"/>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124,200,</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6,650,83</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99,079,49 </w:t>
            </w: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8,930,013.8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90,149,47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：商业承兑汇 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124,200,</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6,650,83</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99,079,49 </w:t>
            </w: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8,930,013.8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90,149,47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124,200,</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6,650,83</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99,079,49 </w:t>
            </w:r>
            <w:r>
              <w:rPr>
                <w:rFonts w:ascii="Times New Roman" w:eastAsia="Times New Roman" w:hAnsi="Times New Roman" w:cs="Times New Roman"/>
                <w:color w:val="000000"/>
                <w:spacing w:val="0"/>
                <w:w w:val="100"/>
                <w:position w:val="0"/>
                <w:sz w:val="18"/>
                <w:szCs w:val="18"/>
              </w:rPr>
              <w:t>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8,930,013.8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90,149,47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：商业承兑汇票</w:t>
      </w:r>
    </w:p>
    <w:p>
      <w:pPr>
        <w:widowControl w:val="0"/>
        <w:spacing w:after="99" w:line="1" w:lineRule="exact"/>
      </w:pPr>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124,200,338.82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6,650,831.08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124,200,338.82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6,650,831.08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7"/>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400" w:line="240" w:lineRule="auto"/>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40"/>
      <w:bookmarkEnd w:id="1141"/>
      <w:bookmarkEnd w:id="1143"/>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8,930,013.85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2,279,182.77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6,650,831.08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8,930,013.85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2,279,182.77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6,650,831.08</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40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144"/>
      <w:bookmarkEnd w:id="1145"/>
      <w:bookmarkEnd w:id="1147"/>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22,571,065.00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22,571,065.00</w:t>
            </w:r>
          </w:p>
        </w:tc>
      </w:tr>
    </w:tbl>
    <w:p>
      <w:pPr>
        <w:widowControl w:val="0"/>
        <w:spacing w:after="339" w:line="1" w:lineRule="exact"/>
      </w:pPr>
    </w:p>
    <w:p>
      <w:pPr>
        <w:pStyle w:val="Style40"/>
        <w:keepNext/>
        <w:keepLines/>
        <w:widowControl w:val="0"/>
        <w:shd w:val="clear" w:color="auto" w:fill="auto"/>
        <w:bidi w:val="0"/>
        <w:spacing w:before="0" w:after="40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148"/>
      <w:bookmarkEnd w:id="1149"/>
      <w:bookmarkEnd w:id="115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42,332,765.80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42,332,765.80</w:t>
            </w:r>
          </w:p>
        </w:tc>
      </w:tr>
    </w:tbl>
    <w:p>
      <w:pPr>
        <w:widowControl w:val="0"/>
        <w:spacing w:after="339" w:line="1" w:lineRule="exact"/>
      </w:pPr>
    </w:p>
    <w:p>
      <w:pPr>
        <w:pStyle w:val="Style31"/>
        <w:keepNext/>
        <w:keepLines/>
        <w:widowControl w:val="0"/>
        <w:shd w:val="clear" w:color="auto" w:fill="auto"/>
        <w:bidi w:val="0"/>
        <w:spacing w:before="0" w:after="40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3</w:t>
      </w:r>
      <w:bookmarkEnd w:id="1154"/>
      <w:r>
        <w:rPr>
          <w:color w:val="000000"/>
          <w:spacing w:val="0"/>
          <w:w w:val="100"/>
          <w:position w:val="0"/>
        </w:rPr>
        <w:t>、应收账款</w:t>
      </w:r>
      <w:bookmarkEnd w:id="1152"/>
      <w:bookmarkEnd w:id="1153"/>
      <w:bookmarkEnd w:id="1155"/>
    </w:p>
    <w:p>
      <w:pPr>
        <w:pStyle w:val="Style40"/>
        <w:keepNext/>
        <w:keepLines/>
        <w:widowControl w:val="0"/>
        <w:shd w:val="clear" w:color="auto" w:fill="auto"/>
        <w:bidi w:val="0"/>
        <w:spacing w:before="0" w:after="34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56"/>
      <w:bookmarkEnd w:id="1157"/>
      <w:bookmarkEnd w:id="1159"/>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9,681,75</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9,681,75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9,470,731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9,470,731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9,681,75</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9,681,75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9,470,731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9,470,731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819,917,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83,779,7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736,138,0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111,037,0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929,259,90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：应收客户货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781,259,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699,251,7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951,219,3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106,927,8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844,291,48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：应收客户电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36,886,26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89,077,60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84,968,420.</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829,599,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93,461,4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736,138,0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1,049,767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929,259,90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按单项计提坏账准备：按单项计提坏账准备的应收账款</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按单项计提坏账准备的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9,681,755.91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9,681,755.91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账龄较长，预计以后期 间难以收回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9,681,755.91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9,681,755.91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：应收客户货款</w:t>
      </w:r>
    </w:p>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478,424,811.42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13,924,109.22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156,166,458.00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10,922,087.80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65,110,205.53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12,828,435.07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49,180,915.79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16,214,796.38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13,064,891.38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8,806,102.04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19,311,855.64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19,311,855.64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781,259,137.76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82,007,386.15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：应收客户电费</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15,237,302.67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659,806.03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23,421,277.44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1,112,510.68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38,658,580.11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1,772,316.71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7"/>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确定该组合依据的说明：</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按账龄披露</w:t>
      </w:r>
    </w:p>
    <w:p>
      <w:pPr>
        <w:pStyle w:val="Style27"/>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493,702,714.09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179,571,735.44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65,355,605.53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90,969,418.72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49,291,934.66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17,514,453.28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24,163,030.78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829,599,473.78</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60"/>
      <w:bookmarkEnd w:id="1161"/>
      <w:bookmarkEnd w:id="1163"/>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应收账款坏账准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120,507,781.24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20,000,800.01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1,566,718.52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-5,478,803.94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93,461,458.77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120,507,781.24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20,000,800.01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1,566,718.52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-5,478,803.94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93,461,458.77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7"/>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64"/>
      <w:bookmarkEnd w:id="1165"/>
      <w:bookmarkEnd w:id="1167"/>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1,566,718.52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0"/>
        <w:keepNext/>
        <w:keepLines/>
        <w:widowControl w:val="0"/>
        <w:shd w:val="clear" w:color="auto" w:fill="auto"/>
        <w:bidi w:val="0"/>
        <w:spacing w:before="0" w:line="240" w:lineRule="auto"/>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68"/>
      <w:bookmarkEnd w:id="1169"/>
      <w:bookmarkEnd w:id="117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57,800,225.00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1,396,613.15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38,658,580.11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1,772,316.71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25,114,867.26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323,981.79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21,062,302.18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423,352.27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20,705,800.00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1,083,035.00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163,341,774.55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4</w:t>
      </w:r>
      <w:bookmarkEnd w:id="1174"/>
      <w:r>
        <w:rPr>
          <w:color w:val="000000"/>
          <w:spacing w:val="0"/>
          <w:w w:val="100"/>
          <w:position w:val="0"/>
        </w:rPr>
        <w:t>、应收款项融资</w:t>
      </w:r>
      <w:bookmarkEnd w:id="1172"/>
      <w:bookmarkEnd w:id="1173"/>
      <w:bookmarkEnd w:id="1175"/>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47,716,741.60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80,156,424.77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47,716,741.60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80,156,424.77</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6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5</w:t>
      </w:r>
      <w:bookmarkEnd w:id="1178"/>
      <w:r>
        <w:rPr>
          <w:color w:val="000000"/>
          <w:spacing w:val="0"/>
          <w:w w:val="100"/>
          <w:position w:val="0"/>
        </w:rPr>
        <w:t>、预付款项</w:t>
      </w:r>
      <w:bookmarkEnd w:id="1176"/>
      <w:bookmarkEnd w:id="1177"/>
      <w:bookmarkEnd w:id="1179"/>
    </w:p>
    <w:p>
      <w:pPr>
        <w:pStyle w:val="Style40"/>
        <w:keepNext/>
        <w:keepLines/>
        <w:widowControl w:val="0"/>
        <w:shd w:val="clear" w:color="auto" w:fill="auto"/>
        <w:bidi w:val="0"/>
        <w:spacing w:before="0" w:after="360" w:line="240" w:lineRule="auto"/>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80"/>
      <w:bookmarkEnd w:id="1181"/>
      <w:bookmarkEnd w:id="118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94,165,174.85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19,523,581.80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1,349,599.66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2,340,557.71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87,357.78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1,046,357.11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319,356.54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365,580.61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95,921,488.83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23,276,077.23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0"/>
        <w:keepNext/>
        <w:keepLines/>
        <w:widowControl w:val="0"/>
        <w:shd w:val="clear" w:color="auto" w:fill="auto"/>
        <w:bidi w:val="0"/>
        <w:spacing w:before="0" w:after="36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84"/>
      <w:bookmarkEnd w:id="1185"/>
      <w:bookmarkEnd w:id="1187"/>
    </w:p>
    <w:p>
      <w:pPr>
        <w:pStyle w:val="Style64"/>
        <w:keepNext w:val="0"/>
        <w:keepLines w:val="0"/>
        <w:widowControl w:val="0"/>
        <w:shd w:val="clear" w:color="auto" w:fill="auto"/>
        <w:bidi w:val="0"/>
        <w:spacing w:before="0" w:after="440"/>
        <w:ind w:left="0" w:right="0"/>
        <w:jc w:val="both"/>
      </w:pPr>
      <w:r>
        <w:rPr>
          <w:color w:val="000000"/>
          <w:spacing w:val="0"/>
          <w:w w:val="100"/>
          <w:position w:val="0"/>
        </w:rPr>
        <w:t>本期按预付对象归集的期末余额前五名预付款项汇总金额</w:t>
      </w:r>
      <w:r>
        <w:rPr>
          <w:rFonts w:ascii="Times New Roman" w:eastAsia="Times New Roman" w:hAnsi="Times New Roman" w:cs="Times New Roman"/>
          <w:color w:val="000000"/>
          <w:spacing w:val="0"/>
          <w:w w:val="100"/>
          <w:position w:val="0"/>
          <w:sz w:val="24"/>
          <w:szCs w:val="24"/>
        </w:rPr>
        <w:t>73,879,137.16</w:t>
      </w:r>
      <w:r>
        <w:rPr>
          <w:color w:val="000000"/>
          <w:spacing w:val="0"/>
          <w:w w:val="100"/>
          <w:position w:val="0"/>
        </w:rPr>
        <w:t>元，占预付款项 期末余额合计数的比例</w:t>
      </w:r>
      <w:r>
        <w:rPr>
          <w:rFonts w:ascii="Times New Roman" w:eastAsia="Times New Roman" w:hAnsi="Times New Roman" w:cs="Times New Roman"/>
          <w:color w:val="000000"/>
          <w:spacing w:val="0"/>
          <w:w w:val="100"/>
          <w:position w:val="0"/>
          <w:sz w:val="24"/>
          <w:szCs w:val="24"/>
        </w:rPr>
        <w:t>77.02%</w:t>
      </w:r>
      <w:r>
        <w:rPr>
          <w:color w:val="000000"/>
          <w:spacing w:val="0"/>
          <w:w w:val="100"/>
          <w:position w:val="0"/>
        </w:rPr>
        <w:t>。</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6</w:t>
      </w:r>
      <w:bookmarkEnd w:id="1190"/>
      <w:r>
        <w:rPr>
          <w:color w:val="000000"/>
          <w:spacing w:val="0"/>
          <w:w w:val="100"/>
          <w:position w:val="0"/>
        </w:rPr>
        <w:t>、其他应收款</w:t>
      </w:r>
      <w:bookmarkEnd w:id="1188"/>
      <w:bookmarkEnd w:id="1189"/>
      <w:bookmarkEnd w:id="1191"/>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66,064,368.85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30,279,620.04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66,064,368.85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30,279,620.04</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92"/>
      <w:bookmarkEnd w:id="1193"/>
      <w:bookmarkEnd w:id="1195"/>
    </w:p>
    <w:p>
      <w:pPr>
        <w:pStyle w:val="Style73"/>
        <w:keepNext/>
        <w:keepLines/>
        <w:widowControl w:val="0"/>
        <w:shd w:val="clear" w:color="auto" w:fill="auto"/>
        <w:bidi w:val="0"/>
        <w:spacing w:before="0" w:after="36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color w:val="000000"/>
          <w:spacing w:val="0"/>
          <w:w w:val="100"/>
          <w:position w:val="0"/>
        </w:rPr>
        <w:t>）其他应收款按款项性质分类情况</w:t>
      </w:r>
      <w:bookmarkEnd w:id="1196"/>
      <w:bookmarkEnd w:id="1197"/>
      <w:bookmarkEnd w:id="1199"/>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1,508,153.57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3,316,769.94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18,529,288.02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26,767,138.38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5,663,189.71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8,147,016.35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11,188,800.00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应收已出售公司往来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34,903,533.11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-5,728,595.56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-7,951,304.63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66,064,368.85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30,279,620.04</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bookmarkEnd w:id="1202"/>
      <w:r>
        <w:rPr>
          <w:color w:val="000000"/>
          <w:spacing w:val="0"/>
          <w:w w:val="100"/>
          <w:position w:val="0"/>
        </w:rPr>
        <w:t>）坏账准备计提情况</w:t>
      </w:r>
      <w:bookmarkEnd w:id="1200"/>
      <w:bookmarkEnd w:id="1201"/>
      <w:bookmarkEnd w:id="1203"/>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4,644,810.61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3,306,494.02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7,951,304.63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2,305,733.65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2,480,370.65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2,196,174.00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2,418,638.00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-2,284,441.72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-2,284,441.72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4,443,638.54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1,284,957.02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5,728,595.56</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66,066,148.04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1,276,053.98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1,341,880.71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3,108,881.68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1,498,836.33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325,088.33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1,284,957.02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71,792,964.41</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3</w:t>
      </w:r>
      <w:bookmarkEnd w:id="1206"/>
      <w:r>
        <w:rPr>
          <w:color w:val="000000"/>
          <w:spacing w:val="0"/>
          <w:w w:val="100"/>
          <w:position w:val="0"/>
        </w:rPr>
        <w:t>）本期计提、收回或转回的坏账准备情况</w:t>
      </w:r>
      <w:bookmarkEnd w:id="1204"/>
      <w:bookmarkEnd w:id="1205"/>
      <w:bookmarkEnd w:id="120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7,951,304.63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2,480,370.65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2,418,638.00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-2,284,441.72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5,728,595.56</w:t>
            </w:r>
          </w:p>
        </w:tc>
      </w:tr>
    </w:tbl>
    <w:p>
      <w:pPr>
        <w:widowControl w:val="0"/>
        <w:spacing w:line="1" w:lineRule="exact"/>
      </w:pPr>
      <w:r>
        <w:br w:type="page"/>
      </w:r>
    </w:p>
    <w:tbl>
      <w:tblPr>
        <w:tblOverlap w:val="never"/>
        <w:jc w:val="center"/>
        <w:tblLayout w:type="fixed"/>
      </w:tblPr>
      <w:tblGrid>
        <w:gridCol w:w="1426"/>
        <w:gridCol w:w="1094"/>
        <w:gridCol w:w="1339"/>
        <w:gridCol w:w="1334"/>
        <w:gridCol w:w="1330"/>
        <w:gridCol w:w="1325"/>
        <w:gridCol w:w="173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7,951,304.63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2,480,370.65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2,418,638.00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-2,284,441.72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5,728,595.56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4</w:t>
      </w:r>
      <w:bookmarkEnd w:id="1210"/>
      <w:r>
        <w:rPr>
          <w:color w:val="000000"/>
          <w:spacing w:val="0"/>
          <w:w w:val="100"/>
          <w:position w:val="0"/>
        </w:rPr>
        <w:t>）本期实际核销的其他应收款情况</w:t>
      </w:r>
      <w:bookmarkEnd w:id="1208"/>
      <w:bookmarkEnd w:id="1209"/>
      <w:bookmarkEnd w:id="121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2,418,638.00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合肥新意达电子有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1,446,174.00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账龄较长，无法收回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合肥雷科电子有限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账龄较长，无法收回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2,196,174.00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73"/>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5</w:t>
      </w:r>
      <w:bookmarkEnd w:id="1214"/>
      <w:r>
        <w:rPr>
          <w:color w:val="000000"/>
          <w:spacing w:val="0"/>
          <w:w w:val="100"/>
          <w:position w:val="0"/>
        </w:rPr>
        <w:t>）按欠款方归集的期末余额前五名的其他应收款情况</w:t>
      </w:r>
      <w:bookmarkEnd w:id="1212"/>
      <w:bookmarkEnd w:id="1213"/>
      <w:bookmarkEnd w:id="121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中宁县银变新能源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34,903,533.11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1,745,176.66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中国三峡新能源（集 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11,188,800.00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559,440.00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会昌县耀太新能源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395,200.00</w:t>
            </w:r>
          </w:p>
        </w:tc>
      </w:tr>
      <w:tr>
        <w:trPr>
          <w:trHeight w:val="11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南京华瓯电子科技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326" w:lineRule="exact"/>
              <w:ind w:left="0" w:right="0" w:firstLine="0"/>
              <w:jc w:val="right"/>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400,000.00 </w:t>
            </w:r>
            <w:r>
              <w:rPr>
                <w:color w:val="000000"/>
                <w:spacing w:val="0"/>
                <w:w w:val="100"/>
                <w:position w:val="0"/>
              </w:rPr>
              <w:t>元，</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500,000.00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成都双星变压器有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55,646,333.11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3,437,316.66</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both"/>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7</w:t>
      </w:r>
      <w:bookmarkEnd w:id="1218"/>
      <w:r>
        <w:rPr>
          <w:color w:val="000000"/>
          <w:spacing w:val="0"/>
          <w:w w:val="100"/>
          <w:position w:val="0"/>
        </w:rPr>
        <w:t>、存货</w:t>
      </w:r>
      <w:bookmarkEnd w:id="1216"/>
      <w:bookmarkEnd w:id="1217"/>
      <w:bookmarkEnd w:id="1219"/>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40"/>
        <w:keepNext/>
        <w:keepLines/>
        <w:widowControl w:val="0"/>
        <w:shd w:val="clear" w:color="auto" w:fill="auto"/>
        <w:bidi w:val="0"/>
        <w:spacing w:before="0" w:after="340" w:line="240" w:lineRule="auto"/>
        <w:ind w:left="0" w:right="0" w:firstLine="0"/>
        <w:jc w:val="both"/>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20"/>
      <w:bookmarkEnd w:id="1221"/>
      <w:bookmarkEnd w:id="122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114,699,787.87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5,626,194.45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109,073,593.42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84,542,792.50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4,609,075.64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79,933,716.86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183,087,146.05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183,087,146.05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126,383,175.82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126,383,175.82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53,691,205.48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5,276,318.67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48,414,886.81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36,768,405.07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3,831,033.35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32,937,371.72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7,308,364.22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7,308,364.22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4,134,159.25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4,134,159.25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150,846,622.79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9,713,704.45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141,132,918.34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96,659,380.22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3,573,432.30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93,085,947.92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1,045,458.40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1,045,458.40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77,872,379.43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3,966,094.77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73,906,284.66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26,154,108.36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1,855,458.61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24,298,649.75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587,505,505.84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24,582,312.34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562,923,193.50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375,687,479.62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13,868,999.90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361,818,479.72</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both"/>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24"/>
      <w:bookmarkEnd w:id="1225"/>
      <w:bookmarkEnd w:id="122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4,609,075.64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1,764,506.53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747,387.72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5,626,194.45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3,831,033.35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2,871,360.14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1,426,074.82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5,276,318.67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1,855,458.61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2,419,260.49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308,624.33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3,966,094.77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3,573,432.30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6,636,380.18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496,108.03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9,713,704.45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13,868,999.90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13,691,507.34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2,978,194.90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24,582,312.34</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both"/>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8</w:t>
      </w:r>
      <w:bookmarkEnd w:id="1230"/>
      <w:r>
        <w:rPr>
          <w:color w:val="000000"/>
          <w:spacing w:val="0"/>
          <w:w w:val="100"/>
          <w:position w:val="0"/>
        </w:rPr>
        <w:t>、其他流动资产</w:t>
      </w:r>
      <w:bookmarkEnd w:id="1228"/>
      <w:bookmarkEnd w:id="1229"/>
      <w:bookmarkEnd w:id="123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增值税借方重分类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4,085,389.24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15,433,640.91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564,526.40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4,153,339.32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104,980.08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42,311.51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4,754,895.72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19,629,291.74</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9</w:t>
      </w:r>
      <w:bookmarkEnd w:id="1234"/>
      <w:r>
        <w:rPr>
          <w:color w:val="000000"/>
          <w:spacing w:val="0"/>
          <w:w w:val="100"/>
          <w:position w:val="0"/>
        </w:rPr>
        <w:t>、其他权益工具投资</w:t>
      </w:r>
      <w:bookmarkEnd w:id="1232"/>
      <w:bookmarkEnd w:id="1233"/>
      <w:bookmarkEnd w:id="1235"/>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192,836,032.84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186,252,088.41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192,836,032.84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186,252,088.41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其他综合收益转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入留存收益的原 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浙江厚达智能科 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中铁建金融租赁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4,942,727.11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4,942,727.11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1</w:t>
      </w:r>
      <w:bookmarkEnd w:id="1238"/>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36"/>
      <w:bookmarkEnd w:id="1237"/>
      <w:bookmarkEnd w:id="1239"/>
    </w:p>
    <w:p>
      <w:pPr>
        <w:pStyle w:val="Style40"/>
        <w:keepNext/>
        <w:keepLines/>
        <w:widowControl w:val="0"/>
        <w:shd w:val="clear" w:color="auto" w:fill="auto"/>
        <w:bidi w:val="0"/>
        <w:spacing w:before="0" w:line="240" w:lineRule="auto"/>
        <w:ind w:left="0" w:right="0" w:firstLine="0"/>
        <w:jc w:val="both"/>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40"/>
      <w:bookmarkEnd w:id="1241"/>
      <w:bookmarkEnd w:id="1243"/>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36,475,781.64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36,475,781.64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3,776,184.55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3,776,184.55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3,776,184.55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3,776,184.55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32,699,597.09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32,699,597.09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13,606,212.35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13,606,212.35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1,812,971.48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1,812,971.48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1,812,971.48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1,812,971.48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2,496,564.31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2,496,564.31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2,496,564.31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2,496,564.31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12,922,619.52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12,922,619.52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19,776,977.57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19,776,977.57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22,869,569.29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22,869,569.29</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244"/>
      <w:bookmarkEnd w:id="1245"/>
      <w:bookmarkEnd w:id="1247"/>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0"/>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248"/>
      <w:bookmarkEnd w:id="1249"/>
      <w:bookmarkEnd w:id="125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子公司银川卧龙在城区凤凰北街北安</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号营业房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北安小区分</w:t>
            </w:r>
            <w:r>
              <w:rPr>
                <w:rFonts w:ascii="Times New Roman" w:eastAsia="Times New Roman" w:hAnsi="Times New Roman" w:cs="Times New Roman"/>
                <w:color w:val="000000"/>
                <w:spacing w:val="0"/>
                <w:w w:val="100"/>
                <w:position w:val="0"/>
                <w:sz w:val="18"/>
                <w:szCs w:val="18"/>
              </w:rPr>
              <w:t>6#10</w:t>
            </w:r>
            <w:r>
              <w:rPr>
                <w:color w:val="000000"/>
                <w:spacing w:val="0"/>
                <w:w w:val="100"/>
                <w:position w:val="0"/>
                <w:sz w:val="17"/>
                <w:szCs w:val="17"/>
              </w:rPr>
              <w:t>号</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296,335.48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历史原因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1</w:t>
      </w:r>
      <w:bookmarkEnd w:id="125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52"/>
      <w:bookmarkEnd w:id="1253"/>
      <w:bookmarkEnd w:id="1255"/>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698,735,020.83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1,302,130,087.30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698,735,020.83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1,302,130,087.30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56"/>
      <w:bookmarkEnd w:id="1257"/>
      <w:bookmarkEnd w:id="1259"/>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新能源电站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264,653,324.80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326,970,280.04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15,778,387.03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15,814,879.74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865,664,396.95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1,488,881,268.56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30,222,408.43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131,849,720.54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2,354,205.97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1,547,622.99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4,076,352.65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170,050,310.58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581,912.58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78,149,342.05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2,299,577.50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1,547,622.99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4,076,352.65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86,654,807.77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29,640,495.85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53,631,069.44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83,271,565.29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123,937.52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8,849,155.73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1,158,813.74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160,193.47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846,211.37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730,672,002.97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741,686,377.28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1,025,242.29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604,622.00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1,688,056.25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8,849,155.73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133,571.45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241,589.37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730,672,002.97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739,998,321.03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286,026,577.50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457,661,186.84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17,972,399.53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16,516,291.36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139,068,746.63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917,245,201.86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37,104,561.17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75,444,755.00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7,379,297.29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7,794,510.51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59,027,404.24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186,750,528.21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11,394,941.55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49,623,097.61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2,533,916.73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1,671,490.37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32,764,802.59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97,988,248.85</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11,394,941.55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49,503,915.28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2,505,579.28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1,671,490.37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32,764,802.59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97,840,729.07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119,182.33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147,519.78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735,586.07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640,876.52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159,608.20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673,931.14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64,019,247.15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66,229,249.08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591,778.03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95,728.75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551,108.02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1,238,614.80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735,586.07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49,098.49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63,879.45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122,823.12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64,019,247.15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64,990,634.28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47,763,916.65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124,426,976.09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9,753,605.82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8,792,069.74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27,772,959.68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218,509,527.98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238,262,660.85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333,234,085.70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8,218,793.71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7,723,693.62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111,295,786.95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698,735,020.83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227,548,763.63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251,525,399.99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8,399,089.74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8,019,841.23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806,636,992.71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1,302,130,087.30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r>
        <w:rPr>
          <w:color w:val="000000"/>
          <w:spacing w:val="0"/>
          <w:w w:val="100"/>
          <w:position w:val="0"/>
        </w:rPr>
        <w:t>（</w:t>
      </w:r>
      <w:bookmarkEnd w:id="1262"/>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60"/>
      <w:bookmarkEnd w:id="1261"/>
      <w:bookmarkEnd w:id="1263"/>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w:t>
      </w:r>
      <w:bookmarkEnd w:id="1266"/>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264"/>
      <w:bookmarkEnd w:id="1265"/>
      <w:bookmarkEnd w:id="1267"/>
    </w:p>
    <w:p>
      <w:pPr>
        <w:pStyle w:val="Style27"/>
        <w:keepNext w:val="0"/>
        <w:keepLines w:val="0"/>
        <w:widowControl w:val="0"/>
        <w:shd w:val="clear" w:color="auto" w:fill="auto"/>
        <w:bidi w:val="0"/>
        <w:spacing w:before="0" w:after="200" w:line="240" w:lineRule="auto"/>
        <w:ind w:left="8920" w:right="0" w:firstLine="0"/>
        <w:jc w:val="left"/>
      </w:pPr>
      <w:r>
        <w:rPr>
          <w:color w:val="000000"/>
          <w:spacing w:val="0"/>
          <w:w w:val="100"/>
          <w:position w:val="0"/>
        </w:rPr>
        <w:t>单位：元</w:t>
      </w:r>
    </w:p>
    <w:p>
      <w:pPr>
        <w:pStyle w:val="Style27"/>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320" w:line="240" w:lineRule="auto"/>
        <w:ind w:left="3860" w:right="0" w:firstLine="0"/>
        <w:jc w:val="left"/>
      </w:pPr>
      <w:r>
        <mc:AlternateContent>
          <mc:Choice Requires="wps">
            <w:drawing>
              <wp:anchor distT="0" distB="0" distL="114300" distR="114300" simplePos="0" relativeHeight="125829386" behindDoc="0" locked="0" layoutInCell="1" allowOverlap="1">
                <wp:simplePos x="0" y="0"/>
                <wp:positionH relativeFrom="page">
                  <wp:posOffset>2104390</wp:posOffset>
                </wp:positionH>
                <wp:positionV relativeFrom="paragraph">
                  <wp:posOffset>12700</wp:posOffset>
                </wp:positionV>
                <wp:extent cx="252730" cy="146050"/>
                <wp:wrapSquare wrapText="right"/>
                <wp:docPr id="10" name="Shape 10"/>
                <a:graphic xmlns:a="http://schemas.openxmlformats.org/drawingml/2006/main">
                  <a:graphicData uri="http://schemas.microsoft.com/office/word/2010/wordprocessingShape">
                    <wps:wsp>
                      <wps:cNvSpPr txBox="1"/>
                      <wps:spPr>
                        <a:xfrm>
                          <a:ext cx="252730" cy="146050"/>
                        </a:xfrm>
                        <a:prstGeom prst="rect"/>
                        <a:solidFill>
                          <a:srgbClr val="D3D3D3"/>
                        </a:solidFill>
                      </wps:spPr>
                      <wps:txbx>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36" type="#_x0000_t202" style="position:absolute;margin-left:165.70000000000002pt;margin-top:1.pt;width:19.900000000000002pt;height:11.5pt;z-index:-125829367;mso-wrap-distance-left:9.pt;mso-wrap-distance-right:9.pt;mso-position-horizontal-relative:page" fillcolor="#D3D3D3" stroked="f">
                <v:textbox inset="0,0,0,0">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square" side="right" anchorx="page"/>
              </v:shape>
            </w:pict>
          </mc:Fallback>
        </mc:AlternateContent>
      </w:r>
      <w:r>
        <w:rPr>
          <w:color w:val="000000"/>
          <w:spacing w:val="0"/>
          <w:w w:val="100"/>
          <w:position w:val="0"/>
        </w:rPr>
        <w:t>期末账面价值</w:t>
      </w:r>
      <w:r>
        <w:br w:type="page"/>
      </w:r>
    </w:p>
    <w:p>
      <w:pPr>
        <w:pStyle w:val="Style40"/>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268"/>
      <w:bookmarkEnd w:id="1269"/>
      <w:bookmarkEnd w:id="127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银川卧龙厂区中的食堂、门房等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兴庆区 兴源路</w:t>
            </w:r>
            <w:r>
              <w:rPr>
                <w:rFonts w:ascii="Times New Roman" w:eastAsia="Times New Roman" w:hAnsi="Times New Roman" w:cs="Times New Roman"/>
                <w:color w:val="000000"/>
                <w:spacing w:val="0"/>
                <w:w w:val="100"/>
                <w:position w:val="0"/>
                <w:sz w:val="18"/>
                <w:szCs w:val="18"/>
              </w:rPr>
              <w:t>221</w:t>
            </w:r>
            <w:r>
              <w:rPr>
                <w:color w:val="000000"/>
                <w:spacing w:val="0"/>
                <w:w w:val="100"/>
                <w:position w:val="0"/>
                <w:sz w:val="17"/>
                <w:szCs w:val="17"/>
              </w:rPr>
              <w:t>号</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850,243.59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厂区内功能性附属建筑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银川卧龙木工房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659,663.08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因企业自建，占地面积较小，未办理产 权证。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银川卧龙自行车棚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148,000.56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因企业自建且房屋性质为提供员工便 利，无法办理产权证。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银川卧龙公司绿化及厂区道路工程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912,934.08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美化厂区，无法办理产权证。</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2,570,841.31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64"/>
        <w:keepNext w:val="0"/>
        <w:keepLines w:val="0"/>
        <w:widowControl w:val="0"/>
        <w:shd w:val="clear" w:color="auto" w:fill="auto"/>
        <w:bidi w:val="0"/>
        <w:spacing w:before="0" w:after="1400" w:line="240" w:lineRule="auto"/>
        <w:ind w:left="0" w:right="0" w:firstLine="400"/>
        <w:jc w:val="left"/>
      </w:pPr>
      <w:r>
        <w:rPr>
          <w:color w:val="000000"/>
          <w:spacing w:val="0"/>
          <w:w w:val="100"/>
          <w:position w:val="0"/>
        </w:rPr>
        <w:t>固定资产原值及累计折旧其他减少主要系处置孙公司中宁新能源所致。</w:t>
      </w:r>
    </w:p>
    <w:p>
      <w:pPr>
        <w:pStyle w:val="Style31"/>
        <w:keepNext/>
        <w:keepLines/>
        <w:widowControl w:val="0"/>
        <w:shd w:val="clear" w:color="auto" w:fill="auto"/>
        <w:bidi w:val="0"/>
        <w:spacing w:before="0" w:after="38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1</w:t>
      </w:r>
      <w:bookmarkEnd w:id="1274"/>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72"/>
      <w:bookmarkEnd w:id="1273"/>
      <w:bookmarkEnd w:id="1275"/>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49,968,084.21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69,157,255.23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49,968,084.21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69,157,255.23</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76"/>
      <w:bookmarkEnd w:id="1277"/>
      <w:bookmarkEnd w:id="12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子公司星波通信 新厂区的建设及 装修工程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15,252,662.82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15,252,662.82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8,385,006.27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8,385,006.27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2,998,601.91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2,998,601.91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子公司银川卧龙</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试验站更新改造</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46,132,054.06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46,132,054.06</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子公司银川卧龙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排风项目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6,570,796.50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6,570,796.50</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新风空调系统</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（装配车间、线 圈车间）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4,831,858.43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4,831,858.43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低碳燃烧机改造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238,938.06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238,938.06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子公司银变科技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新厂建设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32,339,327.95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32,339,327.95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子公司浙江涵普</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二期厂房建设费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2,376,093.44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2,376,093.44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49,968,084.21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49,968,084.21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69,157,255.23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69,157,255.23</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w:t>
      </w:r>
      <w:bookmarkEnd w:id="1282"/>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80"/>
      <w:bookmarkEnd w:id="1281"/>
      <w:bookmarkEnd w:id="128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子公司 星波通 信新厂 区的建 设及装 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39,525,0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8,385,00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7,449,56</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581,912.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15,252,6</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 银川卧 龙试验 站更新 改造项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74,030,0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46,132,0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17,656,9</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 银川卧 龙排风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6,570,79</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796,106.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7,366,90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新风空 调系统</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（装配 车间、线 圈车间）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4,831,85</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2,045,92</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6,877,78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子公司 银变科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32,339,3</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32,339,3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技新厂 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218,605,</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65,919,7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47,591,9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90.77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1</w:t>
      </w:r>
      <w:bookmarkEnd w:id="1286"/>
      <w:r>
        <w:rPr>
          <w:rFonts w:ascii="Times New Roman" w:eastAsia="Times New Roman" w:hAnsi="Times New Roman" w:cs="Times New Roman"/>
          <w:color w:val="000000"/>
          <w:spacing w:val="0"/>
          <w:w w:val="100"/>
          <w:position w:val="0"/>
        </w:rPr>
        <w:t>3</w:t>
      </w:r>
      <w:r>
        <w:rPr>
          <w:color w:val="000000"/>
          <w:spacing w:val="0"/>
          <w:w w:val="100"/>
          <w:position w:val="0"/>
        </w:rPr>
        <w:t>、使用权资产</w:t>
      </w:r>
      <w:bookmarkEnd w:id="1284"/>
      <w:bookmarkEnd w:id="1285"/>
      <w:bookmarkEnd w:id="128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房屋租赁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4,787,106.98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4,787,106.98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5,374,298.88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5,374,298.88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10,161,405.86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10,161,405.86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2,198,124.85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2,198,124.85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2,198,124.85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2,198,124.85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2,198,124.85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2,198,124.85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7,963,281.01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7,963,281.01</w:t>
            </w:r>
          </w:p>
        </w:tc>
      </w:tr>
    </w:tbl>
    <w:p>
      <w:pPr>
        <w:widowControl w:val="0"/>
        <w:spacing w:line="1" w:lineRule="exact"/>
      </w:pPr>
      <w:r>
        <w:br w:type="page"/>
      </w: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1</w:t>
      </w:r>
      <w:bookmarkEnd w:id="1290"/>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288"/>
      <w:bookmarkEnd w:id="1289"/>
      <w:bookmarkEnd w:id="1291"/>
    </w:p>
    <w:p>
      <w:pPr>
        <w:pStyle w:val="Style40"/>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92"/>
      <w:bookmarkEnd w:id="1293"/>
      <w:bookmarkEnd w:id="129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商标使用权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计算机软件著 作权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办公软件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46,134,121.00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6,823,422.22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64,565,623.42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82,355.34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5,849,192.18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123,504,714.16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11,349,768.40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1,973,036.74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13,322,805.14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 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11,349,768.40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1,973,036.74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13,322,805.14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57,483,889.40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6,823,422.22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64,565,623.42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82,355.34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7,822,228.92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136,827,519.30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6,590,972.89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2,274,474.00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13,198,715.36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81,044.32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3,146,308.83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25,341,515.40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2,049,587.99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682,342.20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7,371,545.98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1,112,917.05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11,217,557.76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2,049,587.99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682,342.20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7,371,545.98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1,112,917.05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11,217,557.76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8,640,560.88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2,956,816.20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20,570,261.34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4,259,225.88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36,559,073.16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1,463,693.75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34,695,302.60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36,158,996.35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1,463,693.75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34,695,302.60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36,158,996.35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1,463,693.75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34,695,302.60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36,158,996.35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47,379,634.77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3,866,606.02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9,300,059.48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3,563,003.04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64,109,449.79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39,543,148.11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4,548,948.22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51,366,908.06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2,702,883.35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98,163,198.76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39" w:line="1" w:lineRule="exact"/>
      </w:pPr>
    </w:p>
    <w:p>
      <w:pPr>
        <w:pStyle w:val="Style40"/>
        <w:keepNext/>
        <w:keepLines/>
        <w:widowControl w:val="0"/>
        <w:shd w:val="clear" w:color="auto" w:fill="auto"/>
        <w:bidi w:val="0"/>
        <w:spacing w:before="0" w:after="40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rPr>
        <w:t>（</w:t>
      </w:r>
      <w:bookmarkEnd w:id="129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95"/>
      <w:bookmarkEnd w:id="1296"/>
      <w:bookmarkEnd w:id="129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64"/>
        <w:keepNext w:val="0"/>
        <w:keepLines w:val="0"/>
        <w:widowControl w:val="0"/>
        <w:numPr>
          <w:ilvl w:val="0"/>
          <w:numId w:val="91"/>
        </w:numPr>
        <w:shd w:val="clear" w:color="auto" w:fill="auto"/>
        <w:tabs>
          <w:tab w:pos="901" w:val="left"/>
        </w:tabs>
        <w:bidi w:val="0"/>
        <w:spacing w:before="0" w:after="160" w:line="240" w:lineRule="auto"/>
        <w:ind w:left="0" w:right="0" w:firstLine="480"/>
        <w:jc w:val="left"/>
      </w:pPr>
      <w:bookmarkStart w:id="1299" w:name="bookmark1299"/>
      <w:bookmarkEnd w:id="1299"/>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日，本公司已对存在减值迹象的无形资产计提了减值准备。</w:t>
      </w:r>
    </w:p>
    <w:p>
      <w:pPr>
        <w:pStyle w:val="Style64"/>
        <w:keepNext w:val="0"/>
        <w:keepLines w:val="0"/>
        <w:widowControl w:val="0"/>
        <w:numPr>
          <w:ilvl w:val="0"/>
          <w:numId w:val="91"/>
        </w:numPr>
        <w:shd w:val="clear" w:color="auto" w:fill="auto"/>
        <w:tabs>
          <w:tab w:pos="901" w:val="left"/>
        </w:tabs>
        <w:bidi w:val="0"/>
        <w:spacing w:before="0" w:after="160" w:line="240" w:lineRule="auto"/>
        <w:ind w:left="0" w:right="0" w:firstLine="480"/>
        <w:jc w:val="left"/>
      </w:pPr>
      <w:bookmarkStart w:id="1300" w:name="bookmark1300"/>
      <w:bookmarkEnd w:id="1300"/>
      <w:r>
        <w:rPr>
          <w:color w:val="000000"/>
          <w:spacing w:val="0"/>
          <w:w w:val="100"/>
          <w:position w:val="0"/>
        </w:rPr>
        <w:t>所有权受限的无形资产</w:t>
      </w:r>
    </w:p>
    <w:p>
      <w:pPr>
        <w:pStyle w:val="Style64"/>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本集团所有权受限的无形资产情况详见本节之</w:t>
      </w:r>
      <w:r>
        <w:rPr>
          <w:rFonts w:ascii="Times New Roman" w:eastAsia="Times New Roman" w:hAnsi="Times New Roman" w:cs="Times New Roman"/>
          <w:color w:val="000000"/>
          <w:spacing w:val="0"/>
          <w:w w:val="100"/>
          <w:position w:val="0"/>
          <w:sz w:val="24"/>
          <w:szCs w:val="24"/>
        </w:rPr>
        <w:t>57 “</w:t>
      </w:r>
      <w:r>
        <w:rPr>
          <w:color w:val="000000"/>
          <w:spacing w:val="0"/>
          <w:w w:val="100"/>
          <w:position w:val="0"/>
        </w:rPr>
        <w:t>所有权或使用权受到限制的资产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br w:type="page"/>
      </w:r>
    </w:p>
    <w:p>
      <w:pPr>
        <w:pStyle w:val="Style31"/>
        <w:keepNext/>
        <w:keepLines/>
        <w:widowControl w:val="0"/>
        <w:shd w:val="clear" w:color="auto" w:fill="auto"/>
        <w:bidi w:val="0"/>
        <w:spacing w:before="0" w:after="380" w:line="240" w:lineRule="auto"/>
        <w:ind w:left="0" w:right="0" w:firstLine="0"/>
        <w:jc w:val="left"/>
      </w:pPr>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301"/>
      <w:bookmarkEnd w:id="1302"/>
      <w:bookmarkEnd w:id="1303"/>
    </w:p>
    <w:p>
      <w:pPr>
        <w:pStyle w:val="Style40"/>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04"/>
      <w:bookmarkEnd w:id="1305"/>
      <w:bookmarkEnd w:id="1306"/>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w:t>
            </w: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top"/>
          </w:tcPr>
          <w:p>
            <w:pPr>
              <w:widowControl w:val="0"/>
              <w:rPr>
                <w:sz w:val="10"/>
                <w:szCs w:val="10"/>
              </w:rPr>
            </w:pPr>
          </w:p>
        </w:tc>
      </w:tr>
      <w:tr>
        <w:trPr>
          <w:trHeight w:val="62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澳洲红相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4,099,176.90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4,099,176.90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670,994,526.54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670,994,526.54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星波通信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394,587,113.03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394,587,113.03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盐池华秦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812,926.98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812,926.98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成都鼎屹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3,301,598.41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3,301,598.41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1,073,795,341.86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1,073,795,341.86</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307" w:name="bookmark1307"/>
      <w:bookmarkStart w:id="1308" w:name="bookmark1308"/>
      <w:bookmarkStart w:id="1309" w:name="bookmark13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07"/>
      <w:bookmarkEnd w:id="1308"/>
      <w:bookmarkEnd w:id="1309"/>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670,994,526.54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670,994,526.54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670,994,526.54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670,994,526.54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79" w:line="1" w:lineRule="exact"/>
      </w:pPr>
    </w:p>
    <w:p>
      <w:pPr>
        <w:widowControl w:val="0"/>
        <w:spacing w:line="1" w:lineRule="exact"/>
      </w:pPr>
    </w:p>
    <w:tbl>
      <w:tblPr>
        <w:tblOverlap w:val="never"/>
        <w:jc w:val="center"/>
        <w:tblLayout w:type="fixed"/>
      </w:tblPr>
      <w:tblGrid>
        <w:gridCol w:w="998"/>
        <w:gridCol w:w="888"/>
        <w:gridCol w:w="893"/>
        <w:gridCol w:w="893"/>
        <w:gridCol w:w="888"/>
        <w:gridCol w:w="1037"/>
        <w:gridCol w:w="888"/>
        <w:gridCol w:w="893"/>
        <w:gridCol w:w="658"/>
        <w:gridCol w:w="830"/>
        <w:gridCol w:w="648"/>
      </w:tblGrid>
      <w:tr>
        <w:trPr>
          <w:trHeight w:val="15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3"/>
                <w:szCs w:val="13"/>
              </w:rPr>
            </w:pPr>
            <w:r>
              <w:rPr>
                <w:b/>
                <w:bCs/>
                <w:color w:val="000000"/>
                <w:spacing w:val="0"/>
                <w:w w:val="100"/>
                <w:position w:val="0"/>
                <w:sz w:val="13"/>
                <w:szCs w:val="13"/>
              </w:rPr>
              <w:t>被投资单位名 称或形成商誉 的事项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3" w:lineRule="exact"/>
              <w:ind w:left="0" w:right="0" w:firstLine="0"/>
              <w:jc w:val="center"/>
              <w:rPr>
                <w:sz w:val="13"/>
                <w:szCs w:val="13"/>
              </w:rPr>
            </w:pPr>
            <w:r>
              <w:rPr>
                <w:b/>
                <w:bCs/>
                <w:color w:val="000000"/>
                <w:spacing w:val="0"/>
                <w:w w:val="100"/>
                <w:position w:val="0"/>
                <w:sz w:val="13"/>
                <w:szCs w:val="13"/>
              </w:rPr>
              <w:t>归属于母公 司股东的商 誉账面原值 （万元）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3"/>
                <w:szCs w:val="13"/>
              </w:rPr>
            </w:pPr>
            <w:r>
              <w:rPr>
                <w:b/>
                <w:bCs/>
                <w:color w:val="000000"/>
                <w:spacing w:val="0"/>
                <w:w w:val="100"/>
                <w:position w:val="0"/>
                <w:sz w:val="13"/>
                <w:szCs w:val="13"/>
              </w:rPr>
              <w:t>归属于少数</w:t>
            </w:r>
          </w:p>
          <w:p>
            <w:pPr>
              <w:pStyle w:val="Style2"/>
              <w:keepNext w:val="0"/>
              <w:keepLines w:val="0"/>
              <w:widowControl w:val="0"/>
              <w:shd w:val="clear" w:color="auto" w:fill="auto"/>
              <w:bidi w:val="0"/>
              <w:spacing w:before="0" w:after="0" w:line="312" w:lineRule="exact"/>
              <w:ind w:left="0" w:right="0" w:firstLine="0"/>
              <w:jc w:val="center"/>
              <w:rPr>
                <w:sz w:val="13"/>
                <w:szCs w:val="13"/>
              </w:rPr>
            </w:pPr>
            <w:r>
              <w:rPr>
                <w:b/>
                <w:bCs/>
                <w:color w:val="000000"/>
                <w:spacing w:val="0"/>
                <w:w w:val="100"/>
                <w:position w:val="0"/>
                <w:sz w:val="13"/>
                <w:szCs w:val="13"/>
              </w:rPr>
              <w:t>股东的商誉 账面原值 （万元）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3"/>
                <w:szCs w:val="13"/>
              </w:rPr>
            </w:pPr>
            <w:r>
              <w:rPr>
                <w:b/>
                <w:bCs/>
                <w:color w:val="000000"/>
                <w:spacing w:val="0"/>
                <w:w w:val="100"/>
                <w:position w:val="0"/>
                <w:sz w:val="13"/>
                <w:szCs w:val="13"/>
              </w:rPr>
              <w:t>全部商誉账 面原值 （万元）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3"/>
                <w:szCs w:val="13"/>
              </w:rPr>
            </w:pPr>
            <w:r>
              <w:rPr>
                <w:b/>
                <w:bCs/>
                <w:color w:val="000000"/>
                <w:spacing w:val="0"/>
                <w:w w:val="100"/>
                <w:position w:val="0"/>
                <w:sz w:val="13"/>
                <w:szCs w:val="13"/>
              </w:rPr>
              <w:t>资产组或资 产组组合内 其他资产账 面价值</w:t>
            </w:r>
          </w:p>
          <w:p>
            <w:pPr>
              <w:pStyle w:val="Style2"/>
              <w:keepNext w:val="0"/>
              <w:keepLines w:val="0"/>
              <w:widowControl w:val="0"/>
              <w:shd w:val="clear" w:color="auto" w:fill="auto"/>
              <w:bidi w:val="0"/>
              <w:spacing w:before="0" w:after="0" w:line="312" w:lineRule="exact"/>
              <w:ind w:left="0" w:right="0" w:firstLine="0"/>
              <w:jc w:val="left"/>
              <w:rPr>
                <w:sz w:val="13"/>
                <w:szCs w:val="13"/>
              </w:rPr>
            </w:pPr>
            <w:r>
              <w:rPr>
                <w:b/>
                <w:bCs/>
                <w:color w:val="000000"/>
                <w:spacing w:val="0"/>
                <w:w w:val="100"/>
                <w:position w:val="0"/>
                <w:sz w:val="13"/>
                <w:szCs w:val="13"/>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3"/>
                <w:szCs w:val="13"/>
              </w:rPr>
            </w:pPr>
            <w:r>
              <w:rPr>
                <w:b/>
                <w:bCs/>
                <w:color w:val="000000"/>
                <w:spacing w:val="0"/>
                <w:w w:val="100"/>
                <w:position w:val="0"/>
                <w:sz w:val="13"/>
                <w:szCs w:val="13"/>
              </w:rPr>
              <w:t>包含商誉的资 产组或资产组 组合账面价值 （万元）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40" w:line="240" w:lineRule="auto"/>
              <w:ind w:left="0" w:right="0" w:firstLine="0"/>
              <w:jc w:val="right"/>
              <w:rPr>
                <w:sz w:val="13"/>
                <w:szCs w:val="13"/>
              </w:rPr>
            </w:pPr>
            <w:r>
              <w:rPr>
                <w:b/>
                <w:bCs/>
                <w:color w:val="000000"/>
                <w:spacing w:val="0"/>
                <w:w w:val="100"/>
                <w:position w:val="0"/>
                <w:sz w:val="13"/>
                <w:szCs w:val="13"/>
              </w:rPr>
              <w:t>可收回金额</w:t>
            </w:r>
          </w:p>
          <w:p>
            <w:pPr>
              <w:pStyle w:val="Style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3"/>
                <w:szCs w:val="13"/>
              </w:rPr>
            </w:pPr>
            <w:r>
              <w:rPr>
                <w:b/>
                <w:bCs/>
                <w:color w:val="000000"/>
                <w:spacing w:val="0"/>
                <w:w w:val="100"/>
                <w:position w:val="0"/>
                <w:sz w:val="13"/>
                <w:szCs w:val="13"/>
              </w:rPr>
              <w:t>本期计提的 商誉减值 （万元）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3"/>
                <w:szCs w:val="13"/>
              </w:rPr>
            </w:pPr>
            <w:r>
              <w:rPr>
                <w:b/>
                <w:bCs/>
                <w:color w:val="000000"/>
                <w:spacing w:val="0"/>
                <w:w w:val="100"/>
                <w:position w:val="0"/>
                <w:sz w:val="13"/>
                <w:szCs w:val="13"/>
              </w:rPr>
              <w:t>确定方法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3"/>
                <w:szCs w:val="13"/>
              </w:rPr>
            </w:pPr>
            <w:r>
              <w:rPr>
                <w:b/>
                <w:bCs/>
                <w:color w:val="000000"/>
                <w:spacing w:val="0"/>
                <w:w w:val="100"/>
                <w:position w:val="0"/>
                <w:sz w:val="13"/>
                <w:szCs w:val="13"/>
              </w:rPr>
              <w:t>主要构成</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140" w:line="240" w:lineRule="auto"/>
              <w:ind w:left="0" w:right="0" w:firstLine="0"/>
              <w:jc w:val="center"/>
              <w:rPr>
                <w:sz w:val="13"/>
                <w:szCs w:val="13"/>
              </w:rPr>
            </w:pPr>
            <w:r>
              <w:rPr>
                <w:b/>
                <w:bCs/>
                <w:color w:val="000000"/>
                <w:spacing w:val="0"/>
                <w:w w:val="100"/>
                <w:position w:val="0"/>
                <w:sz w:val="13"/>
                <w:szCs w:val="13"/>
              </w:rPr>
              <w:t>本期是否</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发生变动</w:t>
            </w:r>
          </w:p>
        </w:tc>
      </w:tr>
      <w:tr>
        <w:trPr>
          <w:trHeight w:val="37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3"/>
                <w:szCs w:val="13"/>
              </w:rPr>
            </w:pPr>
            <w:r>
              <w:rPr>
                <w:color w:val="000000"/>
                <w:spacing w:val="0"/>
                <w:w w:val="100"/>
                <w:position w:val="0"/>
                <w:sz w:val="13"/>
                <w:szCs w:val="13"/>
              </w:rPr>
              <w:t>银川卧龙</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67,099.45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67,099.45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46,888.36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113,987.81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43,272.46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67,099.45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3"/>
                <w:szCs w:val="13"/>
              </w:rPr>
            </w:pPr>
            <w:r>
              <w:rPr>
                <w:color w:val="000000"/>
                <w:spacing w:val="0"/>
                <w:w w:val="100"/>
                <w:position w:val="0"/>
                <w:sz w:val="13"/>
                <w:szCs w:val="13"/>
              </w:rPr>
              <w:t>商誉所在 的资产组 生产的产 品存在活 跃市场， 可以带来 独立的现 金流，可 将其认定 为一个单 独的资产 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3"/>
                <w:szCs w:val="13"/>
              </w:rPr>
            </w:pPr>
            <w:r>
              <w:rPr>
                <w:color w:val="000000"/>
                <w:spacing w:val="0"/>
                <w:w w:val="100"/>
                <w:position w:val="0"/>
                <w:sz w:val="13"/>
                <w:szCs w:val="13"/>
              </w:rPr>
              <w:t>资产组具体 涉及：不包 括溢余现金 的货币资 金、应收账 款、应收票 据、预付款 项、其他应 收款（经营 性）、存货、 经营性固定 资产、无形</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3"/>
                <w:szCs w:val="13"/>
              </w:rPr>
            </w:pPr>
            <w:r>
              <w:rPr>
                <w:color w:val="000000"/>
                <w:spacing w:val="0"/>
                <w:w w:val="100"/>
                <w:position w:val="0"/>
                <w:sz w:val="13"/>
                <w:szCs w:val="13"/>
              </w:rPr>
              <w:t>否</w:t>
            </w:r>
          </w:p>
        </w:tc>
      </w:tr>
    </w:tbl>
    <w:p>
      <w:pPr>
        <w:widowControl w:val="0"/>
        <w:spacing w:line="1" w:lineRule="exact"/>
      </w:pPr>
      <w:r>
        <w:br w:type="page"/>
      </w:r>
    </w:p>
    <w:tbl>
      <w:tblPr>
        <w:tblOverlap w:val="never"/>
        <w:jc w:val="center"/>
        <w:tblLayout w:type="fixed"/>
      </w:tblPr>
      <w:tblGrid>
        <w:gridCol w:w="998"/>
        <w:gridCol w:w="888"/>
        <w:gridCol w:w="893"/>
        <w:gridCol w:w="893"/>
        <w:gridCol w:w="888"/>
        <w:gridCol w:w="1037"/>
        <w:gridCol w:w="888"/>
        <w:gridCol w:w="893"/>
        <w:gridCol w:w="658"/>
        <w:gridCol w:w="830"/>
        <w:gridCol w:w="648"/>
      </w:tblGrid>
      <w:tr>
        <w:trPr>
          <w:trHeight w:val="44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3"/>
                <w:szCs w:val="13"/>
              </w:rPr>
            </w:pPr>
            <w:r>
              <w:rPr>
                <w:color w:val="000000"/>
                <w:spacing w:val="0"/>
                <w:w w:val="100"/>
                <w:position w:val="0"/>
                <w:sz w:val="13"/>
                <w:szCs w:val="13"/>
              </w:rPr>
              <w:t>资产；应付 票据、应付 账款、预收 款项、应付 职工薪酬、 应交税费、 其他应付款</w:t>
            </w:r>
          </w:p>
          <w:p>
            <w:pPr>
              <w:pStyle w:val="Style2"/>
              <w:keepNext w:val="0"/>
              <w:keepLines w:val="0"/>
              <w:widowControl w:val="0"/>
              <w:shd w:val="clear" w:color="auto" w:fill="auto"/>
              <w:bidi w:val="0"/>
              <w:spacing w:before="0" w:after="0" w:line="312" w:lineRule="exact"/>
              <w:ind w:left="0" w:right="0" w:firstLine="0"/>
              <w:jc w:val="both"/>
              <w:rPr>
                <w:sz w:val="13"/>
                <w:szCs w:val="13"/>
              </w:rPr>
            </w:pPr>
            <w:r>
              <w:rPr>
                <w:color w:val="000000"/>
                <w:spacing w:val="0"/>
                <w:w w:val="100"/>
                <w:position w:val="0"/>
                <w:sz w:val="13"/>
                <w:szCs w:val="13"/>
              </w:rPr>
              <w:t>（经营性）） 以及分摊的 商誉、并购 日相关资产 合并对价分 摊调整额的 余额。</w:t>
            </w:r>
          </w:p>
        </w:tc>
        <w:tc>
          <w:tcPr>
            <w:tcBorders>
              <w:top w:val="single" w:sz="4"/>
              <w:left w:val="single" w:sz="4"/>
              <w:right w:val="single" w:sz="4"/>
            </w:tcBorders>
            <w:shd w:val="clear" w:color="auto" w:fill="FFFFFF"/>
            <w:vAlign w:val="top"/>
          </w:tcPr>
          <w:p>
            <w:pPr>
              <w:widowControl w:val="0"/>
              <w:rPr>
                <w:sz w:val="10"/>
                <w:szCs w:val="10"/>
              </w:rPr>
            </w:pPr>
          </w:p>
        </w:tc>
      </w:tr>
      <w:tr>
        <w:trPr>
          <w:trHeight w:val="721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3"/>
                <w:szCs w:val="13"/>
              </w:rPr>
            </w:pPr>
            <w:r>
              <w:rPr>
                <w:color w:val="000000"/>
                <w:spacing w:val="0"/>
                <w:w w:val="100"/>
                <w:position w:val="0"/>
                <w:sz w:val="13"/>
                <w:szCs w:val="13"/>
              </w:rPr>
              <w:t>星波通信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39,458.71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18,963.07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58,421.78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29,478.88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87,900.66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90,086.23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3"/>
                <w:szCs w:val="13"/>
              </w:rPr>
            </w:pPr>
            <w:r>
              <w:rPr>
                <w:color w:val="000000"/>
                <w:spacing w:val="0"/>
                <w:w w:val="100"/>
                <w:position w:val="0"/>
                <w:sz w:val="13"/>
                <w:szCs w:val="13"/>
              </w:rPr>
              <w:t>商誉所在 的资产组 生产的产 品存在活 跃市场， 可以带来 独立的现 金流，可 将其认定 为一个单 独的资产 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3"/>
                <w:szCs w:val="13"/>
              </w:rPr>
            </w:pPr>
            <w:r>
              <w:rPr>
                <w:color w:val="000000"/>
                <w:spacing w:val="0"/>
                <w:w w:val="100"/>
                <w:position w:val="0"/>
                <w:sz w:val="13"/>
                <w:szCs w:val="13"/>
              </w:rPr>
              <w:t>资产组具体 涉及：不包 括溢余现金 的货币资 金、应收账 款、应收票 据、预付账 款、其他应 收款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3"/>
                <w:szCs w:val="13"/>
              </w:rPr>
              <w:t>经营 性</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3"/>
                <w:szCs w:val="13"/>
              </w:rPr>
              <w:t>、存货、 经营性固定 资产、在建 工程、无形 资产、长期 待摊费用、 应付票据、 应付账款、 预收款项、 应付职工薪 酬、应交税 费、其他应 付款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3"/>
                <w:szCs w:val="13"/>
              </w:rPr>
              <w:t>经营 性</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3"/>
                <w:szCs w:val="13"/>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3"/>
                <w:szCs w:val="13"/>
              </w:rPr>
            </w:pPr>
            <w:r>
              <w:rPr>
                <w:color w:val="000000"/>
                <w:spacing w:val="0"/>
                <w:w w:val="100"/>
                <w:position w:val="0"/>
                <w:sz w:val="13"/>
                <w:szCs w:val="13"/>
              </w:rPr>
              <w:t>否</w:t>
            </w:r>
          </w:p>
        </w:tc>
      </w:tr>
    </w:tbl>
    <w:p>
      <w:pPr>
        <w:widowControl w:val="0"/>
        <w:spacing w:after="399" w:line="1" w:lineRule="exact"/>
      </w:pPr>
    </w:p>
    <w:p>
      <w:pPr>
        <w:pStyle w:val="Style2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64"/>
        <w:keepNext w:val="0"/>
        <w:keepLines w:val="0"/>
        <w:widowControl w:val="0"/>
        <w:shd w:val="clear" w:color="auto" w:fill="auto"/>
        <w:bidi w:val="0"/>
        <w:spacing w:before="0" w:after="140" w:line="298" w:lineRule="exact"/>
        <w:ind w:left="0" w:right="0" w:firstLine="480"/>
        <w:jc w:val="left"/>
      </w:pPr>
      <w:r>
        <w:rPr>
          <w:color w:val="000000"/>
          <w:spacing w:val="0"/>
          <w:w w:val="100"/>
          <w:position w:val="0"/>
        </w:rPr>
        <w:t>本集团采用预计未来现金流现值的方法计算资产组的可收回金额，根据管理层批准的财 务预算预计未来</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年内现金流量。</w:t>
      </w:r>
    </w:p>
    <w:p>
      <w:pPr>
        <w:pStyle w:val="Style64"/>
        <w:keepNext w:val="0"/>
        <w:keepLines w:val="0"/>
        <w:widowControl w:val="0"/>
        <w:shd w:val="clear" w:color="auto" w:fill="auto"/>
        <w:bidi w:val="0"/>
        <w:spacing w:before="0" w:after="420" w:line="298" w:lineRule="exact"/>
        <w:ind w:left="0" w:right="0" w:firstLine="480"/>
        <w:jc w:val="left"/>
      </w:pPr>
      <w:r>
        <w:rPr>
          <w:color w:val="000000"/>
          <w:spacing w:val="0"/>
          <w:w w:val="100"/>
          <w:position w:val="0"/>
        </w:rPr>
        <w:t xml:space="preserve">银川卧龙：公司及银川卧龙管理层结合银川卧龙历史财务数据、未来业务发展计划和行 </w:t>
      </w:r>
      <w:r>
        <w:rPr>
          <w:color w:val="000000"/>
          <w:spacing w:val="0"/>
          <w:w w:val="100"/>
          <w:position w:val="0"/>
        </w:rPr>
        <w:t>业发展状况与趋势，对银川卧龙资产组未来</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-2026</w:t>
      </w:r>
      <w:r>
        <w:rPr>
          <w:color w:val="000000"/>
          <w:spacing w:val="0"/>
          <w:w w:val="100"/>
          <w:position w:val="0"/>
        </w:rPr>
        <w:t>年）的现金流量进行预测，永 续期按照</w:t>
      </w:r>
      <w:r>
        <w:rPr>
          <w:rFonts w:ascii="Times New Roman" w:eastAsia="Times New Roman" w:hAnsi="Times New Roman" w:cs="Times New Roman"/>
          <w:color w:val="000000"/>
          <w:spacing w:val="0"/>
          <w:w w:val="100"/>
          <w:position w:val="0"/>
          <w:sz w:val="24"/>
          <w:szCs w:val="24"/>
        </w:rPr>
        <w:t>2026</w:t>
      </w:r>
      <w:r>
        <w:rPr>
          <w:color w:val="000000"/>
          <w:spacing w:val="0"/>
          <w:w w:val="100"/>
          <w:position w:val="0"/>
        </w:rPr>
        <w:t>年的水平持续。预测使用的税前折现率为</w:t>
      </w:r>
      <w:r>
        <w:rPr>
          <w:rFonts w:ascii="Times New Roman" w:eastAsia="Times New Roman" w:hAnsi="Times New Roman" w:cs="Times New Roman"/>
          <w:color w:val="000000"/>
          <w:spacing w:val="0"/>
          <w:w w:val="100"/>
          <w:position w:val="0"/>
          <w:sz w:val="24"/>
          <w:szCs w:val="24"/>
        </w:rPr>
        <w:t>11.02%</w:t>
      </w:r>
      <w:r>
        <w:rPr>
          <w:color w:val="000000"/>
          <w:spacing w:val="0"/>
          <w:w w:val="100"/>
          <w:position w:val="0"/>
        </w:rPr>
        <w:t>。减值测试中采用的其他关键 数据包括：产品预计售价、销量、生产成本及其他相关费用，公司根据历史经验及对市场发 展的预测确定上述关键数据。公司采用的折现率是反映当前市场货币时间价值和相关资产组 特定风险的税前利率。具体预测如下</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2026</w:t>
      </w:r>
      <w:r>
        <w:rPr>
          <w:color w:val="000000"/>
          <w:spacing w:val="0"/>
          <w:w w:val="100"/>
          <w:position w:val="0"/>
        </w:rPr>
        <w:t>年营业收入增长率分别为</w:t>
      </w:r>
      <w:r>
        <w:rPr>
          <w:rFonts w:ascii="Times New Roman" w:eastAsia="Times New Roman" w:hAnsi="Times New Roman" w:cs="Times New Roman"/>
          <w:color w:val="000000"/>
          <w:spacing w:val="0"/>
          <w:w w:val="100"/>
          <w:position w:val="0"/>
          <w:sz w:val="24"/>
          <w:szCs w:val="24"/>
        </w:rPr>
        <w:t>49.57%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1.66%</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0.45%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1.50%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-6.16%;2021 </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rPr>
        <w:t>年利润率分别为</w:t>
      </w:r>
      <w:r>
        <w:rPr>
          <w:rFonts w:ascii="Times New Roman" w:eastAsia="Times New Roman" w:hAnsi="Times New Roman" w:cs="Times New Roman"/>
          <w:color w:val="000000"/>
          <w:spacing w:val="0"/>
          <w:w w:val="100"/>
          <w:position w:val="0"/>
          <w:sz w:val="24"/>
          <w:szCs w:val="24"/>
        </w:rPr>
        <w:t>9.61%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9.31%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8.97%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8.62%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8.07%;2022 </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2026</w:t>
      </w:r>
      <w:r>
        <w:rPr>
          <w:color w:val="000000"/>
          <w:spacing w:val="0"/>
          <w:w w:val="100"/>
          <w:position w:val="0"/>
        </w:rPr>
        <w:t>年预期息税前利润为</w:t>
      </w:r>
      <w:r>
        <w:rPr>
          <w:rFonts w:ascii="Times New Roman" w:eastAsia="Times New Roman" w:hAnsi="Times New Roman" w:cs="Times New Roman"/>
          <w:color w:val="000000"/>
          <w:spacing w:val="0"/>
          <w:w w:val="100"/>
          <w:position w:val="0"/>
          <w:sz w:val="24"/>
          <w:szCs w:val="24"/>
        </w:rPr>
        <w:t>6,651.11</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6,550.24</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6,333.5</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6,182.05</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24"/>
          <w:szCs w:val="24"/>
        </w:rPr>
        <w:t>5,432.07</w:t>
      </w:r>
      <w:r>
        <w:rPr>
          <w:color w:val="000000"/>
          <w:spacing w:val="0"/>
          <w:w w:val="100"/>
          <w:position w:val="0"/>
        </w:rPr>
        <w:t>万元；永续期营业收入增长率为</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，利润率为</w:t>
      </w:r>
      <w:r>
        <w:rPr>
          <w:rFonts w:ascii="Times New Roman" w:eastAsia="Times New Roman" w:hAnsi="Times New Roman" w:cs="Times New Roman"/>
          <w:color w:val="000000"/>
          <w:spacing w:val="0"/>
          <w:w w:val="100"/>
          <w:position w:val="0"/>
          <w:sz w:val="24"/>
          <w:szCs w:val="24"/>
        </w:rPr>
        <w:t>8.19%</w:t>
      </w:r>
      <w:r>
        <w:rPr>
          <w:color w:val="000000"/>
          <w:spacing w:val="0"/>
          <w:w w:val="100"/>
          <w:position w:val="0"/>
        </w:rPr>
        <w:t>，息税前利润为</w:t>
      </w:r>
      <w:r>
        <w:rPr>
          <w:rFonts w:ascii="Times New Roman" w:eastAsia="Times New Roman" w:hAnsi="Times New Roman" w:cs="Times New Roman"/>
          <w:color w:val="000000"/>
          <w:spacing w:val="0"/>
          <w:w w:val="100"/>
          <w:position w:val="0"/>
          <w:sz w:val="24"/>
          <w:szCs w:val="24"/>
        </w:rPr>
        <w:t>5,578.4</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万元。 根据上述测算，包含商誉的相关资产组预计未来现金流量的现值为</w:t>
      </w:r>
      <w:r>
        <w:rPr>
          <w:rFonts w:ascii="Times New Roman" w:eastAsia="Times New Roman" w:hAnsi="Times New Roman" w:cs="Times New Roman"/>
          <w:color w:val="000000"/>
          <w:spacing w:val="0"/>
          <w:w w:val="100"/>
          <w:position w:val="0"/>
          <w:sz w:val="24"/>
          <w:szCs w:val="24"/>
        </w:rPr>
        <w:t>43,272.46</w:t>
      </w:r>
      <w:r>
        <w:rPr>
          <w:color w:val="000000"/>
          <w:spacing w:val="0"/>
          <w:w w:val="100"/>
          <w:position w:val="0"/>
        </w:rPr>
        <w:t>万元低于报告期 末资产组的账面价值</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113,987.81</w:t>
      </w:r>
      <w:r>
        <w:rPr>
          <w:color w:val="000000"/>
          <w:spacing w:val="0"/>
          <w:w w:val="100"/>
          <w:position w:val="0"/>
        </w:rPr>
        <w:t>万元），应计提商誉减值</w:t>
      </w:r>
      <w:r>
        <w:rPr>
          <w:rFonts w:ascii="Times New Roman" w:eastAsia="Times New Roman" w:hAnsi="Times New Roman" w:cs="Times New Roman"/>
          <w:color w:val="000000"/>
          <w:spacing w:val="0"/>
          <w:w w:val="100"/>
          <w:position w:val="0"/>
          <w:sz w:val="24"/>
          <w:szCs w:val="24"/>
        </w:rPr>
        <w:t>67,099.45</w:t>
      </w:r>
      <w:r>
        <w:rPr>
          <w:color w:val="000000"/>
          <w:spacing w:val="0"/>
          <w:w w:val="100"/>
          <w:position w:val="0"/>
        </w:rPr>
        <w:t xml:space="preserve">万元以及资产减值损失 </w:t>
      </w:r>
      <w:r>
        <w:rPr>
          <w:rFonts w:ascii="Times New Roman" w:eastAsia="Times New Roman" w:hAnsi="Times New Roman" w:cs="Times New Roman"/>
          <w:color w:val="000000"/>
          <w:spacing w:val="0"/>
          <w:w w:val="100"/>
          <w:position w:val="0"/>
          <w:sz w:val="24"/>
          <w:szCs w:val="24"/>
        </w:rPr>
        <w:t xml:space="preserve">3,615.90 </w:t>
      </w:r>
      <w:r>
        <w:rPr>
          <w:color w:val="000000"/>
          <w:spacing w:val="0"/>
          <w:w w:val="100"/>
          <w:position w:val="0"/>
        </w:rPr>
        <w:t>万元。</w:t>
      </w:r>
    </w:p>
    <w:p>
      <w:pPr>
        <w:pStyle w:val="Style64"/>
        <w:keepNext w:val="0"/>
        <w:keepLines w:val="0"/>
        <w:widowControl w:val="0"/>
        <w:shd w:val="clear" w:color="auto" w:fill="auto"/>
        <w:tabs>
          <w:tab w:pos="7214" w:val="left"/>
        </w:tabs>
        <w:bidi w:val="0"/>
        <w:spacing w:before="0" w:after="0" w:line="311" w:lineRule="exact"/>
        <w:ind w:left="0" w:right="0" w:firstLine="400"/>
        <w:jc w:val="both"/>
      </w:pPr>
      <w:r>
        <w:rPr>
          <w:color w:val="000000"/>
          <w:spacing w:val="0"/>
          <w:w w:val="100"/>
          <w:position w:val="0"/>
        </w:rPr>
        <w:t>星波通信：星波通信组织结构、业务收入未发生明显变化，公司管理层在此基础上结合星 波通信历史财务数据、未来业务发展规划和行业发展趋势，对星波通信资产组未来</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年期（</w:t>
      </w:r>
      <w:r>
        <w:rPr>
          <w:rFonts w:ascii="Times New Roman" w:eastAsia="Times New Roman" w:hAnsi="Times New Roman" w:cs="Times New Roman"/>
          <w:color w:val="000000"/>
          <w:spacing w:val="0"/>
          <w:w w:val="100"/>
          <w:position w:val="0"/>
          <w:sz w:val="24"/>
          <w:szCs w:val="24"/>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-2026</w:t>
      </w:r>
      <w:r>
        <w:rPr>
          <w:color w:val="000000"/>
          <w:spacing w:val="0"/>
          <w:w w:val="100"/>
          <w:position w:val="0"/>
        </w:rPr>
        <w:t>年）现金流量进行预测，永续期按照</w:t>
      </w:r>
      <w:r>
        <w:rPr>
          <w:rFonts w:ascii="Times New Roman" w:eastAsia="Times New Roman" w:hAnsi="Times New Roman" w:cs="Times New Roman"/>
          <w:color w:val="000000"/>
          <w:spacing w:val="0"/>
          <w:w w:val="100"/>
          <w:position w:val="0"/>
          <w:sz w:val="24"/>
          <w:szCs w:val="24"/>
        </w:rPr>
        <w:t>2026</w:t>
      </w:r>
      <w:r>
        <w:rPr>
          <w:color w:val="000000"/>
          <w:spacing w:val="0"/>
          <w:w w:val="100"/>
          <w:position w:val="0"/>
        </w:rPr>
        <w:t xml:space="preserve">年的水平持续。预测使用的税前折现率为 </w:t>
      </w:r>
      <w:r>
        <w:rPr>
          <w:rFonts w:ascii="Times New Roman" w:eastAsia="Times New Roman" w:hAnsi="Times New Roman" w:cs="Times New Roman"/>
          <w:color w:val="000000"/>
          <w:spacing w:val="0"/>
          <w:w w:val="100"/>
          <w:position w:val="0"/>
          <w:sz w:val="24"/>
          <w:szCs w:val="24"/>
        </w:rPr>
        <w:t>12.23%</w:t>
      </w:r>
      <w:r>
        <w:rPr>
          <w:color w:val="000000"/>
          <w:spacing w:val="0"/>
          <w:w w:val="100"/>
          <w:position w:val="0"/>
        </w:rPr>
        <w:t>。减值测试中采用的其他关键数据包括：产品预计售价、销量、生产成本及其他相关 费用，公司根据历史经验及对市场发展的预测确定上述关键数据。公司采用的折现率是反映 当前市场货币时间价值和相关资产组特定风险的税前利率。具体预测如下：</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2026</w:t>
      </w:r>
      <w:r>
        <w:rPr>
          <w:color w:val="000000"/>
          <w:spacing w:val="0"/>
          <w:w w:val="100"/>
          <w:position w:val="0"/>
        </w:rPr>
        <w:t>年 营业收入增长率分别为</w:t>
      </w:r>
      <w:r>
        <w:rPr>
          <w:rFonts w:ascii="Times New Roman" w:eastAsia="Times New Roman" w:hAnsi="Times New Roman" w:cs="Times New Roman"/>
          <w:color w:val="000000"/>
          <w:spacing w:val="0"/>
          <w:w w:val="100"/>
          <w:position w:val="0"/>
          <w:sz w:val="24"/>
          <w:szCs w:val="24"/>
        </w:rPr>
        <w:t>19.79%</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19.36%</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12.42%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6.22%</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2026</w:t>
      </w:r>
      <w:r>
        <w:rPr>
          <w:color w:val="000000"/>
          <w:spacing w:val="0"/>
          <w:w w:val="100"/>
          <w:position w:val="0"/>
        </w:rPr>
        <w:t>年利润率</w:t>
      </w:r>
    </w:p>
    <w:p>
      <w:pPr>
        <w:pStyle w:val="Style54"/>
        <w:keepNext w:val="0"/>
        <w:keepLines w:val="0"/>
        <w:widowControl w:val="0"/>
        <w:shd w:val="clear" w:color="auto" w:fill="auto"/>
        <w:tabs>
          <w:tab w:pos="5640" w:val="left"/>
        </w:tabs>
        <w:bidi w:val="0"/>
        <w:spacing w:before="0" w:after="0" w:line="311" w:lineRule="exact"/>
        <w:ind w:left="0" w:right="0" w:firstLine="0"/>
        <w:jc w:val="both"/>
      </w:pPr>
      <w:r>
        <w:rPr>
          <w:rFonts w:ascii="SimSun" w:eastAsia="SimSun" w:hAnsi="SimSun" w:cs="SimSun"/>
          <w:color w:val="000000"/>
          <w:spacing w:val="0"/>
          <w:w w:val="100"/>
          <w:position w:val="0"/>
          <w:sz w:val="22"/>
          <w:szCs w:val="22"/>
        </w:rPr>
        <w:t>分别为</w:t>
      </w:r>
      <w:r>
        <w:rPr>
          <w:color w:val="000000"/>
          <w:spacing w:val="0"/>
          <w:w w:val="100"/>
          <w:position w:val="0"/>
          <w:sz w:val="24"/>
          <w:szCs w:val="24"/>
        </w:rPr>
        <w:t>28.11%</w:t>
      </w:r>
      <w:r>
        <w:rPr>
          <w:rFonts w:ascii="SimSun" w:eastAsia="SimSun" w:hAnsi="SimSun" w:cs="SimSun"/>
          <w:color w:val="000000"/>
          <w:spacing w:val="0"/>
          <w:w w:val="100"/>
          <w:position w:val="0"/>
          <w:sz w:val="22"/>
          <w:szCs w:val="22"/>
        </w:rPr>
        <w:t>、</w:t>
      </w:r>
      <w:r>
        <w:rPr>
          <w:color w:val="000000"/>
          <w:spacing w:val="0"/>
          <w:w w:val="100"/>
          <w:position w:val="0"/>
          <w:sz w:val="24"/>
          <w:szCs w:val="24"/>
        </w:rPr>
        <w:t>28.76%</w:t>
      </w:r>
      <w:r>
        <w:rPr>
          <w:rFonts w:ascii="SimSun" w:eastAsia="SimSun" w:hAnsi="SimSun" w:cs="SimSun"/>
          <w:color w:val="000000"/>
          <w:spacing w:val="0"/>
          <w:w w:val="100"/>
          <w:position w:val="0"/>
          <w:sz w:val="22"/>
          <w:szCs w:val="22"/>
        </w:rPr>
        <w:t>、</w:t>
      </w:r>
      <w:r>
        <w:rPr>
          <w:color w:val="000000"/>
          <w:spacing w:val="0"/>
          <w:w w:val="100"/>
          <w:position w:val="0"/>
          <w:sz w:val="24"/>
          <w:szCs w:val="24"/>
        </w:rPr>
        <w:t>29.01%</w:t>
      </w:r>
      <w:r>
        <w:rPr>
          <w:rFonts w:ascii="SimSun" w:eastAsia="SimSun" w:hAnsi="SimSun" w:cs="SimSun"/>
          <w:color w:val="000000"/>
          <w:spacing w:val="0"/>
          <w:w w:val="100"/>
          <w:position w:val="0"/>
          <w:sz w:val="22"/>
          <w:szCs w:val="22"/>
        </w:rPr>
        <w:t>、</w:t>
      </w:r>
      <w:r>
        <w:rPr>
          <w:color w:val="000000"/>
          <w:spacing w:val="0"/>
          <w:w w:val="100"/>
          <w:position w:val="0"/>
          <w:sz w:val="24"/>
          <w:szCs w:val="24"/>
        </w:rPr>
        <w:t>29.38%</w:t>
      </w:r>
      <w:r>
        <w:rPr>
          <w:rFonts w:ascii="SimSun" w:eastAsia="SimSun" w:hAnsi="SimSun" w:cs="SimSun"/>
          <w:color w:val="000000"/>
          <w:spacing w:val="0"/>
          <w:w w:val="100"/>
          <w:position w:val="0"/>
          <w:sz w:val="22"/>
          <w:szCs w:val="22"/>
        </w:rPr>
        <w:t>、</w:t>
      </w:r>
      <w:r>
        <w:rPr>
          <w:color w:val="000000"/>
          <w:spacing w:val="0"/>
          <w:w w:val="100"/>
          <w:position w:val="0"/>
          <w:sz w:val="24"/>
          <w:szCs w:val="24"/>
        </w:rPr>
        <w:t>29.49%</w:t>
      </w:r>
      <w:r>
        <w:rPr>
          <w:rFonts w:ascii="SimSun" w:eastAsia="SimSun" w:hAnsi="SimSun" w:cs="SimSun"/>
          <w:color w:val="000000"/>
          <w:spacing w:val="0"/>
          <w:w w:val="100"/>
          <w:position w:val="0"/>
          <w:sz w:val="22"/>
          <w:szCs w:val="22"/>
        </w:rPr>
        <w:t>；</w:t>
        <w:tab/>
      </w:r>
      <w:r>
        <w:rPr>
          <w:color w:val="000000"/>
          <w:spacing w:val="0"/>
          <w:w w:val="100"/>
          <w:position w:val="0"/>
          <w:sz w:val="24"/>
          <w:szCs w:val="24"/>
        </w:rPr>
        <w:t>2022</w:t>
      </w:r>
      <w:r>
        <w:rPr>
          <w:rFonts w:ascii="SimSun" w:eastAsia="SimSun" w:hAnsi="SimSun" w:cs="SimSun"/>
          <w:color w:val="000000"/>
          <w:spacing w:val="0"/>
          <w:w w:val="100"/>
          <w:position w:val="0"/>
          <w:sz w:val="22"/>
          <w:szCs w:val="22"/>
        </w:rPr>
        <w:t>年至</w:t>
      </w:r>
      <w:r>
        <w:rPr>
          <w:color w:val="000000"/>
          <w:spacing w:val="0"/>
          <w:w w:val="100"/>
          <w:position w:val="0"/>
          <w:sz w:val="24"/>
          <w:szCs w:val="24"/>
        </w:rPr>
        <w:t>2026</w:t>
      </w:r>
      <w:r>
        <w:rPr>
          <w:rFonts w:ascii="SimSun" w:eastAsia="SimSun" w:hAnsi="SimSun" w:cs="SimSun"/>
          <w:color w:val="000000"/>
          <w:spacing w:val="0"/>
          <w:w w:val="100"/>
          <w:position w:val="0"/>
          <w:sz w:val="22"/>
          <w:szCs w:val="22"/>
        </w:rPr>
        <w:t>年预期净利润为</w:t>
      </w:r>
      <w:r>
        <w:rPr>
          <w:color w:val="000000"/>
          <w:spacing w:val="0"/>
          <w:w w:val="100"/>
          <w:position w:val="0"/>
          <w:sz w:val="24"/>
          <w:szCs w:val="24"/>
        </w:rPr>
        <w:t>7,368.64</w:t>
      </w:r>
    </w:p>
    <w:p>
      <w:pPr>
        <w:pStyle w:val="Style64"/>
        <w:keepNext w:val="0"/>
        <w:keepLines w:val="0"/>
        <w:widowControl w:val="0"/>
        <w:shd w:val="clear" w:color="auto" w:fill="auto"/>
        <w:bidi w:val="0"/>
        <w:spacing w:before="0" w:after="120" w:line="311" w:lineRule="exact"/>
        <w:ind w:left="0" w:right="0" w:firstLine="0"/>
        <w:jc w:val="both"/>
      </w:pP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9,049.64</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10,895.70</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12,404.15</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13,225.37</w:t>
      </w:r>
      <w:r>
        <w:rPr>
          <w:color w:val="000000"/>
          <w:spacing w:val="0"/>
          <w:w w:val="100"/>
          <w:position w:val="0"/>
        </w:rPr>
        <w:t>万元；永续期营业收入增长率 为</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，利润率为</w:t>
      </w:r>
      <w:r>
        <w:rPr>
          <w:rFonts w:ascii="Times New Roman" w:eastAsia="Times New Roman" w:hAnsi="Times New Roman" w:cs="Times New Roman"/>
          <w:color w:val="000000"/>
          <w:spacing w:val="0"/>
          <w:w w:val="100"/>
          <w:position w:val="0"/>
          <w:sz w:val="24"/>
          <w:szCs w:val="24"/>
        </w:rPr>
        <w:t>29.49%</w:t>
      </w:r>
      <w:r>
        <w:rPr>
          <w:color w:val="000000"/>
          <w:spacing w:val="0"/>
          <w:w w:val="100"/>
          <w:position w:val="0"/>
          <w:sz w:val="24"/>
          <w:szCs w:val="24"/>
        </w:rPr>
        <w:t>，</w:t>
      </w:r>
      <w:r>
        <w:rPr>
          <w:color w:val="000000"/>
          <w:spacing w:val="0"/>
          <w:w w:val="100"/>
          <w:position w:val="0"/>
        </w:rPr>
        <w:t>净利润为</w:t>
      </w:r>
      <w:r>
        <w:rPr>
          <w:rFonts w:ascii="Times New Roman" w:eastAsia="Times New Roman" w:hAnsi="Times New Roman" w:cs="Times New Roman"/>
          <w:color w:val="000000"/>
          <w:spacing w:val="0"/>
          <w:w w:val="100"/>
          <w:position w:val="0"/>
          <w:sz w:val="24"/>
          <w:szCs w:val="24"/>
        </w:rPr>
        <w:t>13,225.37</w:t>
      </w:r>
      <w:r>
        <w:rPr>
          <w:color w:val="000000"/>
          <w:spacing w:val="0"/>
          <w:w w:val="100"/>
          <w:position w:val="0"/>
        </w:rPr>
        <w:t>万元。根据上述测算，包含商誉的相关资产组预 计未来现金流量的现值为</w:t>
      </w:r>
      <w:r>
        <w:rPr>
          <w:rFonts w:ascii="Times New Roman" w:eastAsia="Times New Roman" w:hAnsi="Times New Roman" w:cs="Times New Roman"/>
          <w:color w:val="000000"/>
          <w:spacing w:val="0"/>
          <w:w w:val="100"/>
          <w:position w:val="0"/>
          <w:sz w:val="24"/>
          <w:szCs w:val="24"/>
        </w:rPr>
        <w:t>90,086.23</w:t>
      </w:r>
      <w:r>
        <w:rPr>
          <w:color w:val="000000"/>
          <w:spacing w:val="0"/>
          <w:w w:val="100"/>
          <w:position w:val="0"/>
        </w:rPr>
        <w:t>万元高于报告期末资产组的账面价值（</w:t>
      </w:r>
      <w:r>
        <w:rPr>
          <w:rFonts w:ascii="Times New Roman" w:eastAsia="Times New Roman" w:hAnsi="Times New Roman" w:cs="Times New Roman"/>
          <w:color w:val="000000"/>
          <w:spacing w:val="0"/>
          <w:w w:val="100"/>
          <w:position w:val="0"/>
          <w:sz w:val="24"/>
          <w:szCs w:val="24"/>
        </w:rPr>
        <w:t>87,900.66</w:t>
      </w:r>
      <w:r>
        <w:rPr>
          <w:color w:val="000000"/>
          <w:spacing w:val="0"/>
          <w:w w:val="100"/>
          <w:position w:val="0"/>
        </w:rPr>
        <w:t>万元）。</w:t>
      </w:r>
    </w:p>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rPr>
        <w:t>商誉减值测试的影响</w:t>
      </w:r>
    </w:p>
    <w:p>
      <w:pPr>
        <w:pStyle w:val="Style64"/>
        <w:keepNext w:val="0"/>
        <w:keepLines w:val="0"/>
        <w:widowControl w:val="0"/>
        <w:shd w:val="clear" w:color="auto" w:fill="auto"/>
        <w:bidi w:val="0"/>
        <w:spacing w:before="0" w:after="0" w:line="314" w:lineRule="exact"/>
        <w:ind w:left="0" w:right="0" w:firstLine="0"/>
        <w:jc w:val="both"/>
      </w:pPr>
      <w:r>
        <w:rPr>
          <w:color w:val="000000"/>
          <w:spacing w:val="0"/>
          <w:w w:val="100"/>
          <w:position w:val="0"/>
        </w:rPr>
        <w:t>银川卧龙：经商誉减值测试，包含商誉的相关资产组预计未来现金流量的现值为</w:t>
      </w:r>
      <w:r>
        <w:rPr>
          <w:rFonts w:ascii="Times New Roman" w:eastAsia="Times New Roman" w:hAnsi="Times New Roman" w:cs="Times New Roman"/>
          <w:color w:val="000000"/>
          <w:spacing w:val="0"/>
          <w:w w:val="100"/>
          <w:position w:val="0"/>
          <w:sz w:val="24"/>
          <w:szCs w:val="24"/>
        </w:rPr>
        <w:t>43,272.46</w:t>
      </w:r>
      <w:r>
        <w:rPr>
          <w:color w:val="000000"/>
          <w:spacing w:val="0"/>
          <w:w w:val="100"/>
          <w:position w:val="0"/>
        </w:rPr>
        <w:t>万 元低于报告期末资产组的账面价值</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113,987.81</w:t>
      </w:r>
      <w:r>
        <w:rPr>
          <w:color w:val="000000"/>
          <w:spacing w:val="0"/>
          <w:w w:val="100"/>
          <w:position w:val="0"/>
        </w:rPr>
        <w:t>万元），应计提商誉减值</w:t>
      </w:r>
      <w:r>
        <w:rPr>
          <w:rFonts w:ascii="Times New Roman" w:eastAsia="Times New Roman" w:hAnsi="Times New Roman" w:cs="Times New Roman"/>
          <w:color w:val="000000"/>
          <w:spacing w:val="0"/>
          <w:w w:val="100"/>
          <w:position w:val="0"/>
          <w:sz w:val="24"/>
          <w:szCs w:val="24"/>
        </w:rPr>
        <w:t>67,099.45</w:t>
      </w:r>
      <w:r>
        <w:rPr>
          <w:color w:val="000000"/>
          <w:spacing w:val="0"/>
          <w:w w:val="100"/>
          <w:position w:val="0"/>
        </w:rPr>
        <w:t>万元以及资 产减值损失</w:t>
      </w:r>
      <w:r>
        <w:rPr>
          <w:rFonts w:ascii="Times New Roman" w:eastAsia="Times New Roman" w:hAnsi="Times New Roman" w:cs="Times New Roman"/>
          <w:color w:val="000000"/>
          <w:spacing w:val="0"/>
          <w:w w:val="100"/>
          <w:position w:val="0"/>
          <w:sz w:val="24"/>
          <w:szCs w:val="24"/>
        </w:rPr>
        <w:t>3,615.90</w:t>
      </w:r>
      <w:r>
        <w:rPr>
          <w:color w:val="000000"/>
          <w:spacing w:val="0"/>
          <w:w w:val="100"/>
          <w:position w:val="0"/>
        </w:rPr>
        <w:t>万元。</w:t>
      </w:r>
    </w:p>
    <w:p>
      <w:pPr>
        <w:pStyle w:val="Style64"/>
        <w:keepNext w:val="0"/>
        <w:keepLines w:val="0"/>
        <w:widowControl w:val="0"/>
        <w:shd w:val="clear" w:color="auto" w:fill="auto"/>
        <w:bidi w:val="0"/>
        <w:spacing w:before="0" w:after="420" w:line="314" w:lineRule="exact"/>
        <w:ind w:left="0" w:right="0" w:firstLine="0"/>
        <w:jc w:val="both"/>
      </w:pPr>
      <w:r>
        <w:rPr>
          <w:color w:val="000000"/>
          <w:spacing w:val="0"/>
          <w:w w:val="100"/>
          <w:position w:val="0"/>
        </w:rPr>
        <w:t>星波通信：经商誉减值测试，包含商誉的相关资产组预计未来现金流量的现值为</w:t>
      </w:r>
      <w:r>
        <w:rPr>
          <w:rFonts w:ascii="Times New Roman" w:eastAsia="Times New Roman" w:hAnsi="Times New Roman" w:cs="Times New Roman"/>
          <w:color w:val="000000"/>
          <w:spacing w:val="0"/>
          <w:w w:val="100"/>
          <w:position w:val="0"/>
          <w:sz w:val="24"/>
          <w:szCs w:val="24"/>
        </w:rPr>
        <w:t>90,086.23</w:t>
      </w:r>
      <w:r>
        <w:rPr>
          <w:color w:val="000000"/>
          <w:spacing w:val="0"/>
          <w:w w:val="100"/>
          <w:position w:val="0"/>
        </w:rPr>
        <w:t>万 元，高于报告期末资产组的账面价值（</w:t>
      </w:r>
      <w:r>
        <w:rPr>
          <w:rFonts w:ascii="Times New Roman" w:eastAsia="Times New Roman" w:hAnsi="Times New Roman" w:cs="Times New Roman"/>
          <w:color w:val="000000"/>
          <w:spacing w:val="0"/>
          <w:w w:val="100"/>
          <w:position w:val="0"/>
          <w:sz w:val="24"/>
          <w:szCs w:val="24"/>
        </w:rPr>
        <w:t>87,900.66</w:t>
      </w:r>
      <w:r>
        <w:rPr>
          <w:color w:val="000000"/>
          <w:spacing w:val="0"/>
          <w:w w:val="100"/>
          <w:position w:val="0"/>
        </w:rPr>
        <w:t>万元），未发生减值。</w:t>
      </w:r>
    </w:p>
    <w:p>
      <w:pPr>
        <w:pStyle w:val="Style27"/>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其他说明</w:t>
      </w:r>
    </w:p>
    <w:p>
      <w:pPr>
        <w:pStyle w:val="Style25"/>
        <w:keepNext w:val="0"/>
        <w:keepLines w:val="0"/>
        <w:widowControl w:val="0"/>
        <w:shd w:val="clear" w:color="auto" w:fill="auto"/>
        <w:bidi w:val="0"/>
        <w:spacing w:before="0" w:after="0" w:line="324" w:lineRule="auto"/>
        <w:ind w:left="0" w:right="0" w:firstLine="0"/>
        <w:jc w:val="distribute"/>
        <w:rPr>
          <w:sz w:val="20"/>
          <w:szCs w:val="20"/>
        </w:rPr>
      </w:pPr>
      <w:bookmarkStart w:id="1310" w:name="bookmark1310"/>
      <w:r>
        <w:rPr>
          <w:rFonts w:ascii="Times New Roman" w:eastAsia="Times New Roman" w:hAnsi="Times New Roman" w:cs="Times New Roman"/>
          <w:b/>
          <w:bCs/>
          <w:color w:val="000000"/>
          <w:spacing w:val="0"/>
          <w:w w:val="100"/>
          <w:position w:val="0"/>
          <w:sz w:val="20"/>
          <w:szCs w:val="20"/>
        </w:rPr>
        <w:t>16</w:t>
      </w:r>
      <w:r>
        <w:rPr>
          <w:b/>
          <w:bCs/>
          <w:color w:val="000000"/>
          <w:spacing w:val="0"/>
          <w:w w:val="100"/>
          <w:position w:val="0"/>
          <w:sz w:val="20"/>
          <w:szCs w:val="20"/>
        </w:rPr>
        <w:t>、长期待摊费用</w:t>
      </w:r>
      <w:bookmarkEnd w:id="131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1,094,121.73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373,410.68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720,711.05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19,934.90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417,735.21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403,290.48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1,114,056.63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417,735.21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407,790.31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1,124,001.53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6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1</w:t>
      </w:r>
      <w:bookmarkEnd w:id="1313"/>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11"/>
      <w:bookmarkEnd w:id="1312"/>
      <w:bookmarkEnd w:id="1314"/>
    </w:p>
    <w:p>
      <w:pPr>
        <w:pStyle w:val="Style40"/>
        <w:keepNext/>
        <w:keepLines/>
        <w:widowControl w:val="0"/>
        <w:shd w:val="clear" w:color="auto" w:fill="auto"/>
        <w:bidi w:val="0"/>
        <w:spacing w:before="0" w:after="360" w:line="240" w:lineRule="auto"/>
        <w:ind w:left="0" w:right="0" w:firstLine="0"/>
        <w:jc w:val="left"/>
      </w:pPr>
      <w:bookmarkStart w:id="1315" w:name="bookmark1315"/>
      <w:bookmarkStart w:id="1316" w:name="bookmark1316"/>
      <w:bookmarkStart w:id="1317" w:name="bookmark13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15"/>
      <w:bookmarkEnd w:id="1316"/>
      <w:bookmarkEnd w:id="13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60,741,961.74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9,111,294.26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13,869,652.95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2,080,447.95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10,596,697.50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1,589,504.64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5,202,715.33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784,638.10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122,138,365.72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18,605,213.15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5,285,479.93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1,075,168.15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104,007,574.45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15,609,836.01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131,105,491.09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19,711,437.46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12,553.27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100,576.71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30,173.01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已开票未确认收入的暂 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9,254,914.22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1,388,237.13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10,053,543.08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1,508,031.46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30,767,656.80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4,615,148.52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26,148,723.93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3,922,308.59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资产计税基础差异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7,027,456.79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776,094.78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337,631,239.09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50,956,454.31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198,835,484.03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29,900,852.77</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1318" w:name="bookmark1318"/>
      <w:bookmarkStart w:id="1319" w:name="bookmark1319"/>
      <w:bookmarkStart w:id="1320" w:name="bookmark13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18"/>
      <w:bookmarkEnd w:id="1319"/>
      <w:bookmarkEnd w:id="13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非同一控制企业合并资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79,432,371.07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13,179,363.97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92,728,408.78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15,188,279.28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其他权益工具投资公允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91,236,032.84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13,685,404.93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170,668,403.91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26,864,768.90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92,728,408.78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15,188,279.28</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w:t>
      </w:r>
      <w:bookmarkEnd w:id="1323"/>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21"/>
      <w:bookmarkEnd w:id="1322"/>
      <w:bookmarkEnd w:id="13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50,956,454.31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29,900,852.77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26,864,768.90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15,188,279.28</w:t>
            </w:r>
          </w:p>
        </w:tc>
      </w:tr>
    </w:tbl>
    <w:p>
      <w:pPr>
        <w:spacing w:lineRule="exact" w:line="1"/>
        <w:rPr>
          <w:sz w:val="2"/>
          <w:szCs w:val="2"/>
        </w:rPr>
      </w:pPr>
      <w:r>
        <w:br w:type="page"/>
      </w:r>
    </w:p>
    <w:p>
      <w:pPr>
        <w:pStyle w:val="Style40"/>
        <w:keepNext/>
        <w:keepLines/>
        <w:widowControl w:val="0"/>
        <w:numPr>
          <w:ilvl w:val="0"/>
          <w:numId w:val="93"/>
        </w:numPr>
        <w:shd w:val="clear" w:color="auto" w:fill="auto"/>
        <w:bidi w:val="0"/>
        <w:spacing w:before="0" w:line="240" w:lineRule="auto"/>
        <w:ind w:left="0" w:right="0" w:firstLine="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未确认递延所得税资产明细</w:t>
      </w:r>
      <w:bookmarkEnd w:id="1325"/>
      <w:bookmarkEnd w:id="1326"/>
      <w:bookmarkEnd w:id="1328"/>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8,095,823.62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7,714,892.95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1,629,479.65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2,334,206.19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9,725,303.27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10,049,099.14</w:t>
            </w:r>
          </w:p>
        </w:tc>
      </w:tr>
    </w:tbl>
    <w:p>
      <w:pPr>
        <w:widowControl w:val="0"/>
        <w:spacing w:after="319" w:line="1" w:lineRule="exact"/>
      </w:pPr>
    </w:p>
    <w:p>
      <w:pPr>
        <w:pStyle w:val="Style40"/>
        <w:keepNext/>
        <w:keepLines/>
        <w:widowControl w:val="0"/>
        <w:numPr>
          <w:ilvl w:val="0"/>
          <w:numId w:val="93"/>
        </w:numPr>
        <w:shd w:val="clear" w:color="auto" w:fill="auto"/>
        <w:bidi w:val="0"/>
        <w:spacing w:before="0" w:line="240" w:lineRule="auto"/>
        <w:ind w:left="0" w:right="0" w:firstLine="0"/>
        <w:jc w:val="left"/>
      </w:pPr>
      <w:bookmarkStart w:id="1329" w:name="bookmark1329"/>
      <w:bookmarkStart w:id="1330" w:name="bookmark1330"/>
      <w:bookmarkStart w:id="1331" w:name="bookmark1331"/>
      <w:bookmarkStart w:id="1332" w:name="bookmark1332"/>
      <w:bookmarkEnd w:id="1331"/>
      <w:r>
        <w:rPr>
          <w:color w:val="000000"/>
          <w:spacing w:val="0"/>
          <w:w w:val="100"/>
          <w:position w:val="0"/>
        </w:rPr>
        <w:t>未确认递延所得税资产的可抵扣亏损将于以下年度到期</w:t>
      </w:r>
      <w:bookmarkEnd w:id="1329"/>
      <w:bookmarkEnd w:id="1330"/>
      <w:bookmarkEnd w:id="133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7,714,892.95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8,095,823.62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8,095,823.62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7,714,892.95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1</w:t>
      </w:r>
      <w:bookmarkEnd w:id="1335"/>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333"/>
      <w:bookmarkEnd w:id="1334"/>
      <w:bookmarkEnd w:id="1336"/>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18,625,741.6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18,625,741.6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22,449,155.1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22,449,155.1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长期资产留抵进项税额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13,070,022.3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13,070,022.3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89,975,435.6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89,975,435.6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146,548.67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146,548.67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31,695,763.9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31,695,763.9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112,571,139.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112,571,139.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1</w:t>
      </w:r>
      <w:bookmarkEnd w:id="1339"/>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337"/>
      <w:bookmarkEnd w:id="1338"/>
      <w:bookmarkEnd w:id="1340"/>
    </w:p>
    <w:p>
      <w:pPr>
        <w:pStyle w:val="Style40"/>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41"/>
      <w:bookmarkEnd w:id="1342"/>
      <w:bookmarkEnd w:id="134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283,460,585.00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311,745,224.74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626,807.21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898,284.32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499,117,392.21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677,643,509.06</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1"/>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2</w:t>
      </w:r>
      <w:bookmarkEnd w:id="1346"/>
      <w:r>
        <w:rPr>
          <w:rFonts w:ascii="Times New Roman" w:eastAsia="Times New Roman" w:hAnsi="Times New Roman" w:cs="Times New Roman"/>
          <w:color w:val="000000"/>
          <w:spacing w:val="0"/>
          <w:w w:val="100"/>
          <w:position w:val="0"/>
        </w:rPr>
        <w:t>0</w:t>
      </w:r>
      <w:r>
        <w:rPr>
          <w:color w:val="000000"/>
          <w:spacing w:val="0"/>
          <w:w w:val="100"/>
          <w:position w:val="0"/>
        </w:rPr>
        <w:t>、应付票据</w:t>
      </w:r>
      <w:bookmarkEnd w:id="1344"/>
      <w:bookmarkEnd w:id="1345"/>
      <w:bookmarkEnd w:id="134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4,266,014.69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7,279,500.00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65,371,364.28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7,411,315.99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69,637,378.97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14,690,815.99</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2</w:t>
      </w:r>
      <w:bookmarkEnd w:id="1350"/>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348"/>
      <w:bookmarkEnd w:id="1349"/>
      <w:bookmarkEnd w:id="1351"/>
    </w:p>
    <w:p>
      <w:pPr>
        <w:pStyle w:val="Style40"/>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52"/>
      <w:bookmarkEnd w:id="1353"/>
      <w:bookmarkEnd w:id="135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货款及劳务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311,545,525.33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317,261,510.92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工程及设备款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43,199,901.09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80,838,793.20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8,024,463.05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12,639,741.07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362,769,889.47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410,752,035.19</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both"/>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bookmarkEnd w:id="1357"/>
      <w:r>
        <w:rPr>
          <w:rFonts w:ascii="Times New Roman" w:eastAsia="Times New Roman" w:hAnsi="Times New Roman" w:cs="Times New Roman"/>
          <w:color w:val="000000"/>
          <w:spacing w:val="0"/>
          <w:w w:val="100"/>
          <w:position w:val="0"/>
        </w:rPr>
        <w:t>2</w:t>
      </w:r>
      <w:r>
        <w:rPr>
          <w:color w:val="000000"/>
          <w:spacing w:val="0"/>
          <w:w w:val="100"/>
          <w:position w:val="0"/>
        </w:rPr>
        <w:t>、预收款项</w:t>
      </w:r>
      <w:bookmarkEnd w:id="1355"/>
      <w:bookmarkEnd w:id="1356"/>
      <w:bookmarkEnd w:id="1358"/>
    </w:p>
    <w:p>
      <w:pPr>
        <w:pStyle w:val="Style40"/>
        <w:keepNext/>
        <w:keepLines/>
        <w:widowControl w:val="0"/>
        <w:shd w:val="clear" w:color="auto" w:fill="auto"/>
        <w:bidi w:val="0"/>
        <w:spacing w:before="0" w:line="240" w:lineRule="auto"/>
        <w:ind w:left="0" w:right="0" w:firstLine="0"/>
        <w:jc w:val="both"/>
      </w:pPr>
      <w:bookmarkStart w:id="1359" w:name="bookmark1359"/>
      <w:bookmarkStart w:id="1360" w:name="bookmark1360"/>
      <w:bookmarkStart w:id="1361" w:name="bookmark13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59"/>
      <w:bookmarkEnd w:id="1360"/>
      <w:bookmarkEnd w:id="136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492,953.76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487,337.77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492,953.76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487,337.77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bookmarkEnd w:id="1364"/>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362"/>
      <w:bookmarkEnd w:id="1363"/>
      <w:bookmarkEnd w:id="136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256,716,903.32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53,911,444.56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256,716,903.32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53,916,044.56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bookmarkEnd w:id="1368"/>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366"/>
      <w:bookmarkEnd w:id="1367"/>
      <w:bookmarkEnd w:id="1369"/>
    </w:p>
    <w:p>
      <w:pPr>
        <w:pStyle w:val="Style40"/>
        <w:keepNext/>
        <w:keepLines/>
        <w:widowControl w:val="0"/>
        <w:shd w:val="clear" w:color="auto" w:fill="auto"/>
        <w:bidi w:val="0"/>
        <w:spacing w:before="0" w:line="240" w:lineRule="auto"/>
        <w:ind w:left="0" w:right="0" w:firstLine="0"/>
        <w:jc w:val="both"/>
      </w:pPr>
      <w:bookmarkStart w:id="1370" w:name="bookmark1370"/>
      <w:bookmarkStart w:id="1371" w:name="bookmark1371"/>
      <w:bookmarkStart w:id="1372" w:name="bookmark13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70"/>
      <w:bookmarkEnd w:id="1371"/>
      <w:bookmarkEnd w:id="137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34,998,900.91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229,737,785.98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215,585,759.93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49,150,926.96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12,745,523.92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12,512,963.27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331,433.03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381,976.13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381,976.13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35,097,773.29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242,865,286.03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228,480,699.33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49,482,359.99</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both"/>
      </w:pPr>
      <w:bookmarkStart w:id="1373" w:name="bookmark1373"/>
      <w:bookmarkStart w:id="1374" w:name="bookmark1374"/>
      <w:bookmarkStart w:id="1375" w:name="bookmark13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73"/>
      <w:bookmarkEnd w:id="1374"/>
      <w:bookmarkEnd w:id="137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34,594,917.29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203,107,597.34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188,859,814.37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48,842,700.26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10,477,081.39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10,477,081.39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128,335.13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6,972,568.78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6,955,413.36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145,490.55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128,335.13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6,303,305.13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6,299,588.46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132,051.80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518,179.37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504,768.32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151,084.28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151,056.58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243,569.70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5,991,990.30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6,104,745.00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130,815.00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32,078.79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3,187,778.17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3,187,935.81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31,921.15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34,998,900.91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229,737,785.98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215,585,759.93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49,150,926.96</w:t>
            </w:r>
          </w:p>
        </w:tc>
      </w:tr>
    </w:tbl>
    <w:p>
      <w:pPr>
        <w:widowControl w:val="0"/>
        <w:spacing w:after="359" w:line="1" w:lineRule="exact"/>
      </w:pPr>
    </w:p>
    <w:p>
      <w:pPr>
        <w:pStyle w:val="Style40"/>
        <w:keepNext/>
        <w:keepLines/>
        <w:widowControl w:val="0"/>
        <w:numPr>
          <w:ilvl w:val="0"/>
          <w:numId w:val="95"/>
        </w:numPr>
        <w:shd w:val="clear" w:color="auto" w:fill="auto"/>
        <w:bidi w:val="0"/>
        <w:spacing w:before="0" w:after="360" w:line="240" w:lineRule="auto"/>
        <w:ind w:left="0" w:right="0" w:firstLine="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设定提存计划列示</w:t>
      </w:r>
      <w:bookmarkEnd w:id="1376"/>
      <w:bookmarkEnd w:id="1377"/>
      <w:bookmarkEnd w:id="13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98,872.38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12,326,638.86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12,101,879.78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323,631.46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418,885.06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411,083.49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7,801.57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98,872.38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12,745,523.92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12,512,963.27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331,433.03</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2</w:t>
      </w:r>
      <w:bookmarkEnd w:id="1382"/>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380"/>
      <w:bookmarkEnd w:id="1381"/>
      <w:bookmarkEnd w:id="1383"/>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23,346,907.61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8,432,284.39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10,126,109.52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19,739,424.83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729,838.48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382,912.27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1,402,081.92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761,537.45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658,594.84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348,705.55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435,798.57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232,470.37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1,520,974.13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1,021,010.13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38,220,305.07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30,918,344.99</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6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其他税种主要是房产税、土地使用税、印花税等。</w:t>
      </w:r>
    </w:p>
    <w:p>
      <w:pPr>
        <w:pStyle w:val="Style31"/>
        <w:keepNext/>
        <w:keepLines/>
        <w:widowControl w:val="0"/>
        <w:shd w:val="clear" w:color="auto" w:fill="auto"/>
        <w:bidi w:val="0"/>
        <w:spacing w:before="0" w:after="36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2</w:t>
      </w:r>
      <w:bookmarkEnd w:id="1386"/>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384"/>
      <w:bookmarkEnd w:id="1385"/>
      <w:bookmarkEnd w:id="1387"/>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13,345,529.54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12,368,277.87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13,345,529.54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12,368,277.87</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388" w:name="bookmark1388"/>
      <w:bookmarkStart w:id="1389" w:name="bookmark1389"/>
      <w:bookmarkStart w:id="1390" w:name="bookmark13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88"/>
      <w:bookmarkEnd w:id="1389"/>
      <w:bookmarkEnd w:id="1390"/>
    </w:p>
    <w:p>
      <w:pPr>
        <w:pStyle w:val="Style73"/>
        <w:keepNext/>
        <w:keepLines/>
        <w:widowControl w:val="0"/>
        <w:shd w:val="clear" w:color="auto" w:fill="auto"/>
        <w:bidi w:val="0"/>
        <w:spacing w:before="0" w:after="36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1</w:t>
      </w:r>
      <w:bookmarkEnd w:id="1393"/>
      <w:r>
        <w:rPr>
          <w:color w:val="000000"/>
          <w:spacing w:val="0"/>
          <w:w w:val="100"/>
          <w:position w:val="0"/>
        </w:rPr>
        <w:t>）按款项性质列示其他应付款</w:t>
      </w:r>
      <w:bookmarkEnd w:id="1391"/>
      <w:bookmarkEnd w:id="1392"/>
      <w:bookmarkEnd w:id="1394"/>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140,296.51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148,068.61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9,206,004.32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9,503,608.35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1,364,248.10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1,314,050.18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2,634,980.61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1,402,550.73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13,345,529.54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12,368,277.87</w:t>
            </w:r>
          </w:p>
        </w:tc>
      </w:tr>
    </w:tbl>
    <w:p>
      <w:pPr>
        <w:widowControl w:val="0"/>
        <w:spacing w:after="359" w:line="1" w:lineRule="exact"/>
      </w:pPr>
    </w:p>
    <w:p>
      <w:pPr>
        <w:pStyle w:val="Style73"/>
        <w:keepNext/>
        <w:keepLines/>
        <w:widowControl w:val="0"/>
        <w:shd w:val="clear" w:color="auto" w:fill="auto"/>
        <w:bidi w:val="0"/>
        <w:spacing w:before="0" w:after="36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2</w:t>
      </w:r>
      <w:bookmarkEnd w:id="139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95"/>
      <w:bookmarkEnd w:id="1396"/>
      <w:bookmarkEnd w:id="1398"/>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64"/>
        <w:keepNext w:val="0"/>
        <w:keepLines w:val="0"/>
        <w:widowControl w:val="0"/>
        <w:shd w:val="clear" w:color="auto" w:fill="auto"/>
        <w:bidi w:val="0"/>
        <w:spacing w:before="0" w:after="360" w:line="240" w:lineRule="auto"/>
        <w:ind w:left="0" w:right="0" w:firstLine="360"/>
        <w:jc w:val="left"/>
        <w:rPr>
          <w:sz w:val="20"/>
          <w:szCs w:val="20"/>
        </w:rPr>
      </w:pPr>
      <w:r>
        <w:rPr>
          <w:color w:val="000000"/>
          <w:spacing w:val="0"/>
          <w:w w:val="100"/>
          <w:position w:val="0"/>
          <w:sz w:val="20"/>
          <w:szCs w:val="20"/>
        </w:rPr>
        <w:t>期末，无账龄超过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年的重要其他应付款。</w:t>
      </w:r>
    </w:p>
    <w:p>
      <w:pPr>
        <w:pStyle w:val="Style31"/>
        <w:keepNext/>
        <w:keepLines/>
        <w:widowControl w:val="0"/>
        <w:shd w:val="clear" w:color="auto" w:fill="auto"/>
        <w:bidi w:val="0"/>
        <w:spacing w:before="0" w:after="36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2</w:t>
      </w:r>
      <w:bookmarkEnd w:id="1401"/>
      <w:r>
        <w:rPr>
          <w:rFonts w:ascii="Times New Roman" w:eastAsia="Times New Roman" w:hAnsi="Times New Roman" w:cs="Times New Roman"/>
          <w:color w:val="000000"/>
          <w:spacing w:val="0"/>
          <w:w w:val="100"/>
          <w:position w:val="0"/>
        </w:rPr>
        <w:t>7</w:t>
      </w:r>
      <w:r>
        <w:rPr>
          <w:color w:val="000000"/>
          <w:spacing w:val="0"/>
          <w:w w:val="100"/>
          <w:position w:val="0"/>
        </w:rPr>
        <w:t>、一年内到期的非流动负债</w:t>
      </w:r>
      <w:bookmarkEnd w:id="1399"/>
      <w:bookmarkEnd w:id="1400"/>
      <w:bookmarkEnd w:id="1402"/>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133,420,154.80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56,386,310.69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1,517,639.67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长期借款利息调整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418,128.55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390,436.65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3,541,480.50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2,213,610.58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138,897,403.52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58,990,357.92</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2</w:t>
      </w:r>
      <w:bookmarkEnd w:id="1405"/>
      <w:r>
        <w:rPr>
          <w:rFonts w:ascii="Times New Roman" w:eastAsia="Times New Roman" w:hAnsi="Times New Roman" w:cs="Times New Roman"/>
          <w:color w:val="000000"/>
          <w:spacing w:val="0"/>
          <w:w w:val="100"/>
          <w:position w:val="0"/>
        </w:rPr>
        <w:t>8</w:t>
      </w:r>
      <w:r>
        <w:rPr>
          <w:color w:val="000000"/>
          <w:spacing w:val="0"/>
          <w:w w:val="100"/>
          <w:position w:val="0"/>
        </w:rPr>
        <w:t>、其他流动负债</w:t>
      </w:r>
      <w:bookmarkEnd w:id="1403"/>
      <w:bookmarkEnd w:id="1404"/>
      <w:bookmarkEnd w:id="1406"/>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12,022,523.36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1,814,237.30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12,022,523.36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1,814,237.30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both"/>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2</w:t>
      </w:r>
      <w:bookmarkEnd w:id="1409"/>
      <w:r>
        <w:rPr>
          <w:rFonts w:ascii="Times New Roman" w:eastAsia="Times New Roman" w:hAnsi="Times New Roman" w:cs="Times New Roman"/>
          <w:color w:val="000000"/>
          <w:spacing w:val="0"/>
          <w:w w:val="100"/>
          <w:position w:val="0"/>
        </w:rPr>
        <w:t>9</w:t>
      </w:r>
      <w:r>
        <w:rPr>
          <w:color w:val="000000"/>
          <w:spacing w:val="0"/>
          <w:w w:val="100"/>
          <w:position w:val="0"/>
        </w:rPr>
        <w:t>、长期借款</w:t>
      </w:r>
      <w:bookmarkEnd w:id="1407"/>
      <w:bookmarkEnd w:id="1408"/>
      <w:bookmarkEnd w:id="1410"/>
    </w:p>
    <w:p>
      <w:pPr>
        <w:pStyle w:val="Style40"/>
        <w:keepNext/>
        <w:keepLines/>
        <w:widowControl w:val="0"/>
        <w:shd w:val="clear" w:color="auto" w:fill="auto"/>
        <w:bidi w:val="0"/>
        <w:spacing w:before="0" w:after="360" w:line="240" w:lineRule="auto"/>
        <w:ind w:left="0" w:right="0" w:firstLine="0"/>
        <w:jc w:val="both"/>
      </w:pPr>
      <w:bookmarkStart w:id="1411" w:name="bookmark1411"/>
      <w:bookmarkStart w:id="1412" w:name="bookmark1412"/>
      <w:bookmarkStart w:id="1413" w:name="bookmark14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11"/>
      <w:bookmarkEnd w:id="1412"/>
      <w:bookmarkEnd w:id="1413"/>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71,780,495.32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584,647,223.00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15,770,101.76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231,250,000.00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176,600,000.00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-133,420,154.80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-56,386,310.69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169,610,340.52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720,631,014.07</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其他说明，包括利率区间:</w:t>
      </w:r>
    </w:p>
    <w:p>
      <w:pPr>
        <w:pStyle w:val="Style31"/>
        <w:keepNext/>
        <w:keepLines/>
        <w:widowControl w:val="0"/>
        <w:shd w:val="clear" w:color="auto" w:fill="auto"/>
        <w:bidi w:val="0"/>
        <w:spacing w:before="0" w:after="360" w:line="240" w:lineRule="auto"/>
        <w:ind w:left="0" w:right="0" w:firstLine="0"/>
        <w:jc w:val="both"/>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3</w:t>
      </w:r>
      <w:bookmarkEnd w:id="1416"/>
      <w:r>
        <w:rPr>
          <w:rFonts w:ascii="Times New Roman" w:eastAsia="Times New Roman" w:hAnsi="Times New Roman" w:cs="Times New Roman"/>
          <w:color w:val="000000"/>
          <w:spacing w:val="0"/>
          <w:w w:val="100"/>
          <w:position w:val="0"/>
        </w:rPr>
        <w:t>0</w:t>
      </w:r>
      <w:r>
        <w:rPr>
          <w:color w:val="000000"/>
          <w:spacing w:val="0"/>
          <w:w w:val="100"/>
          <w:position w:val="0"/>
        </w:rPr>
        <w:t>、应付债券</w:t>
      </w:r>
      <w:bookmarkEnd w:id="1414"/>
      <w:bookmarkEnd w:id="1415"/>
      <w:bookmarkEnd w:id="1417"/>
    </w:p>
    <w:p>
      <w:pPr>
        <w:pStyle w:val="Style40"/>
        <w:keepNext/>
        <w:keepLines/>
        <w:widowControl w:val="0"/>
        <w:shd w:val="clear" w:color="auto" w:fill="auto"/>
        <w:bidi w:val="0"/>
        <w:spacing w:before="0" w:after="360" w:line="240" w:lineRule="auto"/>
        <w:ind w:left="0" w:right="0" w:firstLine="0"/>
        <w:jc w:val="both"/>
      </w:pPr>
      <w:bookmarkStart w:id="1418" w:name="bookmark1418"/>
      <w:bookmarkStart w:id="1419" w:name="bookmark1419"/>
      <w:bookmarkStart w:id="1420" w:name="bookmark14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18"/>
      <w:bookmarkEnd w:id="1419"/>
      <w:bookmarkEnd w:id="1420"/>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红相转债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522,859,413.66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492,397,175.55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522,859,413.66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492,397,175.55</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421" w:name="bookmark1421"/>
      <w:bookmarkStart w:id="1422" w:name="bookmark1422"/>
      <w:bookmarkStart w:id="1423" w:name="bookmark14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21"/>
      <w:bookmarkEnd w:id="1422"/>
      <w:bookmarkEnd w:id="1423"/>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红相转债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492,397,1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30,508,23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522,859,4</w:t>
            </w:r>
          </w:p>
        </w:tc>
      </w:tr>
    </w:tbl>
    <w:p>
      <w:pPr>
        <w:widowControl w:val="0"/>
        <w:spacing w:line="1" w:lineRule="exact"/>
      </w:pPr>
      <w:r>
        <w:br w:type="page"/>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97"/>
        </w:numPr>
        <w:shd w:val="clear" w:color="auto" w:fill="auto"/>
        <w:bidi w:val="0"/>
        <w:spacing w:before="0" w:after="280" w:line="240" w:lineRule="auto"/>
        <w:ind w:left="0" w:right="0" w:firstLine="0"/>
        <w:jc w:val="left"/>
      </w:pPr>
      <w:bookmarkStart w:id="1424" w:name="bookmark1424"/>
      <w:bookmarkStart w:id="1425" w:name="bookmark1425"/>
      <w:bookmarkStart w:id="1426" w:name="bookmark1426"/>
      <w:bookmarkStart w:id="1427" w:name="bookmark1427"/>
      <w:bookmarkEnd w:id="1426"/>
      <w:r>
        <w:rPr>
          <w:color w:val="000000"/>
          <w:spacing w:val="0"/>
          <w:w w:val="100"/>
          <w:position w:val="0"/>
        </w:rPr>
        <w:t>可转换公司债券的转股条件、转股时间说明</w:t>
      </w:r>
      <w:bookmarkEnd w:id="1424"/>
      <w:bookmarkEnd w:id="1425"/>
      <w:bookmarkEnd w:id="1427"/>
    </w:p>
    <w:p>
      <w:pPr>
        <w:pStyle w:val="Style27"/>
        <w:keepNext w:val="0"/>
        <w:keepLines w:val="0"/>
        <w:widowControl w:val="0"/>
        <w:shd w:val="clear" w:color="auto" w:fill="auto"/>
        <w:bidi w:val="0"/>
        <w:spacing w:before="0" w:after="400" w:line="312" w:lineRule="exact"/>
        <w:ind w:left="0" w:right="0" w:firstLine="0"/>
        <w:jc w:val="left"/>
      </w:pPr>
      <w:r>
        <w:rPr>
          <w:color w:val="000000"/>
          <w:spacing w:val="0"/>
          <w:w w:val="100"/>
          <w:position w:val="0"/>
        </w:rPr>
        <w:t>说明：经证监会证监许可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2020]136</w:t>
      </w:r>
      <w:r>
        <w:rPr>
          <w:color w:val="000000"/>
          <w:spacing w:val="0"/>
          <w:w w:val="100"/>
          <w:position w:val="0"/>
        </w:rPr>
        <w:t>号文核准，本公司于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日发行票面金额为</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元的可转换债券</w:t>
      </w:r>
      <w:r>
        <w:rPr>
          <w:rFonts w:ascii="Times New Roman" w:eastAsia="Times New Roman" w:hAnsi="Times New Roman" w:cs="Times New Roman"/>
          <w:color w:val="000000"/>
          <w:spacing w:val="0"/>
          <w:w w:val="100"/>
          <w:position w:val="0"/>
          <w:sz w:val="18"/>
          <w:szCs w:val="18"/>
        </w:rPr>
        <w:t>5,800,000</w:t>
      </w:r>
      <w:r>
        <w:rPr>
          <w:color w:val="000000"/>
          <w:spacing w:val="0"/>
          <w:w w:val="100"/>
          <w:position w:val="0"/>
        </w:rPr>
        <w:t>张。债 券票面年利率第一年</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、第二年</w:t>
      </w:r>
      <w:r>
        <w:rPr>
          <w:rFonts w:ascii="Times New Roman" w:eastAsia="Times New Roman" w:hAnsi="Times New Roman" w:cs="Times New Roman"/>
          <w:color w:val="000000"/>
          <w:spacing w:val="0"/>
          <w:w w:val="100"/>
          <w:position w:val="0"/>
          <w:sz w:val="18"/>
          <w:szCs w:val="18"/>
        </w:rPr>
        <w:t>0.80%</w:t>
      </w:r>
      <w:r>
        <w:rPr>
          <w:color w:val="000000"/>
          <w:spacing w:val="0"/>
          <w:w w:val="100"/>
          <w:position w:val="0"/>
        </w:rPr>
        <w:t>、第三年</w:t>
      </w:r>
      <w:r>
        <w:rPr>
          <w:rFonts w:ascii="Times New Roman" w:eastAsia="Times New Roman" w:hAnsi="Times New Roman" w:cs="Times New Roman"/>
          <w:color w:val="000000"/>
          <w:spacing w:val="0"/>
          <w:w w:val="100"/>
          <w:position w:val="0"/>
          <w:sz w:val="18"/>
          <w:szCs w:val="18"/>
        </w:rPr>
        <w:t>1.40%</w:t>
      </w:r>
      <w:r>
        <w:rPr>
          <w:color w:val="000000"/>
          <w:spacing w:val="0"/>
          <w:w w:val="100"/>
          <w:position w:val="0"/>
        </w:rPr>
        <w:t>、第四年</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、第五年</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、第六年</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。采用每年付息一次， 到期归还本金和最后一年利息支付方式。本次发行的可转换公司债券转股期限自发行结束之日起满六个月后的第一个交易日 起至可转换公司债券到期日止。本次发行的可转换公司债券初始转股价格为</w:t>
      </w:r>
      <w:r>
        <w:rPr>
          <w:rFonts w:ascii="Times New Roman" w:eastAsia="Times New Roman" w:hAnsi="Times New Roman" w:cs="Times New Roman"/>
          <w:color w:val="000000"/>
          <w:spacing w:val="0"/>
          <w:w w:val="100"/>
          <w:position w:val="0"/>
          <w:sz w:val="18"/>
          <w:szCs w:val="18"/>
        </w:rPr>
        <w:t>18.93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股。在本次发行之后，若公司发生派送 红股、转增股本、增发新股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不包括因本次发行的可转换公司债券转股而增加的股本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、配股以及派发现金股利等情况，则转 股价格相应调整。在本次发行的可转换公司债券存续期间，当公司股票在任意连续三十个交易日中至少有十五个交易日的收 盘价低于当期转股价格的</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时，公司董事会有权提出转股价格向下修正方案并提交公司股东大会表决。现行转股价格为人 民币</w:t>
      </w:r>
      <w:r>
        <w:rPr>
          <w:rFonts w:ascii="Times New Roman" w:eastAsia="Times New Roman" w:hAnsi="Times New Roman" w:cs="Times New Roman"/>
          <w:color w:val="000000"/>
          <w:spacing w:val="0"/>
          <w:w w:val="100"/>
          <w:position w:val="0"/>
          <w:sz w:val="18"/>
          <w:szCs w:val="18"/>
        </w:rPr>
        <w:t>18.67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1"/>
        <w:keepNext/>
        <w:keepLines/>
        <w:widowControl w:val="0"/>
        <w:shd w:val="clear" w:color="auto" w:fill="auto"/>
        <w:bidi w:val="0"/>
        <w:spacing w:before="0" w:after="400" w:line="240" w:lineRule="auto"/>
        <w:ind w:left="0" w:right="0" w:firstLine="0"/>
        <w:jc w:val="both"/>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3</w:t>
      </w:r>
      <w:bookmarkEnd w:id="1430"/>
      <w:r>
        <w:rPr>
          <w:rFonts w:ascii="Times New Roman" w:eastAsia="Times New Roman" w:hAnsi="Times New Roman" w:cs="Times New Roman"/>
          <w:color w:val="000000"/>
          <w:spacing w:val="0"/>
          <w:w w:val="100"/>
          <w:position w:val="0"/>
        </w:rPr>
        <w:t>1</w:t>
      </w:r>
      <w:r>
        <w:rPr>
          <w:color w:val="000000"/>
          <w:spacing w:val="0"/>
          <w:w w:val="100"/>
          <w:position w:val="0"/>
        </w:rPr>
        <w:t>、租赁负债</w:t>
      </w:r>
      <w:bookmarkEnd w:id="1428"/>
      <w:bookmarkEnd w:id="1429"/>
      <w:bookmarkEnd w:id="1431"/>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9,148,468.30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5,401,045.07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-863,565.35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-613,938.09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-1,517,639.67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6,767,263.28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4,787,106.98</w:t>
            </w:r>
          </w:p>
        </w:tc>
      </w:tr>
    </w:tbl>
    <w:p>
      <w:pPr>
        <w:widowControl w:val="0"/>
        <w:spacing w:after="99" w:line="1" w:lineRule="exact"/>
      </w:pP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400" w:line="240" w:lineRule="auto"/>
        <w:ind w:left="0" w:right="0" w:firstLine="0"/>
        <w:jc w:val="both"/>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3</w:t>
      </w:r>
      <w:bookmarkEnd w:id="1434"/>
      <w:r>
        <w:rPr>
          <w:rFonts w:ascii="Times New Roman" w:eastAsia="Times New Roman" w:hAnsi="Times New Roman" w:cs="Times New Roman"/>
          <w:color w:val="000000"/>
          <w:spacing w:val="0"/>
          <w:w w:val="100"/>
          <w:position w:val="0"/>
        </w:rPr>
        <w:t>2</w:t>
      </w:r>
      <w:r>
        <w:rPr>
          <w:color w:val="000000"/>
          <w:spacing w:val="0"/>
          <w:w w:val="100"/>
          <w:position w:val="0"/>
        </w:rPr>
        <w:t>、递延收益</w:t>
      </w:r>
      <w:bookmarkEnd w:id="1432"/>
      <w:bookmarkEnd w:id="1433"/>
      <w:bookmarkEnd w:id="1435"/>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26,148,723.93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7,489,600.00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2,870,667.13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30,767,656.80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资产相关的政府补 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26,148,723.93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7,489,600.00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2,870,667.13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30,767,656.80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厦门市经济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和信息化局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产业转型升</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级厦门市企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540,666.62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340,666.58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业技术中心</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收厦门市科 学技术局研 发补助金</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安徽省</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军民结合高</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技术产业发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88,203.24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45,944.69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42,258.55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政府</w:t>
            </w:r>
            <w:r>
              <w:rPr>
                <w:rFonts w:ascii="Times New Roman" w:eastAsia="Times New Roman" w:hAnsi="Times New Roman" w:cs="Times New Roman"/>
                <w:color w:val="000000"/>
                <w:spacing w:val="0"/>
                <w:w w:val="100"/>
                <w:position w:val="0"/>
                <w:sz w:val="18"/>
                <w:szCs w:val="18"/>
              </w:rPr>
              <w:t>1+6+2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政策仪器仪</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表设备补助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54,539.28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42,296.32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12,242.96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安徽省</w:t>
            </w:r>
            <w:r>
              <w:rPr>
                <w:rFonts w:ascii="Times New Roman" w:eastAsia="Times New Roman" w:hAnsi="Times New Roman" w:cs="Times New Roman"/>
                <w:color w:val="000000"/>
                <w:spacing w:val="0"/>
                <w:w w:val="100"/>
                <w:position w:val="0"/>
                <w:sz w:val="18"/>
                <w:szCs w:val="18"/>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企业发展专</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204,973.20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86,887.54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118,085.66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年度军 民融合引导 资金</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248,448.33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96,313.12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152,135.21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高新财政国 库支付中心 国防建设资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1,424,264.58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265,724.04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1,158,540.54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科技局仪器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65,230.86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30,494.64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34,736.22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企业购置研</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发仪器设备</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58,184.98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21,942.24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36,242.74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年度军 民融合引导 资金</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（本振接收 机及微波源 高频头组合 技术创新项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393,624.03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75,088.92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318,535.11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安徽省经济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建设与国防</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建设专项资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1,793,588.99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356,177.12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2,237,411.87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高新区经贸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504,127.92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82,464.96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421,662.96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16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 半年先进制 造业发展政 策资金（市 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年度先 进制造业政 策：第一批 技改项目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14,820.22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1,163,779.78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企业处报</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期普惠政策 兑现（合月巴 市固定资产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63,113.19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447,886.81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轨道交通供 电设备国家 地方联合工 程实验室创 新能力建设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416,666.08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125,000.04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291,666.04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年增产</w:t>
            </w:r>
            <w:r>
              <w:rPr>
                <w:rFonts w:ascii="Times New Roman" w:eastAsia="Times New Roman" w:hAnsi="Times New Roman" w:cs="Times New Roman"/>
                <w:color w:val="000000"/>
                <w:spacing w:val="0"/>
                <w:w w:val="100"/>
                <w:position w:val="0"/>
                <w:sz w:val="18"/>
                <w:szCs w:val="18"/>
              </w:rPr>
              <w:t xml:space="preserve">150 </w:t>
            </w:r>
            <w:r>
              <w:rPr>
                <w:color w:val="000000"/>
                <w:spacing w:val="0"/>
                <w:w w:val="100"/>
                <w:position w:val="0"/>
              </w:rPr>
              <w:t>万千伏安节 能型高速铁 路牵引变压 器扩产项目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597,222.49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166,666.68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430,555.81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建成西北地 区最大规模 </w:t>
            </w:r>
            <w:r>
              <w:rPr>
                <w:rFonts w:ascii="Times New Roman" w:eastAsia="Times New Roman" w:hAnsi="Times New Roman" w:cs="Times New Roman"/>
                <w:color w:val="000000"/>
                <w:spacing w:val="0"/>
                <w:w w:val="100"/>
                <w:position w:val="0"/>
                <w:sz w:val="18"/>
                <w:szCs w:val="18"/>
              </w:rPr>
              <w:t xml:space="preserve">CRH380 </w:t>
            </w:r>
            <w:r>
              <w:rPr>
                <w:color w:val="000000"/>
                <w:spacing w:val="0"/>
                <w:w w:val="100"/>
                <w:position w:val="0"/>
              </w:rPr>
              <w:t>高 速动车组牵 引变压器生 产基地及检 验检测中心 项目（</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年自治区重 点研发计划 重大科技项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7,427,583.33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833,000.04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6,594,583.29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自治区发改 委轨道交通 设备国家地 方联合工程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13,888.89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4,986,111.11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p>
    <w:tbl>
      <w:tblPr>
        <w:tblOverlap w:val="never"/>
        <w:jc w:val="center"/>
        <w:tblLayout w:type="fixed"/>
      </w:tblPr>
      <w:tblGrid>
        <w:gridCol w:w="1022"/>
        <w:gridCol w:w="1248"/>
        <w:gridCol w:w="1008"/>
        <w:gridCol w:w="1013"/>
        <w:gridCol w:w="1008"/>
        <w:gridCol w:w="1008"/>
        <w:gridCol w:w="1013"/>
        <w:gridCol w:w="1248"/>
        <w:gridCol w:w="1018"/>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实验室创新 能力建设项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超高压研发 中心试验大 厅改造建设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6,980,555.56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年度促 进科技成果 转化专项资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26,148,723.93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7,489,600.00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2,870,667.13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30,767,656.80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both"/>
      </w:pPr>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33</w:t>
      </w:r>
      <w:r>
        <w:rPr>
          <w:color w:val="000000"/>
          <w:spacing w:val="0"/>
          <w:w w:val="100"/>
          <w:position w:val="0"/>
        </w:rPr>
        <w:t>、股本</w:t>
      </w:r>
      <w:bookmarkEnd w:id="1436"/>
      <w:bookmarkEnd w:id="1437"/>
      <w:bookmarkEnd w:id="143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360,221,663.00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360,224,104.00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64"/>
        <w:keepNext w:val="0"/>
        <w:keepLines w:val="0"/>
        <w:widowControl w:val="0"/>
        <w:shd w:val="clear" w:color="auto" w:fill="auto"/>
        <w:bidi w:val="0"/>
        <w:spacing w:before="0" w:after="80"/>
        <w:ind w:left="0" w:right="0"/>
        <w:jc w:val="both"/>
      </w:pPr>
      <w:r>
        <w:rPr>
          <w:color w:val="000000"/>
          <w:spacing w:val="0"/>
          <w:w w:val="100"/>
          <w:position w:val="0"/>
        </w:rPr>
        <w:t>经中国证监会核准，公司于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日公开发行了</w:t>
      </w:r>
      <w:r>
        <w:rPr>
          <w:rFonts w:ascii="Times New Roman" w:eastAsia="Times New Roman" w:hAnsi="Times New Roman" w:cs="Times New Roman"/>
          <w:color w:val="000000"/>
          <w:spacing w:val="0"/>
          <w:w w:val="100"/>
          <w:position w:val="0"/>
          <w:sz w:val="24"/>
          <w:szCs w:val="24"/>
        </w:rPr>
        <w:t>585.00</w:t>
      </w:r>
      <w:r>
        <w:rPr>
          <w:color w:val="000000"/>
          <w:spacing w:val="0"/>
          <w:w w:val="100"/>
          <w:position w:val="0"/>
        </w:rPr>
        <w:t>万张可转换公司债券，每张 面值</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元，发行总额</w:t>
      </w:r>
      <w:r>
        <w:rPr>
          <w:rFonts w:ascii="Times New Roman" w:eastAsia="Times New Roman" w:hAnsi="Times New Roman" w:cs="Times New Roman"/>
          <w:color w:val="000000"/>
          <w:spacing w:val="0"/>
          <w:w w:val="100"/>
          <w:position w:val="0"/>
          <w:sz w:val="24"/>
          <w:szCs w:val="24"/>
        </w:rPr>
        <w:t>58,500.00</w:t>
      </w:r>
      <w:r>
        <w:rPr>
          <w:color w:val="000000"/>
          <w:spacing w:val="0"/>
          <w:w w:val="100"/>
          <w:position w:val="0"/>
        </w:rPr>
        <w:t>万元。债券于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日起在深交所挂牌交易。现行有效 的转股价格为人民币</w:t>
      </w:r>
      <w:r>
        <w:rPr>
          <w:rFonts w:ascii="Times New Roman" w:eastAsia="Times New Roman" w:hAnsi="Times New Roman" w:cs="Times New Roman"/>
          <w:color w:val="000000"/>
          <w:spacing w:val="0"/>
          <w:w w:val="100"/>
          <w:position w:val="0"/>
          <w:sz w:val="24"/>
          <w:szCs w:val="24"/>
        </w:rPr>
        <w:t xml:space="preserve">18.6 </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w:t>
      </w:r>
    </w:p>
    <w:p>
      <w:pPr>
        <w:pStyle w:val="Style64"/>
        <w:keepNext w:val="0"/>
        <w:keepLines w:val="0"/>
        <w:widowControl w:val="0"/>
        <w:shd w:val="clear" w:color="auto" w:fill="auto"/>
        <w:bidi w:val="0"/>
        <w:spacing w:before="0" w:after="960" w:line="314" w:lineRule="exact"/>
        <w:ind w:left="0" w:right="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年共有</w:t>
      </w:r>
      <w:r>
        <w:rPr>
          <w:rFonts w:ascii="Times New Roman" w:eastAsia="Times New Roman" w:hAnsi="Times New Roman" w:cs="Times New Roman"/>
          <w:color w:val="000000"/>
          <w:spacing w:val="0"/>
          <w:w w:val="100"/>
          <w:position w:val="0"/>
          <w:sz w:val="24"/>
          <w:szCs w:val="24"/>
        </w:rPr>
        <w:t>460</w:t>
      </w:r>
      <w:r>
        <w:rPr>
          <w:color w:val="000000"/>
          <w:spacing w:val="0"/>
          <w:w w:val="100"/>
          <w:position w:val="0"/>
        </w:rPr>
        <w:t>张债券完成转股，票面金额共计</w:t>
      </w:r>
      <w:r>
        <w:rPr>
          <w:rFonts w:ascii="Times New Roman" w:eastAsia="Times New Roman" w:hAnsi="Times New Roman" w:cs="Times New Roman"/>
          <w:color w:val="000000"/>
          <w:spacing w:val="0"/>
          <w:w w:val="100"/>
          <w:position w:val="0"/>
          <w:sz w:val="24"/>
          <w:szCs w:val="24"/>
        </w:rPr>
        <w:t>46,000.00</w:t>
      </w:r>
      <w:r>
        <w:rPr>
          <w:color w:val="000000"/>
          <w:spacing w:val="0"/>
          <w:w w:val="100"/>
          <w:position w:val="0"/>
        </w:rPr>
        <w:t>元，权益部分价值</w:t>
      </w:r>
      <w:r>
        <w:rPr>
          <w:rFonts w:ascii="Times New Roman" w:eastAsia="Times New Roman" w:hAnsi="Times New Roman" w:cs="Times New Roman"/>
          <w:color w:val="000000"/>
          <w:spacing w:val="0"/>
          <w:w w:val="100"/>
          <w:position w:val="0"/>
          <w:sz w:val="24"/>
          <w:szCs w:val="24"/>
        </w:rPr>
        <w:t>5,644.20</w:t>
      </w:r>
      <w:r>
        <w:rPr>
          <w:color w:val="000000"/>
          <w:spacing w:val="0"/>
          <w:w w:val="100"/>
          <w:position w:val="0"/>
        </w:rPr>
        <w:t>元， 合计债券价值</w:t>
      </w:r>
      <w:r>
        <w:rPr>
          <w:rFonts w:ascii="Times New Roman" w:eastAsia="Times New Roman" w:hAnsi="Times New Roman" w:cs="Times New Roman"/>
          <w:color w:val="000000"/>
          <w:spacing w:val="0"/>
          <w:w w:val="100"/>
          <w:position w:val="0"/>
          <w:sz w:val="24"/>
          <w:szCs w:val="24"/>
        </w:rPr>
        <w:t>51,644.20</w:t>
      </w:r>
      <w:r>
        <w:rPr>
          <w:color w:val="000000"/>
          <w:spacing w:val="0"/>
          <w:w w:val="100"/>
          <w:position w:val="0"/>
        </w:rPr>
        <w:t>元，合计转成</w:t>
      </w:r>
      <w:r>
        <w:rPr>
          <w:rFonts w:ascii="Times New Roman" w:eastAsia="Times New Roman" w:hAnsi="Times New Roman" w:cs="Times New Roman"/>
          <w:color w:val="000000"/>
          <w:spacing w:val="0"/>
          <w:w w:val="100"/>
          <w:position w:val="0"/>
          <w:sz w:val="24"/>
          <w:szCs w:val="24"/>
        </w:rPr>
        <w:t>2,441.00</w:t>
      </w:r>
      <w:r>
        <w:rPr>
          <w:color w:val="000000"/>
          <w:spacing w:val="0"/>
          <w:w w:val="100"/>
          <w:position w:val="0"/>
        </w:rPr>
        <w:t>股本公司股票。溢价部分扣除债券利息及转股手 续费后，差额</w:t>
      </w:r>
      <w:r>
        <w:rPr>
          <w:rFonts w:ascii="Times New Roman" w:eastAsia="Times New Roman" w:hAnsi="Times New Roman" w:cs="Times New Roman"/>
          <w:color w:val="000000"/>
          <w:spacing w:val="0"/>
          <w:w w:val="100"/>
          <w:position w:val="0"/>
          <w:sz w:val="24"/>
          <w:szCs w:val="24"/>
        </w:rPr>
        <w:t>49,155.44</w:t>
      </w:r>
      <w:r>
        <w:rPr>
          <w:color w:val="000000"/>
          <w:spacing w:val="0"/>
          <w:w w:val="100"/>
          <w:position w:val="0"/>
        </w:rPr>
        <w:t>元计入资本公积</w:t>
      </w:r>
      <w:r>
        <w:rPr>
          <w:color w:val="000000"/>
          <w:spacing w:val="0"/>
          <w:w w:val="100"/>
          <w:position w:val="0"/>
          <w:sz w:val="24"/>
          <w:szCs w:val="24"/>
        </w:rPr>
        <w:t>一</w:t>
      </w:r>
      <w:r>
        <w:rPr>
          <w:color w:val="000000"/>
          <w:spacing w:val="0"/>
          <w:w w:val="100"/>
          <w:position w:val="0"/>
        </w:rPr>
        <w:t>股本溢价。</w:t>
      </w:r>
    </w:p>
    <w:p>
      <w:pPr>
        <w:pStyle w:val="Style31"/>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34</w:t>
      </w:r>
      <w:r>
        <w:rPr>
          <w:color w:val="000000"/>
          <w:spacing w:val="0"/>
          <w:w w:val="100"/>
          <w:position w:val="0"/>
        </w:rPr>
        <w:t>、其他权益工具</w:t>
      </w:r>
      <w:bookmarkEnd w:id="1439"/>
      <w:bookmarkEnd w:id="1440"/>
      <w:bookmarkEnd w:id="1441"/>
    </w:p>
    <w:p>
      <w:pPr>
        <w:pStyle w:val="Style40"/>
        <w:keepNext/>
        <w:keepLines/>
        <w:widowControl w:val="0"/>
        <w:shd w:val="clear" w:color="auto" w:fill="auto"/>
        <w:tabs>
          <w:tab w:pos="493" w:val="left"/>
        </w:tabs>
        <w:bidi w:val="0"/>
        <w:spacing w:before="0" w:after="26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442"/>
      <w:bookmarkEnd w:id="1443"/>
      <w:bookmarkEnd w:id="1445"/>
    </w:p>
    <w:p>
      <w:pPr>
        <w:pStyle w:val="Style27"/>
        <w:keepNext w:val="0"/>
        <w:keepLines w:val="0"/>
        <w:widowControl w:val="0"/>
        <w:shd w:val="clear" w:color="auto" w:fill="auto"/>
        <w:bidi w:val="0"/>
        <w:spacing w:before="0" w:after="380" w:line="315" w:lineRule="exact"/>
        <w:ind w:left="0" w:right="0" w:firstLine="0"/>
        <w:jc w:val="left"/>
      </w:pPr>
      <w:r>
        <w:rPr>
          <w:color w:val="000000"/>
          <w:spacing w:val="0"/>
          <w:w w:val="100"/>
          <w:position w:val="0"/>
        </w:rPr>
        <w:t>经证监会证监许可</w:t>
      </w:r>
      <w:r>
        <w:rPr>
          <w:rFonts w:ascii="Times New Roman" w:eastAsia="Times New Roman" w:hAnsi="Times New Roman" w:cs="Times New Roman"/>
          <w:color w:val="000000"/>
          <w:spacing w:val="0"/>
          <w:w w:val="100"/>
          <w:position w:val="0"/>
          <w:sz w:val="18"/>
          <w:szCs w:val="18"/>
        </w:rPr>
        <w:t>[2020]136</w:t>
      </w:r>
      <w:r>
        <w:rPr>
          <w:color w:val="000000"/>
          <w:spacing w:val="0"/>
          <w:w w:val="100"/>
          <w:position w:val="0"/>
        </w:rPr>
        <w:t>号文核准，本公司于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日发行票面金额为</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元的可转换债券</w:t>
      </w:r>
      <w:r>
        <w:rPr>
          <w:rFonts w:ascii="Times New Roman" w:eastAsia="Times New Roman" w:hAnsi="Times New Roman" w:cs="Times New Roman"/>
          <w:color w:val="000000"/>
          <w:spacing w:val="0"/>
          <w:w w:val="100"/>
          <w:position w:val="0"/>
          <w:sz w:val="18"/>
          <w:szCs w:val="18"/>
        </w:rPr>
        <w:t>5,800,000</w:t>
      </w:r>
      <w:r>
        <w:rPr>
          <w:color w:val="000000"/>
          <w:spacing w:val="0"/>
          <w:w w:val="100"/>
          <w:position w:val="0"/>
        </w:rPr>
        <w:t>张。债券票面 年利率第一年</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、第二年</w:t>
      </w:r>
      <w:r>
        <w:rPr>
          <w:rFonts w:ascii="Times New Roman" w:eastAsia="Times New Roman" w:hAnsi="Times New Roman" w:cs="Times New Roman"/>
          <w:color w:val="000000"/>
          <w:spacing w:val="0"/>
          <w:w w:val="100"/>
          <w:position w:val="0"/>
          <w:sz w:val="18"/>
          <w:szCs w:val="18"/>
        </w:rPr>
        <w:t>0.80%</w:t>
      </w:r>
      <w:r>
        <w:rPr>
          <w:color w:val="000000"/>
          <w:spacing w:val="0"/>
          <w:w w:val="100"/>
          <w:position w:val="0"/>
        </w:rPr>
        <w:t>、第三年</w:t>
      </w:r>
      <w:r>
        <w:rPr>
          <w:rFonts w:ascii="Times New Roman" w:eastAsia="Times New Roman" w:hAnsi="Times New Roman" w:cs="Times New Roman"/>
          <w:color w:val="000000"/>
          <w:spacing w:val="0"/>
          <w:w w:val="100"/>
          <w:position w:val="0"/>
          <w:sz w:val="18"/>
          <w:szCs w:val="18"/>
        </w:rPr>
        <w:t>1.40%</w:t>
      </w:r>
      <w:r>
        <w:rPr>
          <w:color w:val="000000"/>
          <w:spacing w:val="0"/>
          <w:w w:val="100"/>
          <w:position w:val="0"/>
        </w:rPr>
        <w:t>、第四年</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、第五年</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、第六年</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。采用每年付息一次，到期 归还本金和最后一年利息支付方式。本次发行的可转换公司债券转股期限自发行结束之日起满六个月后的第一个交易日起至 可转换公司债券到期日止。</w:t>
      </w:r>
    </w:p>
    <w:p>
      <w:pPr>
        <w:pStyle w:val="Style40"/>
        <w:keepNext/>
        <w:keepLines/>
        <w:widowControl w:val="0"/>
        <w:shd w:val="clear" w:color="auto" w:fill="auto"/>
        <w:tabs>
          <w:tab w:pos="493" w:val="left"/>
        </w:tabs>
        <w:bidi w:val="0"/>
        <w:spacing w:before="0" w:after="260" w:line="240" w:lineRule="auto"/>
        <w:ind w:left="0" w:right="0" w:firstLine="0"/>
        <w:jc w:val="left"/>
      </w:pPr>
      <w:bookmarkStart w:id="1446" w:name="bookmark1446"/>
      <w:bookmarkStart w:id="1447" w:name="bookmark1447"/>
      <w:bookmarkStart w:id="1448" w:name="bookmark1448"/>
      <w:bookmarkStart w:id="1449" w:name="bookmark1449"/>
      <w:r>
        <w:rPr>
          <w:color w:val="000000"/>
          <w:spacing w:val="0"/>
          <w:w w:val="100"/>
          <w:position w:val="0"/>
        </w:rPr>
        <w:t>（</w:t>
      </w:r>
      <w:bookmarkEnd w:id="1448"/>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446"/>
      <w:bookmarkEnd w:id="1447"/>
      <w:bookmarkEnd w:id="1449"/>
    </w:p>
    <w:p>
      <w:pPr>
        <w:pStyle w:val="Style27"/>
        <w:keepNext w:val="0"/>
        <w:keepLines w:val="0"/>
        <w:widowControl w:val="0"/>
        <w:shd w:val="clear" w:color="auto" w:fill="auto"/>
        <w:bidi w:val="0"/>
        <w:spacing w:before="0" w:after="320" w:line="315" w:lineRule="exact"/>
        <w:ind w:left="0" w:right="0" w:firstLine="0"/>
        <w:jc w:val="right"/>
      </w:pPr>
      <w:r>
        <w:rPr>
          <w:color w:val="000000"/>
          <w:spacing w:val="0"/>
          <w:w w:val="100"/>
          <w:position w:val="0"/>
        </w:rPr>
        <w:t>单位：元</w:t>
      </w:r>
      <w:r>
        <w:br w:type="page"/>
      </w:r>
    </w:p>
    <w:tbl>
      <w:tblPr>
        <w:tblOverlap w:val="never"/>
        <w:jc w:val="center"/>
        <w:tblLayout w:type="fixed"/>
      </w:tblPr>
      <w:tblGrid>
        <w:gridCol w:w="1075"/>
        <w:gridCol w:w="1066"/>
        <w:gridCol w:w="1061"/>
        <w:gridCol w:w="1066"/>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红相转债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5,496,380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67,460,545.1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67,454,900.9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5,496,380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67,460,545.1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5,495,920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67,454,900.9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其他权益工具本期增减变动情况、变动原因说明，以及相关会计处理的依据：</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82"/>
        <w:keepNext w:val="0"/>
        <w:keepLines w:val="0"/>
        <w:widowControl w:val="0"/>
        <w:shd w:val="clear" w:color="auto" w:fill="auto"/>
        <w:bidi w:val="0"/>
        <w:spacing w:before="0"/>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日发行的可转换公司债券金额</w:t>
      </w:r>
      <w:r>
        <w:rPr>
          <w:color w:val="000000"/>
          <w:spacing w:val="0"/>
          <w:w w:val="100"/>
          <w:position w:val="0"/>
          <w:sz w:val="18"/>
          <w:szCs w:val="18"/>
        </w:rPr>
        <w:t>580,000,000</w:t>
      </w:r>
      <w:r>
        <w:rPr>
          <w:rFonts w:ascii="SimSun" w:eastAsia="SimSun" w:hAnsi="SimSun" w:cs="SimSun"/>
          <w:color w:val="000000"/>
          <w:spacing w:val="0"/>
          <w:w w:val="100"/>
          <w:position w:val="0"/>
          <w:sz w:val="17"/>
          <w:szCs w:val="17"/>
        </w:rPr>
        <w:t>元，其中权益成分的公允价值</w:t>
      </w:r>
      <w:r>
        <w:rPr>
          <w:color w:val="000000"/>
          <w:spacing w:val="0"/>
          <w:w w:val="100"/>
          <w:position w:val="0"/>
          <w:sz w:val="18"/>
          <w:szCs w:val="18"/>
        </w:rPr>
        <w:t>73,629,909.33</w:t>
      </w:r>
      <w:r>
        <w:rPr>
          <w:rFonts w:ascii="SimSun" w:eastAsia="SimSun" w:hAnsi="SimSun" w:cs="SimSun"/>
          <w:color w:val="000000"/>
          <w:spacing w:val="0"/>
          <w:w w:val="100"/>
          <w:position w:val="0"/>
          <w:sz w:val="17"/>
          <w:szCs w:val="17"/>
        </w:rPr>
        <w:t>元，扣除应分摊的发行费 用</w:t>
      </w:r>
      <w:r>
        <w:rPr>
          <w:color w:val="000000"/>
          <w:spacing w:val="0"/>
          <w:w w:val="100"/>
          <w:position w:val="0"/>
          <w:sz w:val="18"/>
          <w:szCs w:val="18"/>
        </w:rPr>
        <w:t>1,830,239.35</w:t>
      </w:r>
      <w:r>
        <w:rPr>
          <w:rFonts w:ascii="SimSun" w:eastAsia="SimSun" w:hAnsi="SimSun" w:cs="SimSun"/>
          <w:color w:val="000000"/>
          <w:spacing w:val="0"/>
          <w:w w:val="100"/>
          <w:position w:val="0"/>
          <w:sz w:val="17"/>
          <w:szCs w:val="17"/>
        </w:rPr>
        <w:t>元，扣除发行费用后账面价值为</w:t>
      </w:r>
      <w:r>
        <w:rPr>
          <w:color w:val="000000"/>
          <w:spacing w:val="0"/>
          <w:w w:val="100"/>
          <w:position w:val="0"/>
          <w:sz w:val="18"/>
          <w:szCs w:val="18"/>
        </w:rPr>
        <w:t>71,799,669.98</w:t>
      </w:r>
      <w:r>
        <w:rPr>
          <w:rFonts w:ascii="SimSun" w:eastAsia="SimSun" w:hAnsi="SimSun" w:cs="SimSun"/>
          <w:color w:val="000000"/>
          <w:spacing w:val="0"/>
          <w:w w:val="100"/>
          <w:position w:val="0"/>
          <w:sz w:val="17"/>
          <w:szCs w:val="17"/>
        </w:rPr>
        <w:t>元。</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9-12</w:t>
      </w:r>
      <w:r>
        <w:rPr>
          <w:rFonts w:ascii="SimSun" w:eastAsia="SimSun" w:hAnsi="SimSun" w:cs="SimSun"/>
          <w:color w:val="000000"/>
          <w:spacing w:val="0"/>
          <w:w w:val="100"/>
          <w:position w:val="0"/>
          <w:sz w:val="17"/>
          <w:szCs w:val="17"/>
        </w:rPr>
        <w:t>月债转股</w:t>
      </w:r>
      <w:r>
        <w:rPr>
          <w:color w:val="000000"/>
          <w:spacing w:val="0"/>
          <w:w w:val="100"/>
          <w:position w:val="0"/>
          <w:sz w:val="18"/>
          <w:szCs w:val="18"/>
        </w:rPr>
        <w:t>353,620</w:t>
      </w:r>
      <w:r>
        <w:rPr>
          <w:rFonts w:ascii="SimSun" w:eastAsia="SimSun" w:hAnsi="SimSun" w:cs="SimSun"/>
          <w:color w:val="000000"/>
          <w:spacing w:val="0"/>
          <w:w w:val="100"/>
          <w:position w:val="0"/>
          <w:sz w:val="17"/>
          <w:szCs w:val="17"/>
        </w:rPr>
        <w:t>张，转股账面价值</w:t>
      </w:r>
      <w:r>
        <w:rPr>
          <w:color w:val="000000"/>
          <w:spacing w:val="0"/>
          <w:w w:val="100"/>
          <w:position w:val="0"/>
          <w:sz w:val="18"/>
          <w:szCs w:val="18"/>
        </w:rPr>
        <w:t xml:space="preserve">4,339,124.79 </w:t>
      </w:r>
      <w:r>
        <w:rPr>
          <w:rFonts w:ascii="SimSun" w:eastAsia="SimSun" w:hAnsi="SimSun" w:cs="SimSun"/>
          <w:color w:val="000000"/>
          <w:spacing w:val="0"/>
          <w:w w:val="100"/>
          <w:position w:val="0"/>
          <w:sz w:val="17"/>
          <w:szCs w:val="17"/>
        </w:rPr>
        <w:t>元，</w:t>
      </w:r>
      <w:r>
        <w:rPr>
          <w:color w:val="000000"/>
          <w:spacing w:val="0"/>
          <w:w w:val="100"/>
          <w:position w:val="0"/>
          <w:sz w:val="18"/>
          <w:szCs w:val="18"/>
        </w:rPr>
        <w:t>2020</w:t>
      </w:r>
      <w:r>
        <w:rPr>
          <w:rFonts w:ascii="SimSun" w:eastAsia="SimSun" w:hAnsi="SimSun" w:cs="SimSun"/>
          <w:color w:val="000000"/>
          <w:spacing w:val="0"/>
          <w:w w:val="100"/>
          <w:position w:val="0"/>
          <w:sz w:val="17"/>
          <w:szCs w:val="17"/>
        </w:rPr>
        <w:t>年账面价值</w:t>
      </w:r>
      <w:r>
        <w:rPr>
          <w:color w:val="000000"/>
          <w:spacing w:val="0"/>
          <w:w w:val="100"/>
          <w:position w:val="0"/>
          <w:sz w:val="18"/>
          <w:szCs w:val="18"/>
        </w:rPr>
        <w:t>67,460,545.19</w:t>
      </w:r>
      <w:r>
        <w:rPr>
          <w:rFonts w:ascii="SimSun" w:eastAsia="SimSun" w:hAnsi="SimSun" w:cs="SimSun"/>
          <w:color w:val="000000"/>
          <w:spacing w:val="0"/>
          <w:w w:val="100"/>
          <w:position w:val="0"/>
          <w:sz w:val="17"/>
          <w:szCs w:val="17"/>
        </w:rPr>
        <w:t>元；</w:t>
      </w:r>
      <w:r>
        <w:rPr>
          <w:color w:val="000000"/>
          <w:spacing w:val="0"/>
          <w:w w:val="100"/>
          <w:position w:val="0"/>
          <w:sz w:val="18"/>
          <w:szCs w:val="18"/>
        </w:rPr>
        <w:t>2021</w:t>
      </w:r>
      <w:r>
        <w:rPr>
          <w:rFonts w:ascii="SimSun" w:eastAsia="SimSun" w:hAnsi="SimSun" w:cs="SimSun"/>
          <w:color w:val="000000"/>
          <w:spacing w:val="0"/>
          <w:w w:val="100"/>
          <w:position w:val="0"/>
          <w:sz w:val="17"/>
          <w:szCs w:val="17"/>
        </w:rPr>
        <w:t>年债转股</w:t>
      </w:r>
      <w:r>
        <w:rPr>
          <w:color w:val="000000"/>
          <w:spacing w:val="0"/>
          <w:w w:val="100"/>
          <w:position w:val="0"/>
          <w:sz w:val="18"/>
          <w:szCs w:val="18"/>
        </w:rPr>
        <w:t>460</w:t>
      </w:r>
      <w:r>
        <w:rPr>
          <w:rFonts w:ascii="SimSun" w:eastAsia="SimSun" w:hAnsi="SimSun" w:cs="SimSun"/>
          <w:color w:val="000000"/>
          <w:spacing w:val="0"/>
          <w:w w:val="100"/>
          <w:position w:val="0"/>
          <w:sz w:val="17"/>
          <w:szCs w:val="17"/>
        </w:rPr>
        <w:t>张，转股账面价值</w:t>
      </w:r>
      <w:r>
        <w:rPr>
          <w:color w:val="000000"/>
          <w:spacing w:val="0"/>
          <w:w w:val="100"/>
          <w:position w:val="0"/>
          <w:sz w:val="18"/>
          <w:szCs w:val="18"/>
        </w:rPr>
        <w:t>5,644.20</w:t>
      </w:r>
      <w:r>
        <w:rPr>
          <w:rFonts w:ascii="SimSun" w:eastAsia="SimSun" w:hAnsi="SimSun" w:cs="SimSun"/>
          <w:color w:val="000000"/>
          <w:spacing w:val="0"/>
          <w:w w:val="100"/>
          <w:position w:val="0"/>
          <w:sz w:val="17"/>
          <w:szCs w:val="17"/>
        </w:rPr>
        <w:t>元，期末账面价值</w:t>
      </w:r>
      <w:r>
        <w:rPr>
          <w:color w:val="000000"/>
          <w:spacing w:val="0"/>
          <w:w w:val="100"/>
          <w:position w:val="0"/>
          <w:sz w:val="18"/>
          <w:szCs w:val="18"/>
        </w:rPr>
        <w:t>67,454,900.99</w:t>
      </w:r>
      <w:r>
        <w:rPr>
          <w:rFonts w:ascii="SimSun" w:eastAsia="SimSun" w:hAnsi="SimSun" w:cs="SimSun"/>
          <w:color w:val="000000"/>
          <w:spacing w:val="0"/>
          <w:w w:val="100"/>
          <w:position w:val="0"/>
          <w:sz w:val="17"/>
          <w:szCs w:val="17"/>
        </w:rPr>
        <w:t>元。</w:t>
      </w:r>
    </w:p>
    <w:p>
      <w:pPr>
        <w:pStyle w:val="Style31"/>
        <w:keepNext/>
        <w:keepLines/>
        <w:widowControl w:val="0"/>
        <w:shd w:val="clear" w:color="auto" w:fill="auto"/>
        <w:bidi w:val="0"/>
        <w:spacing w:before="0" w:after="380" w:line="240" w:lineRule="auto"/>
        <w:ind w:left="0" w:right="0" w:firstLine="0"/>
        <w:jc w:val="both"/>
      </w:pPr>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35</w:t>
      </w:r>
      <w:r>
        <w:rPr>
          <w:color w:val="000000"/>
          <w:spacing w:val="0"/>
          <w:w w:val="100"/>
          <w:position w:val="0"/>
        </w:rPr>
        <w:t>、资本公积</w:t>
      </w:r>
      <w:bookmarkEnd w:id="1450"/>
      <w:bookmarkEnd w:id="1451"/>
      <w:bookmarkEnd w:id="145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857,966,454.93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858,015,610.37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4,234,061.74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4,234,061.74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862,200,516.67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49,155.44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862,249,672.11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39" w:line="1" w:lineRule="exact"/>
      </w:pPr>
    </w:p>
    <w:p>
      <w:pPr>
        <w:pStyle w:val="Style64"/>
        <w:keepNext w:val="0"/>
        <w:keepLines w:val="0"/>
        <w:widowControl w:val="0"/>
        <w:shd w:val="clear" w:color="auto" w:fill="auto"/>
        <w:bidi w:val="0"/>
        <w:spacing w:before="0" w:line="310" w:lineRule="exact"/>
        <w:ind w:left="0" w:right="0"/>
        <w:jc w:val="both"/>
      </w:pPr>
      <w:r>
        <w:rPr>
          <w:color w:val="000000"/>
          <w:spacing w:val="0"/>
          <w:w w:val="100"/>
          <w:position w:val="0"/>
        </w:rPr>
        <w:t>经中国证监会核准，公司于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日公开发行了</w:t>
      </w:r>
      <w:r>
        <w:rPr>
          <w:rFonts w:ascii="Times New Roman" w:eastAsia="Times New Roman" w:hAnsi="Times New Roman" w:cs="Times New Roman"/>
          <w:color w:val="000000"/>
          <w:spacing w:val="0"/>
          <w:w w:val="100"/>
          <w:position w:val="0"/>
          <w:sz w:val="24"/>
          <w:szCs w:val="24"/>
        </w:rPr>
        <w:t>585.00</w:t>
      </w:r>
      <w:r>
        <w:rPr>
          <w:color w:val="000000"/>
          <w:spacing w:val="0"/>
          <w:w w:val="100"/>
          <w:position w:val="0"/>
        </w:rPr>
        <w:t>万张可转换公司债券，每张 面值</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元，发行总额</w:t>
      </w:r>
      <w:r>
        <w:rPr>
          <w:rFonts w:ascii="Times New Roman" w:eastAsia="Times New Roman" w:hAnsi="Times New Roman" w:cs="Times New Roman"/>
          <w:color w:val="000000"/>
          <w:spacing w:val="0"/>
          <w:w w:val="100"/>
          <w:position w:val="0"/>
          <w:sz w:val="24"/>
          <w:szCs w:val="24"/>
        </w:rPr>
        <w:t>58,500.00</w:t>
      </w:r>
      <w:r>
        <w:rPr>
          <w:color w:val="000000"/>
          <w:spacing w:val="0"/>
          <w:w w:val="100"/>
          <w:position w:val="0"/>
        </w:rPr>
        <w:t>万元。债券于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日起在深交所挂牌交易。现行有效 的转股价格为人民币</w:t>
      </w:r>
      <w:r>
        <w:rPr>
          <w:rFonts w:ascii="Times New Roman" w:eastAsia="Times New Roman" w:hAnsi="Times New Roman" w:cs="Times New Roman"/>
          <w:color w:val="000000"/>
          <w:spacing w:val="0"/>
          <w:w w:val="100"/>
          <w:position w:val="0"/>
          <w:sz w:val="24"/>
          <w:szCs w:val="24"/>
        </w:rPr>
        <w:t xml:space="preserve">18.6 </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w:t>
      </w:r>
    </w:p>
    <w:p>
      <w:pPr>
        <w:pStyle w:val="Style64"/>
        <w:keepNext w:val="0"/>
        <w:keepLines w:val="0"/>
        <w:widowControl w:val="0"/>
        <w:shd w:val="clear" w:color="auto" w:fill="auto"/>
        <w:bidi w:val="0"/>
        <w:spacing w:before="0" w:after="380" w:line="314" w:lineRule="exact"/>
        <w:ind w:left="0" w:right="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年共有</w:t>
      </w:r>
      <w:r>
        <w:rPr>
          <w:rFonts w:ascii="Times New Roman" w:eastAsia="Times New Roman" w:hAnsi="Times New Roman" w:cs="Times New Roman"/>
          <w:color w:val="000000"/>
          <w:spacing w:val="0"/>
          <w:w w:val="100"/>
          <w:position w:val="0"/>
          <w:sz w:val="24"/>
          <w:szCs w:val="24"/>
        </w:rPr>
        <w:t>460</w:t>
      </w:r>
      <w:r>
        <w:rPr>
          <w:color w:val="000000"/>
          <w:spacing w:val="0"/>
          <w:w w:val="100"/>
          <w:position w:val="0"/>
        </w:rPr>
        <w:t>张债券完成转股，票面金额共计</w:t>
      </w:r>
      <w:r>
        <w:rPr>
          <w:rFonts w:ascii="Times New Roman" w:eastAsia="Times New Roman" w:hAnsi="Times New Roman" w:cs="Times New Roman"/>
          <w:color w:val="000000"/>
          <w:spacing w:val="0"/>
          <w:w w:val="100"/>
          <w:position w:val="0"/>
          <w:sz w:val="24"/>
          <w:szCs w:val="24"/>
        </w:rPr>
        <w:t>46,000.00</w:t>
      </w:r>
      <w:r>
        <w:rPr>
          <w:color w:val="000000"/>
          <w:spacing w:val="0"/>
          <w:w w:val="100"/>
          <w:position w:val="0"/>
        </w:rPr>
        <w:t>元，权益部分价值</w:t>
      </w:r>
      <w:r>
        <w:rPr>
          <w:rFonts w:ascii="Times New Roman" w:eastAsia="Times New Roman" w:hAnsi="Times New Roman" w:cs="Times New Roman"/>
          <w:color w:val="000000"/>
          <w:spacing w:val="0"/>
          <w:w w:val="100"/>
          <w:position w:val="0"/>
          <w:sz w:val="24"/>
          <w:szCs w:val="24"/>
        </w:rPr>
        <w:t>5,644.20</w:t>
      </w:r>
      <w:r>
        <w:rPr>
          <w:color w:val="000000"/>
          <w:spacing w:val="0"/>
          <w:w w:val="100"/>
          <w:position w:val="0"/>
        </w:rPr>
        <w:t>元， 合计债券价值</w:t>
      </w:r>
      <w:r>
        <w:rPr>
          <w:rFonts w:ascii="Times New Roman" w:eastAsia="Times New Roman" w:hAnsi="Times New Roman" w:cs="Times New Roman"/>
          <w:color w:val="000000"/>
          <w:spacing w:val="0"/>
          <w:w w:val="100"/>
          <w:position w:val="0"/>
          <w:sz w:val="24"/>
          <w:szCs w:val="24"/>
        </w:rPr>
        <w:t>51,644.20</w:t>
      </w:r>
      <w:r>
        <w:rPr>
          <w:color w:val="000000"/>
          <w:spacing w:val="0"/>
          <w:w w:val="100"/>
          <w:position w:val="0"/>
        </w:rPr>
        <w:t>元，合计转成</w:t>
      </w:r>
      <w:r>
        <w:rPr>
          <w:rFonts w:ascii="Times New Roman" w:eastAsia="Times New Roman" w:hAnsi="Times New Roman" w:cs="Times New Roman"/>
          <w:color w:val="000000"/>
          <w:spacing w:val="0"/>
          <w:w w:val="100"/>
          <w:position w:val="0"/>
          <w:sz w:val="24"/>
          <w:szCs w:val="24"/>
        </w:rPr>
        <w:t>2,441.00</w:t>
      </w:r>
      <w:r>
        <w:rPr>
          <w:color w:val="000000"/>
          <w:spacing w:val="0"/>
          <w:w w:val="100"/>
          <w:position w:val="0"/>
        </w:rPr>
        <w:t>股本公司股票。溢价部分扣除债券利息及转股手 续费后，差额</w:t>
      </w:r>
      <w:r>
        <w:rPr>
          <w:rFonts w:ascii="Times New Roman" w:eastAsia="Times New Roman" w:hAnsi="Times New Roman" w:cs="Times New Roman"/>
          <w:color w:val="000000"/>
          <w:spacing w:val="0"/>
          <w:w w:val="100"/>
          <w:position w:val="0"/>
          <w:sz w:val="24"/>
          <w:szCs w:val="24"/>
        </w:rPr>
        <w:t>49,155.44</w:t>
      </w:r>
      <w:r>
        <w:rPr>
          <w:color w:val="000000"/>
          <w:spacing w:val="0"/>
          <w:w w:val="100"/>
          <w:position w:val="0"/>
        </w:rPr>
        <w:t>元计入资本公积</w:t>
      </w:r>
      <w:r>
        <w:rPr>
          <w:color w:val="000000"/>
          <w:spacing w:val="0"/>
          <w:w w:val="100"/>
          <w:position w:val="0"/>
          <w:sz w:val="24"/>
          <w:szCs w:val="24"/>
        </w:rPr>
        <w:t>一</w:t>
      </w:r>
      <w:r>
        <w:rPr>
          <w:color w:val="000000"/>
          <w:spacing w:val="0"/>
          <w:w w:val="100"/>
          <w:position w:val="0"/>
        </w:rPr>
        <w:t>股本溢价。</w:t>
      </w:r>
    </w:p>
    <w:p>
      <w:pPr>
        <w:pStyle w:val="Style31"/>
        <w:keepNext/>
        <w:keepLines/>
        <w:widowControl w:val="0"/>
        <w:shd w:val="clear" w:color="auto" w:fill="auto"/>
        <w:bidi w:val="0"/>
        <w:spacing w:before="0" w:after="380" w:line="240" w:lineRule="auto"/>
        <w:ind w:left="0" w:right="0" w:firstLine="0"/>
        <w:jc w:val="both"/>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3</w:t>
      </w:r>
      <w:bookmarkEnd w:id="1455"/>
      <w:r>
        <w:rPr>
          <w:rFonts w:ascii="Times New Roman" w:eastAsia="Times New Roman" w:hAnsi="Times New Roman" w:cs="Times New Roman"/>
          <w:color w:val="000000"/>
          <w:spacing w:val="0"/>
          <w:w w:val="100"/>
          <w:position w:val="0"/>
        </w:rPr>
        <w:t>6</w:t>
      </w:r>
      <w:r>
        <w:rPr>
          <w:color w:val="000000"/>
          <w:spacing w:val="0"/>
          <w:w w:val="100"/>
          <w:position w:val="0"/>
        </w:rPr>
        <w:t>、其他综合收益</w:t>
      </w:r>
      <w:bookmarkEnd w:id="1453"/>
      <w:bookmarkEnd w:id="1454"/>
      <w:bookmarkEnd w:id="1456"/>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税前发生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于少数股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81,709,707.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6,583,944.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13,685,40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-7,101,460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其他权益工具投资公允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81,709,707.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6,583,944.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-7,101,460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74,608,2</w:t>
            </w:r>
          </w:p>
        </w:tc>
      </w:tr>
    </w:tbl>
    <w:p>
      <w:pPr>
        <w:widowControl w:val="0"/>
        <w:spacing w:line="1" w:lineRule="exact"/>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-753,237.65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-481,604.7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-481,604.7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-753,237.65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-481,604.7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-481,604.7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80,956,469.</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6,102,339.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13,685,40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-7,583,065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73,373,4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04.15</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1"/>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3</w:t>
      </w:r>
      <w:bookmarkEnd w:id="1459"/>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1457"/>
      <w:bookmarkEnd w:id="1458"/>
      <w:bookmarkEnd w:id="14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67,124,757.99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67,124,757.99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67,124,757.99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67,124,757.99</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1"/>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3</w:t>
      </w:r>
      <w:bookmarkEnd w:id="1463"/>
      <w:r>
        <w:rPr>
          <w:rFonts w:ascii="Times New Roman" w:eastAsia="Times New Roman" w:hAnsi="Times New Roman" w:cs="Times New Roman"/>
          <w:color w:val="000000"/>
          <w:spacing w:val="0"/>
          <w:w w:val="100"/>
          <w:position w:val="0"/>
        </w:rPr>
        <w:t>8</w:t>
      </w:r>
      <w:r>
        <w:rPr>
          <w:color w:val="000000"/>
          <w:spacing w:val="0"/>
          <w:w w:val="100"/>
          <w:position w:val="0"/>
        </w:rPr>
        <w:t>、未分配利润</w:t>
      </w:r>
      <w:bookmarkEnd w:id="1461"/>
      <w:bookmarkEnd w:id="1462"/>
      <w:bookmarkEnd w:id="1464"/>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945,354,269.62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767,940,071.46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945,354,269.62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767,940,071.46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-635,849,527.03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231,654,648.29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6,939,470.61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46,808,087.71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47,300,979.52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262,696,654.88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945,354,269.62</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30" w:val="left"/>
        </w:tabs>
        <w:bidi w:val="0"/>
        <w:spacing w:before="0" w:after="140" w:line="240" w:lineRule="auto"/>
        <w:ind w:left="0" w:right="0" w:firstLine="0"/>
        <w:jc w:val="left"/>
      </w:pPr>
      <w:bookmarkStart w:id="1465" w:name="bookmark1465"/>
      <w:r>
        <w:rPr>
          <w:rFonts w:ascii="Times New Roman" w:eastAsia="Times New Roman" w:hAnsi="Times New Roman" w:cs="Times New Roman"/>
          <w:color w:val="000000"/>
          <w:spacing w:val="0"/>
          <w:w w:val="100"/>
          <w:position w:val="0"/>
          <w:sz w:val="18"/>
          <w:szCs w:val="18"/>
        </w:rPr>
        <w:t>1</w:t>
      </w:r>
      <w:bookmarkEnd w:id="146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466" w:name="bookmark1466"/>
      <w:r>
        <w:rPr>
          <w:rFonts w:ascii="Times New Roman" w:eastAsia="Times New Roman" w:hAnsi="Times New Roman" w:cs="Times New Roman"/>
          <w:color w:val="000000"/>
          <w:spacing w:val="0"/>
          <w:w w:val="100"/>
          <w:position w:val="0"/>
          <w:sz w:val="18"/>
          <w:szCs w:val="18"/>
        </w:rPr>
        <w:t>2</w:t>
      </w:r>
      <w:bookmarkEnd w:id="146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467" w:name="bookmark1467"/>
      <w:r>
        <w:rPr>
          <w:rFonts w:ascii="Times New Roman" w:eastAsia="Times New Roman" w:hAnsi="Times New Roman" w:cs="Times New Roman"/>
          <w:color w:val="000000"/>
          <w:spacing w:val="0"/>
          <w:w w:val="100"/>
          <w:position w:val="0"/>
          <w:sz w:val="18"/>
          <w:szCs w:val="18"/>
        </w:rPr>
        <w:t>3</w:t>
      </w:r>
      <w:bookmarkEnd w:id="146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468" w:name="bookmark1468"/>
      <w:r>
        <w:rPr>
          <w:rFonts w:ascii="Times New Roman" w:eastAsia="Times New Roman" w:hAnsi="Times New Roman" w:cs="Times New Roman"/>
          <w:color w:val="000000"/>
          <w:spacing w:val="0"/>
          <w:w w:val="100"/>
          <w:position w:val="0"/>
          <w:sz w:val="18"/>
          <w:szCs w:val="18"/>
        </w:rPr>
        <w:t>4</w:t>
      </w:r>
      <w:bookmarkEnd w:id="146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380" w:line="240" w:lineRule="auto"/>
        <w:ind w:left="0" w:right="0" w:firstLine="0"/>
        <w:jc w:val="left"/>
      </w:pPr>
      <w:bookmarkStart w:id="1469" w:name="bookmark1469"/>
      <w:r>
        <w:rPr>
          <w:rFonts w:ascii="Times New Roman" w:eastAsia="Times New Roman" w:hAnsi="Times New Roman" w:cs="Times New Roman"/>
          <w:color w:val="000000"/>
          <w:spacing w:val="0"/>
          <w:w w:val="100"/>
          <w:position w:val="0"/>
          <w:sz w:val="18"/>
          <w:szCs w:val="18"/>
        </w:rPr>
        <w:t>5</w:t>
      </w:r>
      <w:bookmarkEnd w:id="146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3</w:t>
      </w:r>
      <w:bookmarkEnd w:id="1472"/>
      <w:r>
        <w:rPr>
          <w:rFonts w:ascii="Times New Roman" w:eastAsia="Times New Roman" w:hAnsi="Times New Roman" w:cs="Times New Roman"/>
          <w:color w:val="000000"/>
          <w:spacing w:val="0"/>
          <w:w w:val="100"/>
          <w:position w:val="0"/>
        </w:rPr>
        <w:t>9</w:t>
      </w:r>
      <w:r>
        <w:rPr>
          <w:color w:val="000000"/>
          <w:spacing w:val="0"/>
          <w:w w:val="100"/>
          <w:position w:val="0"/>
        </w:rPr>
        <w:t>、营业收入和营业成本</w:t>
      </w:r>
      <w:bookmarkEnd w:id="1470"/>
      <w:bookmarkEnd w:id="1471"/>
      <w:bookmarkEnd w:id="1473"/>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3830"/>
        <w:gridCol w:w="384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1,365,365,939.12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913,725,555.39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1,496,809,010.96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871,713,327.02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29,003,646.99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18,679,675.87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19,183,740.15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6,480,067.10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1,394,369,586.11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932,405,231.26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1,515,992,751.11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878,193,394.12</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2078"/>
        <w:gridCol w:w="2030"/>
        <w:gridCol w:w="2030"/>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本年度（万元）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具体扣除情况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1,394,369,586.11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扣除其他业务收入，主要 包括材料销售收入和房 租收入。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1,515,992,751.11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扣除其他业务 收入，主要包括材料 销售收入和房租收 入。</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营业收入扣除项目合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29,003,646.99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主要系材料销售收入、房 租收入，与主营业务无 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19,183,740.15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主要系材料销售收 入、房租收入，与主 营业务无关。</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营业收入扣除项目合 计金额占营业收入的 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一、与主营业务无关 的业务收入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r>
      <w:tr>
        <w:trPr>
          <w:trHeight w:val="3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正常经营之外的其 他业务收入。如出租 固定资产、无形资产、 包装物，销售材料， 用材料进行非货币性 资产交换，经营受托 管理业务等实现的收 入，以及虽计入主营 业务收入，但属于上 市公司正常经营之外 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29,003,646.99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19,183,740.15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与主营业务无关的业 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29,003,646.99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主要系材料销售收入、房 租收入，与主营业务无关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19,183,740.15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主要系材料销售收 入、房租收入，与主 营业务无关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二、不具备商业实质 的收入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不具备商业实质的收 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1,365,365,939.12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1,496,809,010.96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line="1" w:lineRule="exact"/>
      </w:pP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1,365,365,939.12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1,365,365,939.12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一、电力检测及电力设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902,062,610.62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902,062,610.62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二、铁路与轨道交通牵 引供电装备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88,699,956.28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88,699,956.28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三、电力工程及服务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47,107,126.19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47,107,126.19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四、售电收入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110,583,145.80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110,583,145.80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五、军工电子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216,913,100.23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216,913,100.23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1,365,365,939.12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1,365,365,939.12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6,261,255.72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6,261,255.72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276,472,250.10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276,472,250.10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333,652,942.31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333,652,942.31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64,861,380.39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64,861,380.39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171,004,663.66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171,004,663.66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366,023,980.80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366,023,980.80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124,514,209.70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124,514,209.70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22,575,256.44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22,575,256.44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与履约义务相关的信息：</w:t>
      </w:r>
    </w:p>
    <w:p>
      <w:pPr>
        <w:widowControl w:val="0"/>
        <w:spacing w:after="159" w:line="1" w:lineRule="exact"/>
      </w:pPr>
    </w:p>
    <w:p>
      <w:pPr>
        <w:pStyle w:val="Style64"/>
        <w:keepNext w:val="0"/>
        <w:keepLines w:val="0"/>
        <w:widowControl w:val="0"/>
        <w:shd w:val="clear" w:color="auto" w:fill="auto"/>
        <w:bidi w:val="0"/>
        <w:spacing w:before="0" w:after="120"/>
        <w:ind w:left="0" w:right="0" w:firstLine="480"/>
        <w:jc w:val="both"/>
      </w:pPr>
      <w:r>
        <w:rPr>
          <w:color w:val="000000"/>
          <w:spacing w:val="0"/>
          <w:w w:val="100"/>
          <w:position w:val="0"/>
        </w:rPr>
        <w:t>本公司在履行了合同中的履约义务，即在客户取得相关商品控制权时确认收入。取得相 关商品控制权，是指能够主导该商品的使用并从中获得几乎全部的经济利益。</w:t>
      </w:r>
    </w:p>
    <w:p>
      <w:pPr>
        <w:pStyle w:val="Style64"/>
        <w:keepNext w:val="0"/>
        <w:keepLines w:val="0"/>
        <w:widowControl w:val="0"/>
        <w:shd w:val="clear" w:color="auto" w:fill="auto"/>
        <w:bidi w:val="0"/>
        <w:spacing w:before="0" w:after="120"/>
        <w:ind w:left="0" w:right="0" w:firstLine="480"/>
        <w:jc w:val="both"/>
      </w:pPr>
      <w:r>
        <w:rPr>
          <w:color w:val="000000"/>
          <w:spacing w:val="0"/>
          <w:w w:val="100"/>
          <w:position w:val="0"/>
        </w:rPr>
        <w:t>合同中包含两项或多项履约义务的，本公司在合同开始日，按照各单项履约义务所承诺 商品或服务的单独售价的相对比例，将交易价格分摊至各单项履约义务，按照分摊至各单项 履约义务的交易价格计量收入。</w:t>
      </w:r>
    </w:p>
    <w:p>
      <w:pPr>
        <w:pStyle w:val="Style64"/>
        <w:keepNext w:val="0"/>
        <w:keepLines w:val="0"/>
        <w:widowControl w:val="0"/>
        <w:shd w:val="clear" w:color="auto" w:fill="auto"/>
        <w:bidi w:val="0"/>
        <w:spacing w:before="0" w:after="120"/>
        <w:ind w:left="0" w:right="0" w:firstLine="480"/>
        <w:jc w:val="both"/>
      </w:pPr>
      <w:r>
        <w:rPr>
          <w:color w:val="000000"/>
          <w:spacing w:val="0"/>
          <w:w w:val="100"/>
          <w:position w:val="0"/>
        </w:rPr>
        <w:t>交易价格是本公司因向客户转让商品或服务而预期有权收取的对价金额，不包括代第三 方收取的款项。在确定合同交易价格时，如果存在可变对价，本公司按照期望值或最可能发 生金额确定可变对价的最佳估计数，并以不超过在相关不确定性消除时累计已确认收入极可 能不会发生重大转回的金额计入交易价格。合同中如果存在重大融资成分，本公司将根据客 户在取得商品控制权时即以现金支付的应付金额确定交易价格，该交易价格与合同对价之间 的差额，在合同期间内采用实际利率法摊销，对于控制权转移与客户支付价款间隔未超过一 年的，本公司不考虑其中的融资成分。</w:t>
      </w:r>
    </w:p>
    <w:p>
      <w:pPr>
        <w:pStyle w:val="Style64"/>
        <w:keepNext w:val="0"/>
        <w:keepLines w:val="0"/>
        <w:widowControl w:val="0"/>
        <w:shd w:val="clear" w:color="auto" w:fill="auto"/>
        <w:bidi w:val="0"/>
        <w:spacing w:before="0" w:after="40" w:line="317" w:lineRule="exact"/>
        <w:ind w:left="0" w:right="0" w:firstLine="480"/>
        <w:jc w:val="both"/>
      </w:pPr>
      <w:r>
        <w:rPr>
          <w:color w:val="000000"/>
          <w:spacing w:val="0"/>
          <w:w w:val="100"/>
          <w:position w:val="0"/>
        </w:rPr>
        <w:t>满足下列条件之一的，属于在某一时段内履行履约义务；否则，属于在某一时点履行履 约义务：</w:t>
      </w:r>
    </w:p>
    <w:p>
      <w:pPr>
        <w:pStyle w:val="Style64"/>
        <w:keepNext w:val="0"/>
        <w:keepLines w:val="0"/>
        <w:widowControl w:val="0"/>
        <w:numPr>
          <w:ilvl w:val="0"/>
          <w:numId w:val="99"/>
        </w:numPr>
        <w:shd w:val="clear" w:color="auto" w:fill="auto"/>
        <w:tabs>
          <w:tab w:pos="901" w:val="left"/>
        </w:tabs>
        <w:bidi w:val="0"/>
        <w:spacing w:before="0" w:after="120"/>
        <w:ind w:left="0" w:right="0" w:firstLine="480"/>
        <w:jc w:val="left"/>
      </w:pPr>
      <w:bookmarkStart w:id="1474" w:name="bookmark1474"/>
      <w:bookmarkEnd w:id="1474"/>
      <w:r>
        <w:rPr>
          <w:color w:val="000000"/>
          <w:spacing w:val="0"/>
          <w:w w:val="100"/>
          <w:position w:val="0"/>
        </w:rPr>
        <w:t>客户在本公司履约的同时即取得并消耗本公司履约所带来的经济利益；</w:t>
      </w:r>
    </w:p>
    <w:p>
      <w:pPr>
        <w:pStyle w:val="Style64"/>
        <w:keepNext w:val="0"/>
        <w:keepLines w:val="0"/>
        <w:widowControl w:val="0"/>
        <w:numPr>
          <w:ilvl w:val="0"/>
          <w:numId w:val="99"/>
        </w:numPr>
        <w:shd w:val="clear" w:color="auto" w:fill="auto"/>
        <w:tabs>
          <w:tab w:pos="901" w:val="left"/>
        </w:tabs>
        <w:bidi w:val="0"/>
        <w:spacing w:before="0" w:after="120"/>
        <w:ind w:left="0" w:right="0" w:firstLine="480"/>
        <w:jc w:val="left"/>
      </w:pPr>
      <w:bookmarkStart w:id="1475" w:name="bookmark1475"/>
      <w:bookmarkEnd w:id="1475"/>
      <w:r>
        <w:rPr>
          <w:color w:val="000000"/>
          <w:spacing w:val="0"/>
          <w:w w:val="100"/>
          <w:position w:val="0"/>
        </w:rPr>
        <w:t>客户能够控制本公司履约过程中在建的商品；</w:t>
      </w:r>
    </w:p>
    <w:p>
      <w:pPr>
        <w:pStyle w:val="Style64"/>
        <w:keepNext w:val="0"/>
        <w:keepLines w:val="0"/>
        <w:widowControl w:val="0"/>
        <w:numPr>
          <w:ilvl w:val="0"/>
          <w:numId w:val="99"/>
        </w:numPr>
        <w:shd w:val="clear" w:color="auto" w:fill="auto"/>
        <w:tabs>
          <w:tab w:pos="896" w:val="left"/>
        </w:tabs>
        <w:bidi w:val="0"/>
        <w:spacing w:before="0" w:after="120" w:line="302" w:lineRule="exact"/>
        <w:ind w:left="0" w:right="0" w:firstLine="480"/>
        <w:jc w:val="left"/>
      </w:pPr>
      <w:bookmarkStart w:id="1476" w:name="bookmark1476"/>
      <w:bookmarkEnd w:id="1476"/>
      <w:r>
        <w:rPr>
          <w:color w:val="000000"/>
          <w:spacing w:val="0"/>
          <w:w w:val="100"/>
          <w:position w:val="0"/>
        </w:rPr>
        <w:t>本公司履约过程中所产出的商品具有不可替代用途，且本公司在整个合同期间内有权 就累计至今已完成的履约部分收取款项。</w:t>
      </w:r>
    </w:p>
    <w:p>
      <w:pPr>
        <w:pStyle w:val="Style64"/>
        <w:keepNext w:val="0"/>
        <w:keepLines w:val="0"/>
        <w:widowControl w:val="0"/>
        <w:shd w:val="clear" w:color="auto" w:fill="auto"/>
        <w:bidi w:val="0"/>
        <w:spacing w:before="0" w:after="120"/>
        <w:ind w:left="0" w:right="0" w:firstLine="480"/>
        <w:jc w:val="left"/>
      </w:pPr>
      <w:r>
        <w:rPr>
          <w:color w:val="000000"/>
          <w:spacing w:val="0"/>
          <w:w w:val="100"/>
          <w:position w:val="0"/>
        </w:rPr>
        <w:t>对于在某一时段内履行的履约义务，本公司在该段时间内按照履约进度确认收入，但是， 履约进度不能合理确定的除外。本公司按照投入法（或产出法）确定提供服务的履约进度。 当履约进度不能合理确定时，本公司已经发生的成本预计能够得到补偿的，按照已经发生的 成本金额确认收入，直到履约进度能够合理确定为止。</w:t>
      </w:r>
    </w:p>
    <w:p>
      <w:pPr>
        <w:pStyle w:val="Style64"/>
        <w:keepNext w:val="0"/>
        <w:keepLines w:val="0"/>
        <w:widowControl w:val="0"/>
        <w:shd w:val="clear" w:color="auto" w:fill="auto"/>
        <w:bidi w:val="0"/>
        <w:spacing w:before="0" w:after="120" w:line="307" w:lineRule="exact"/>
        <w:ind w:left="0" w:right="0" w:firstLine="480"/>
        <w:jc w:val="left"/>
      </w:pPr>
      <w:r>
        <w:rPr>
          <w:color w:val="000000"/>
          <w:spacing w:val="0"/>
          <w:w w:val="100"/>
          <w:position w:val="0"/>
        </w:rPr>
        <w:t>对于在某一时点履行的履约义务，本公司在客户取得相关商品控制权时点确认收入。在 判断客户是否已取得商品或服务控制权时，本公司会考虑下列迹象：</w:t>
      </w:r>
    </w:p>
    <w:p>
      <w:pPr>
        <w:pStyle w:val="Style64"/>
        <w:keepNext w:val="0"/>
        <w:keepLines w:val="0"/>
        <w:widowControl w:val="0"/>
        <w:numPr>
          <w:ilvl w:val="0"/>
          <w:numId w:val="101"/>
        </w:numPr>
        <w:shd w:val="clear" w:color="auto" w:fill="auto"/>
        <w:tabs>
          <w:tab w:pos="901" w:val="left"/>
        </w:tabs>
        <w:bidi w:val="0"/>
        <w:spacing w:before="0" w:after="120"/>
        <w:ind w:left="0" w:right="0" w:firstLine="480"/>
        <w:jc w:val="left"/>
      </w:pPr>
      <w:bookmarkStart w:id="1477" w:name="bookmark1477"/>
      <w:bookmarkEnd w:id="1477"/>
      <w:r>
        <w:rPr>
          <w:color w:val="000000"/>
          <w:spacing w:val="0"/>
          <w:w w:val="100"/>
          <w:position w:val="0"/>
        </w:rPr>
        <w:t>本公司就该商品或服务享有现时收款权利，即客户就该商品负有现时付款义务；</w:t>
      </w:r>
    </w:p>
    <w:p>
      <w:pPr>
        <w:pStyle w:val="Style64"/>
        <w:keepNext w:val="0"/>
        <w:keepLines w:val="0"/>
        <w:widowControl w:val="0"/>
        <w:numPr>
          <w:ilvl w:val="0"/>
          <w:numId w:val="101"/>
        </w:numPr>
        <w:shd w:val="clear" w:color="auto" w:fill="auto"/>
        <w:tabs>
          <w:tab w:pos="901" w:val="left"/>
        </w:tabs>
        <w:bidi w:val="0"/>
        <w:spacing w:before="0" w:after="120"/>
        <w:ind w:left="0" w:right="0" w:firstLine="480"/>
        <w:jc w:val="left"/>
      </w:pPr>
      <w:bookmarkStart w:id="1478" w:name="bookmark1478"/>
      <w:bookmarkEnd w:id="1478"/>
      <w:r>
        <w:rPr>
          <w:color w:val="000000"/>
          <w:spacing w:val="0"/>
          <w:w w:val="100"/>
          <w:position w:val="0"/>
        </w:rPr>
        <w:t>本公司已将该商品的法定所有权转移给客户，即客户已拥有了该商品的法定所有权；</w:t>
      </w:r>
    </w:p>
    <w:p>
      <w:pPr>
        <w:pStyle w:val="Style64"/>
        <w:keepNext w:val="0"/>
        <w:keepLines w:val="0"/>
        <w:widowControl w:val="0"/>
        <w:numPr>
          <w:ilvl w:val="0"/>
          <w:numId w:val="101"/>
        </w:numPr>
        <w:shd w:val="clear" w:color="auto" w:fill="auto"/>
        <w:tabs>
          <w:tab w:pos="901" w:val="left"/>
        </w:tabs>
        <w:bidi w:val="0"/>
        <w:spacing w:before="0" w:after="120"/>
        <w:ind w:left="0" w:right="0" w:firstLine="480"/>
        <w:jc w:val="left"/>
      </w:pPr>
      <w:bookmarkStart w:id="1479" w:name="bookmark1479"/>
      <w:bookmarkEnd w:id="1479"/>
      <w:r>
        <w:rPr>
          <w:color w:val="000000"/>
          <w:spacing w:val="0"/>
          <w:w w:val="100"/>
          <w:position w:val="0"/>
        </w:rPr>
        <w:t>本公司已将该商品的实物转移给客户，即客户已实物占有该商品；</w:t>
      </w:r>
    </w:p>
    <w:p>
      <w:pPr>
        <w:pStyle w:val="Style64"/>
        <w:keepNext w:val="0"/>
        <w:keepLines w:val="0"/>
        <w:widowControl w:val="0"/>
        <w:numPr>
          <w:ilvl w:val="0"/>
          <w:numId w:val="101"/>
        </w:numPr>
        <w:shd w:val="clear" w:color="auto" w:fill="auto"/>
        <w:tabs>
          <w:tab w:pos="901" w:val="left"/>
        </w:tabs>
        <w:bidi w:val="0"/>
        <w:spacing w:before="0" w:after="120" w:line="317" w:lineRule="exact"/>
        <w:ind w:left="0" w:right="0" w:firstLine="480"/>
        <w:jc w:val="both"/>
      </w:pPr>
      <w:bookmarkStart w:id="1480" w:name="bookmark1480"/>
      <w:bookmarkEnd w:id="1480"/>
      <w:r>
        <w:rPr>
          <w:color w:val="000000"/>
          <w:spacing w:val="0"/>
          <w:w w:val="100"/>
          <w:position w:val="0"/>
        </w:rPr>
        <w:t>本公司已将该商品所有权上的主要风险和报酬转移给客户，即客户已取得该商品所有 权上的主要风险和报酬；</w:t>
      </w:r>
    </w:p>
    <w:p>
      <w:pPr>
        <w:pStyle w:val="Style64"/>
        <w:keepNext w:val="0"/>
        <w:keepLines w:val="0"/>
        <w:widowControl w:val="0"/>
        <w:numPr>
          <w:ilvl w:val="0"/>
          <w:numId w:val="101"/>
        </w:numPr>
        <w:shd w:val="clear" w:color="auto" w:fill="auto"/>
        <w:tabs>
          <w:tab w:pos="901" w:val="left"/>
        </w:tabs>
        <w:bidi w:val="0"/>
        <w:spacing w:before="0" w:after="320"/>
        <w:ind w:left="0" w:right="0" w:firstLine="480"/>
        <w:jc w:val="both"/>
      </w:pPr>
      <w:bookmarkStart w:id="1481" w:name="bookmark1481"/>
      <w:bookmarkEnd w:id="1481"/>
      <w:r>
        <w:rPr>
          <w:color w:val="000000"/>
          <w:spacing w:val="0"/>
          <w:w w:val="100"/>
          <w:position w:val="0"/>
        </w:rPr>
        <w:t>客户已接受该商品。</w:t>
      </w:r>
    </w:p>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4</w:t>
      </w:r>
      <w:bookmarkEnd w:id="1484"/>
      <w:r>
        <w:rPr>
          <w:rFonts w:ascii="Times New Roman" w:eastAsia="Times New Roman" w:hAnsi="Times New Roman" w:cs="Times New Roman"/>
          <w:color w:val="000000"/>
          <w:spacing w:val="0"/>
          <w:w w:val="100"/>
          <w:position w:val="0"/>
        </w:rPr>
        <w:t>0</w:t>
      </w:r>
      <w:r>
        <w:rPr>
          <w:color w:val="000000"/>
          <w:spacing w:val="0"/>
          <w:w w:val="100"/>
          <w:position w:val="0"/>
        </w:rPr>
        <w:t>、税金及附加</w:t>
      </w:r>
      <w:bookmarkEnd w:id="1482"/>
      <w:bookmarkEnd w:id="1483"/>
      <w:bookmarkEnd w:id="148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1,859,494.95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3,161,312.77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902,535.22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1,452,096.87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2,436,349.22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2,049,571.37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305,026.38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386,310.96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598,425.50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1,051,050.67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1,382,620.65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1,888,036.59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7,484,451.92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9,988,379.23</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4</w:t>
      </w:r>
      <w:bookmarkEnd w:id="1488"/>
      <w:r>
        <w:rPr>
          <w:rFonts w:ascii="Times New Roman" w:eastAsia="Times New Roman" w:hAnsi="Times New Roman" w:cs="Times New Roman"/>
          <w:color w:val="000000"/>
          <w:spacing w:val="0"/>
          <w:w w:val="100"/>
          <w:position w:val="0"/>
        </w:rPr>
        <w:t>1</w:t>
      </w:r>
      <w:r>
        <w:rPr>
          <w:color w:val="000000"/>
          <w:spacing w:val="0"/>
          <w:w w:val="100"/>
          <w:position w:val="0"/>
        </w:rPr>
        <w:t>、销售费用</w:t>
      </w:r>
      <w:bookmarkEnd w:id="1486"/>
      <w:bookmarkEnd w:id="1487"/>
      <w:bookmarkEnd w:id="148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10,407,594.91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9,269,708.27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13,919,332.14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11,152,808.68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市场调研及推广费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27,171,508.04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18,035,420.32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16,687,025.29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13,245,579.39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运输、检验及维修费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10,179,636.31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10,070,263.15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47,976,017.05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34,927,419.59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中标服务费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5,250,363.40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4,654,466.59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131,591,477.14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101,355,665.99</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4</w:t>
      </w:r>
      <w:bookmarkEnd w:id="1492"/>
      <w:r>
        <w:rPr>
          <w:rFonts w:ascii="Times New Roman" w:eastAsia="Times New Roman" w:hAnsi="Times New Roman" w:cs="Times New Roman"/>
          <w:color w:val="000000"/>
          <w:spacing w:val="0"/>
          <w:w w:val="100"/>
          <w:position w:val="0"/>
        </w:rPr>
        <w:t>2</w:t>
      </w:r>
      <w:r>
        <w:rPr>
          <w:color w:val="000000"/>
          <w:spacing w:val="0"/>
          <w:w w:val="100"/>
          <w:position w:val="0"/>
        </w:rPr>
        <w:t>、管理费用</w:t>
      </w:r>
      <w:bookmarkEnd w:id="1490"/>
      <w:bookmarkEnd w:id="1491"/>
      <w:bookmarkEnd w:id="149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15,345,382.43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15,910,929.00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3,074,213.85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1,630,533.82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11,741,537.17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20,169,838.34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5,921,249.12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4,916,017.07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19,597,999.29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12,843,564.86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50,775,104.81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37,736,744.22</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623,181.70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1,468,240.44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107,078,668.37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94,675,867.75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4</w:t>
      </w:r>
      <w:bookmarkEnd w:id="1496"/>
      <w:r>
        <w:rPr>
          <w:rFonts w:ascii="Times New Roman" w:eastAsia="Times New Roman" w:hAnsi="Times New Roman" w:cs="Times New Roman"/>
          <w:color w:val="000000"/>
          <w:spacing w:val="0"/>
          <w:w w:val="100"/>
          <w:position w:val="0"/>
        </w:rPr>
        <w:t>3</w:t>
      </w:r>
      <w:r>
        <w:rPr>
          <w:color w:val="000000"/>
          <w:spacing w:val="0"/>
          <w:w w:val="100"/>
          <w:position w:val="0"/>
        </w:rPr>
        <w:t>、研发费用</w:t>
      </w:r>
      <w:bookmarkEnd w:id="1494"/>
      <w:bookmarkEnd w:id="1495"/>
      <w:bookmarkEnd w:id="149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2,106,489.54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2,031,959.65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16,611,253.79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14,309,736.10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836,662.89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534,477.56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300,477.64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155,130.87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53,691,131.04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40,022,023.98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试验检验费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4,561,728.47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254,587.96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494,380.63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981,995.58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7,262,202.89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7,348,297.18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技术开发与咨询服务费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16,826,134.92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32,366,667.26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102,690,461.81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98,004,876.14</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4</w:t>
      </w:r>
      <w:bookmarkEnd w:id="1500"/>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498"/>
      <w:bookmarkEnd w:id="1499"/>
      <w:bookmarkEnd w:id="150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103,379,818.49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119,774,670.80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其中：租赁负债利息支出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449,210.30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-3,047,987.53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-3,848,397.74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100,331,830.96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115,926,273.06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411,843.78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934,581.83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8,529,640.16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861,961.86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109,273,314.90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117,722,816.75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4</w:t>
      </w:r>
      <w:bookmarkEnd w:id="1504"/>
      <w:r>
        <w:rPr>
          <w:rFonts w:ascii="Times New Roman" w:eastAsia="Times New Roman" w:hAnsi="Times New Roman" w:cs="Times New Roman"/>
          <w:color w:val="000000"/>
          <w:spacing w:val="0"/>
          <w:w w:val="100"/>
          <w:position w:val="0"/>
        </w:rPr>
        <w:t>5</w:t>
      </w:r>
      <w:r>
        <w:rPr>
          <w:color w:val="000000"/>
          <w:spacing w:val="0"/>
          <w:w w:val="100"/>
          <w:position w:val="0"/>
        </w:rPr>
        <w:t>、其他收益</w:t>
      </w:r>
      <w:bookmarkEnd w:id="1502"/>
      <w:bookmarkEnd w:id="1503"/>
      <w:bookmarkEnd w:id="150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一、计入其他收益的政府补助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37,163,154.22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40,530,660.68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其中：与递延收益相关的政府补助（与 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2,870,667.13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2,255,818.45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直接计入当期损益的政府补助（与收益 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34,292,487.09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38,274,842.23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二、其他与日常活动相关且计入其他收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益的项目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149,772.94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98,483.71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其中：个税扣缴税款手续费与进项税加 计扣除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149,772.94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98,483.71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811" w:val="left"/>
              </w:tabs>
              <w:bidi w:val="0"/>
              <w:spacing w:before="0" w:after="0" w:line="240" w:lineRule="auto"/>
              <w:ind w:left="0" w:right="0" w:firstLine="0"/>
              <w:jc w:val="both"/>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37,312,927.16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40,629,144.39</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4</w:t>
      </w:r>
      <w:bookmarkEnd w:id="1508"/>
      <w:r>
        <w:rPr>
          <w:rFonts w:ascii="Times New Roman" w:eastAsia="Times New Roman" w:hAnsi="Times New Roman" w:cs="Times New Roman"/>
          <w:color w:val="000000"/>
          <w:spacing w:val="0"/>
          <w:w w:val="100"/>
          <w:position w:val="0"/>
        </w:rPr>
        <w:t>6</w:t>
      </w:r>
      <w:r>
        <w:rPr>
          <w:color w:val="000000"/>
          <w:spacing w:val="0"/>
          <w:w w:val="100"/>
          <w:position w:val="0"/>
        </w:rPr>
        <w:t>、投资收益</w:t>
      </w:r>
      <w:bookmarkEnd w:id="1506"/>
      <w:bookmarkEnd w:id="1507"/>
      <w:bookmarkEnd w:id="150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4,942,727.11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412,278.46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处置子公司取得的收益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12,383,796.11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17,326,523.22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412,278.46</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4</w:t>
      </w:r>
      <w:bookmarkEnd w:id="1512"/>
      <w:r>
        <w:rPr>
          <w:rFonts w:ascii="Times New Roman" w:eastAsia="Times New Roman" w:hAnsi="Times New Roman" w:cs="Times New Roman"/>
          <w:color w:val="000000"/>
          <w:spacing w:val="0"/>
          <w:w w:val="100"/>
          <w:position w:val="0"/>
        </w:rPr>
        <w:t>7</w:t>
      </w:r>
      <w:r>
        <w:rPr>
          <w:color w:val="000000"/>
          <w:spacing w:val="0"/>
          <w:w w:val="100"/>
          <w:position w:val="0"/>
        </w:rPr>
        <w:t>、信用减值损失</w:t>
      </w:r>
      <w:bookmarkEnd w:id="1510"/>
      <w:bookmarkEnd w:id="1511"/>
      <w:bookmarkEnd w:id="151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-2,480,370.65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-1,065,213.75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2,279,182.77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6,386,643.23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20,000,800.01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-12,098,990.01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19,799,612.13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-6,777,560.53</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4</w:t>
      </w:r>
      <w:bookmarkEnd w:id="1516"/>
      <w:r>
        <w:rPr>
          <w:rFonts w:ascii="Times New Roman" w:eastAsia="Times New Roman" w:hAnsi="Times New Roman" w:cs="Times New Roman"/>
          <w:color w:val="000000"/>
          <w:spacing w:val="0"/>
          <w:w w:val="100"/>
          <w:position w:val="0"/>
        </w:rPr>
        <w:t>8</w:t>
      </w:r>
      <w:r>
        <w:rPr>
          <w:color w:val="000000"/>
          <w:spacing w:val="0"/>
          <w:w w:val="100"/>
          <w:position w:val="0"/>
        </w:rPr>
        <w:t>、资产减值损失</w:t>
      </w:r>
      <w:bookmarkEnd w:id="1514"/>
      <w:bookmarkEnd w:id="1515"/>
      <w:bookmarkEnd w:id="151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二、存货跌价损失及合同履约成本减值 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-12,417,512.85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-6,008,321.89</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-36,158,996.35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-670,994,526.54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-719,571,035.74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-6,008,321.89</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4</w:t>
      </w:r>
      <w:bookmarkEnd w:id="1520"/>
      <w:r>
        <w:rPr>
          <w:rFonts w:ascii="Times New Roman" w:eastAsia="Times New Roman" w:hAnsi="Times New Roman" w:cs="Times New Roman"/>
          <w:color w:val="000000"/>
          <w:spacing w:val="0"/>
          <w:w w:val="100"/>
          <w:position w:val="0"/>
        </w:rPr>
        <w:t>9</w:t>
      </w:r>
      <w:r>
        <w:rPr>
          <w:color w:val="000000"/>
          <w:spacing w:val="0"/>
          <w:w w:val="100"/>
          <w:position w:val="0"/>
        </w:rPr>
        <w:t>、资产处置收益</w:t>
      </w:r>
      <w:bookmarkEnd w:id="1518"/>
      <w:bookmarkEnd w:id="1519"/>
      <w:bookmarkEnd w:id="152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2,975,050.15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8,890,902.67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5</w:t>
      </w:r>
      <w:bookmarkEnd w:id="1524"/>
      <w:r>
        <w:rPr>
          <w:rFonts w:ascii="Times New Roman" w:eastAsia="Times New Roman" w:hAnsi="Times New Roman" w:cs="Times New Roman"/>
          <w:color w:val="000000"/>
          <w:spacing w:val="0"/>
          <w:w w:val="100"/>
          <w:position w:val="0"/>
        </w:rPr>
        <w:t>0</w:t>
      </w:r>
      <w:r>
        <w:rPr>
          <w:color w:val="000000"/>
          <w:spacing w:val="0"/>
          <w:w w:val="100"/>
          <w:position w:val="0"/>
        </w:rPr>
        <w:t>、营业外收入</w:t>
      </w:r>
      <w:bookmarkEnd w:id="1522"/>
      <w:bookmarkEnd w:id="1523"/>
      <w:bookmarkEnd w:id="152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86,196.77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86,196.77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366,500.25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152,315.20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366,500.25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452,697.02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207,084.75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452,697.02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5</w:t>
      </w:r>
      <w:bookmarkEnd w:id="1528"/>
      <w:r>
        <w:rPr>
          <w:rFonts w:ascii="Times New Roman" w:eastAsia="Times New Roman" w:hAnsi="Times New Roman" w:cs="Times New Roman"/>
          <w:color w:val="000000"/>
          <w:spacing w:val="0"/>
          <w:w w:val="100"/>
          <w:position w:val="0"/>
        </w:rPr>
        <w:t>1</w:t>
      </w:r>
      <w:r>
        <w:rPr>
          <w:color w:val="000000"/>
          <w:spacing w:val="0"/>
          <w:w w:val="100"/>
          <w:position w:val="0"/>
        </w:rPr>
        <w:t>、营业外支出</w:t>
      </w:r>
      <w:bookmarkEnd w:id="1526"/>
      <w:bookmarkEnd w:id="1527"/>
      <w:bookmarkEnd w:id="152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57,600.00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136,364.04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136,364.04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82,178.28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82,178.28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400,108.42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119,441.43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400,108.42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676,250.74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316,866.49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676,250.74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5</w:t>
      </w:r>
      <w:bookmarkEnd w:id="1532"/>
      <w:r>
        <w:rPr>
          <w:rFonts w:ascii="Times New Roman" w:eastAsia="Times New Roman" w:hAnsi="Times New Roman" w:cs="Times New Roman"/>
          <w:color w:val="000000"/>
          <w:spacing w:val="0"/>
          <w:w w:val="100"/>
          <w:position w:val="0"/>
        </w:rPr>
        <w:t>2</w:t>
      </w:r>
      <w:r>
        <w:rPr>
          <w:color w:val="000000"/>
          <w:spacing w:val="0"/>
          <w:w w:val="100"/>
          <w:position w:val="0"/>
        </w:rPr>
        <w:t>、所得税费用</w:t>
      </w:r>
      <w:bookmarkEnd w:id="1530"/>
      <w:bookmarkEnd w:id="1531"/>
      <w:bookmarkEnd w:id="1533"/>
    </w:p>
    <w:p>
      <w:pPr>
        <w:pStyle w:val="Style40"/>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34"/>
      <w:bookmarkEnd w:id="1535"/>
      <w:bookmarkEnd w:id="153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19,945,228.60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36,780,263.05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-23,840,611.62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-3,365,756.87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-3,895,383.02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33,414,506.18</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37"/>
      <w:bookmarkEnd w:id="1538"/>
      <w:bookmarkEnd w:id="153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-638,534,496.09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-95,780,174.41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-4,906,763.20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128,184.25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2,867,942.27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2,711,730.10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-1,018,533.92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104,213,582.06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填列）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-12,111,350.17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-3,895,383.02</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5</w:t>
      </w:r>
      <w:bookmarkEnd w:id="1542"/>
      <w:r>
        <w:rPr>
          <w:rFonts w:ascii="Times New Roman" w:eastAsia="Times New Roman" w:hAnsi="Times New Roman" w:cs="Times New Roman"/>
          <w:color w:val="000000"/>
          <w:spacing w:val="0"/>
          <w:w w:val="100"/>
          <w:position w:val="0"/>
        </w:rPr>
        <w:t>3</w:t>
      </w:r>
      <w:r>
        <w:rPr>
          <w:color w:val="000000"/>
          <w:spacing w:val="0"/>
          <w:w w:val="100"/>
          <w:position w:val="0"/>
        </w:rPr>
        <w:t>、</w:t>
        <w:tab/>
        <w:t>其他综合收益</w:t>
      </w:r>
      <w:bookmarkEnd w:id="1540"/>
      <w:bookmarkEnd w:id="1541"/>
      <w:bookmarkEnd w:id="154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5</w:t>
      </w:r>
      <w:bookmarkEnd w:id="1546"/>
      <w:r>
        <w:rPr>
          <w:rFonts w:ascii="Times New Roman" w:eastAsia="Times New Roman" w:hAnsi="Times New Roman" w:cs="Times New Roman"/>
          <w:color w:val="000000"/>
          <w:spacing w:val="0"/>
          <w:w w:val="100"/>
          <w:position w:val="0"/>
        </w:rPr>
        <w:t>4</w:t>
      </w:r>
      <w:r>
        <w:rPr>
          <w:color w:val="000000"/>
          <w:spacing w:val="0"/>
          <w:w w:val="100"/>
          <w:position w:val="0"/>
        </w:rPr>
        <w:t>、</w:t>
        <w:tab/>
        <w:t>现金流量表项目</w:t>
      </w:r>
      <w:bookmarkEnd w:id="1544"/>
      <w:bookmarkEnd w:id="1545"/>
      <w:bookmarkEnd w:id="1547"/>
    </w:p>
    <w:p>
      <w:pPr>
        <w:pStyle w:val="Style40"/>
        <w:keepNext/>
        <w:keepLines/>
        <w:widowControl w:val="0"/>
        <w:shd w:val="clear" w:color="auto" w:fill="auto"/>
        <w:bidi w:val="0"/>
        <w:spacing w:before="0" w:line="240" w:lineRule="auto"/>
        <w:ind w:left="0" w:right="0" w:firstLine="0"/>
        <w:jc w:val="left"/>
      </w:pPr>
      <w:bookmarkStart w:id="1548" w:name="bookmark1548"/>
      <w:bookmarkStart w:id="1549" w:name="bookmark1549"/>
      <w:bookmarkStart w:id="1550" w:name="bookmark15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48"/>
      <w:bookmarkEnd w:id="1549"/>
      <w:bookmarkEnd w:id="155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收到的保证金、押金等往来款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84,458,263.37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79,435,674.89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41,931,860.03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34,639,269.57</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3,047,987.53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2,582,597.74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129,438,110.93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116,657,542.20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0"/>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51"/>
      <w:bookmarkEnd w:id="1552"/>
      <w:bookmarkEnd w:id="1553"/>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支付各项付现费用等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171,616,206.44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160,015,676.19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支付的押金、保证金、备用金借款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147,839,380.61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10,998,876.93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319,455,587.05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171,014,553.12</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0"/>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bookmarkStart w:id="1557" w:name="bookmark1557"/>
      <w:r>
        <w:rPr>
          <w:color w:val="000000"/>
          <w:spacing w:val="0"/>
          <w:w w:val="100"/>
          <w:position w:val="0"/>
        </w:rPr>
        <w:t>（</w:t>
      </w:r>
      <w:bookmarkEnd w:id="155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54"/>
      <w:bookmarkEnd w:id="1555"/>
      <w:bookmarkEnd w:id="1557"/>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关联方资金占用利息收入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1,265,800.00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1,265,800.00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0"/>
        <w:keepNext/>
        <w:keepLines/>
        <w:widowControl w:val="0"/>
        <w:shd w:val="clear" w:color="auto" w:fill="auto"/>
        <w:bidi w:val="0"/>
        <w:spacing w:before="0" w:line="240" w:lineRule="auto"/>
        <w:ind w:left="0" w:right="0" w:firstLine="0"/>
        <w:jc w:val="left"/>
      </w:pPr>
      <w:bookmarkStart w:id="1558" w:name="bookmark1558"/>
      <w:bookmarkStart w:id="1559" w:name="bookmark1559"/>
      <w:bookmarkStart w:id="1560" w:name="bookmark1560"/>
      <w:bookmarkStart w:id="1561" w:name="bookmark1561"/>
      <w:r>
        <w:rPr>
          <w:color w:val="000000"/>
          <w:spacing w:val="0"/>
          <w:w w:val="100"/>
          <w:position w:val="0"/>
        </w:rPr>
        <w:t>（</w:t>
      </w:r>
      <w:bookmarkEnd w:id="156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58"/>
      <w:bookmarkEnd w:id="1559"/>
      <w:bookmarkEnd w:id="1561"/>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支付星波原股东业绩奖励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4,245,227.98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4,245,227.98</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0"/>
        <w:keepNext/>
        <w:keepLines/>
        <w:widowControl w:val="0"/>
        <w:shd w:val="clear" w:color="auto" w:fill="auto"/>
        <w:bidi w:val="0"/>
        <w:spacing w:before="0" w:line="240" w:lineRule="auto"/>
        <w:ind w:left="0" w:right="0" w:firstLine="0"/>
        <w:jc w:val="left"/>
      </w:pPr>
      <w:bookmarkStart w:id="1562" w:name="bookmark1562"/>
      <w:bookmarkStart w:id="1563" w:name="bookmark1563"/>
      <w:bookmarkStart w:id="1564" w:name="bookmark1564"/>
      <w:bookmarkStart w:id="1565" w:name="bookmark1565"/>
      <w:r>
        <w:rPr>
          <w:color w:val="000000"/>
          <w:spacing w:val="0"/>
          <w:w w:val="100"/>
          <w:position w:val="0"/>
        </w:rPr>
        <w:t>（</w:t>
      </w:r>
      <w:bookmarkEnd w:id="156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62"/>
      <w:bookmarkEnd w:id="1563"/>
      <w:bookmarkEnd w:id="1565"/>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0"/>
        <w:keepNext/>
        <w:keepLines/>
        <w:widowControl w:val="0"/>
        <w:shd w:val="clear" w:color="auto" w:fill="auto"/>
        <w:bidi w:val="0"/>
        <w:spacing w:before="0" w:line="240" w:lineRule="auto"/>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rPr>
        <w:t>（</w:t>
      </w:r>
      <w:bookmarkEnd w:id="156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66"/>
      <w:bookmarkEnd w:id="1567"/>
      <w:bookmarkEnd w:id="1569"/>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发行股票相关的中介费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10,093,176.78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收购少数股权支付的现金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344,785,975.20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租赁负债本期支付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1,876,502.91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1,876,502.91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354,879,151.98</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1"/>
        <w:keepNext/>
        <w:keepLines/>
        <w:widowControl w:val="0"/>
        <w:shd w:val="clear" w:color="auto" w:fill="auto"/>
        <w:bidi w:val="0"/>
        <w:spacing w:before="0" w:after="38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5</w:t>
      </w:r>
      <w:bookmarkEnd w:id="1572"/>
      <w:r>
        <w:rPr>
          <w:rFonts w:ascii="Times New Roman" w:eastAsia="Times New Roman" w:hAnsi="Times New Roman" w:cs="Times New Roman"/>
          <w:color w:val="000000"/>
          <w:spacing w:val="0"/>
          <w:w w:val="100"/>
          <w:position w:val="0"/>
        </w:rPr>
        <w:t>5</w:t>
      </w:r>
      <w:r>
        <w:rPr>
          <w:color w:val="000000"/>
          <w:spacing w:val="0"/>
          <w:w w:val="100"/>
          <w:position w:val="0"/>
        </w:rPr>
        <w:t>、现金流量表补充资料</w:t>
      </w:r>
      <w:bookmarkEnd w:id="1570"/>
      <w:bookmarkEnd w:id="1571"/>
      <w:bookmarkEnd w:id="1573"/>
    </w:p>
    <w:p>
      <w:pPr>
        <w:pStyle w:val="Style40"/>
        <w:keepNext/>
        <w:keepLines/>
        <w:widowControl w:val="0"/>
        <w:shd w:val="clear" w:color="auto" w:fill="auto"/>
        <w:bidi w:val="0"/>
        <w:spacing w:before="0" w:line="240" w:lineRule="auto"/>
        <w:ind w:left="0" w:right="0" w:firstLine="0"/>
        <w:jc w:val="left"/>
      </w:pPr>
      <w:bookmarkStart w:id="1574" w:name="bookmark1574"/>
      <w:bookmarkStart w:id="1575" w:name="bookmark1575"/>
      <w:bookmarkStart w:id="1576" w:name="bookmark15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74"/>
      <w:bookmarkEnd w:id="1575"/>
      <w:bookmarkEnd w:id="157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-634,639,113.07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219,673,906.31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719,571,035.74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6,008,321.89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-19,799,612.13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6,777,560.53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99,653,700.55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86,259,883.24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2,198,124.85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11,217,557.76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9,486,616.49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407,790.31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559,671.22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-2,975,050.15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-8,890,902.67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45,151.97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103,864,684.24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118,330,183.14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-17,326,523.22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-21,055,601.54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-1,544,480.80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11,676,489.62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-1,821,276.07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-213,522,226.63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-161,831,279.53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78,734,666.97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63,116,998.92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经营性应付项目的增加（减少以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113,108,641.90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-2,926,614.49</w:t>
            </w:r>
          </w:p>
        </w:tc>
      </w:tr>
    </w:tbl>
    <w:p>
      <w:pPr>
        <w:widowControl w:val="0"/>
        <w:spacing w:line="1" w:lineRule="exact"/>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231,164,732.47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333,243,740.15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629,600,383.45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469,456,429.31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469,456,429.31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411,043,538.93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160,143,954.14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58,412,890.38</w:t>
            </w:r>
          </w:p>
        </w:tc>
      </w:tr>
    </w:tbl>
    <w:p>
      <w:pPr>
        <w:widowControl w:val="0"/>
        <w:spacing w:after="339" w:line="1" w:lineRule="exact"/>
      </w:pPr>
    </w:p>
    <w:p>
      <w:pPr>
        <w:pStyle w:val="Style40"/>
        <w:keepNext/>
        <w:keepLines/>
        <w:widowControl w:val="0"/>
        <w:shd w:val="clear" w:color="auto" w:fill="auto"/>
        <w:bidi w:val="0"/>
        <w:spacing w:before="0" w:after="400" w:line="240" w:lineRule="auto"/>
        <w:ind w:left="0" w:right="0" w:firstLine="0"/>
        <w:jc w:val="left"/>
      </w:pPr>
      <w:bookmarkStart w:id="1577" w:name="bookmark1577"/>
      <w:bookmarkStart w:id="1578" w:name="bookmark1578"/>
      <w:bookmarkStart w:id="1579" w:name="bookmark15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577"/>
      <w:bookmarkEnd w:id="1578"/>
      <w:bookmarkEnd w:id="157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347,870,689.87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347,870,689.87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40"/>
        <w:keepNext/>
        <w:keepLines/>
        <w:widowControl w:val="0"/>
        <w:shd w:val="clear" w:color="auto" w:fill="auto"/>
        <w:bidi w:val="0"/>
        <w:spacing w:before="0" w:after="400" w:line="240" w:lineRule="auto"/>
        <w:ind w:left="0" w:right="0" w:firstLine="0"/>
        <w:jc w:val="left"/>
      </w:pPr>
      <w:bookmarkStart w:id="1580" w:name="bookmark1580"/>
      <w:bookmarkStart w:id="1581" w:name="bookmark1581"/>
      <w:bookmarkStart w:id="1582" w:name="bookmark1582"/>
      <w:bookmarkStart w:id="1583" w:name="bookmark1583"/>
      <w:r>
        <w:rPr>
          <w:color w:val="000000"/>
          <w:spacing w:val="0"/>
          <w:w w:val="100"/>
          <w:position w:val="0"/>
        </w:rPr>
        <w:t>（</w:t>
      </w:r>
      <w:bookmarkEnd w:id="1582"/>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580"/>
      <w:bookmarkEnd w:id="1581"/>
      <w:bookmarkEnd w:id="158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629,600,383.45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469,456,429.31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253,310.31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129,253.54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629,347,073.14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469,327,175.77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629,600,383.45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469,456,429.31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tabs>
          <w:tab w:pos="483" w:val="left"/>
        </w:tabs>
        <w:bidi w:val="0"/>
        <w:spacing w:before="0" w:after="14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5</w:t>
      </w:r>
      <w:bookmarkEnd w:id="1586"/>
      <w:r>
        <w:rPr>
          <w:rFonts w:ascii="Times New Roman" w:eastAsia="Times New Roman" w:hAnsi="Times New Roman" w:cs="Times New Roman"/>
          <w:color w:val="000000"/>
          <w:spacing w:val="0"/>
          <w:w w:val="100"/>
          <w:position w:val="0"/>
        </w:rPr>
        <w:t>6</w:t>
      </w:r>
      <w:r>
        <w:rPr>
          <w:color w:val="000000"/>
          <w:spacing w:val="0"/>
          <w:w w:val="100"/>
          <w:position w:val="0"/>
        </w:rPr>
        <w:t>、</w:t>
        <w:tab/>
        <w:t>所有者权益变动表项目注释</w:t>
      </w:r>
      <w:bookmarkEnd w:id="1584"/>
      <w:bookmarkEnd w:id="1585"/>
      <w:bookmarkEnd w:id="1587"/>
    </w:p>
    <w:p>
      <w:pPr>
        <w:pStyle w:val="Style27"/>
        <w:keepNext w:val="0"/>
        <w:keepLines w:val="0"/>
        <w:widowControl w:val="0"/>
        <w:shd w:val="clear" w:color="auto" w:fill="auto"/>
        <w:bidi w:val="0"/>
        <w:spacing w:before="0" w:after="380" w:line="398" w:lineRule="exact"/>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 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5</w:t>
      </w:r>
      <w:bookmarkEnd w:id="1590"/>
      <w:r>
        <w:rPr>
          <w:rFonts w:ascii="Times New Roman" w:eastAsia="Times New Roman" w:hAnsi="Times New Roman" w:cs="Times New Roman"/>
          <w:color w:val="000000"/>
          <w:spacing w:val="0"/>
          <w:w w:val="100"/>
          <w:position w:val="0"/>
        </w:rPr>
        <w:t>7</w:t>
      </w:r>
      <w:r>
        <w:rPr>
          <w:color w:val="000000"/>
          <w:spacing w:val="0"/>
          <w:w w:val="100"/>
          <w:position w:val="0"/>
        </w:rPr>
        <w:t>、</w:t>
        <w:tab/>
        <w:t>所有权或使用权受到限制的资产</w:t>
      </w:r>
      <w:bookmarkEnd w:id="1588"/>
      <w:bookmarkEnd w:id="1589"/>
      <w:bookmarkEnd w:id="159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106,182,453.79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保函、票据保证金、政府补助专用款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22,571,065.00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票据质押开具银行承兑汇票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150,781,757.00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金融机构借款抵押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32,308,274.98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金融机构借款抵押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311,843,550.77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64"/>
        <w:keepNext w:val="0"/>
        <w:keepLines w:val="0"/>
        <w:widowControl w:val="0"/>
        <w:shd w:val="clear" w:color="auto" w:fill="auto"/>
        <w:bidi w:val="0"/>
        <w:spacing w:before="0" w:after="300"/>
        <w:ind w:left="0" w:right="0" w:firstLine="0"/>
        <w:jc w:val="left"/>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月与兴业银行股份有限公司厦门分行签订《并购借款合同》及《非上市公司股权质押合 同》，以本公司持有的浙江涵普电力科技有限公司</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股权为质押，向兴业银行股份有限公司厦门分行借 款人民币</w:t>
      </w:r>
      <w:r>
        <w:rPr>
          <w:rFonts w:ascii="Times New Roman" w:eastAsia="Times New Roman" w:hAnsi="Times New Roman" w:cs="Times New Roman"/>
          <w:color w:val="000000"/>
          <w:spacing w:val="0"/>
          <w:w w:val="100"/>
          <w:position w:val="0"/>
          <w:sz w:val="20"/>
          <w:szCs w:val="20"/>
        </w:rPr>
        <w:t>131,000,000.00</w:t>
      </w:r>
      <w:r>
        <w:rPr>
          <w:color w:val="000000"/>
          <w:spacing w:val="0"/>
          <w:w w:val="100"/>
          <w:position w:val="0"/>
          <w:sz w:val="20"/>
          <w:szCs w:val="20"/>
        </w:rPr>
        <w:t>元，借款期限</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日借款余额为 </w:t>
      </w:r>
      <w:r>
        <w:rPr>
          <w:rFonts w:ascii="Times New Roman" w:eastAsia="Times New Roman" w:hAnsi="Times New Roman" w:cs="Times New Roman"/>
          <w:color w:val="000000"/>
          <w:spacing w:val="0"/>
          <w:w w:val="100"/>
          <w:position w:val="0"/>
          <w:sz w:val="20"/>
          <w:szCs w:val="20"/>
        </w:rPr>
        <w:t xml:space="preserve">7,178.05 </w:t>
      </w:r>
      <w:r>
        <w:rPr>
          <w:color w:val="000000"/>
          <w:spacing w:val="0"/>
          <w:w w:val="100"/>
          <w:position w:val="0"/>
          <w:sz w:val="20"/>
          <w:szCs w:val="20"/>
        </w:rPr>
        <w:t>万元。</w:t>
      </w:r>
    </w:p>
    <w:p>
      <w:pPr>
        <w:pStyle w:val="Style31"/>
        <w:keepNext/>
        <w:keepLines/>
        <w:widowControl w:val="0"/>
        <w:shd w:val="clear" w:color="auto" w:fill="auto"/>
        <w:bidi w:val="0"/>
        <w:spacing w:before="0" w:after="300" w:line="312" w:lineRule="exact"/>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5</w:t>
      </w:r>
      <w:bookmarkEnd w:id="1594"/>
      <w:r>
        <w:rPr>
          <w:rFonts w:ascii="Times New Roman" w:eastAsia="Times New Roman" w:hAnsi="Times New Roman" w:cs="Times New Roman"/>
          <w:color w:val="000000"/>
          <w:spacing w:val="0"/>
          <w:w w:val="100"/>
          <w:position w:val="0"/>
        </w:rPr>
        <w:t>8</w:t>
      </w:r>
      <w:r>
        <w:rPr>
          <w:color w:val="000000"/>
          <w:spacing w:val="0"/>
          <w:w w:val="100"/>
          <w:position w:val="0"/>
        </w:rPr>
        <w:t>、外币货币性项目</w:t>
      </w:r>
      <w:bookmarkEnd w:id="1592"/>
      <w:bookmarkEnd w:id="1593"/>
      <w:bookmarkEnd w:id="1595"/>
    </w:p>
    <w:p>
      <w:pPr>
        <w:pStyle w:val="Style40"/>
        <w:keepNext/>
        <w:keepLines/>
        <w:widowControl w:val="0"/>
        <w:shd w:val="clear" w:color="auto" w:fill="auto"/>
        <w:bidi w:val="0"/>
        <w:spacing w:before="0"/>
        <w:ind w:left="0" w:right="0" w:firstLine="0"/>
        <w:jc w:val="left"/>
      </w:pPr>
      <w:bookmarkStart w:id="1596" w:name="bookmark1596"/>
      <w:bookmarkStart w:id="1597" w:name="bookmark1597"/>
      <w:bookmarkStart w:id="1598" w:name="bookmark15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96"/>
      <w:bookmarkEnd w:id="1597"/>
      <w:bookmarkEnd w:id="159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2,873,536.46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18,320,806.41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256,742.05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1,186,661.75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449,525.38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2,866,038.97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187,238.26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865,415.25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7,650.84</w:t>
            </w:r>
          </w:p>
        </w:tc>
      </w:tr>
    </w:tbl>
    <w:p>
      <w:pPr>
        <w:widowControl w:val="0"/>
        <w:spacing w:line="1" w:lineRule="exact"/>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230,212.68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1,064,043.02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29,362.69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187,207.70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111,776.43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516,630.66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9,395.42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澳元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12,708.00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58,736.37</w:t>
            </w:r>
          </w:p>
        </w:tc>
      </w:tr>
    </w:tbl>
    <w:p>
      <w:pPr>
        <w:widowControl w:val="0"/>
        <w:spacing w:after="79" w:line="1" w:lineRule="exact"/>
      </w:pPr>
    </w:p>
    <w:p>
      <w:pPr>
        <w:pStyle w:val="Style27"/>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其他说明：</w:t>
      </w:r>
    </w:p>
    <w:p>
      <w:pPr>
        <w:pStyle w:val="Style40"/>
        <w:keepNext/>
        <w:keepLines/>
        <w:widowControl w:val="0"/>
        <w:shd w:val="clear" w:color="auto" w:fill="auto"/>
        <w:bidi w:val="0"/>
        <w:spacing w:before="0" w:line="331" w:lineRule="exact"/>
        <w:ind w:left="0" w:right="0" w:firstLine="0"/>
        <w:jc w:val="both"/>
      </w:pPr>
      <w:bookmarkStart w:id="1599" w:name="bookmark1599"/>
      <w:bookmarkStart w:id="1600" w:name="bookmark1600"/>
      <w:bookmarkStart w:id="1601" w:name="bookmark16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99"/>
      <w:bookmarkEnd w:id="1600"/>
      <w:bookmarkEnd w:id="1601"/>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4"/>
        <w:keepNext w:val="0"/>
        <w:keepLines w:val="0"/>
        <w:widowControl w:val="0"/>
        <w:shd w:val="clear" w:color="auto" w:fill="auto"/>
        <w:bidi w:val="0"/>
        <w:spacing w:before="0" w:after="220"/>
        <w:ind w:left="0" w:right="0"/>
        <w:jc w:val="both"/>
      </w:pPr>
      <w:r>
        <w:rPr>
          <w:color w:val="000000"/>
          <w:spacing w:val="0"/>
          <w:w w:val="100"/>
          <w:position w:val="0"/>
        </w:rPr>
        <w:t>子公司澳洲红相系注册于澳大利亚的有限公司，其主要经营地在澳大利亚，主要结算货 币为澳元，以澳元作为其记账本位币。</w:t>
      </w:r>
    </w:p>
    <w:p>
      <w:pPr>
        <w:pStyle w:val="Style64"/>
        <w:keepNext w:val="0"/>
        <w:keepLines w:val="0"/>
        <w:widowControl w:val="0"/>
        <w:shd w:val="clear" w:color="auto" w:fill="auto"/>
        <w:bidi w:val="0"/>
        <w:spacing w:before="0" w:after="780" w:line="319" w:lineRule="exact"/>
        <w:ind w:left="0" w:right="0"/>
        <w:jc w:val="both"/>
      </w:pPr>
      <w:r>
        <w:rPr>
          <w:color w:val="000000"/>
          <w:spacing w:val="0"/>
          <w:w w:val="100"/>
          <w:position w:val="0"/>
        </w:rPr>
        <w:t>孙公司</w:t>
      </w:r>
      <w:r>
        <w:rPr>
          <w:rFonts w:ascii="Times New Roman" w:eastAsia="Times New Roman" w:hAnsi="Times New Roman" w:cs="Times New Roman"/>
          <w:color w:val="000000"/>
          <w:spacing w:val="0"/>
          <w:w w:val="100"/>
          <w:position w:val="0"/>
          <w:sz w:val="24"/>
          <w:szCs w:val="24"/>
        </w:rPr>
        <w:t>WOTAL</w:t>
      </w:r>
      <w:r>
        <w:rPr>
          <w:color w:val="000000"/>
          <w:spacing w:val="0"/>
          <w:w w:val="100"/>
          <w:position w:val="0"/>
        </w:rPr>
        <w:t>及</w:t>
      </w:r>
      <w:r>
        <w:rPr>
          <w:rFonts w:ascii="Times New Roman" w:eastAsia="Times New Roman" w:hAnsi="Times New Roman" w:cs="Times New Roman"/>
          <w:color w:val="000000"/>
          <w:spacing w:val="0"/>
          <w:w w:val="100"/>
          <w:position w:val="0"/>
          <w:sz w:val="24"/>
          <w:szCs w:val="24"/>
        </w:rPr>
        <w:t>LONGFOR</w:t>
      </w:r>
      <w:r>
        <w:rPr>
          <w:color w:val="000000"/>
          <w:spacing w:val="0"/>
          <w:w w:val="100"/>
          <w:position w:val="0"/>
        </w:rPr>
        <w:t>系注册于厄瓜多尔的联合体公司（卧龙电气银川变压器有限 公司和道达尔国际商业股份有限公司），其主要经营地在厄瓜多尔，主要结算货币为美元， 以人民币作为其记账本位币。</w:t>
      </w:r>
    </w:p>
    <w:p>
      <w:pPr>
        <w:pStyle w:val="Style31"/>
        <w:keepNext/>
        <w:keepLines/>
        <w:widowControl w:val="0"/>
        <w:shd w:val="clear" w:color="auto" w:fill="auto"/>
        <w:bidi w:val="0"/>
        <w:spacing w:before="0" w:after="280" w:line="331" w:lineRule="exact"/>
        <w:ind w:left="0" w:right="0" w:firstLine="0"/>
        <w:jc w:val="both"/>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5</w:t>
      </w:r>
      <w:bookmarkEnd w:id="1604"/>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1602"/>
      <w:bookmarkEnd w:id="1603"/>
      <w:bookmarkEnd w:id="1605"/>
    </w:p>
    <w:p>
      <w:pPr>
        <w:pStyle w:val="Style40"/>
        <w:keepNext/>
        <w:keepLines/>
        <w:widowControl w:val="0"/>
        <w:shd w:val="clear" w:color="auto" w:fill="auto"/>
        <w:bidi w:val="0"/>
        <w:spacing w:before="0" w:line="331" w:lineRule="exact"/>
        <w:ind w:left="0" w:right="0" w:firstLine="0"/>
        <w:jc w:val="both"/>
      </w:pPr>
      <w:bookmarkStart w:id="1606" w:name="bookmark1606"/>
      <w:bookmarkStart w:id="1607" w:name="bookmark1607"/>
      <w:bookmarkStart w:id="1608" w:name="bookmark16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06"/>
      <w:bookmarkEnd w:id="1607"/>
      <w:bookmarkEnd w:id="160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安徽省军民结合高技术产业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45,944.69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45,944.69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企业发展专项补贴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86,887.54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86,887.54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安徽省</w:t>
            </w:r>
            <w:r>
              <w:rPr>
                <w:rFonts w:ascii="Times New Roman" w:eastAsia="Times New Roman" w:hAnsi="Times New Roman" w:cs="Times New Roman"/>
                <w:color w:val="000000"/>
                <w:spacing w:val="0"/>
                <w:w w:val="100"/>
                <w:position w:val="0"/>
                <w:sz w:val="18"/>
                <w:szCs w:val="18"/>
              </w:rPr>
              <w:t>1+6+2</w:t>
            </w:r>
            <w:r>
              <w:rPr>
                <w:color w:val="000000"/>
                <w:spacing w:val="0"/>
                <w:w w:val="100"/>
                <w:position w:val="0"/>
              </w:rPr>
              <w:t>政策仪器仪表设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42,296.32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42,296.32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仪器设备补助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30,494.64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30,494.64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国防建设资金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265,724.04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265,724.04</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合肥市发改委市级配套资金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267,622.92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267,622.92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军民融合引导补助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96,313.12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96,313.12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军民融合引导资金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75,088.92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75,088.92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仪器（仪表）设备补助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104,407.20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104,407.20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年度先进制造业政策：第 一批技改项目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14,820.22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14,820.22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63,113.19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63,113.19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新员工技能培训补贴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172,500.00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国家专精特新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企业奖 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应对新冠肺炎疫情影响强化 稳就业工作退回失业保险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44,906.27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44,906.27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年军民融合引导资金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638,554.20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638,554.20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高成长企业财税贡献补贴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国家高企认定奖励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工会经费全额返还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152,904.80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152,904.80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调整前期军品退税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-623,394.00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-623,394.00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软件产品增值税退税收入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6,987,630.48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6,987,630.48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116,782.41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116,782.41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社保及稳岗补贴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399,275.93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399,275.93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422,189.49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422,189.49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中小企业发展专项资金补贴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科技创新政府补助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加计抵减项目抵扣税金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企业赴外引才补助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11,000.00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年技能提升行动第四批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84,800.00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年科技项目补助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浙江省科技发展专项资金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工业智能化技改项目财政扶 持奖励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1,841,300.00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1,841,300.00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加计抵减进项税额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32,754.89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32,754.89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华漕镇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年第一批企业扶 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第一批服务业发展财政扶持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海盐县科技项目财政奖补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771,500.00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收浙江新世纪人才以工代训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年度工业固定资产奖励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6,556,400.00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6,556,400.00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产业转型升级扶持资金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年研发补助摊销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331,400.00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规上工业增产奖励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834,500.00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人才奖励</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市三高企业奖 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397,098.00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397,098.00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规上企业所属</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年度研发 费用补助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第二批专精特新补助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国家级高新技术企业奖励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中小微企业一次性奖补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成果转化项目营业税、增值税 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3,363,712.00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3,363,712.00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黄河流域与高质量发展科技 支撑资金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自治区企业技术中心奖励资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年工业企业融资租赁补 贴资金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的高速铁路自 耦牵引变压器研制补贴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三级安全生产标准化以奖代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关于下达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年燃气锅炉低 氮改造任务清单的通知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轨道交通供电设备国家地方 联合工程实验室创新能力建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125,000.04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年增产</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万千伏安节能型高 速铁路牵引变压器扩产项目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166,666.68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166,666.68</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建成西北地区最大规模</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CRH380</w:t>
            </w:r>
            <w:r>
              <w:rPr>
                <w:color w:val="000000"/>
                <w:spacing w:val="0"/>
                <w:w w:val="100"/>
                <w:position w:val="0"/>
              </w:rPr>
              <w:t>高速动车组牵引变压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833,000.04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833,000.04</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器生产基地及检验检测中心 项目（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年自治区重点研发 计划重大科技项目）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超高压研发中心试验大厅改 造建设项目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13,888.89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年度工业技术改造综合 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19,444.44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转升贷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贷款贴息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383,000.00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超高压变压器工程研究中心 建设项目贴息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高新区经贸局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年度经济 建设和国防建设资金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年度先进制造业政策：第 一批技改项目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1,178,600.00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企业处报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年第一期普惠 政策兑现（合肥市固定资产补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511,000.00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技术交易受让方补助一立 体卷铁心变压器相关</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项专 利使用许可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47,205,527.16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34,909,927.16</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09"/>
      <w:bookmarkEnd w:id="1610"/>
      <w:bookmarkEnd w:id="1611"/>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60</w:t>
      </w:r>
      <w:r>
        <w:rPr>
          <w:color w:val="000000"/>
          <w:spacing w:val="0"/>
          <w:w w:val="100"/>
          <w:position w:val="0"/>
        </w:rPr>
        <w:t>、其他</w:t>
      </w:r>
      <w:bookmarkEnd w:id="1612"/>
      <w:bookmarkEnd w:id="1613"/>
      <w:bookmarkEnd w:id="161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八</w:t>
      </w:r>
      <w:bookmarkEnd w:id="1617"/>
      <w:r>
        <w:rPr>
          <w:color w:val="000000"/>
          <w:spacing w:val="0"/>
          <w:w w:val="100"/>
          <w:position w:val="0"/>
        </w:rPr>
        <w:t>、合并范围的变更</w:t>
      </w:r>
      <w:bookmarkEnd w:id="1615"/>
      <w:bookmarkEnd w:id="1616"/>
      <w:bookmarkEnd w:id="1618"/>
    </w:p>
    <w:p>
      <w:pPr>
        <w:pStyle w:val="Style31"/>
        <w:keepNext/>
        <w:keepLines/>
        <w:widowControl w:val="0"/>
        <w:shd w:val="clear" w:color="auto" w:fill="auto"/>
        <w:bidi w:val="0"/>
        <w:spacing w:before="0" w:after="380" w:line="240" w:lineRule="auto"/>
        <w:ind w:left="0" w:right="0" w:firstLine="0"/>
        <w:jc w:val="left"/>
      </w:pPr>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619"/>
      <w:bookmarkEnd w:id="1620"/>
      <w:bookmarkEnd w:id="162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制权的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时点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制权时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点的确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处置价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款与处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置投资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制权之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日剩余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制权之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日剩余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制权之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日剩余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按照公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允价值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重新计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制权之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日剩余</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与原子 公司股 权投资</w:t>
            </w:r>
          </w:p>
        </w:tc>
      </w:tr>
    </w:tbl>
    <w:p>
      <w:pPr>
        <w:widowControl w:val="0"/>
        <w:spacing w:line="1" w:lineRule="exact"/>
      </w:pP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对应的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量剩余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合并财</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股权产</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务报表</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生的利</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的确定</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层面享</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得或损</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方法及</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转入投</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有该子</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主要假</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资损益</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公司净</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资产份</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额的差</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中宁新</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186,480,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完成办</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理工商</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9"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2</w:t>
      </w:r>
      <w:bookmarkEnd w:id="1624"/>
      <w:r>
        <w:rPr>
          <w:color w:val="000000"/>
          <w:spacing w:val="0"/>
          <w:w w:val="100"/>
          <w:position w:val="0"/>
        </w:rPr>
        <w:t>、</w:t>
        <w:tab/>
        <w:t>其他原因的合并范围变动</w:t>
      </w:r>
      <w:bookmarkEnd w:id="1622"/>
      <w:bookmarkEnd w:id="1623"/>
      <w:bookmarkEnd w:id="162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64"/>
        <w:keepNext w:val="0"/>
        <w:keepLines w:val="0"/>
        <w:widowControl w:val="0"/>
        <w:shd w:val="clear" w:color="auto" w:fill="auto"/>
        <w:tabs>
          <w:tab w:pos="878" w:val="left"/>
        </w:tabs>
        <w:bidi w:val="0"/>
        <w:spacing w:before="0" w:line="317" w:lineRule="exact"/>
        <w:ind w:left="0" w:right="0"/>
        <w:jc w:val="left"/>
      </w:pPr>
      <w:bookmarkStart w:id="1626" w:name="bookmark1626"/>
      <w:r>
        <w:rPr>
          <w:rFonts w:ascii="Times New Roman" w:eastAsia="Times New Roman" w:hAnsi="Times New Roman" w:cs="Times New Roman"/>
          <w:color w:val="000000"/>
          <w:spacing w:val="0"/>
          <w:w w:val="100"/>
          <w:position w:val="0"/>
          <w:sz w:val="24"/>
          <w:szCs w:val="24"/>
        </w:rPr>
        <w:t>1</w:t>
      </w:r>
      <w:bookmarkEnd w:id="1626"/>
      <w:r>
        <w:rPr>
          <w:color w:val="000000"/>
          <w:spacing w:val="0"/>
          <w:w w:val="100"/>
          <w:position w:val="0"/>
        </w:rPr>
        <w:t>、</w:t>
        <w:tab/>
        <w:t>新设子公司</w:t>
      </w:r>
    </w:p>
    <w:p>
      <w:pPr>
        <w:pStyle w:val="Style64"/>
        <w:keepNext w:val="0"/>
        <w:keepLines w:val="0"/>
        <w:widowControl w:val="0"/>
        <w:shd w:val="clear" w:color="auto" w:fill="auto"/>
        <w:bidi w:val="0"/>
        <w:spacing w:before="0" w:after="140" w:line="317" w:lineRule="exact"/>
        <w:ind w:left="0" w:right="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日成立非全资子公司合肥翩翼，纳入本年度合并范围。</w:t>
      </w:r>
    </w:p>
    <w:p>
      <w:pPr>
        <w:pStyle w:val="Style64"/>
        <w:keepNext w:val="0"/>
        <w:keepLines w:val="0"/>
        <w:widowControl w:val="0"/>
        <w:shd w:val="clear" w:color="auto" w:fill="auto"/>
        <w:bidi w:val="0"/>
        <w:spacing w:before="0"/>
        <w:ind w:left="0" w:right="0"/>
        <w:jc w:val="left"/>
      </w:pPr>
      <w:r>
        <w:rPr>
          <w:color w:val="000000"/>
          <w:spacing w:val="0"/>
          <w:w w:val="100"/>
          <w:position w:val="0"/>
        </w:rPr>
        <w:t>子公司银川卧龙于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 xml:space="preserve">日与道达尔国际商业股份有限公司成立控股联合体公司 </w:t>
      </w:r>
      <w:r>
        <w:rPr>
          <w:rFonts w:ascii="Times New Roman" w:eastAsia="Times New Roman" w:hAnsi="Times New Roman" w:cs="Times New Roman"/>
          <w:color w:val="000000"/>
          <w:spacing w:val="0"/>
          <w:w w:val="100"/>
          <w:position w:val="0"/>
          <w:sz w:val="24"/>
          <w:szCs w:val="24"/>
        </w:rPr>
        <w:t>WOTAL</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LONGFOR</w:t>
      </w:r>
      <w:r>
        <w:rPr>
          <w:color w:val="000000"/>
          <w:spacing w:val="0"/>
          <w:w w:val="100"/>
          <w:position w:val="0"/>
        </w:rPr>
        <w:t>，</w:t>
      </w:r>
      <w:r>
        <w:rPr>
          <w:color w:val="000000"/>
          <w:spacing w:val="0"/>
          <w:w w:val="100"/>
          <w:position w:val="0"/>
        </w:rPr>
        <w:t>纳入本年度合并范围。</w:t>
      </w:r>
    </w:p>
    <w:p>
      <w:pPr>
        <w:pStyle w:val="Style64"/>
        <w:keepNext w:val="0"/>
        <w:keepLines w:val="0"/>
        <w:widowControl w:val="0"/>
        <w:shd w:val="clear" w:color="auto" w:fill="auto"/>
        <w:tabs>
          <w:tab w:pos="902" w:val="left"/>
        </w:tabs>
        <w:bidi w:val="0"/>
        <w:spacing w:before="0" w:line="317" w:lineRule="exact"/>
        <w:ind w:left="0" w:right="0"/>
        <w:jc w:val="left"/>
      </w:pPr>
      <w:bookmarkStart w:id="1627" w:name="bookmark1627"/>
      <w:r>
        <w:rPr>
          <w:rFonts w:ascii="Times New Roman" w:eastAsia="Times New Roman" w:hAnsi="Times New Roman" w:cs="Times New Roman"/>
          <w:color w:val="000000"/>
          <w:spacing w:val="0"/>
          <w:w w:val="100"/>
          <w:position w:val="0"/>
          <w:sz w:val="24"/>
          <w:szCs w:val="24"/>
        </w:rPr>
        <w:t>2</w:t>
      </w:r>
      <w:bookmarkEnd w:id="1627"/>
      <w:r>
        <w:rPr>
          <w:color w:val="000000"/>
          <w:spacing w:val="0"/>
          <w:w w:val="100"/>
          <w:position w:val="0"/>
        </w:rPr>
        <w:t>、</w:t>
        <w:tab/>
        <w:t>转让或注销子公司</w:t>
      </w:r>
    </w:p>
    <w:p>
      <w:pPr>
        <w:pStyle w:val="Style64"/>
        <w:keepNext w:val="0"/>
        <w:keepLines w:val="0"/>
        <w:widowControl w:val="0"/>
        <w:shd w:val="clear" w:color="auto" w:fill="auto"/>
        <w:bidi w:val="0"/>
        <w:spacing w:before="0" w:after="640" w:line="322" w:lineRule="exact"/>
        <w:ind w:left="0" w:right="0"/>
        <w:jc w:val="both"/>
      </w:pPr>
      <w:r>
        <w:rPr>
          <w:color w:val="000000"/>
          <w:spacing w:val="0"/>
          <w:w w:val="100"/>
          <w:position w:val="0"/>
        </w:rPr>
        <w:t>子公司银川卧龙于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日将全资子公司中宁新能源转让出售，并于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 xml:space="preserve">29 </w:t>
      </w:r>
      <w:r>
        <w:rPr>
          <w:color w:val="000000"/>
          <w:spacing w:val="0"/>
          <w:w w:val="100"/>
          <w:position w:val="0"/>
        </w:rPr>
        <w:t>日办理完工商手续。从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日起，中宁新能源不再纳入合并范围。</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3</w:t>
      </w:r>
      <w:bookmarkEnd w:id="1630"/>
      <w:r>
        <w:rPr>
          <w:color w:val="000000"/>
          <w:spacing w:val="0"/>
          <w:w w:val="100"/>
          <w:position w:val="0"/>
        </w:rPr>
        <w:t>、</w:t>
        <w:tab/>
        <w:t>其他</w:t>
      </w:r>
      <w:bookmarkEnd w:id="1628"/>
      <w:bookmarkEnd w:id="1629"/>
      <w:bookmarkEnd w:id="1631"/>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40" w:line="317" w:lineRule="exact"/>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九</w:t>
      </w:r>
      <w:bookmarkEnd w:id="1634"/>
      <w:r>
        <w:rPr>
          <w:color w:val="000000"/>
          <w:spacing w:val="0"/>
          <w:w w:val="100"/>
          <w:position w:val="0"/>
        </w:rPr>
        <w:t>、在其他主体中的权益</w:t>
      </w:r>
      <w:bookmarkEnd w:id="1632"/>
      <w:bookmarkEnd w:id="1633"/>
      <w:bookmarkEnd w:id="1635"/>
    </w:p>
    <w:p>
      <w:pPr>
        <w:pStyle w:val="Style31"/>
        <w:keepNext/>
        <w:keepLines/>
        <w:widowControl w:val="0"/>
        <w:shd w:val="clear" w:color="auto" w:fill="auto"/>
        <w:bidi w:val="0"/>
        <w:spacing w:before="0" w:line="240" w:lineRule="auto"/>
        <w:ind w:left="0" w:right="0" w:firstLine="0"/>
        <w:jc w:val="left"/>
      </w:pPr>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36"/>
      <w:bookmarkEnd w:id="1637"/>
      <w:bookmarkEnd w:id="1638"/>
    </w:p>
    <w:p>
      <w:pPr>
        <w:pStyle w:val="Style40"/>
        <w:keepNext/>
        <w:keepLines/>
        <w:widowControl w:val="0"/>
        <w:shd w:val="clear" w:color="auto" w:fill="auto"/>
        <w:bidi w:val="0"/>
        <w:spacing w:before="0" w:after="340" w:line="240" w:lineRule="auto"/>
        <w:ind w:left="0" w:right="0" w:firstLine="0"/>
        <w:jc w:val="left"/>
      </w:pPr>
      <w:bookmarkStart w:id="1639" w:name="bookmark1639"/>
      <w:bookmarkStart w:id="1640" w:name="bookmark1640"/>
      <w:bookmarkStart w:id="1641" w:name="bookmark16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39"/>
      <w:bookmarkEnd w:id="1640"/>
      <w:bookmarkEnd w:id="1641"/>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上海红相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电力设备生产及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澳洲红相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澳大利亚墨尔本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澳大利亚墨尔本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电力设备生产及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计算机软件开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发、销售及技术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计算机软件开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发、销售及技术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电力设备生产及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涵普三维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电力设备生产及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涵普软件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计算机软件开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发、销售及技术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宁夏银川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宁夏银川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变压器生产及销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中宁新能源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宁夏中宁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宁夏中宁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新能源开发、建 设、管理咨询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投资设立，</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月末已处置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星波通信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微波通信产品生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星波电子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微波通信产品生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涵普新能源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光伏发电设备安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装与销售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银变科技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宁夏银川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宁夏银川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电力工程总承包 及电力设施维修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盐池华秦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宁夏吴忠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宁夏吴忠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太阳能光伏发电 及相关项目的开 发、建设、设计、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成都鼎屹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智能红外热成像 系统研发、生产 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杭州红辉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军工电子产品研 发、生产及销售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bl>
    <w:p>
      <w:pPr>
        <w:widowControl w:val="0"/>
        <w:spacing w:line="1" w:lineRule="exact"/>
      </w:pPr>
    </w:p>
    <w:tbl>
      <w:tblPr>
        <w:tblOverlap w:val="never"/>
        <w:jc w:val="center"/>
        <w:tblLayout w:type="fixed"/>
      </w:tblPr>
      <w:tblGrid>
        <w:gridCol w:w="1378"/>
        <w:gridCol w:w="1368"/>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智能红外热成像 系统研发、生产 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合肥翩翼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军品贸易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WOTAL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厄瓜多尔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厄瓜多尔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电力工程总承包 及电力设施维修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LONGFOR</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厄瓜多尔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厄瓜多尔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电力工程总承包 及电力设施维修 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99" w:line="1" w:lineRule="exact"/>
      </w:pPr>
    </w:p>
    <w:p>
      <w:pPr>
        <w:pStyle w:val="Style31"/>
        <w:keepNext/>
        <w:keepLines/>
        <w:widowControl w:val="0"/>
        <w:shd w:val="clear" w:color="auto" w:fill="auto"/>
        <w:tabs>
          <w:tab w:pos="378" w:val="left"/>
        </w:tabs>
        <w:bidi w:val="0"/>
        <w:spacing w:before="0" w:after="40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2</w:t>
      </w:r>
      <w:bookmarkEnd w:id="1644"/>
      <w:r>
        <w:rPr>
          <w:color w:val="000000"/>
          <w:spacing w:val="0"/>
          <w:w w:val="100"/>
          <w:position w:val="0"/>
        </w:rPr>
        <w:t>、</w:t>
        <w:tab/>
        <w:t>在未纳入合并财务报表范围的结构化主体中的权益</w:t>
      </w:r>
      <w:bookmarkEnd w:id="1642"/>
      <w:bookmarkEnd w:id="1643"/>
      <w:bookmarkEnd w:id="164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未纳入合并财务报表范围的结构化主体的相关说明：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40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3</w:t>
      </w:r>
      <w:bookmarkEnd w:id="1648"/>
      <w:r>
        <w:rPr>
          <w:color w:val="000000"/>
          <w:spacing w:val="0"/>
          <w:w w:val="100"/>
          <w:position w:val="0"/>
        </w:rPr>
        <w:t>、</w:t>
        <w:tab/>
        <w:t>其他</w:t>
      </w:r>
      <w:bookmarkEnd w:id="1646"/>
      <w:bookmarkEnd w:id="1647"/>
      <w:bookmarkEnd w:id="1649"/>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280" w:line="313" w:lineRule="exact"/>
        <w:ind w:left="0" w:right="0" w:firstLine="0"/>
        <w:jc w:val="left"/>
      </w:pPr>
      <w:bookmarkStart w:id="1650" w:name="bookmark1650"/>
      <w:bookmarkStart w:id="1651" w:name="bookmark1651"/>
      <w:bookmarkStart w:id="1652" w:name="bookmark1652"/>
      <w:r>
        <w:rPr>
          <w:color w:val="000000"/>
          <w:spacing w:val="0"/>
          <w:w w:val="100"/>
          <w:position w:val="0"/>
        </w:rPr>
        <w:t>十、与金融工具相关的风险</w:t>
      </w:r>
      <w:bookmarkEnd w:id="1650"/>
      <w:bookmarkEnd w:id="1651"/>
      <w:bookmarkEnd w:id="1652"/>
    </w:p>
    <w:p>
      <w:pPr>
        <w:pStyle w:val="Style64"/>
        <w:keepNext w:val="0"/>
        <w:keepLines w:val="0"/>
        <w:widowControl w:val="0"/>
        <w:shd w:val="clear" w:color="auto" w:fill="auto"/>
        <w:bidi w:val="0"/>
        <w:spacing w:before="0" w:after="280" w:line="314" w:lineRule="exact"/>
        <w:ind w:left="0" w:right="0"/>
        <w:jc w:val="both"/>
      </w:pPr>
      <w:r>
        <w:rPr>
          <w:color w:val="000000"/>
          <w:spacing w:val="0"/>
          <w:w w:val="100"/>
          <w:position w:val="0"/>
        </w:rPr>
        <w:t>本集团的主要金融工具包括货币资金、应收账款、应收票据、应收款项融资、应收利息、 应收股利、其他应收款、其他流动资产、应付账款、应付票据、应付股利、其他应付款、短 期借款、一年内到期的非流动负债、长期借款、租赁负债、应付债券。各项金融工具的详细 情况已于相关附注内披露。与这些金融工具有关的风险，以及本集团为降低这些风险所采取 的风险管理政策如下所述。本集团管理层对这些风险敞口进行管理和监控以确保将上述风险 控制在限定的范围之内。</w:t>
      </w:r>
    </w:p>
    <w:p>
      <w:pPr>
        <w:pStyle w:val="Style64"/>
        <w:keepNext w:val="0"/>
        <w:keepLines w:val="0"/>
        <w:widowControl w:val="0"/>
        <w:shd w:val="clear" w:color="auto" w:fill="auto"/>
        <w:bidi w:val="0"/>
        <w:spacing w:before="0" w:after="40" w:line="276" w:lineRule="auto"/>
        <w:ind w:left="0" w:right="0"/>
        <w:jc w:val="both"/>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、风险管理目标和政策</w:t>
      </w:r>
    </w:p>
    <w:p>
      <w:pPr>
        <w:pStyle w:val="Style64"/>
        <w:keepNext w:val="0"/>
        <w:keepLines w:val="0"/>
        <w:widowControl w:val="0"/>
        <w:shd w:val="clear" w:color="auto" w:fill="auto"/>
        <w:bidi w:val="0"/>
        <w:spacing w:before="0" w:after="200" w:line="313" w:lineRule="exact"/>
        <w:ind w:left="0" w:right="0"/>
        <w:jc w:val="both"/>
      </w:pPr>
      <w:r>
        <w:rPr>
          <w:color w:val="000000"/>
          <w:spacing w:val="0"/>
          <w:w w:val="100"/>
          <w:position w:val="0"/>
        </w:rPr>
        <w:t>本集团从事风险管理的目标是在风险和收益之间取得适当的平衡，力求降低金融风险对 本集团财务业绩的不利影响。基于该风险管理目标，本集团已制定风险管理政策以辨别和分 析本集团所面临的风险，设定适当的风险可接受水平并设计相应的内部控制程序，以监控本 集团的风险水平。本集团会定期审阅这些风险管理政策及有关内部控制系统，以适应市场情 况或本集团经营活动的改变。本集团的内部审计部门也定期或随机检查内部控制系统的执行 是否符合风险管理政策。</w:t>
      </w:r>
    </w:p>
    <w:p>
      <w:pPr>
        <w:pStyle w:val="Style64"/>
        <w:keepNext w:val="0"/>
        <w:keepLines w:val="0"/>
        <w:widowControl w:val="0"/>
        <w:shd w:val="clear" w:color="auto" w:fill="auto"/>
        <w:bidi w:val="0"/>
        <w:spacing w:before="0" w:after="200" w:line="313" w:lineRule="exact"/>
        <w:ind w:left="0" w:right="0"/>
        <w:jc w:val="both"/>
      </w:pPr>
      <w:r>
        <w:rPr>
          <w:color w:val="000000"/>
          <w:spacing w:val="0"/>
          <w:w w:val="100"/>
          <w:position w:val="0"/>
        </w:rPr>
        <w:t xml:space="preserve">本集团的金融工具导致的主要风险是信用风险、流动性风险、市场风险（包括利率风险、 </w:t>
      </w:r>
      <w:r>
        <w:rPr>
          <w:color w:val="000000"/>
          <w:spacing w:val="0"/>
          <w:w w:val="100"/>
          <w:position w:val="0"/>
        </w:rPr>
        <w:t>汇率风险和商品价格风险）。</w:t>
      </w:r>
    </w:p>
    <w:p>
      <w:pPr>
        <w:pStyle w:val="Style64"/>
        <w:keepNext w:val="0"/>
        <w:keepLines w:val="0"/>
        <w:widowControl w:val="0"/>
        <w:shd w:val="clear" w:color="auto" w:fill="auto"/>
        <w:bidi w:val="0"/>
        <w:spacing w:before="0" w:after="200" w:line="313" w:lineRule="exact"/>
        <w:ind w:left="0" w:right="0" w:firstLine="480"/>
        <w:jc w:val="both"/>
      </w:pPr>
      <w:r>
        <w:rPr>
          <w:color w:val="000000"/>
          <w:spacing w:val="0"/>
          <w:w w:val="100"/>
          <w:position w:val="0"/>
        </w:rPr>
        <w:t>董事会负责规划并建立本集团的风险管理架构，指定本集团的风险管理政策和相关指引 并监督风险管理措施的执行情况。本集团已制定风险管理政策以识别和分析本集团所面临的 风险，这些风险管理政策对特定风险进行了明确规定，涵盖了信用风险、流动性风险和市场 风险管理等诸多方面。本集团定期评估市场环境及本集团经营活动的变化以决定是否对风险 管理政策及系统进行更新。本集团的风险管理由风险管理委员会按照董事会批准的政策开展。 风险管理委员会通过与本集团其他业务部门的紧密合作来识别、评价和规避相关风险。本集 团内部审计部门就风险管理控制及程序进行定期的审核，并将审核结果上报本集团的审计委 员会。</w:t>
      </w:r>
    </w:p>
    <w:p>
      <w:pPr>
        <w:pStyle w:val="Style64"/>
        <w:keepNext w:val="0"/>
        <w:keepLines w:val="0"/>
        <w:widowControl w:val="0"/>
        <w:shd w:val="clear" w:color="auto" w:fill="auto"/>
        <w:bidi w:val="0"/>
        <w:spacing w:before="0" w:after="200"/>
        <w:ind w:left="0" w:right="0" w:firstLine="480"/>
        <w:jc w:val="both"/>
      </w:pPr>
      <w:r>
        <w:rPr>
          <w:color w:val="000000"/>
          <w:spacing w:val="0"/>
          <w:w w:val="100"/>
          <w:position w:val="0"/>
        </w:rPr>
        <w:t>本集团通过适当的多样化投资及业务组合来分散金融工具风险，并通过制定相应的风险 管理政策减少集中于任何单一行业、特定地区或特定交易对手方的风险。</w:t>
      </w:r>
    </w:p>
    <w:p>
      <w:pPr>
        <w:pStyle w:val="Style64"/>
        <w:keepNext w:val="0"/>
        <w:keepLines w:val="0"/>
        <w:widowControl w:val="0"/>
        <w:shd w:val="clear" w:color="auto" w:fill="auto"/>
        <w:tabs>
          <w:tab w:pos="980" w:val="left"/>
        </w:tabs>
        <w:bidi w:val="0"/>
        <w:spacing w:before="0" w:after="200"/>
        <w:ind w:left="0" w:right="0" w:firstLine="480"/>
        <w:jc w:val="both"/>
      </w:pPr>
      <w:bookmarkStart w:id="1653" w:name="bookmark1653"/>
      <w:r>
        <w:rPr>
          <w:color w:val="000000"/>
          <w:spacing w:val="0"/>
          <w:w w:val="100"/>
          <w:position w:val="0"/>
        </w:rPr>
        <w:t>（</w:t>
      </w:r>
      <w:bookmarkEnd w:id="1653"/>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信用风险</w:t>
      </w:r>
    </w:p>
    <w:p>
      <w:pPr>
        <w:pStyle w:val="Style64"/>
        <w:keepNext w:val="0"/>
        <w:keepLines w:val="0"/>
        <w:widowControl w:val="0"/>
        <w:shd w:val="clear" w:color="auto" w:fill="auto"/>
        <w:bidi w:val="0"/>
        <w:spacing w:before="0" w:after="200"/>
        <w:ind w:left="0" w:right="0" w:firstLine="480"/>
        <w:jc w:val="both"/>
      </w:pPr>
      <w:r>
        <w:rPr>
          <w:color w:val="000000"/>
          <w:spacing w:val="0"/>
          <w:w w:val="100"/>
          <w:position w:val="0"/>
        </w:rPr>
        <w:t>信用风险，是指交易对手方未能履行合同义务而导致本集团产生财务损失的风险。</w:t>
      </w:r>
    </w:p>
    <w:p>
      <w:pPr>
        <w:pStyle w:val="Style64"/>
        <w:keepNext w:val="0"/>
        <w:keepLines w:val="0"/>
        <w:widowControl w:val="0"/>
        <w:shd w:val="clear" w:color="auto" w:fill="auto"/>
        <w:bidi w:val="0"/>
        <w:spacing w:before="0" w:after="200"/>
        <w:ind w:left="0" w:right="0" w:firstLine="480"/>
        <w:jc w:val="both"/>
      </w:pPr>
      <w:r>
        <w:rPr>
          <w:color w:val="000000"/>
          <w:spacing w:val="0"/>
          <w:w w:val="100"/>
          <w:position w:val="0"/>
        </w:rPr>
        <w:t>本集团对信用风险按组合分类进行管理。信用风险主要产生于银行存款和应收款项等。</w:t>
      </w:r>
    </w:p>
    <w:p>
      <w:pPr>
        <w:pStyle w:val="Style64"/>
        <w:keepNext w:val="0"/>
        <w:keepLines w:val="0"/>
        <w:widowControl w:val="0"/>
        <w:shd w:val="clear" w:color="auto" w:fill="auto"/>
        <w:bidi w:val="0"/>
        <w:spacing w:before="0" w:after="200" w:line="307" w:lineRule="exact"/>
        <w:ind w:left="0" w:right="0" w:firstLine="480"/>
        <w:jc w:val="both"/>
      </w:pPr>
      <w:r>
        <w:rPr>
          <w:color w:val="000000"/>
          <w:spacing w:val="0"/>
          <w:w w:val="100"/>
          <w:position w:val="0"/>
        </w:rPr>
        <w:t>本集团银行存款主要存放于国有银行和其它大中型上市银行，本集团预期银行存款不存 在重大的信用风险。</w:t>
      </w:r>
    </w:p>
    <w:p>
      <w:pPr>
        <w:pStyle w:val="Style64"/>
        <w:keepNext w:val="0"/>
        <w:keepLines w:val="0"/>
        <w:widowControl w:val="0"/>
        <w:shd w:val="clear" w:color="auto" w:fill="auto"/>
        <w:bidi w:val="0"/>
        <w:spacing w:before="0" w:after="200"/>
        <w:ind w:left="0" w:right="0" w:firstLine="480"/>
        <w:jc w:val="both"/>
      </w:pPr>
      <w:r>
        <w:rPr>
          <w:color w:val="000000"/>
          <w:spacing w:val="0"/>
          <w:w w:val="100"/>
          <w:position w:val="0"/>
        </w:rPr>
        <w:t>对于应收款项，本集团设定相关政策以控制信用风险敞口。本集团基于对债务人的财务 状况、外部评级、从第三方获取担保的可能性、信用记录及其它因素诸如目前市场状况等评 估债务人的信用资质并设置相应欠款额度与信用期限。本集团已采取政策只与信用良好的交 易对手方合作并在有必要时获取足够的抵押品，以此缓解因交易对手方未能履行合同义务而 产生财务损失的风险。本集团会定期对债务人信用记录进行监控，对于信用记录不良的债务 人，本集团会采用书面催款、缩短信用期或取消信用期等方式，以确保本集团的整体信用风 险在可控的范围内。</w:t>
      </w:r>
    </w:p>
    <w:p>
      <w:pPr>
        <w:pStyle w:val="Style64"/>
        <w:keepNext w:val="0"/>
        <w:keepLines w:val="0"/>
        <w:widowControl w:val="0"/>
        <w:shd w:val="clear" w:color="auto" w:fill="auto"/>
        <w:bidi w:val="0"/>
        <w:spacing w:before="0" w:after="200" w:line="317" w:lineRule="exact"/>
        <w:ind w:left="0" w:right="0" w:firstLine="480"/>
        <w:jc w:val="both"/>
      </w:pPr>
      <w:r>
        <w:rPr>
          <w:color w:val="000000"/>
          <w:spacing w:val="0"/>
          <w:w w:val="100"/>
          <w:position w:val="0"/>
        </w:rPr>
        <w:t>本集团应收账款的债务人为分布于不同行业和地区的客户。本集团持续对应收账款的财 务状况实施信用评估，并在适当时购买信用担保保险。</w:t>
      </w:r>
    </w:p>
    <w:p>
      <w:pPr>
        <w:pStyle w:val="Style64"/>
        <w:keepNext w:val="0"/>
        <w:keepLines w:val="0"/>
        <w:widowControl w:val="0"/>
        <w:shd w:val="clear" w:color="auto" w:fill="auto"/>
        <w:bidi w:val="0"/>
        <w:spacing w:before="0" w:after="200" w:line="307" w:lineRule="exact"/>
        <w:ind w:left="0" w:right="0" w:firstLine="480"/>
        <w:jc w:val="both"/>
      </w:pPr>
      <w:r>
        <w:rPr>
          <w:color w:val="000000"/>
          <w:spacing w:val="0"/>
          <w:w w:val="100"/>
          <w:position w:val="0"/>
        </w:rPr>
        <w:t>本集团所承受的最大信用风险敞口为资产负债表中每项金融资产的账面金额。本集团没 有提供任何其他可能令本集团承受信用风险的担保。</w:t>
      </w:r>
    </w:p>
    <w:p>
      <w:pPr>
        <w:pStyle w:val="Style64"/>
        <w:keepNext w:val="0"/>
        <w:keepLines w:val="0"/>
        <w:widowControl w:val="0"/>
        <w:shd w:val="clear" w:color="auto" w:fill="auto"/>
        <w:bidi w:val="0"/>
        <w:spacing w:before="0" w:after="200" w:line="310" w:lineRule="exact"/>
        <w:ind w:left="0" w:right="0" w:firstLine="480"/>
        <w:jc w:val="both"/>
      </w:pPr>
      <w:r>
        <w:rPr>
          <w:color w:val="000000"/>
          <w:spacing w:val="0"/>
          <w:w w:val="100"/>
          <w:position w:val="0"/>
        </w:rPr>
        <w:t>本集团应收账款中，欠款金额前五大客户的应收账款占本集团应收账款总额的</w:t>
      </w:r>
      <w:r>
        <w:rPr>
          <w:rFonts w:ascii="Times New Roman" w:eastAsia="Times New Roman" w:hAnsi="Times New Roman" w:cs="Times New Roman"/>
          <w:color w:val="000000"/>
          <w:spacing w:val="0"/>
          <w:w w:val="100"/>
          <w:position w:val="0"/>
          <w:sz w:val="24"/>
          <w:szCs w:val="24"/>
        </w:rPr>
        <w:t xml:space="preserve">19.69%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26.74%</w:t>
      </w:r>
      <w:r>
        <w:rPr>
          <w:color w:val="000000"/>
          <w:spacing w:val="0"/>
          <w:w w:val="100"/>
          <w:position w:val="0"/>
        </w:rPr>
        <w:t>）；本集团其他应收款中，欠款金额前五大公司的其他应收款占本集团其 他应收款总额的</w:t>
      </w:r>
      <w:r>
        <w:rPr>
          <w:rFonts w:ascii="Times New Roman" w:eastAsia="Times New Roman" w:hAnsi="Times New Roman" w:cs="Times New Roman"/>
          <w:color w:val="000000"/>
          <w:spacing w:val="0"/>
          <w:w w:val="100"/>
          <w:position w:val="0"/>
          <w:sz w:val="24"/>
          <w:szCs w:val="24"/>
        </w:rPr>
        <w:t>77.50%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56.05%</w:t>
      </w:r>
      <w:r>
        <w:rPr>
          <w:color w:val="000000"/>
          <w:spacing w:val="0"/>
          <w:w w:val="100"/>
          <w:position w:val="0"/>
        </w:rPr>
        <w:t>）。</w:t>
      </w:r>
    </w:p>
    <w:p>
      <w:pPr>
        <w:pStyle w:val="Style64"/>
        <w:keepNext w:val="0"/>
        <w:keepLines w:val="0"/>
        <w:widowControl w:val="0"/>
        <w:shd w:val="clear" w:color="auto" w:fill="auto"/>
        <w:tabs>
          <w:tab w:pos="980" w:val="left"/>
        </w:tabs>
        <w:bidi w:val="0"/>
        <w:spacing w:before="0" w:after="200"/>
        <w:ind w:left="0" w:right="0" w:firstLine="480"/>
        <w:jc w:val="both"/>
      </w:pPr>
      <w:bookmarkStart w:id="1654" w:name="bookmark1654"/>
      <w:r>
        <w:rPr>
          <w:color w:val="000000"/>
          <w:spacing w:val="0"/>
          <w:w w:val="100"/>
          <w:position w:val="0"/>
        </w:rPr>
        <w:t>（</w:t>
      </w:r>
      <w:bookmarkEnd w:id="165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流动性风险</w:t>
      </w:r>
    </w:p>
    <w:p>
      <w:pPr>
        <w:pStyle w:val="Style64"/>
        <w:keepNext w:val="0"/>
        <w:keepLines w:val="0"/>
        <w:widowControl w:val="0"/>
        <w:shd w:val="clear" w:color="auto" w:fill="auto"/>
        <w:bidi w:val="0"/>
        <w:spacing w:before="0" w:after="200"/>
        <w:ind w:left="0" w:right="0" w:firstLine="480"/>
        <w:jc w:val="both"/>
      </w:pPr>
      <w:r>
        <w:rPr>
          <w:color w:val="000000"/>
          <w:spacing w:val="0"/>
          <w:w w:val="100"/>
          <w:position w:val="0"/>
        </w:rPr>
        <w:t>流动性风险，是指本集团在履行以交付现金或其他金融资产的方式结算的义务时发生资 金短缺的风险。</w:t>
      </w:r>
    </w:p>
    <w:p>
      <w:pPr>
        <w:pStyle w:val="Style64"/>
        <w:keepNext w:val="0"/>
        <w:keepLines w:val="0"/>
        <w:widowControl w:val="0"/>
        <w:shd w:val="clear" w:color="auto" w:fill="auto"/>
        <w:bidi w:val="0"/>
        <w:spacing w:before="0" w:after="220"/>
        <w:ind w:left="0" w:right="0" w:firstLine="480"/>
        <w:jc w:val="both"/>
      </w:pPr>
      <w:r>
        <w:rPr>
          <w:color w:val="000000"/>
          <w:spacing w:val="0"/>
          <w:w w:val="100"/>
          <w:position w:val="0"/>
        </w:rPr>
        <w:t>管理流动风险时，本集团保持管理层认为充分的现金及现金等价物并对其进行监控，以 满足本集团经营需要，并降低现金流量波动的影响。本集团管理层对银行借款的使用情况进</w:t>
        <w:br w:type="page"/>
      </w:r>
      <w:r>
        <w:rPr>
          <w:color w:val="000000"/>
          <w:spacing w:val="0"/>
          <w:w w:val="100"/>
          <w:position w:val="0"/>
        </w:rPr>
        <w:t>行监控并确保遵守借款协议。同时从主要金融机构获得提供足够备用资金的承诺，以满足短 期和长期的资金需求。</w:t>
      </w:r>
    </w:p>
    <w:p>
      <w:pPr>
        <w:pStyle w:val="Style25"/>
        <w:keepNext w:val="0"/>
        <w:keepLines w:val="0"/>
        <w:widowControl w:val="0"/>
        <w:shd w:val="clear" w:color="auto" w:fill="auto"/>
        <w:bidi w:val="0"/>
        <w:spacing w:before="0" w:after="0" w:line="312" w:lineRule="exact"/>
        <w:ind w:left="19" w:right="0" w:firstLine="0"/>
        <w:jc w:val="left"/>
        <w:rPr>
          <w:sz w:val="22"/>
          <w:szCs w:val="22"/>
        </w:rPr>
      </w:pPr>
      <w:r>
        <w:rPr>
          <w:color w:val="000000"/>
          <w:spacing w:val="0"/>
          <w:w w:val="100"/>
          <w:position w:val="0"/>
          <w:sz w:val="22"/>
          <w:szCs w:val="22"/>
        </w:rPr>
        <w:t>期末本集团持有的金融负债按未折现剩余合同现金流量的到期期限分析如下（单位：人 民币万元）：</w:t>
      </w:r>
    </w:p>
    <w:tbl>
      <w:tblPr>
        <w:tblOverlap w:val="never"/>
        <w:jc w:val="center"/>
        <w:tblLayout w:type="fixed"/>
      </w:tblPr>
      <w:tblGrid>
        <w:gridCol w:w="3413"/>
        <w:gridCol w:w="2462"/>
        <w:gridCol w:w="1742"/>
        <w:gridCol w:w="2059"/>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rPr>
              <w:t>合计</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49,911.74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color w:val="000000"/>
                <w:spacing w:val="0"/>
                <w:w w:val="100"/>
                <w:position w:val="0"/>
                <w:sz w:val="24"/>
                <w:szCs w:val="24"/>
              </w:rPr>
              <w:t>49,911.74</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6,963.74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6,963.74</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36,276.99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color w:val="000000"/>
                <w:spacing w:val="0"/>
                <w:w w:val="100"/>
                <w:position w:val="0"/>
                <w:sz w:val="24"/>
                <w:szCs w:val="24"/>
              </w:rPr>
              <w:t>36,276.99</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1,334.55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1,334.55</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一年内到期的非流动负债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13,889.74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color w:val="000000"/>
                <w:spacing w:val="0"/>
                <w:w w:val="100"/>
                <w:position w:val="0"/>
                <w:sz w:val="24"/>
                <w:szCs w:val="24"/>
              </w:rPr>
              <w:t>13,889.74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16,961.03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color w:val="000000"/>
                <w:spacing w:val="0"/>
                <w:w w:val="100"/>
                <w:position w:val="0"/>
                <w:sz w:val="24"/>
                <w:szCs w:val="24"/>
              </w:rPr>
              <w:t>16,961.03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52,285.94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color w:val="000000"/>
                <w:spacing w:val="0"/>
                <w:w w:val="100"/>
                <w:position w:val="0"/>
                <w:sz w:val="24"/>
                <w:szCs w:val="24"/>
              </w:rPr>
              <w:t>52,285.94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676.73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676.73</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金融负债合计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108,376.76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69,923.70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178,300.46</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307" w:lineRule="exact"/>
        <w:ind w:left="5" w:right="0" w:firstLine="0"/>
        <w:jc w:val="left"/>
        <w:rPr>
          <w:sz w:val="22"/>
          <w:szCs w:val="22"/>
        </w:rPr>
      </w:pPr>
      <w:r>
        <w:rPr>
          <w:color w:val="000000"/>
          <w:spacing w:val="0"/>
          <w:w w:val="100"/>
          <w:position w:val="0"/>
          <w:sz w:val="22"/>
          <w:szCs w:val="22"/>
        </w:rPr>
        <w:t>期初本集团持有的金融负债项目按未折现剩余合同现金流量的到期期限分析如下（单位: 人民币万元）：</w:t>
      </w:r>
    </w:p>
    <w:tbl>
      <w:tblPr>
        <w:tblOverlap w:val="never"/>
        <w:jc w:val="center"/>
        <w:tblLayout w:type="fixed"/>
      </w:tblPr>
      <w:tblGrid>
        <w:gridCol w:w="3413"/>
        <w:gridCol w:w="2462"/>
        <w:gridCol w:w="1742"/>
        <w:gridCol w:w="2059"/>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67,764.35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color w:val="000000"/>
                <w:spacing w:val="0"/>
                <w:w w:val="100"/>
                <w:position w:val="0"/>
                <w:sz w:val="24"/>
                <w:szCs w:val="24"/>
              </w:rPr>
              <w:t>67,764.35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1,469.08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1,469.08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41,075.20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color w:val="000000"/>
                <w:spacing w:val="0"/>
                <w:w w:val="100"/>
                <w:position w:val="0"/>
                <w:sz w:val="24"/>
                <w:szCs w:val="24"/>
              </w:rPr>
              <w:t>41,075.20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1,236.83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1,236.83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5,899.04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5,899.04</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72,063.10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color w:val="000000"/>
                <w:spacing w:val="0"/>
                <w:w w:val="100"/>
                <w:position w:val="0"/>
                <w:sz w:val="24"/>
                <w:szCs w:val="24"/>
              </w:rPr>
              <w:t>72,063.10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49,239.72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color w:val="000000"/>
                <w:spacing w:val="0"/>
                <w:w w:val="100"/>
                <w:position w:val="0"/>
                <w:sz w:val="24"/>
                <w:szCs w:val="24"/>
              </w:rPr>
              <w:t>49,239.72</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金融负债合计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117,444.50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121,302.82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238,747.32</w:t>
            </w:r>
          </w:p>
        </w:tc>
      </w:tr>
    </w:tbl>
    <w:p>
      <w:pPr>
        <w:widowControl w:val="0"/>
        <w:spacing w:after="79" w:line="1" w:lineRule="exact"/>
      </w:pPr>
    </w:p>
    <w:p>
      <w:pPr>
        <w:pStyle w:val="Style64"/>
        <w:keepNext w:val="0"/>
        <w:keepLines w:val="0"/>
        <w:widowControl w:val="0"/>
        <w:shd w:val="clear" w:color="auto" w:fill="auto"/>
        <w:bidi w:val="0"/>
        <w:spacing w:before="0" w:after="80" w:line="317" w:lineRule="exact"/>
        <w:ind w:left="0" w:right="0" w:firstLine="480"/>
        <w:jc w:val="both"/>
      </w:pPr>
      <w:r>
        <w:rPr>
          <w:color w:val="000000"/>
          <w:spacing w:val="0"/>
          <w:w w:val="100"/>
          <w:position w:val="0"/>
        </w:rPr>
        <w:t>上表中披露的金融负债金额为未经折现的合同现金流量，因而可能与资产负债表中的账 面金额有所不同。</w:t>
      </w:r>
    </w:p>
    <w:p>
      <w:pPr>
        <w:pStyle w:val="Style64"/>
        <w:keepNext w:val="0"/>
        <w:keepLines w:val="0"/>
        <w:widowControl w:val="0"/>
        <w:shd w:val="clear" w:color="auto" w:fill="auto"/>
        <w:bidi w:val="0"/>
        <w:spacing w:before="0" w:after="220" w:line="317" w:lineRule="exact"/>
        <w:ind w:left="0" w:right="0" w:firstLine="480"/>
        <w:jc w:val="both"/>
      </w:pPr>
      <w:bookmarkStart w:id="1655" w:name="bookmark1655"/>
      <w:r>
        <w:rPr>
          <w:color w:val="000000"/>
          <w:spacing w:val="0"/>
          <w:w w:val="100"/>
          <w:position w:val="0"/>
        </w:rPr>
        <w:t>（</w:t>
      </w:r>
      <w:bookmarkEnd w:id="1655"/>
      <w:r>
        <w:rPr>
          <w:rFonts w:ascii="Times New Roman" w:eastAsia="Times New Roman" w:hAnsi="Times New Roman" w:cs="Times New Roman"/>
          <w:color w:val="000000"/>
          <w:spacing w:val="0"/>
          <w:w w:val="100"/>
          <w:position w:val="0"/>
          <w:sz w:val="24"/>
          <w:szCs w:val="24"/>
        </w:rPr>
        <w:t>3</w:t>
      </w:r>
      <w:r>
        <w:rPr>
          <w:color w:val="000000"/>
          <w:spacing w:val="0"/>
          <w:w w:val="100"/>
          <w:position w:val="0"/>
        </w:rPr>
        <w:t>）市场风险</w:t>
      </w:r>
    </w:p>
    <w:p>
      <w:pPr>
        <w:pStyle w:val="Style64"/>
        <w:keepNext w:val="0"/>
        <w:keepLines w:val="0"/>
        <w:widowControl w:val="0"/>
        <w:shd w:val="clear" w:color="auto" w:fill="auto"/>
        <w:bidi w:val="0"/>
        <w:spacing w:before="0" w:after="80" w:line="322"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）外汇风险</w:t>
      </w:r>
    </w:p>
    <w:p>
      <w:pPr>
        <w:pStyle w:val="Style64"/>
        <w:keepNext w:val="0"/>
        <w:keepLines w:val="0"/>
        <w:widowControl w:val="0"/>
        <w:shd w:val="clear" w:color="auto" w:fill="auto"/>
        <w:bidi w:val="0"/>
        <w:spacing w:before="0" w:after="80" w:line="322" w:lineRule="exact"/>
        <w:ind w:left="0" w:right="0" w:firstLine="480"/>
        <w:jc w:val="both"/>
      </w:pPr>
      <w:r>
        <w:rPr>
          <w:color w:val="000000"/>
          <w:spacing w:val="0"/>
          <w:w w:val="100"/>
          <w:position w:val="0"/>
        </w:rPr>
        <w:t>本公司的汇率风险主要来自本公司及下属子公司持有的不以其记账本位币计价的外币资 产和负债。</w:t>
      </w:r>
    </w:p>
    <w:p>
      <w:pPr>
        <w:pStyle w:val="Style64"/>
        <w:keepNext w:val="0"/>
        <w:keepLines w:val="0"/>
        <w:widowControl w:val="0"/>
        <w:shd w:val="clear" w:color="auto" w:fill="auto"/>
        <w:bidi w:val="0"/>
        <w:spacing w:before="0" w:after="80" w:line="322" w:lineRule="exact"/>
        <w:ind w:left="0" w:right="0" w:firstLine="480"/>
        <w:jc w:val="both"/>
      </w:pPr>
      <w:r>
        <w:rPr>
          <w:color w:val="000000"/>
          <w:spacing w:val="0"/>
          <w:w w:val="100"/>
          <w:position w:val="0"/>
        </w:rPr>
        <w:t>本公司的主要经营位于中国境内，主要业务以人民币结算。因此，本公司所承担的外汇 变动市场风险不重大。</w:t>
      </w:r>
    </w:p>
    <w:p>
      <w:pPr>
        <w:pStyle w:val="Style64"/>
        <w:keepNext w:val="0"/>
        <w:keepLines w:val="0"/>
        <w:widowControl w:val="0"/>
        <w:shd w:val="clear" w:color="auto" w:fill="auto"/>
        <w:bidi w:val="0"/>
        <w:spacing w:before="0" w:after="80" w:line="322" w:lineRule="exact"/>
        <w:ind w:left="0" w:right="0" w:firstLine="480"/>
        <w:jc w:val="both"/>
      </w:pPr>
      <w:r>
        <w:rPr>
          <w:color w:val="000000"/>
          <w:spacing w:val="0"/>
          <w:w w:val="100"/>
          <w:position w:val="0"/>
        </w:rPr>
        <w:t>本公司期末外币金融资产和外币金融负债列示见本附注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之</w:t>
      </w:r>
    </w:p>
    <w:p>
      <w:pPr>
        <w:pStyle w:val="Style64"/>
        <w:keepNext w:val="0"/>
        <w:keepLines w:val="0"/>
        <w:widowControl w:val="0"/>
        <w:shd w:val="clear" w:color="auto" w:fill="auto"/>
        <w:bidi w:val="0"/>
        <w:spacing w:before="0" w:after="80" w:line="320" w:lineRule="exact"/>
        <w:ind w:left="0" w:right="0" w:firstLine="0"/>
        <w:jc w:val="both"/>
      </w:pPr>
      <w:r>
        <w:rPr>
          <w:rFonts w:ascii="Times New Roman" w:eastAsia="Times New Roman" w:hAnsi="Times New Roman" w:cs="Times New Roman"/>
          <w:color w:val="000000"/>
          <w:spacing w:val="0"/>
          <w:w w:val="100"/>
          <w:position w:val="0"/>
          <w:sz w:val="24"/>
          <w:szCs w:val="24"/>
        </w:rPr>
        <w:t>“58</w:t>
      </w:r>
      <w:r>
        <w:rPr>
          <w:color w:val="000000"/>
          <w:spacing w:val="0"/>
          <w:w w:val="100"/>
          <w:position w:val="0"/>
        </w:rPr>
        <w:t>、外币货币性项目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64"/>
        <w:keepNext w:val="0"/>
        <w:keepLines w:val="0"/>
        <w:widowControl w:val="0"/>
        <w:shd w:val="clear" w:color="auto" w:fill="auto"/>
        <w:bidi w:val="0"/>
        <w:spacing w:before="0" w:after="80" w:line="320"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）利率风险</w:t>
      </w:r>
    </w:p>
    <w:p>
      <w:pPr>
        <w:pStyle w:val="Style64"/>
        <w:keepNext w:val="0"/>
        <w:keepLines w:val="0"/>
        <w:widowControl w:val="0"/>
        <w:shd w:val="clear" w:color="auto" w:fill="auto"/>
        <w:bidi w:val="0"/>
        <w:spacing w:before="0" w:after="0" w:line="331" w:lineRule="exact"/>
        <w:ind w:left="0" w:right="0"/>
        <w:jc w:val="both"/>
      </w:pPr>
      <w:r>
        <w:rPr>
          <w:color w:val="000000"/>
          <w:spacing w:val="0"/>
          <w:w w:val="100"/>
          <w:position w:val="0"/>
        </w:rPr>
        <w:t>本公司的利率风险主要产生于长期银行借款。浮动利率的金融负债使本公司面临现金流 量利率风险，固定利率的金融负债使本公司面临公允价值利率风险。本公司根据当时的市场 环境来决定固定利率及浮动利率合同的相对比例。</w:t>
      </w:r>
    </w:p>
    <w:p>
      <w:pPr>
        <w:pStyle w:val="Style64"/>
        <w:keepNext w:val="0"/>
        <w:keepLines w:val="0"/>
        <w:widowControl w:val="0"/>
        <w:shd w:val="clear" w:color="auto" w:fill="auto"/>
        <w:bidi w:val="0"/>
        <w:spacing w:before="0" w:after="600" w:line="310" w:lineRule="exact"/>
        <w:ind w:left="0" w:right="0" w:firstLine="0"/>
        <w:jc w:val="both"/>
      </w:pPr>
      <w:r>
        <w:rPr>
          <w:color w:val="000000"/>
          <w:spacing w:val="0"/>
          <w:w w:val="100"/>
          <w:position w:val="0"/>
        </w:rPr>
        <w:t>本集团总部财务部门持续监控集团利率水平。利率上升会增加新增带息债务的成本以及本公 司尚未付清的以浮动利率计息的带息债务的利息支出，并对本公司的财务业绩产生重大的不 利影响，管理层会依据最新的市场状况及时做出调整。</w:t>
      </w:r>
    </w:p>
    <w:p>
      <w:pPr>
        <w:pStyle w:val="Style23"/>
        <w:keepNext/>
        <w:keepLines/>
        <w:widowControl w:val="0"/>
        <w:shd w:val="clear" w:color="auto" w:fill="auto"/>
        <w:bidi w:val="0"/>
        <w:spacing w:before="0" w:line="320" w:lineRule="exact"/>
        <w:ind w:left="0" w:right="0" w:firstLine="0"/>
        <w:jc w:val="both"/>
      </w:pPr>
      <w:bookmarkStart w:id="1656" w:name="bookmark1656"/>
      <w:bookmarkStart w:id="1657" w:name="bookmark1657"/>
      <w:bookmarkStart w:id="1658" w:name="bookmark1658"/>
      <w:r>
        <w:rPr>
          <w:color w:val="000000"/>
          <w:spacing w:val="0"/>
          <w:w w:val="100"/>
          <w:position w:val="0"/>
        </w:rPr>
        <w:t>十一、公允价值的披露</w:t>
      </w:r>
      <w:bookmarkEnd w:id="1656"/>
      <w:bookmarkEnd w:id="1657"/>
      <w:bookmarkEnd w:id="1658"/>
    </w:p>
    <w:p>
      <w:pPr>
        <w:pStyle w:val="Style31"/>
        <w:keepNext/>
        <w:keepLines/>
        <w:widowControl w:val="0"/>
        <w:shd w:val="clear" w:color="auto" w:fill="auto"/>
        <w:bidi w:val="0"/>
        <w:spacing w:before="0" w:after="360" w:line="240" w:lineRule="auto"/>
        <w:ind w:left="0" w:right="0" w:firstLine="0"/>
        <w:jc w:val="both"/>
      </w:pPr>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59"/>
      <w:bookmarkEnd w:id="1660"/>
      <w:bookmarkEnd w:id="16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192,836,032.84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192,836,032.84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47,716,741.60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47,716,741.60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47,716,741.60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192,836,032.84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240,552,774.44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1"/>
        <w:keepNext/>
        <w:keepLines/>
        <w:widowControl w:val="0"/>
        <w:shd w:val="clear" w:color="auto" w:fill="auto"/>
        <w:tabs>
          <w:tab w:pos="378" w:val="left"/>
        </w:tabs>
        <w:bidi w:val="0"/>
        <w:spacing w:before="0" w:after="36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2</w:t>
      </w:r>
      <w:bookmarkEnd w:id="1664"/>
      <w:r>
        <w:rPr>
          <w:color w:val="000000"/>
          <w:spacing w:val="0"/>
          <w:w w:val="100"/>
          <w:position w:val="0"/>
        </w:rPr>
        <w:t>、</w:t>
        <w:tab/>
        <w:t>持续和非持续第一层次公允价值计量项目市价的确定依据</w:t>
      </w:r>
      <w:bookmarkEnd w:id="1662"/>
      <w:bookmarkEnd w:id="1663"/>
      <w:bookmarkEnd w:id="1665"/>
    </w:p>
    <w:p>
      <w:pPr>
        <w:pStyle w:val="Style64"/>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相同资产或负债在活跃市场上未经调整的报价。</w:t>
      </w:r>
    </w:p>
    <w:p>
      <w:pPr>
        <w:pStyle w:val="Style31"/>
        <w:keepNext/>
        <w:keepLines/>
        <w:widowControl w:val="0"/>
        <w:shd w:val="clear" w:color="auto" w:fill="auto"/>
        <w:bidi w:val="0"/>
        <w:spacing w:before="0" w:after="36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3</w:t>
      </w:r>
      <w:bookmarkEnd w:id="1668"/>
      <w:r>
        <w:rPr>
          <w:color w:val="000000"/>
          <w:spacing w:val="0"/>
          <w:w w:val="100"/>
          <w:position w:val="0"/>
        </w:rPr>
        <w:t>、 持续和非持续第二层次公允价值计量项目，采用的估值技术和重要参数的定性及定量信息</w:t>
      </w:r>
      <w:bookmarkEnd w:id="1666"/>
      <w:bookmarkEnd w:id="1667"/>
      <w:bookmarkEnd w:id="1669"/>
    </w:p>
    <w:p>
      <w:pPr>
        <w:pStyle w:val="Style64"/>
        <w:keepNext w:val="0"/>
        <w:keepLines w:val="0"/>
        <w:widowControl w:val="0"/>
        <w:shd w:val="clear" w:color="auto" w:fill="auto"/>
        <w:bidi w:val="0"/>
        <w:spacing w:before="0" w:after="360" w:line="240" w:lineRule="auto"/>
        <w:ind w:left="0" w:right="0" w:firstLine="0"/>
        <w:jc w:val="left"/>
      </w:pPr>
      <w:r>
        <w:rPr>
          <w:color w:val="000000"/>
          <w:spacing w:val="0"/>
          <w:w w:val="100"/>
          <w:position w:val="0"/>
        </w:rPr>
        <w:t>除第一层次输入值外相关资产或负债直接或间接可观察的输入值。</w:t>
      </w:r>
    </w:p>
    <w:p>
      <w:pPr>
        <w:pStyle w:val="Style31"/>
        <w:keepNext/>
        <w:keepLines/>
        <w:widowControl w:val="0"/>
        <w:shd w:val="clear" w:color="auto" w:fill="auto"/>
        <w:bidi w:val="0"/>
        <w:spacing w:before="0" w:after="36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4</w:t>
      </w:r>
      <w:bookmarkEnd w:id="1672"/>
      <w:r>
        <w:rPr>
          <w:color w:val="000000"/>
          <w:spacing w:val="0"/>
          <w:w w:val="100"/>
          <w:position w:val="0"/>
        </w:rPr>
        <w:t>、 持续和非持续第三层次公允价值计量项目，采用的估值技术和重要参数的定性及定量信息</w:t>
      </w:r>
      <w:bookmarkEnd w:id="1670"/>
      <w:bookmarkEnd w:id="1671"/>
      <w:bookmarkEnd w:id="1673"/>
    </w:p>
    <w:p>
      <w:pPr>
        <w:pStyle w:val="Style64"/>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相关资产或负债的不可观察输入值。</w:t>
      </w:r>
    </w:p>
    <w:p>
      <w:pPr>
        <w:pStyle w:val="Style31"/>
        <w:keepNext/>
        <w:keepLines/>
        <w:widowControl w:val="0"/>
        <w:shd w:val="clear" w:color="auto" w:fill="auto"/>
        <w:bidi w:val="0"/>
        <w:spacing w:before="0" w:after="36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5</w:t>
      </w:r>
      <w:bookmarkEnd w:id="1676"/>
      <w:r>
        <w:rPr>
          <w:color w:val="000000"/>
          <w:spacing w:val="0"/>
          <w:w w:val="100"/>
          <w:position w:val="0"/>
        </w:rPr>
        <w:t>、 持续的第三层次公允价值计量项目，期初与期末账面价值间的调节信息及不可观察参数敏感性分析</w:t>
      </w:r>
      <w:bookmarkEnd w:id="1674"/>
      <w:bookmarkEnd w:id="1675"/>
      <w:bookmarkEnd w:id="1677"/>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378" w:val="left"/>
        </w:tabs>
        <w:bidi w:val="0"/>
        <w:spacing w:before="0" w:after="320" w:line="240" w:lineRule="auto"/>
        <w:ind w:left="0" w:right="0" w:firstLine="0"/>
        <w:jc w:val="both"/>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6</w:t>
      </w:r>
      <w:bookmarkEnd w:id="1680"/>
      <w:r>
        <w:rPr>
          <w:color w:val="000000"/>
          <w:spacing w:val="0"/>
          <w:w w:val="100"/>
          <w:position w:val="0"/>
        </w:rPr>
        <w:t>、</w:t>
        <w:tab/>
        <w:t>不以公允价值计量的金融资产和金融负债的公允价值情况</w:t>
      </w:r>
      <w:bookmarkEnd w:id="1678"/>
      <w:bookmarkEnd w:id="1679"/>
      <w:bookmarkEnd w:id="1681"/>
    </w:p>
    <w:p>
      <w:pPr>
        <w:pStyle w:val="Style64"/>
        <w:keepNext w:val="0"/>
        <w:keepLines w:val="0"/>
        <w:widowControl w:val="0"/>
        <w:shd w:val="clear" w:color="auto" w:fill="auto"/>
        <w:bidi w:val="0"/>
        <w:spacing w:before="0"/>
        <w:ind w:left="0" w:right="0"/>
        <w:jc w:val="both"/>
      </w:pPr>
      <w:r>
        <w:rPr>
          <w:color w:val="000000"/>
          <w:spacing w:val="0"/>
          <w:w w:val="100"/>
          <w:position w:val="0"/>
        </w:rPr>
        <w:t>本集团以摊余成本计量的金融资产和金融负债主要包括：货币资金、应收票据、应收账 款、合同资产、其他应收款、短期借款、应付票据、应付账款、合同负债、其他应付款、租 赁负债、长期借款、应付债券等。</w:t>
      </w:r>
    </w:p>
    <w:p>
      <w:pPr>
        <w:pStyle w:val="Style64"/>
        <w:keepNext w:val="0"/>
        <w:keepLines w:val="0"/>
        <w:widowControl w:val="0"/>
        <w:shd w:val="clear" w:color="auto" w:fill="auto"/>
        <w:bidi w:val="0"/>
        <w:spacing w:before="0" w:after="680"/>
        <w:ind w:left="0" w:right="0"/>
        <w:jc w:val="both"/>
      </w:pPr>
      <w:r>
        <w:rPr>
          <w:color w:val="000000"/>
          <w:spacing w:val="0"/>
          <w:w w:val="100"/>
          <w:position w:val="0"/>
        </w:rPr>
        <w:t>本集团不以公允价值计量的金融资产和金融负债的账面价值与公允价值相差很小。</w:t>
      </w:r>
    </w:p>
    <w:p>
      <w:pPr>
        <w:pStyle w:val="Style31"/>
        <w:keepNext/>
        <w:keepLines/>
        <w:widowControl w:val="0"/>
        <w:shd w:val="clear" w:color="auto" w:fill="auto"/>
        <w:tabs>
          <w:tab w:pos="378" w:val="left"/>
        </w:tabs>
        <w:bidi w:val="0"/>
        <w:spacing w:before="0" w:after="380" w:line="240" w:lineRule="auto"/>
        <w:ind w:left="0" w:right="0" w:firstLine="0"/>
        <w:jc w:val="both"/>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7</w:t>
      </w:r>
      <w:bookmarkEnd w:id="1684"/>
      <w:r>
        <w:rPr>
          <w:color w:val="000000"/>
          <w:spacing w:val="0"/>
          <w:w w:val="100"/>
          <w:position w:val="0"/>
        </w:rPr>
        <w:t>、</w:t>
        <w:tab/>
        <w:t>其他</w:t>
      </w:r>
      <w:bookmarkEnd w:id="1682"/>
      <w:bookmarkEnd w:id="1683"/>
      <w:bookmarkEnd w:id="1685"/>
    </w:p>
    <w:p>
      <w:pPr>
        <w:pStyle w:val="Style27"/>
        <w:keepNext w:val="0"/>
        <w:keepLines w:val="0"/>
        <w:widowControl w:val="0"/>
        <w:shd w:val="clear" w:color="auto" w:fill="auto"/>
        <w:bidi w:val="0"/>
        <w:spacing w:before="0" w:after="32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after="380" w:line="312" w:lineRule="exact"/>
        <w:ind w:left="0" w:right="0" w:firstLine="0"/>
        <w:jc w:val="both"/>
      </w:pPr>
      <w:bookmarkStart w:id="1686" w:name="bookmark1686"/>
      <w:bookmarkStart w:id="1687" w:name="bookmark1687"/>
      <w:bookmarkStart w:id="1688" w:name="bookmark1688"/>
      <w:r>
        <w:rPr>
          <w:color w:val="000000"/>
          <w:spacing w:val="0"/>
          <w:w w:val="100"/>
          <w:position w:val="0"/>
        </w:rPr>
        <w:t>十二、关联方及关联交易</w:t>
      </w:r>
      <w:bookmarkEnd w:id="1686"/>
      <w:bookmarkEnd w:id="1687"/>
      <w:bookmarkEnd w:id="1688"/>
    </w:p>
    <w:p>
      <w:pPr>
        <w:pStyle w:val="Style31"/>
        <w:keepNext/>
        <w:keepLines/>
        <w:widowControl w:val="0"/>
        <w:shd w:val="clear" w:color="auto" w:fill="auto"/>
        <w:bidi w:val="0"/>
        <w:spacing w:before="0" w:after="320" w:line="240" w:lineRule="auto"/>
        <w:ind w:left="0" w:right="0" w:firstLine="0"/>
        <w:jc w:val="both"/>
      </w:pPr>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89"/>
      <w:bookmarkEnd w:id="1690"/>
      <w:bookmarkEnd w:id="1691"/>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本企业的母公司情况的说明</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本企业最终控制方是杨成、杨保田。</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tabs>
          <w:tab w:pos="378" w:val="left"/>
        </w:tabs>
        <w:bidi w:val="0"/>
        <w:spacing w:before="0" w:after="380" w:line="240" w:lineRule="auto"/>
        <w:ind w:left="0" w:right="0" w:firstLine="0"/>
        <w:jc w:val="both"/>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2</w:t>
      </w:r>
      <w:bookmarkEnd w:id="1694"/>
      <w:r>
        <w:rPr>
          <w:color w:val="000000"/>
          <w:spacing w:val="0"/>
          <w:w w:val="100"/>
          <w:position w:val="0"/>
        </w:rPr>
        <w:t>、</w:t>
        <w:tab/>
        <w:t>本企业的子公司情况</w:t>
      </w:r>
      <w:bookmarkEnd w:id="1692"/>
      <w:bookmarkEnd w:id="1693"/>
      <w:bookmarkEnd w:id="1695"/>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本企业子公司的情况详见附注九、在其他主体中的权益。</w:t>
      </w:r>
    </w:p>
    <w:p>
      <w:pPr>
        <w:pStyle w:val="Style31"/>
        <w:keepNext/>
        <w:keepLines/>
        <w:widowControl w:val="0"/>
        <w:shd w:val="clear" w:color="auto" w:fill="auto"/>
        <w:tabs>
          <w:tab w:pos="378" w:val="left"/>
        </w:tabs>
        <w:bidi w:val="0"/>
        <w:spacing w:before="0" w:after="320" w:line="240" w:lineRule="auto"/>
        <w:ind w:left="0" w:right="0" w:firstLine="0"/>
        <w:jc w:val="both"/>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3</w:t>
      </w:r>
      <w:bookmarkEnd w:id="1698"/>
      <w:r>
        <w:rPr>
          <w:color w:val="000000"/>
          <w:spacing w:val="0"/>
          <w:w w:val="100"/>
          <w:position w:val="0"/>
        </w:rPr>
        <w:t>、</w:t>
        <w:tab/>
        <w:t>其他关联方情况</w:t>
      </w:r>
      <w:bookmarkEnd w:id="1696"/>
      <w:bookmarkEnd w:id="1697"/>
      <w:bookmarkEnd w:id="1699"/>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卧龙电气驱动集团股份有限公司（以下简称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卧龙电驱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卧龙控股集团有限公司（以下简称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卧龙控股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持有卧龙电驱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董事、经理、财务总监及董事会秘书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卧龙电气烟台东源变压器有限公司（以下简称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烟台东源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卧龙控股的控股子公司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上海卧龙国际商务股份有限公司（以下简称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上海商务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卧龙电驱的控股子公司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浙江龙能电力发展有限公司（以下简称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浙江龙能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卧龙电驱的控股子公司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梁山龙能电力发展有限公司（以下简称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梁山龙能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卧龙电驱的控股子公司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都昌龙能电力发展有限公司（以下简称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都昌龙能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卧龙电驱的控股子公司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浙江白云浙变电气设备有限公司（以下简称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白云浙变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卧龙控股的联营公司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厦门红相塑胶材料有限公司（以下简称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红相塑胶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实际控制人控制的企业</w:t>
            </w:r>
          </w:p>
        </w:tc>
      </w:tr>
    </w:tbl>
    <w:p>
      <w:pPr>
        <w:widowControl w:val="0"/>
        <w:spacing w:line="1" w:lineRule="exact"/>
      </w:pP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中宁县银变新能源有限公司（以下简称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中宁新能源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个月内属于合并报表范围内公司</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4</w:t>
      </w:r>
      <w:bookmarkEnd w:id="1702"/>
      <w:r>
        <w:rPr>
          <w:color w:val="000000"/>
          <w:spacing w:val="0"/>
          <w:w w:val="100"/>
          <w:position w:val="0"/>
        </w:rPr>
        <w:t>、关联交易情况</w:t>
      </w:r>
      <w:bookmarkEnd w:id="1700"/>
      <w:bookmarkEnd w:id="1701"/>
      <w:bookmarkEnd w:id="1703"/>
    </w:p>
    <w:p>
      <w:pPr>
        <w:pStyle w:val="Style40"/>
        <w:keepNext/>
        <w:keepLines/>
        <w:widowControl w:val="0"/>
        <w:shd w:val="clear" w:color="auto" w:fill="auto"/>
        <w:bidi w:val="0"/>
        <w:spacing w:before="0" w:line="240" w:lineRule="auto"/>
        <w:ind w:left="0" w:right="0" w:firstLine="0"/>
        <w:jc w:val="left"/>
      </w:pPr>
      <w:bookmarkStart w:id="1704" w:name="bookmark1704"/>
      <w:bookmarkStart w:id="1705" w:name="bookmark1705"/>
      <w:bookmarkStart w:id="1706" w:name="bookmark17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04"/>
      <w:bookmarkEnd w:id="1705"/>
      <w:bookmarkEnd w:id="170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烟台东源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6,588,672.56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11,916,591.11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296,460.18</w:t>
            </w:r>
          </w:p>
        </w:tc>
      </w:tr>
    </w:tbl>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烟台东源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11,061.95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中宁新能源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运维服务收入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1,358,490.57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139" w:line="1" w:lineRule="exact"/>
      </w:pPr>
    </w:p>
    <w:p>
      <w:pPr>
        <w:pStyle w:val="Style64"/>
        <w:keepNext w:val="0"/>
        <w:keepLines w:val="0"/>
        <w:widowControl w:val="0"/>
        <w:shd w:val="clear" w:color="auto" w:fill="auto"/>
        <w:bidi w:val="0"/>
        <w:spacing w:before="0"/>
        <w:ind w:left="0" w:right="0"/>
        <w:jc w:val="left"/>
      </w:pPr>
      <w:r>
        <w:rPr>
          <w:color w:val="000000"/>
          <w:spacing w:val="0"/>
          <w:w w:val="100"/>
          <w:position w:val="0"/>
        </w:rPr>
        <w:t>丧失控制权</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个月内子公司往来款</w:t>
      </w:r>
    </w:p>
    <w:p>
      <w:pPr>
        <w:pStyle w:val="Style64"/>
        <w:keepNext w:val="0"/>
        <w:keepLines w:val="0"/>
        <w:widowControl w:val="0"/>
        <w:shd w:val="clear" w:color="auto" w:fill="auto"/>
        <w:bidi w:val="0"/>
        <w:spacing w:before="0" w:after="780"/>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月末向无关联第三方三峡能源（</w:t>
      </w:r>
      <w:r>
        <w:rPr>
          <w:rFonts w:ascii="Times New Roman" w:eastAsia="Times New Roman" w:hAnsi="Times New Roman" w:cs="Times New Roman"/>
          <w:color w:val="000000"/>
          <w:spacing w:val="0"/>
          <w:w w:val="100"/>
          <w:position w:val="0"/>
          <w:sz w:val="24"/>
          <w:szCs w:val="24"/>
        </w:rPr>
        <w:t>600905.SH</w:t>
      </w:r>
      <w:r>
        <w:rPr>
          <w:color w:val="000000"/>
          <w:spacing w:val="0"/>
          <w:w w:val="100"/>
          <w:position w:val="0"/>
        </w:rPr>
        <w:t>）</w:t>
      </w:r>
      <w:r>
        <w:rPr>
          <w:color w:val="000000"/>
          <w:spacing w:val="0"/>
          <w:w w:val="100"/>
          <w:position w:val="0"/>
        </w:rPr>
        <w:t xml:space="preserve">转让子公司中宁新能源 </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股权。本公司期初拆借给中宁新能源的借款余额为</w:t>
      </w:r>
      <w:r>
        <w:rPr>
          <w:rFonts w:ascii="Times New Roman" w:eastAsia="Times New Roman" w:hAnsi="Times New Roman" w:cs="Times New Roman"/>
          <w:color w:val="000000"/>
          <w:spacing w:val="0"/>
          <w:w w:val="100"/>
          <w:position w:val="0"/>
          <w:sz w:val="24"/>
          <w:szCs w:val="24"/>
        </w:rPr>
        <w:t>17,016.51</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年度（丧失控制 权之前）本公司向中宁新能源拆借资金</w:t>
      </w:r>
      <w:r>
        <w:rPr>
          <w:rFonts w:ascii="Times New Roman" w:eastAsia="Times New Roman" w:hAnsi="Times New Roman" w:cs="Times New Roman"/>
          <w:color w:val="000000"/>
          <w:spacing w:val="0"/>
          <w:w w:val="100"/>
          <w:position w:val="0"/>
          <w:sz w:val="24"/>
          <w:szCs w:val="24"/>
        </w:rPr>
        <w:t>4,046.33</w:t>
      </w:r>
      <w:r>
        <w:rPr>
          <w:color w:val="000000"/>
          <w:spacing w:val="0"/>
          <w:w w:val="100"/>
          <w:position w:val="0"/>
        </w:rPr>
        <w:t>万元，公司计提借款利息</w:t>
      </w:r>
      <w:r>
        <w:rPr>
          <w:rFonts w:ascii="Times New Roman" w:eastAsia="Times New Roman" w:hAnsi="Times New Roman" w:cs="Times New Roman"/>
          <w:color w:val="000000"/>
          <w:spacing w:val="0"/>
          <w:w w:val="100"/>
          <w:position w:val="0"/>
          <w:sz w:val="24"/>
          <w:szCs w:val="24"/>
        </w:rPr>
        <w:t>534.03</w:t>
      </w:r>
      <w:r>
        <w:rPr>
          <w:color w:val="000000"/>
          <w:spacing w:val="0"/>
          <w:w w:val="100"/>
          <w:position w:val="0"/>
        </w:rPr>
        <w:t>万元。中宁新 能源已归还资金拆借款</w:t>
      </w:r>
      <w:r>
        <w:rPr>
          <w:rFonts w:ascii="Times New Roman" w:eastAsia="Times New Roman" w:hAnsi="Times New Roman" w:cs="Times New Roman"/>
          <w:color w:val="000000"/>
          <w:spacing w:val="0"/>
          <w:w w:val="100"/>
          <w:position w:val="0"/>
          <w:sz w:val="24"/>
          <w:szCs w:val="24"/>
        </w:rPr>
        <w:t>18,106.51</w:t>
      </w:r>
      <w:r>
        <w:rPr>
          <w:color w:val="000000"/>
          <w:spacing w:val="0"/>
          <w:w w:val="100"/>
          <w:position w:val="0"/>
        </w:rPr>
        <w:t>万元，期末剩余</w:t>
      </w:r>
      <w:r>
        <w:rPr>
          <w:rFonts w:ascii="Times New Roman" w:eastAsia="Times New Roman" w:hAnsi="Times New Roman" w:cs="Times New Roman"/>
          <w:color w:val="000000"/>
          <w:spacing w:val="0"/>
          <w:w w:val="100"/>
          <w:position w:val="0"/>
          <w:sz w:val="24"/>
          <w:szCs w:val="24"/>
        </w:rPr>
        <w:t>3,490.35</w:t>
      </w:r>
      <w:r>
        <w:rPr>
          <w:color w:val="000000"/>
          <w:spacing w:val="0"/>
          <w:w w:val="100"/>
          <w:position w:val="0"/>
        </w:rPr>
        <w:t>万元待过渡期审计完成后结清。</w:t>
      </w:r>
    </w:p>
    <w:p>
      <w:pPr>
        <w:pStyle w:val="Style40"/>
        <w:keepNext/>
        <w:keepLines/>
        <w:widowControl w:val="0"/>
        <w:shd w:val="clear" w:color="auto" w:fill="auto"/>
        <w:bidi w:val="0"/>
        <w:spacing w:before="0" w:line="240" w:lineRule="auto"/>
        <w:ind w:left="0" w:right="0" w:firstLine="0"/>
        <w:jc w:val="left"/>
      </w:pPr>
      <w:bookmarkStart w:id="1707" w:name="bookmark1707"/>
      <w:bookmarkStart w:id="1708" w:name="bookmark1708"/>
      <w:bookmarkStart w:id="1709" w:name="bookmark17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707"/>
      <w:bookmarkEnd w:id="1708"/>
      <w:bookmarkEnd w:id="170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79" w:line="1" w:lineRule="exact"/>
      </w:pPr>
    </w:p>
    <w:p>
      <w:pPr>
        <w:pStyle w:val="Style40"/>
        <w:keepNext/>
        <w:keepLines/>
        <w:widowControl w:val="0"/>
        <w:shd w:val="clear" w:color="auto" w:fill="auto"/>
        <w:bidi w:val="0"/>
        <w:spacing w:before="0" w:line="240" w:lineRule="auto"/>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w:t>
      </w:r>
      <w:bookmarkEnd w:id="1712"/>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710"/>
      <w:bookmarkEnd w:id="1711"/>
      <w:bookmarkEnd w:id="1713"/>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7,576,102.55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4,325,547.36</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714" w:name="bookmark1714"/>
      <w:bookmarkStart w:id="1715" w:name="bookmark1715"/>
      <w:bookmarkStart w:id="1716" w:name="bookmark1716"/>
      <w:bookmarkStart w:id="1717" w:name="bookmark1717"/>
      <w:r>
        <w:rPr>
          <w:color w:val="000000"/>
          <w:spacing w:val="0"/>
          <w:w w:val="100"/>
          <w:position w:val="0"/>
        </w:rPr>
        <w:t>（</w:t>
      </w:r>
      <w:bookmarkEnd w:id="1716"/>
      <w:r>
        <w:rPr>
          <w:rFonts w:ascii="Times New Roman" w:eastAsia="Times New Roman" w:hAnsi="Times New Roman" w:cs="Times New Roman"/>
          <w:color w:val="000000"/>
          <w:spacing w:val="0"/>
          <w:w w:val="100"/>
          <w:position w:val="0"/>
        </w:rPr>
        <w:t>4</w:t>
      </w:r>
      <w:r>
        <w:rPr>
          <w:color w:val="000000"/>
          <w:spacing w:val="0"/>
          <w:w w:val="100"/>
          <w:position w:val="0"/>
        </w:rPr>
        <w:t>）其他关联交易</w:t>
      </w:r>
      <w:bookmarkEnd w:id="1714"/>
      <w:bookmarkEnd w:id="1715"/>
      <w:bookmarkEnd w:id="1717"/>
    </w:p>
    <w:p>
      <w:pPr>
        <w:pStyle w:val="Style31"/>
        <w:keepNext/>
        <w:keepLines/>
        <w:widowControl w:val="0"/>
        <w:shd w:val="clear" w:color="auto" w:fill="auto"/>
        <w:bidi w:val="0"/>
        <w:spacing w:before="0" w:after="36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5</w:t>
      </w:r>
      <w:bookmarkEnd w:id="1720"/>
      <w:r>
        <w:rPr>
          <w:color w:val="000000"/>
          <w:spacing w:val="0"/>
          <w:w w:val="100"/>
          <w:position w:val="0"/>
        </w:rPr>
        <w:t>、关联方应收应付款项</w:t>
      </w:r>
      <w:bookmarkEnd w:id="1718"/>
      <w:bookmarkEnd w:id="1719"/>
      <w:bookmarkEnd w:id="1721"/>
    </w:p>
    <w:p>
      <w:pPr>
        <w:pStyle w:val="Style40"/>
        <w:keepNext/>
        <w:keepLines/>
        <w:widowControl w:val="0"/>
        <w:shd w:val="clear" w:color="auto" w:fill="auto"/>
        <w:bidi w:val="0"/>
        <w:spacing w:before="0" w:after="360" w:line="240" w:lineRule="auto"/>
        <w:ind w:left="0" w:right="0" w:firstLine="0"/>
        <w:jc w:val="left"/>
      </w:pPr>
      <w:bookmarkStart w:id="1722" w:name="bookmark1722"/>
      <w:bookmarkStart w:id="1723" w:name="bookmark1723"/>
      <w:bookmarkStart w:id="1724" w:name="bookmark17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22"/>
      <w:bookmarkEnd w:id="1723"/>
      <w:bookmarkEnd w:id="172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烟台东源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白云浙变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698,570.22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495,379.80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1,098,570.22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504,243.73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1,027,531.11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731,293.89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1,027,531.11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471,636.78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都昌龙能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389,500.01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277,207.16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389,548.67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178,802.84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梁山龙能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208,100.00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162,713.39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浙江龙能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134,911.80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61,924.52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中宁新能源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1,358,490.57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中宁新能源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34,903,533.11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1,745,176.66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上海商务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191.92</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725" w:name="bookmark1725"/>
      <w:bookmarkStart w:id="1726" w:name="bookmark1726"/>
      <w:bookmarkStart w:id="1727" w:name="bookmark17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25"/>
      <w:bookmarkEnd w:id="1726"/>
      <w:bookmarkEnd w:id="172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白云浙变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1,076,225.54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烟台东源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2,692,707.08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tabs>
          <w:tab w:pos="378" w:val="left"/>
        </w:tabs>
        <w:bidi w:val="0"/>
        <w:spacing w:before="0" w:after="36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6</w:t>
      </w:r>
      <w:bookmarkEnd w:id="1730"/>
      <w:r>
        <w:rPr>
          <w:color w:val="000000"/>
          <w:spacing w:val="0"/>
          <w:w w:val="100"/>
          <w:position w:val="0"/>
        </w:rPr>
        <w:t>、</w:t>
        <w:tab/>
        <w:t>关联方承诺</w:t>
      </w:r>
      <w:bookmarkEnd w:id="1728"/>
      <w:bookmarkEnd w:id="1729"/>
      <w:bookmarkEnd w:id="1731"/>
    </w:p>
    <w:p>
      <w:pPr>
        <w:pStyle w:val="Style31"/>
        <w:keepNext/>
        <w:keepLines/>
        <w:widowControl w:val="0"/>
        <w:shd w:val="clear" w:color="auto" w:fill="auto"/>
        <w:tabs>
          <w:tab w:pos="378" w:val="left"/>
        </w:tabs>
        <w:bidi w:val="0"/>
        <w:spacing w:before="0" w:after="36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7</w:t>
      </w:r>
      <w:bookmarkEnd w:id="1734"/>
      <w:r>
        <w:rPr>
          <w:color w:val="000000"/>
          <w:spacing w:val="0"/>
          <w:w w:val="100"/>
          <w:position w:val="0"/>
        </w:rPr>
        <w:t>、</w:t>
        <w:tab/>
        <w:t>其他</w:t>
      </w:r>
      <w:bookmarkEnd w:id="1732"/>
      <w:bookmarkEnd w:id="1733"/>
      <w:bookmarkEnd w:id="1735"/>
    </w:p>
    <w:p>
      <w:pPr>
        <w:pStyle w:val="Style23"/>
        <w:keepNext/>
        <w:keepLines/>
        <w:widowControl w:val="0"/>
        <w:shd w:val="clear" w:color="auto" w:fill="auto"/>
        <w:bidi w:val="0"/>
        <w:spacing w:before="0" w:line="240" w:lineRule="auto"/>
        <w:ind w:left="0" w:right="0" w:firstLine="0"/>
        <w:jc w:val="left"/>
      </w:pPr>
      <w:bookmarkStart w:id="1736" w:name="bookmark1736"/>
      <w:bookmarkStart w:id="1737" w:name="bookmark1737"/>
      <w:bookmarkStart w:id="1738" w:name="bookmark1738"/>
      <w:r>
        <w:rPr>
          <w:color w:val="000000"/>
          <w:spacing w:val="0"/>
          <w:w w:val="100"/>
          <w:position w:val="0"/>
        </w:rPr>
        <w:t>十三、承诺及或有事项</w:t>
      </w:r>
      <w:bookmarkEnd w:id="1736"/>
      <w:bookmarkEnd w:id="1737"/>
      <w:bookmarkEnd w:id="1738"/>
    </w:p>
    <w:p>
      <w:pPr>
        <w:pStyle w:val="Style31"/>
        <w:keepNext/>
        <w:keepLines/>
        <w:widowControl w:val="0"/>
        <w:shd w:val="clear" w:color="auto" w:fill="auto"/>
        <w:bidi w:val="0"/>
        <w:spacing w:before="0" w:after="360" w:line="240" w:lineRule="auto"/>
        <w:ind w:left="0" w:right="0" w:firstLine="0"/>
        <w:jc w:val="left"/>
      </w:pPr>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39"/>
      <w:bookmarkEnd w:id="1740"/>
      <w:bookmarkEnd w:id="1741"/>
    </w:p>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rPr>
        <w:t>资产负债表日存在的重要承诺</w:t>
      </w:r>
    </w:p>
    <w:p>
      <w:pPr>
        <w:pStyle w:val="Style64"/>
        <w:keepNext w:val="0"/>
        <w:keepLines w:val="0"/>
        <w:widowControl w:val="0"/>
        <w:shd w:val="clear" w:color="auto" w:fill="auto"/>
        <w:bidi w:val="0"/>
        <w:spacing w:before="0" w:after="180" w:line="240" w:lineRule="auto"/>
        <w:ind w:left="0" w:right="0"/>
        <w:jc w:val="left"/>
      </w:pPr>
      <w:r>
        <w:rPr>
          <w:color w:val="000000"/>
          <w:spacing w:val="0"/>
          <w:w w:val="100"/>
          <w:position w:val="0"/>
        </w:rPr>
        <w:t>利润分配承诺</w:t>
      </w:r>
    </w:p>
    <w:p>
      <w:pPr>
        <w:pStyle w:val="Style64"/>
        <w:keepNext w:val="0"/>
        <w:keepLines w:val="0"/>
        <w:widowControl w:val="0"/>
        <w:shd w:val="clear" w:color="auto" w:fill="auto"/>
        <w:bidi w:val="0"/>
        <w:spacing w:before="0" w:after="120" w:line="240" w:lineRule="auto"/>
        <w:ind w:left="0" w:right="0"/>
        <w:jc w:val="left"/>
      </w:pPr>
      <w:r>
        <w:rPr>
          <w:color w:val="000000"/>
          <w:spacing w:val="0"/>
          <w:w w:val="100"/>
          <w:position w:val="0"/>
        </w:rPr>
        <w:t xml:space="preserve">根据本公司章程，在满足公司正常生产经营资金需求的情况下，如无重大投资计划或重 </w:t>
      </w:r>
      <w:r>
        <w:rPr>
          <w:color w:val="000000"/>
          <w:spacing w:val="0"/>
          <w:w w:val="100"/>
          <w:position w:val="0"/>
        </w:rPr>
        <w:t>大现金支出等事项，公司应该采取现金方式分配股利，并且以现金方式分配的利润不少于当 年实现的可分配利润的</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w:t>
      </w:r>
    </w:p>
    <w:p>
      <w:pPr>
        <w:pStyle w:val="Style64"/>
        <w:keepNext w:val="0"/>
        <w:keepLines w:val="0"/>
        <w:widowControl w:val="0"/>
        <w:shd w:val="clear" w:color="auto" w:fill="auto"/>
        <w:bidi w:val="0"/>
        <w:spacing w:before="0" w:after="660" w:line="302"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日，本集团不存在其他应披露的承诺事项。</w:t>
      </w:r>
    </w:p>
    <w:p>
      <w:pPr>
        <w:pStyle w:val="Style31"/>
        <w:keepNext/>
        <w:keepLines/>
        <w:widowControl w:val="0"/>
        <w:shd w:val="clear" w:color="auto" w:fill="auto"/>
        <w:bidi w:val="0"/>
        <w:spacing w:before="0" w:after="360" w:line="240" w:lineRule="auto"/>
        <w:ind w:left="0" w:right="0" w:firstLine="0"/>
        <w:jc w:val="left"/>
      </w:pPr>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742"/>
      <w:bookmarkEnd w:id="1743"/>
      <w:bookmarkEnd w:id="1744"/>
    </w:p>
    <w:p>
      <w:pPr>
        <w:pStyle w:val="Style40"/>
        <w:keepNext/>
        <w:keepLines/>
        <w:widowControl w:val="0"/>
        <w:shd w:val="clear" w:color="auto" w:fill="auto"/>
        <w:bidi w:val="0"/>
        <w:spacing w:before="0" w:after="360" w:line="240" w:lineRule="auto"/>
        <w:ind w:left="0" w:right="0" w:firstLine="0"/>
        <w:jc w:val="left"/>
      </w:pPr>
      <w:bookmarkStart w:id="1745" w:name="bookmark1745"/>
      <w:bookmarkStart w:id="1746" w:name="bookmark1746"/>
      <w:bookmarkStart w:id="1747" w:name="bookmark17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745"/>
      <w:bookmarkEnd w:id="1746"/>
      <w:bookmarkEnd w:id="1747"/>
    </w:p>
    <w:p>
      <w:pPr>
        <w:pStyle w:val="Style64"/>
        <w:keepNext w:val="0"/>
        <w:keepLines w:val="0"/>
        <w:widowControl w:val="0"/>
        <w:shd w:val="clear" w:color="auto" w:fill="auto"/>
        <w:bidi w:val="0"/>
        <w:spacing w:before="0" w:after="4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日，本集团存在尚未完毕的为子公司贷款提供保证事项，具体如下:</w:t>
      </w:r>
    </w:p>
    <w:p>
      <w:pPr>
        <w:pStyle w:val="Style64"/>
        <w:keepNext w:val="0"/>
        <w:keepLines w:val="0"/>
        <w:widowControl w:val="0"/>
        <w:shd w:val="clear" w:color="auto" w:fill="auto"/>
        <w:bidi w:val="0"/>
        <w:spacing w:before="0" w:after="40" w:line="240" w:lineRule="auto"/>
        <w:ind w:left="6580"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2280"/>
        <w:gridCol w:w="1848"/>
        <w:gridCol w:w="1613"/>
        <w:gridCol w:w="1805"/>
        <w:gridCol w:w="213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被担保方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担保金额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担保起始日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担保到期日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担保是否已经履行完毕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2021-11-29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否（申请延期）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2021-11-11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否（申请延期）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星波通信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星波通信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3,000.00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r>
    </w:tbl>
    <w:p>
      <w:pPr>
        <w:widowControl w:val="0"/>
        <w:spacing w:after="659" w:line="1" w:lineRule="exact"/>
      </w:pPr>
    </w:p>
    <w:p>
      <w:pPr>
        <w:pStyle w:val="Style40"/>
        <w:keepNext/>
        <w:keepLines/>
        <w:widowControl w:val="0"/>
        <w:shd w:val="clear" w:color="auto" w:fill="auto"/>
        <w:bidi w:val="0"/>
        <w:spacing w:before="0" w:after="360" w:line="240" w:lineRule="auto"/>
        <w:ind w:left="0" w:right="0" w:firstLine="0"/>
        <w:jc w:val="left"/>
      </w:pPr>
      <w:bookmarkStart w:id="1748" w:name="bookmark1748"/>
      <w:bookmarkStart w:id="1749" w:name="bookmark1749"/>
      <w:bookmarkStart w:id="1750" w:name="bookmark17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748"/>
      <w:bookmarkEnd w:id="1749"/>
      <w:bookmarkEnd w:id="1750"/>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1"/>
        <w:keepNext/>
        <w:keepLines/>
        <w:widowControl w:val="0"/>
        <w:shd w:val="clear" w:color="auto" w:fill="auto"/>
        <w:bidi w:val="0"/>
        <w:spacing w:before="0" w:after="36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3</w:t>
      </w:r>
      <w:bookmarkEnd w:id="1753"/>
      <w:r>
        <w:rPr>
          <w:color w:val="000000"/>
          <w:spacing w:val="0"/>
          <w:w w:val="100"/>
          <w:position w:val="0"/>
        </w:rPr>
        <w:t>、其他</w:t>
      </w:r>
      <w:bookmarkEnd w:id="1751"/>
      <w:bookmarkEnd w:id="1752"/>
      <w:bookmarkEnd w:id="1754"/>
    </w:p>
    <w:p>
      <w:pPr>
        <w:pStyle w:val="Style64"/>
        <w:keepNext w:val="0"/>
        <w:keepLines w:val="0"/>
        <w:widowControl w:val="0"/>
        <w:shd w:val="clear" w:color="auto" w:fill="auto"/>
        <w:bidi w:val="0"/>
        <w:spacing w:before="0" w:after="66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日，本集团无其他应披露的未决诉讼、对外担保等或有事项。</w:t>
      </w:r>
    </w:p>
    <w:p>
      <w:pPr>
        <w:pStyle w:val="Style23"/>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r>
        <w:rPr>
          <w:color w:val="000000"/>
          <w:spacing w:val="0"/>
          <w:w w:val="100"/>
          <w:position w:val="0"/>
        </w:rPr>
        <w:t>十四、资产负债表日后事项</w:t>
      </w:r>
      <w:bookmarkEnd w:id="1755"/>
      <w:bookmarkEnd w:id="1756"/>
      <w:bookmarkEnd w:id="1757"/>
    </w:p>
    <w:p>
      <w:pPr>
        <w:pStyle w:val="Style31"/>
        <w:keepNext/>
        <w:keepLines/>
        <w:widowControl w:val="0"/>
        <w:shd w:val="clear" w:color="auto" w:fill="auto"/>
        <w:bidi w:val="0"/>
        <w:spacing w:before="0" w:after="360" w:line="240" w:lineRule="auto"/>
        <w:ind w:left="0" w:right="0" w:firstLine="0"/>
        <w:jc w:val="left"/>
      </w:pPr>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758"/>
      <w:bookmarkEnd w:id="1759"/>
      <w:bookmarkEnd w:id="17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1761" w:name="bookmark176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、销售退回</w:t>
      </w:r>
      <w:bookmarkEnd w:id="1761"/>
    </w:p>
    <w:p>
      <w:pPr>
        <w:widowControl w:val="0"/>
        <w:spacing w:after="359" w:line="1" w:lineRule="exact"/>
      </w:pPr>
    </w:p>
    <w:p>
      <w:pPr>
        <w:pStyle w:val="Style6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截至报告批准日，公司不存在重要的销售退回。</w:t>
      </w:r>
    </w:p>
    <w:p>
      <w:pPr>
        <w:pStyle w:val="Style31"/>
        <w:keepNext/>
        <w:keepLines/>
        <w:widowControl w:val="0"/>
        <w:shd w:val="clear" w:color="auto" w:fill="auto"/>
        <w:bidi w:val="0"/>
        <w:spacing w:before="0" w:after="280" w:line="240" w:lineRule="auto"/>
        <w:ind w:left="0" w:right="0" w:firstLine="0"/>
        <w:jc w:val="both"/>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3</w:t>
      </w:r>
      <w:bookmarkEnd w:id="1764"/>
      <w:r>
        <w:rPr>
          <w:color w:val="000000"/>
          <w:spacing w:val="0"/>
          <w:w w:val="100"/>
          <w:position w:val="0"/>
        </w:rPr>
        <w:t>、其他资产负债表日后事项说明</w:t>
      </w:r>
      <w:bookmarkEnd w:id="1762"/>
      <w:bookmarkEnd w:id="1763"/>
      <w:bookmarkEnd w:id="1765"/>
    </w:p>
    <w:p>
      <w:pPr>
        <w:pStyle w:val="Style64"/>
        <w:keepNext w:val="0"/>
        <w:keepLines w:val="0"/>
        <w:widowControl w:val="0"/>
        <w:shd w:val="clear" w:color="auto" w:fill="auto"/>
        <w:bidi w:val="0"/>
        <w:spacing w:before="0" w:line="319" w:lineRule="exact"/>
        <w:ind w:left="0" w:right="0"/>
        <w:jc w:val="both"/>
      </w:pPr>
      <w:r>
        <w:rPr>
          <w:color w:val="000000"/>
          <w:spacing w:val="0"/>
          <w:w w:val="100"/>
          <w:position w:val="0"/>
        </w:rPr>
        <w:t>红相股份有限公司（以下简称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日召开第五届董事会第九次会议审 议通过了《关于公司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年度利润分配预案的议案》，本年度不派发现金股利，不送红股， 不以资本公积金转增股本。</w:t>
      </w:r>
    </w:p>
    <w:p>
      <w:pPr>
        <w:pStyle w:val="Style64"/>
        <w:keepNext w:val="0"/>
        <w:keepLines w:val="0"/>
        <w:widowControl w:val="0"/>
        <w:shd w:val="clear" w:color="auto" w:fill="auto"/>
        <w:bidi w:val="0"/>
        <w:spacing w:before="0" w:after="620" w:line="319"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日，本集团不存在其他应披露的资产负债表日后事项。</w:t>
      </w:r>
    </w:p>
    <w:p>
      <w:pPr>
        <w:pStyle w:val="Style23"/>
        <w:keepNext/>
        <w:keepLines/>
        <w:widowControl w:val="0"/>
        <w:shd w:val="clear" w:color="auto" w:fill="auto"/>
        <w:bidi w:val="0"/>
        <w:spacing w:before="0" w:line="319" w:lineRule="exact"/>
        <w:ind w:left="0" w:right="0" w:firstLine="0"/>
        <w:jc w:val="left"/>
      </w:pPr>
      <w:bookmarkStart w:id="1766" w:name="bookmark1766"/>
      <w:bookmarkStart w:id="1767" w:name="bookmark1767"/>
      <w:bookmarkStart w:id="1768" w:name="bookmark1768"/>
      <w:r>
        <w:rPr>
          <w:color w:val="000000"/>
          <w:spacing w:val="0"/>
          <w:w w:val="100"/>
          <w:position w:val="0"/>
        </w:rPr>
        <w:t>十五、其他重要事项</w:t>
      </w:r>
      <w:bookmarkEnd w:id="1766"/>
      <w:bookmarkEnd w:id="1767"/>
      <w:bookmarkEnd w:id="1768"/>
    </w:p>
    <w:p>
      <w:pPr>
        <w:pStyle w:val="Style31"/>
        <w:keepNext/>
        <w:keepLines/>
        <w:widowControl w:val="0"/>
        <w:shd w:val="clear" w:color="auto" w:fill="auto"/>
        <w:bidi w:val="0"/>
        <w:spacing w:before="0" w:after="360" w:line="240" w:lineRule="auto"/>
        <w:ind w:left="0" w:right="0" w:firstLine="0"/>
        <w:jc w:val="left"/>
      </w:pPr>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769"/>
      <w:bookmarkEnd w:id="1770"/>
      <w:bookmarkEnd w:id="1771"/>
    </w:p>
    <w:p>
      <w:pPr>
        <w:pStyle w:val="Style40"/>
        <w:keepNext/>
        <w:keepLines/>
        <w:widowControl w:val="0"/>
        <w:shd w:val="clear" w:color="auto" w:fill="auto"/>
        <w:bidi w:val="0"/>
        <w:spacing w:before="0" w:after="280" w:line="240" w:lineRule="auto"/>
        <w:ind w:left="0" w:right="0" w:firstLine="0"/>
        <w:jc w:val="left"/>
      </w:pPr>
      <w:bookmarkStart w:id="1772" w:name="bookmark1772"/>
      <w:bookmarkStart w:id="1773" w:name="bookmark1773"/>
      <w:bookmarkStart w:id="1774" w:name="bookmark17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772"/>
      <w:bookmarkEnd w:id="1773"/>
      <w:bookmarkEnd w:id="1774"/>
    </w:p>
    <w:p>
      <w:pPr>
        <w:pStyle w:val="Style64"/>
        <w:keepNext w:val="0"/>
        <w:keepLines w:val="0"/>
        <w:widowControl w:val="0"/>
        <w:shd w:val="clear" w:color="auto" w:fill="auto"/>
        <w:bidi w:val="0"/>
        <w:spacing w:before="0" w:line="317" w:lineRule="exact"/>
        <w:ind w:left="0" w:right="0"/>
        <w:jc w:val="both"/>
      </w:pPr>
      <w:r>
        <w:rPr>
          <w:color w:val="000000"/>
          <w:spacing w:val="0"/>
          <w:w w:val="100"/>
          <w:position w:val="0"/>
        </w:rPr>
        <w:t>根据本集团的内部组织结构、管理要求及内部报告制度，本集团的经营业务划分为</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个报 告分部。这些报告分部是以公司日常内部管理要求的财务信息为基础确定的。集团的管理层 定期评价这些报告分部的经营成果，以决定向其分配资源及评价其业绩。</w:t>
      </w:r>
    </w:p>
    <w:p>
      <w:pPr>
        <w:pStyle w:val="Style64"/>
        <w:keepNext w:val="0"/>
        <w:keepLines w:val="0"/>
        <w:widowControl w:val="0"/>
        <w:shd w:val="clear" w:color="auto" w:fill="auto"/>
        <w:bidi w:val="0"/>
        <w:spacing w:before="0" w:after="140" w:line="319" w:lineRule="exact"/>
        <w:ind w:left="0" w:right="0"/>
        <w:jc w:val="both"/>
      </w:pPr>
      <w:r>
        <w:rPr>
          <w:color w:val="000000"/>
          <w:spacing w:val="0"/>
          <w:w w:val="100"/>
          <w:position w:val="0"/>
        </w:rPr>
        <w:t>本集团报告分部包括：</w:t>
      </w:r>
    </w:p>
    <w:p>
      <w:pPr>
        <w:pStyle w:val="Style64"/>
        <w:keepNext w:val="0"/>
        <w:keepLines w:val="0"/>
        <w:widowControl w:val="0"/>
        <w:shd w:val="clear" w:color="auto" w:fill="auto"/>
        <w:tabs>
          <w:tab w:pos="1026" w:val="left"/>
        </w:tabs>
        <w:bidi w:val="0"/>
        <w:spacing w:before="0" w:line="319" w:lineRule="exact"/>
        <w:ind w:left="0" w:right="0"/>
        <w:jc w:val="both"/>
      </w:pPr>
      <w:bookmarkStart w:id="1775" w:name="bookmark1775"/>
      <w:r>
        <w:rPr>
          <w:color w:val="000000"/>
          <w:spacing w:val="0"/>
          <w:w w:val="100"/>
          <w:position w:val="0"/>
        </w:rPr>
        <w:t>（</w:t>
      </w:r>
      <w:bookmarkEnd w:id="1775"/>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电力分部：生产及销售电力设备相关产品；</w:t>
      </w:r>
    </w:p>
    <w:p>
      <w:pPr>
        <w:pStyle w:val="Style64"/>
        <w:keepNext w:val="0"/>
        <w:keepLines w:val="0"/>
        <w:widowControl w:val="0"/>
        <w:shd w:val="clear" w:color="auto" w:fill="auto"/>
        <w:tabs>
          <w:tab w:pos="1026" w:val="left"/>
        </w:tabs>
        <w:bidi w:val="0"/>
        <w:spacing w:before="0" w:line="319" w:lineRule="exact"/>
        <w:ind w:left="0" w:right="0"/>
        <w:jc w:val="both"/>
      </w:pPr>
      <w:bookmarkStart w:id="1776" w:name="bookmark1776"/>
      <w:r>
        <w:rPr>
          <w:color w:val="000000"/>
          <w:spacing w:val="0"/>
          <w:w w:val="100"/>
          <w:position w:val="0"/>
        </w:rPr>
        <w:t>（</w:t>
      </w:r>
      <w:bookmarkEnd w:id="177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铁路与轨道交通分部：生产及销售铁路变压器及电力变压器等相关产品；</w:t>
      </w:r>
    </w:p>
    <w:p>
      <w:pPr>
        <w:pStyle w:val="Style64"/>
        <w:keepNext w:val="0"/>
        <w:keepLines w:val="0"/>
        <w:widowControl w:val="0"/>
        <w:shd w:val="clear" w:color="auto" w:fill="auto"/>
        <w:tabs>
          <w:tab w:pos="1026" w:val="left"/>
        </w:tabs>
        <w:bidi w:val="0"/>
        <w:spacing w:before="0" w:line="319" w:lineRule="exact"/>
        <w:ind w:left="0" w:right="0"/>
        <w:jc w:val="both"/>
      </w:pPr>
      <w:bookmarkStart w:id="1777" w:name="bookmark1777"/>
      <w:r>
        <w:rPr>
          <w:color w:val="000000"/>
          <w:spacing w:val="0"/>
          <w:w w:val="100"/>
          <w:position w:val="0"/>
        </w:rPr>
        <w:t>（</w:t>
      </w:r>
      <w:bookmarkEnd w:id="1777"/>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新能源分部：从事新能源开发、建设、管理咨询；</w:t>
      </w:r>
    </w:p>
    <w:p>
      <w:pPr>
        <w:pStyle w:val="Style64"/>
        <w:keepNext w:val="0"/>
        <w:keepLines w:val="0"/>
        <w:widowControl w:val="0"/>
        <w:shd w:val="clear" w:color="auto" w:fill="auto"/>
        <w:tabs>
          <w:tab w:pos="1026" w:val="left"/>
        </w:tabs>
        <w:bidi w:val="0"/>
        <w:spacing w:before="0" w:line="319" w:lineRule="exact"/>
        <w:ind w:left="0" w:right="0"/>
        <w:jc w:val="both"/>
      </w:pPr>
      <w:bookmarkStart w:id="1778" w:name="bookmark1778"/>
      <w:r>
        <w:rPr>
          <w:color w:val="000000"/>
          <w:spacing w:val="0"/>
          <w:w w:val="100"/>
          <w:position w:val="0"/>
        </w:rPr>
        <w:t>（</w:t>
      </w:r>
      <w:bookmarkEnd w:id="1778"/>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军工分部：生产及销售射频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微波部件等相关产品；</w:t>
      </w:r>
    </w:p>
    <w:p>
      <w:pPr>
        <w:pStyle w:val="Style64"/>
        <w:keepNext w:val="0"/>
        <w:keepLines w:val="0"/>
        <w:widowControl w:val="0"/>
        <w:shd w:val="clear" w:color="auto" w:fill="auto"/>
        <w:bidi w:val="0"/>
        <w:spacing w:before="0" w:after="1100" w:line="319" w:lineRule="exact"/>
        <w:ind w:left="0" w:right="0"/>
        <w:jc w:val="both"/>
      </w:pPr>
      <w:r>
        <w:rPr>
          <w:color w:val="000000"/>
          <w:spacing w:val="0"/>
          <w:w w:val="100"/>
          <w:position w:val="0"/>
        </w:rPr>
        <w:t>除附注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之</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33</w:t>
      </w:r>
      <w:r>
        <w:rPr>
          <w:color w:val="000000"/>
          <w:spacing w:val="0"/>
          <w:w w:val="100"/>
          <w:position w:val="0"/>
        </w:rPr>
        <w:t>中按照报告分部列示的会计政策差异外， 分部报告信息根据各分部向管理层报告时采用的会计政策及计量标准披露，这些会计政策及 计量基础与编制财务报表时的会计政策及计量基础保持一致。</w:t>
      </w:r>
    </w:p>
    <w:p>
      <w:pPr>
        <w:pStyle w:val="Style40"/>
        <w:keepNext/>
        <w:keepLines/>
        <w:widowControl w:val="0"/>
        <w:shd w:val="clear" w:color="auto" w:fill="auto"/>
        <w:bidi w:val="0"/>
        <w:spacing w:before="0" w:after="360" w:line="240" w:lineRule="auto"/>
        <w:ind w:left="0" w:right="0" w:firstLine="0"/>
        <w:jc w:val="left"/>
      </w:pPr>
      <w:bookmarkStart w:id="1779" w:name="bookmark1779"/>
      <w:bookmarkStart w:id="1780" w:name="bookmark1780"/>
      <w:bookmarkStart w:id="1781" w:name="bookmark17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779"/>
      <w:bookmarkEnd w:id="1780"/>
      <w:bookmarkEnd w:id="178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电力分部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铁路与轨道交通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新能源分部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军工分部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628,195,986.92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464,581,065.74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110,583,145.80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218,798,505.16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-27,789,117.51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1,394,369,586.11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其中：对外交易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600,564,128.55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464,423,806.60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110,583,145.80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218,798,505.16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1,394,369,586.11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分部间交易收入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27,631,858.37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157,259.14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-27,789,117.51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其中：主营业务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598,293,397.42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456,764,528.22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110,583,145.80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216,913,100.23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-17,188,232.55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1,365,365,939.12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423,882,704.44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395,497,354.07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37,967,821.37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102,846,468.89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-27,789,117.51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932,405,231.26</w:t>
            </w:r>
          </w:p>
        </w:tc>
      </w:tr>
    </w:tbl>
    <w:p>
      <w:pPr>
        <w:widowControl w:val="0"/>
        <w:spacing w:line="1" w:lineRule="exact"/>
      </w:pP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其中：主营业务 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408,258,889.76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393,797,970.46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37,967,821.37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101,489,991.31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-27,789,117.51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913,725,555.39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2,950,750.91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2,472,554.00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111,369.28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1,949,777.73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7,484,451.92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98,349,835.41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28,797,223.53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4,444,098.20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131,591,477.14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51,363,149.05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25,467,188.76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1,791,894.64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28,456,435.92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107,078,668.37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67,248,227.29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18,655,203.32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16,787,031.20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102,690,461.81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57,540,341.71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18,010,751.44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34,336,074.22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-613,852.47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109,273,314.90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-282,935,773.84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59,170,223.65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32,102,919.08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64,672,998.51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-511,321,309.77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-638,310,942.37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1,839,904,811.64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1,399,657,614.65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164,493,820.05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599,093,045.45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-116,332,361.92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3,886,816,929.87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1,451,038,213.09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645,634,805.90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23,555,808.11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195,180,099.01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-117,836,843.74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2,197,572,082.37</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both"/>
      </w:pPr>
      <w:bookmarkStart w:id="1782" w:name="bookmark1782"/>
      <w:bookmarkStart w:id="1783" w:name="bookmark1783"/>
      <w:bookmarkStart w:id="1784" w:name="bookmark1784"/>
      <w:bookmarkStart w:id="1785" w:name="bookmark1785"/>
      <w:r>
        <w:rPr>
          <w:color w:val="000000"/>
          <w:spacing w:val="0"/>
          <w:w w:val="100"/>
          <w:position w:val="0"/>
        </w:rPr>
        <w:t>（</w:t>
      </w:r>
      <w:bookmarkEnd w:id="1784"/>
      <w:r>
        <w:rPr>
          <w:rFonts w:ascii="Times New Roman" w:eastAsia="Times New Roman" w:hAnsi="Times New Roman" w:cs="Times New Roman"/>
          <w:color w:val="000000"/>
          <w:spacing w:val="0"/>
          <w:w w:val="100"/>
          <w:position w:val="0"/>
        </w:rPr>
        <w:t>3</w:t>
      </w:r>
      <w:r>
        <w:rPr>
          <w:color w:val="000000"/>
          <w:spacing w:val="0"/>
          <w:w w:val="100"/>
          <w:position w:val="0"/>
        </w:rPr>
        <w:t>）公司无报告分部的，或者不能披露各报告分部的资产总额和负债总额的，应说明原因</w:t>
      </w:r>
      <w:bookmarkEnd w:id="1782"/>
      <w:bookmarkEnd w:id="1783"/>
      <w:bookmarkEnd w:id="1785"/>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0"/>
        <w:keepNext/>
        <w:keepLines/>
        <w:widowControl w:val="0"/>
        <w:shd w:val="clear" w:color="auto" w:fill="auto"/>
        <w:bidi w:val="0"/>
        <w:spacing w:before="0" w:after="320" w:line="240" w:lineRule="auto"/>
        <w:ind w:left="0" w:right="0" w:firstLine="0"/>
        <w:jc w:val="both"/>
      </w:pPr>
      <w:bookmarkStart w:id="1786" w:name="bookmark1786"/>
      <w:bookmarkStart w:id="1787" w:name="bookmark1787"/>
      <w:bookmarkStart w:id="1788" w:name="bookmark1788"/>
      <w:bookmarkStart w:id="1789" w:name="bookmark1789"/>
      <w:r>
        <w:rPr>
          <w:color w:val="000000"/>
          <w:spacing w:val="0"/>
          <w:w w:val="100"/>
          <w:position w:val="0"/>
        </w:rPr>
        <w:t>（</w:t>
      </w:r>
      <w:bookmarkEnd w:id="1788"/>
      <w:r>
        <w:rPr>
          <w:rFonts w:ascii="Times New Roman" w:eastAsia="Times New Roman" w:hAnsi="Times New Roman" w:cs="Times New Roman"/>
          <w:color w:val="000000"/>
          <w:spacing w:val="0"/>
          <w:w w:val="100"/>
          <w:position w:val="0"/>
        </w:rPr>
        <w:t>4</w:t>
      </w:r>
      <w:r>
        <w:rPr>
          <w:color w:val="000000"/>
          <w:spacing w:val="0"/>
          <w:w w:val="100"/>
          <w:position w:val="0"/>
        </w:rPr>
        <w:t>）其他说明</w:t>
      </w:r>
      <w:bookmarkEnd w:id="1786"/>
      <w:bookmarkEnd w:id="1787"/>
      <w:bookmarkEnd w:id="1789"/>
    </w:p>
    <w:p>
      <w:pPr>
        <w:pStyle w:val="Style64"/>
        <w:keepNext w:val="0"/>
        <w:keepLines w:val="0"/>
        <w:widowControl w:val="0"/>
        <w:numPr>
          <w:ilvl w:val="0"/>
          <w:numId w:val="103"/>
        </w:numPr>
        <w:shd w:val="clear" w:color="auto" w:fill="auto"/>
        <w:tabs>
          <w:tab w:pos="921" w:val="left"/>
        </w:tabs>
        <w:bidi w:val="0"/>
        <w:spacing w:before="0" w:after="220" w:line="322" w:lineRule="exact"/>
        <w:ind w:left="0" w:right="0"/>
        <w:jc w:val="left"/>
      </w:pPr>
      <w:bookmarkStart w:id="1790" w:name="bookmark1790"/>
      <w:bookmarkEnd w:id="1790"/>
      <w:r>
        <w:rPr>
          <w:color w:val="000000"/>
          <w:spacing w:val="0"/>
          <w:w w:val="100"/>
          <w:position w:val="0"/>
        </w:rPr>
        <w:t>地区信息</w:t>
      </w:r>
    </w:p>
    <w:p>
      <w:pPr>
        <w:pStyle w:val="Style64"/>
        <w:keepNext w:val="0"/>
        <w:keepLines w:val="0"/>
        <w:widowControl w:val="0"/>
        <w:shd w:val="clear" w:color="auto" w:fill="auto"/>
        <w:bidi w:val="0"/>
        <w:spacing w:before="0" w:after="220" w:line="322" w:lineRule="exact"/>
        <w:ind w:left="0" w:right="0"/>
        <w:jc w:val="both"/>
      </w:pPr>
      <w:r>
        <w:rPr>
          <w:color w:val="000000"/>
          <w:spacing w:val="0"/>
          <w:w w:val="100"/>
          <w:position w:val="0"/>
        </w:rPr>
        <w:t>由于本集团收入逾</w:t>
      </w:r>
      <w:r>
        <w:rPr>
          <w:rFonts w:ascii="Times New Roman" w:eastAsia="Times New Roman" w:hAnsi="Times New Roman" w:cs="Times New Roman"/>
          <w:color w:val="000000"/>
          <w:spacing w:val="0"/>
          <w:w w:val="100"/>
          <w:position w:val="0"/>
          <w:sz w:val="24"/>
          <w:szCs w:val="24"/>
        </w:rPr>
        <w:t>90%</w:t>
      </w:r>
      <w:r>
        <w:rPr>
          <w:color w:val="000000"/>
          <w:spacing w:val="0"/>
          <w:w w:val="100"/>
          <w:position w:val="0"/>
        </w:rPr>
        <w:t>来自于中国境内的客户，而且本集团资产逾</w:t>
      </w:r>
      <w:r>
        <w:rPr>
          <w:rFonts w:ascii="Times New Roman" w:eastAsia="Times New Roman" w:hAnsi="Times New Roman" w:cs="Times New Roman"/>
          <w:color w:val="000000"/>
          <w:spacing w:val="0"/>
          <w:w w:val="100"/>
          <w:position w:val="0"/>
          <w:sz w:val="24"/>
          <w:szCs w:val="24"/>
        </w:rPr>
        <w:t>90%</w:t>
      </w:r>
      <w:r>
        <w:rPr>
          <w:color w:val="000000"/>
          <w:spacing w:val="0"/>
          <w:w w:val="100"/>
          <w:position w:val="0"/>
        </w:rPr>
        <w:t>位于中国境内， 所以无须列报更详细的地区信息。</w:t>
      </w:r>
    </w:p>
    <w:p>
      <w:pPr>
        <w:pStyle w:val="Style64"/>
        <w:keepNext w:val="0"/>
        <w:keepLines w:val="0"/>
        <w:widowControl w:val="0"/>
        <w:numPr>
          <w:ilvl w:val="0"/>
          <w:numId w:val="103"/>
        </w:numPr>
        <w:shd w:val="clear" w:color="auto" w:fill="auto"/>
        <w:tabs>
          <w:tab w:pos="921" w:val="left"/>
        </w:tabs>
        <w:bidi w:val="0"/>
        <w:spacing w:before="0" w:after="220" w:line="322" w:lineRule="exact"/>
        <w:ind w:left="0" w:right="0"/>
        <w:jc w:val="both"/>
      </w:pPr>
      <w:bookmarkStart w:id="1791" w:name="bookmark1791"/>
      <w:bookmarkEnd w:id="1791"/>
      <w:r>
        <w:rPr>
          <w:color w:val="000000"/>
          <w:spacing w:val="0"/>
          <w:w w:val="100"/>
          <w:position w:val="0"/>
        </w:rPr>
        <w:t>对主要客户的依赖程度</w:t>
      </w:r>
    </w:p>
    <w:p>
      <w:pPr>
        <w:pStyle w:val="Style64"/>
        <w:keepNext w:val="0"/>
        <w:keepLines w:val="0"/>
        <w:widowControl w:val="0"/>
        <w:shd w:val="clear" w:color="auto" w:fill="auto"/>
        <w:bidi w:val="0"/>
        <w:spacing w:before="0" w:after="860" w:line="322" w:lineRule="exact"/>
        <w:ind w:left="0" w:right="0"/>
        <w:jc w:val="left"/>
      </w:pPr>
      <w:r>
        <w:rPr>
          <w:color w:val="000000"/>
          <w:spacing w:val="0"/>
          <w:w w:val="100"/>
          <w:position w:val="0"/>
        </w:rPr>
        <w:t>本期本集团无从单一客户处所获得的收入占本集团总收入超</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的情况。</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2</w:t>
      </w:r>
      <w:bookmarkEnd w:id="1794"/>
      <w:r>
        <w:rPr>
          <w:color w:val="000000"/>
          <w:spacing w:val="0"/>
          <w:w w:val="100"/>
          <w:position w:val="0"/>
        </w:rPr>
        <w:t>、</w:t>
        <w:tab/>
        <w:t>其他对投资者决策有影响的重要交易和事项</w:t>
      </w:r>
      <w:bookmarkEnd w:id="1792"/>
      <w:bookmarkEnd w:id="1793"/>
      <w:bookmarkEnd w:id="179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3</w:t>
      </w:r>
      <w:bookmarkEnd w:id="1798"/>
      <w:r>
        <w:rPr>
          <w:color w:val="000000"/>
          <w:spacing w:val="0"/>
          <w:w w:val="100"/>
          <w:position w:val="0"/>
        </w:rPr>
        <w:t>、</w:t>
        <w:tab/>
        <w:t>其他</w:t>
      </w:r>
      <w:bookmarkEnd w:id="1796"/>
      <w:bookmarkEnd w:id="1797"/>
      <w:bookmarkEnd w:id="179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3"/>
        <w:keepNext/>
        <w:keepLines/>
        <w:widowControl w:val="0"/>
        <w:shd w:val="clear" w:color="auto" w:fill="auto"/>
        <w:bidi w:val="0"/>
        <w:spacing w:before="0" w:after="380" w:line="240" w:lineRule="auto"/>
        <w:ind w:left="0" w:right="0" w:firstLine="0"/>
        <w:jc w:val="both"/>
      </w:pPr>
      <w:bookmarkStart w:id="1800" w:name="bookmark1800"/>
      <w:bookmarkStart w:id="1801" w:name="bookmark1801"/>
      <w:bookmarkStart w:id="1802" w:name="bookmark1802"/>
      <w:r>
        <w:rPr>
          <w:color w:val="000000"/>
          <w:spacing w:val="0"/>
          <w:w w:val="100"/>
          <w:position w:val="0"/>
        </w:rPr>
        <w:t>十六、母公司财务报表主要项目注释</w:t>
      </w:r>
      <w:bookmarkEnd w:id="1800"/>
      <w:bookmarkEnd w:id="1801"/>
      <w:bookmarkEnd w:id="1802"/>
    </w:p>
    <w:p>
      <w:pPr>
        <w:pStyle w:val="Style31"/>
        <w:keepNext/>
        <w:keepLines/>
        <w:widowControl w:val="0"/>
        <w:shd w:val="clear" w:color="auto" w:fill="auto"/>
        <w:bidi w:val="0"/>
        <w:spacing w:before="0" w:after="380" w:line="240" w:lineRule="auto"/>
        <w:ind w:left="0" w:right="0" w:firstLine="0"/>
        <w:jc w:val="both"/>
      </w:pPr>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03"/>
      <w:bookmarkEnd w:id="1804"/>
      <w:bookmarkEnd w:id="1805"/>
    </w:p>
    <w:p>
      <w:pPr>
        <w:pStyle w:val="Style40"/>
        <w:keepNext/>
        <w:keepLines/>
        <w:widowControl w:val="0"/>
        <w:shd w:val="clear" w:color="auto" w:fill="auto"/>
        <w:bidi w:val="0"/>
        <w:spacing w:before="0" w:line="240" w:lineRule="auto"/>
        <w:ind w:left="0" w:right="0" w:firstLine="0"/>
        <w:jc w:val="both"/>
      </w:pPr>
      <w:bookmarkStart w:id="1806" w:name="bookmark1806"/>
      <w:bookmarkStart w:id="1807" w:name="bookmark1807"/>
      <w:bookmarkStart w:id="1808" w:name="bookmark18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06"/>
      <w:bookmarkEnd w:id="1807"/>
      <w:bookmarkEnd w:id="1808"/>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230,952,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20,640,1</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210,312,7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244,406,9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24,693,78</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219,713,14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：应收客户货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175,111,5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20,640,1</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154,471,3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223,272,2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24,693,78</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198,578,50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：应收客户电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：合并范围内 的应收关联方款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55,841,3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55,841,37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21,134,63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21,134,638.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230,952,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20,640,1</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210,312,7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244,406,9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24,693,78</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219,713,14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按组合计提坏账准备：本期按组合计提的坏账准备</w:t>
      </w:r>
      <w:r>
        <w:rPr>
          <w:rFonts w:ascii="Times New Roman" w:eastAsia="Times New Roman" w:hAnsi="Times New Roman" w:cs="Times New Roman"/>
          <w:color w:val="000000"/>
          <w:spacing w:val="0"/>
          <w:w w:val="100"/>
          <w:position w:val="0"/>
          <w:sz w:val="18"/>
          <w:szCs w:val="18"/>
        </w:rPr>
        <w:t>20,640,167.20</w:t>
      </w:r>
      <w:r>
        <w:rPr>
          <w:color w:val="000000"/>
          <w:spacing w:val="0"/>
          <w:w w:val="100"/>
          <w:position w:val="0"/>
        </w:rPr>
        <w:t>元</w:t>
      </w:r>
    </w:p>
    <w:p>
      <w:pPr>
        <w:widowControl w:val="0"/>
        <w:spacing w:after="99" w:line="1" w:lineRule="exact"/>
      </w:pPr>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按组合计提坏账准备的应收 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230,952,899.29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20,640,167.20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spacing w:lineRule="exact" w:line="1"/>
        <w:rPr>
          <w:sz w:val="2"/>
          <w:szCs w:val="2"/>
        </w:rPr>
      </w:pPr>
      <w:r>
        <w:br w:type="page"/>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171,211,325.99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25,377,459.79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16,209,540.24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18,154,573.27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8,644,492.96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i/>
                <w:iCs/>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1,758,084.10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7,751,996.21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230,952,899.29</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809" w:name="bookmark1809"/>
      <w:bookmarkStart w:id="1810" w:name="bookmark1810"/>
      <w:bookmarkStart w:id="1811" w:name="bookmark18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09"/>
      <w:bookmarkEnd w:id="1810"/>
      <w:bookmarkEnd w:id="1811"/>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：应收客户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24,693,781.40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2,857,278.07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1,196,336.13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20,640,167.20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24,693,781.40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2,857,278.07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1,196,336.13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20,640,167.20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7"/>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rPr>
        <w:t>（</w:t>
      </w:r>
      <w:bookmarkEnd w:id="181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812"/>
      <w:bookmarkEnd w:id="1813"/>
      <w:bookmarkEnd w:id="1815"/>
    </w:p>
    <w:p>
      <w:pPr>
        <w:pStyle w:val="Style27"/>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1,196,336.13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27"/>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r>
        <w:br w:type="page"/>
      </w:r>
    </w:p>
    <w:p>
      <w:pPr>
        <w:pStyle w:val="Style40"/>
        <w:keepNext/>
        <w:keepLines/>
        <w:widowControl w:val="0"/>
        <w:shd w:val="clear" w:color="auto" w:fill="auto"/>
        <w:bidi w:val="0"/>
        <w:spacing w:before="0" w:line="240" w:lineRule="auto"/>
        <w:ind w:left="0" w:right="0" w:firstLine="0"/>
        <w:jc w:val="left"/>
      </w:pPr>
      <w:bookmarkStart w:id="1816" w:name="bookmark1816"/>
      <w:bookmarkStart w:id="1817" w:name="bookmark1817"/>
      <w:bookmarkStart w:id="1818" w:name="bookmark1818"/>
      <w:bookmarkStart w:id="1819" w:name="bookmark1819"/>
      <w:r>
        <w:rPr>
          <w:color w:val="000000"/>
          <w:spacing w:val="0"/>
          <w:w w:val="100"/>
          <w:position w:val="0"/>
        </w:rPr>
        <w:t>（</w:t>
      </w:r>
      <w:bookmarkEnd w:id="181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816"/>
      <w:bookmarkEnd w:id="1817"/>
      <w:bookmarkEnd w:id="1819"/>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39,417,349.34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20,705,800.00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1,083,035.00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13,866,000.00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9,872,286.65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558,932.33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103,361,435.99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both"/>
      </w:pPr>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20"/>
      <w:bookmarkEnd w:id="1821"/>
      <w:bookmarkEnd w:id="182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123,482,963.26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215,516,953.40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123,482,963.26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215,516,953.40</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823" w:name="bookmark1823"/>
      <w:bookmarkStart w:id="1824" w:name="bookmark1824"/>
      <w:bookmarkStart w:id="1825" w:name="bookmark18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823"/>
      <w:bookmarkEnd w:id="1824"/>
      <w:bookmarkEnd w:id="1825"/>
    </w:p>
    <w:p>
      <w:pPr>
        <w:pStyle w:val="Style73"/>
        <w:keepNext/>
        <w:keepLines/>
        <w:widowControl w:val="0"/>
        <w:shd w:val="clear" w:color="auto" w:fill="auto"/>
        <w:bidi w:val="0"/>
        <w:spacing w:before="0" w:line="240" w:lineRule="auto"/>
        <w:ind w:left="0" w:right="0" w:firstLine="0"/>
        <w:jc w:val="left"/>
      </w:pPr>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26"/>
      <w:bookmarkEnd w:id="1827"/>
      <w:bookmarkEnd w:id="1828"/>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2,119,662.05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2,438,866.71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665,458.23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498,267.49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120,715,056.31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211,654,217.90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994,013.95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-68,412.65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123,482,963.26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215,516,953.40</w:t>
            </w:r>
          </w:p>
        </w:tc>
      </w:tr>
    </w:tbl>
    <w:p>
      <w:pPr>
        <w:widowControl w:val="0"/>
        <w:spacing w:after="339" w:line="1" w:lineRule="exact"/>
      </w:pPr>
    </w:p>
    <w:p>
      <w:pPr>
        <w:pStyle w:val="Style73"/>
        <w:keepNext/>
        <w:keepLines/>
        <w:widowControl w:val="0"/>
        <w:shd w:val="clear" w:color="auto" w:fill="auto"/>
        <w:bidi w:val="0"/>
        <w:spacing w:before="0" w:line="240" w:lineRule="auto"/>
        <w:ind w:left="0" w:right="0" w:firstLine="0"/>
        <w:jc w:val="left"/>
      </w:pPr>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829"/>
      <w:bookmarkEnd w:id="1830"/>
      <w:bookmarkEnd w:id="183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68,412.65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68,412.65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176,795.50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176,795.50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222,464.00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222,464.00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22,744.15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22,744.15</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76,168,547.01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46,633,869.80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203,290.60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203,290.60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123,505,707.41</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3</w:t>
      </w:r>
      <w:bookmarkEnd w:id="1834"/>
      <w:r>
        <w:rPr>
          <w:color w:val="000000"/>
          <w:spacing w:val="0"/>
          <w:w w:val="100"/>
          <w:position w:val="0"/>
        </w:rPr>
        <w:t>）本期计提、收回或转回的坏账准备情况</w:t>
      </w:r>
      <w:bookmarkEnd w:id="1832"/>
      <w:bookmarkEnd w:id="1833"/>
      <w:bookmarkEnd w:id="183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其他应收款坏账准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68,412.65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176,795.50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22,744.15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68,412.65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176,795.50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222,464.00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22,744.15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4</w:t>
      </w:r>
      <w:bookmarkEnd w:id="1838"/>
      <w:r>
        <w:rPr>
          <w:color w:val="000000"/>
          <w:spacing w:val="0"/>
          <w:w w:val="100"/>
          <w:position w:val="0"/>
        </w:rPr>
        <w:t>）本期实际核销的其他应收款情况</w:t>
      </w:r>
      <w:bookmarkEnd w:id="1836"/>
      <w:bookmarkEnd w:id="1837"/>
      <w:bookmarkEnd w:id="1839"/>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line="1" w:lineRule="exact"/>
      </w:pP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222,464.00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627"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1840" w:name="bookmark1840"/>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840"/>
          </w:p>
          <w:p>
            <w:pPr>
              <w:pStyle w:val="Style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65,140,400.00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25,574,656.31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291,977.71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121,507,034.02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3</w:t>
      </w:r>
      <w:bookmarkEnd w:id="1843"/>
      <w:r>
        <w:rPr>
          <w:color w:val="000000"/>
          <w:spacing w:val="0"/>
          <w:w w:val="100"/>
          <w:position w:val="0"/>
        </w:rPr>
        <w:t>、长期股权投资</w:t>
      </w:r>
      <w:bookmarkEnd w:id="1841"/>
      <w:bookmarkEnd w:id="1842"/>
      <w:bookmarkEnd w:id="184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2,284,856,357.37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267,100,000.00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2,017,756,357.37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2,270,416,357.37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2,270,416,357.37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2,284,856,357.37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267,100,000.00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2,017,756,357.37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2,270,416,357.37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2,270,416,357.37</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1845" w:name="bookmark1845"/>
      <w:bookmarkStart w:id="1846" w:name="bookmark1846"/>
      <w:bookmarkStart w:id="1847" w:name="bookmark18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45"/>
      <w:bookmarkEnd w:id="1846"/>
      <w:bookmarkEnd w:id="184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REDPHASEIN STRUMENTSA</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USTRALIAPTY</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5,019,865.00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5,019,865.00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红相电力（上 海）有限公司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10,682,609.74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10,682,609.74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厦门红相软件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厦门红相信息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浙江涵普电力</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305,327,448.4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305,327,448.43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卧龙电气银川 变压器有限公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902,900,000.00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267,100,000.00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合肥星波通信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771,286,434.2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771,286,434.20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成都鼎屹信息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厦门红相智能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合肥翩翼信息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宁夏银变科技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2,270,416,357.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2,017,756,357.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267,100,000.00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848" w:name="bookmark1848"/>
      <w:bookmarkStart w:id="1849" w:name="bookmark1849"/>
      <w:bookmarkStart w:id="1850" w:name="bookmark18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)其他说明</w:t>
      </w:r>
      <w:bookmarkEnd w:id="1848"/>
      <w:bookmarkEnd w:id="1849"/>
      <w:bookmarkEnd w:id="185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4</w:t>
      </w:r>
      <w:bookmarkEnd w:id="1853"/>
      <w:r>
        <w:rPr>
          <w:color w:val="000000"/>
          <w:spacing w:val="0"/>
          <w:w w:val="100"/>
          <w:position w:val="0"/>
        </w:rPr>
        <w:t>、营业收入和营业成本</w:t>
      </w:r>
      <w:bookmarkEnd w:id="1851"/>
      <w:bookmarkEnd w:id="1852"/>
      <w:bookmarkEnd w:id="185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297,112,118.08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214,783,976.34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483,843,034.02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318,064,743.75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28,879,886.31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30,282,828.13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7,476,759.17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7,669,535.07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325,992,004.39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245,066,804.47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491,319,793.19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325,734,278.82</w:t>
            </w:r>
          </w:p>
        </w:tc>
      </w:tr>
    </w:tbl>
    <w:p>
      <w:pPr>
        <w:widowControl w:val="0"/>
        <w:spacing w:after="43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64"/>
        <w:keepNext w:val="0"/>
        <w:keepLines w:val="0"/>
        <w:widowControl w:val="0"/>
        <w:shd w:val="clear" w:color="auto" w:fill="auto"/>
        <w:bidi w:val="0"/>
        <w:spacing w:before="0" w:after="140" w:line="307" w:lineRule="exact"/>
        <w:ind w:left="0" w:right="0"/>
        <w:jc w:val="left"/>
      </w:pPr>
      <w:r>
        <w:rPr>
          <w:color w:val="000000"/>
          <w:spacing w:val="0"/>
          <w:w w:val="100"/>
          <w:position w:val="0"/>
        </w:rPr>
        <w:t>本公司在履行了合同中的履约义务，即在客户取得相关商品控制权时确认收入。取得相 关商品控制权，是指能够主导该商品的使用并从中获得几乎全部的经济利益。</w:t>
      </w:r>
    </w:p>
    <w:p>
      <w:pPr>
        <w:pStyle w:val="Style64"/>
        <w:keepNext w:val="0"/>
        <w:keepLines w:val="0"/>
        <w:widowControl w:val="0"/>
        <w:shd w:val="clear" w:color="auto" w:fill="auto"/>
        <w:bidi w:val="0"/>
        <w:spacing w:before="0" w:after="120" w:line="307" w:lineRule="exact"/>
        <w:ind w:left="0" w:right="0"/>
        <w:jc w:val="left"/>
      </w:pPr>
      <w:r>
        <w:rPr>
          <w:color w:val="000000"/>
          <w:spacing w:val="0"/>
          <w:w w:val="100"/>
          <w:position w:val="0"/>
        </w:rPr>
        <w:t xml:space="preserve">合同中包含两项或多项履约义务的，本公司在合同开始日，按照各单项履约义务所承诺 </w:t>
      </w:r>
      <w:r>
        <w:rPr>
          <w:color w:val="000000"/>
          <w:spacing w:val="0"/>
          <w:w w:val="100"/>
          <w:position w:val="0"/>
        </w:rPr>
        <w:t>商品或服务的单独售价的相对比例，将交易价格分摊至各单项履约义务，按照分摊至各单项 履约义务的交易价格计量收入。</w:t>
      </w:r>
    </w:p>
    <w:p>
      <w:pPr>
        <w:pStyle w:val="Style64"/>
        <w:keepNext w:val="0"/>
        <w:keepLines w:val="0"/>
        <w:widowControl w:val="0"/>
        <w:shd w:val="clear" w:color="auto" w:fill="auto"/>
        <w:bidi w:val="0"/>
        <w:spacing w:before="0" w:after="120"/>
        <w:ind w:left="0" w:right="0"/>
        <w:jc w:val="both"/>
      </w:pPr>
      <w:r>
        <w:rPr>
          <w:color w:val="000000"/>
          <w:spacing w:val="0"/>
          <w:w w:val="100"/>
          <w:position w:val="0"/>
        </w:rPr>
        <w:t>交易价格是本公司因向客户转让商品或服务而预期有权收取的对价金额，不包括代第三 方收取的款项。在确定合同交易价格时，如果存在可变对价，本公司按照期望值或最可能发 生金额确定可变对价的最佳估计数，并以不超过在相关不确定性消除时累计已确认收入极可 能不会发生重大转回的金额计入交易价格。合同中如果存在重大融资成分，本公司将根据客 户在取得商品控制权时即以现金支付的应付金额确定交易价格，该交易价格与合同对价之间 的差额，在合同期间内采用实际利率法摊销，对于控制权转移与客户支付价款间隔未超过一 年的，本公司不考虑其中的融资成分。</w:t>
      </w:r>
    </w:p>
    <w:p>
      <w:pPr>
        <w:pStyle w:val="Style64"/>
        <w:keepNext w:val="0"/>
        <w:keepLines w:val="0"/>
        <w:widowControl w:val="0"/>
        <w:shd w:val="clear" w:color="auto" w:fill="auto"/>
        <w:bidi w:val="0"/>
        <w:spacing w:before="0" w:after="40" w:line="317" w:lineRule="exact"/>
        <w:ind w:left="0" w:right="0"/>
        <w:jc w:val="both"/>
      </w:pPr>
      <w:r>
        <w:rPr>
          <w:color w:val="000000"/>
          <w:spacing w:val="0"/>
          <w:w w:val="100"/>
          <w:position w:val="0"/>
        </w:rPr>
        <w:t>满足下列条件之一的，属于在某一时段内履行履约义务；否则，属于在某一时点履行履 约义务：</w:t>
      </w:r>
    </w:p>
    <w:p>
      <w:pPr>
        <w:pStyle w:val="Style64"/>
        <w:keepNext w:val="0"/>
        <w:keepLines w:val="0"/>
        <w:widowControl w:val="0"/>
        <w:numPr>
          <w:ilvl w:val="0"/>
          <w:numId w:val="105"/>
        </w:numPr>
        <w:shd w:val="clear" w:color="auto" w:fill="auto"/>
        <w:tabs>
          <w:tab w:pos="921" w:val="left"/>
        </w:tabs>
        <w:bidi w:val="0"/>
        <w:spacing w:before="0" w:after="120"/>
        <w:ind w:left="0" w:right="0"/>
        <w:jc w:val="left"/>
      </w:pPr>
      <w:bookmarkStart w:id="1855" w:name="bookmark1855"/>
      <w:bookmarkEnd w:id="1855"/>
      <w:r>
        <w:rPr>
          <w:color w:val="000000"/>
          <w:spacing w:val="0"/>
          <w:w w:val="100"/>
          <w:position w:val="0"/>
        </w:rPr>
        <w:t>客户在本公司履约的同时即取得并消耗本公司履约所带来的经济利益；</w:t>
      </w:r>
    </w:p>
    <w:p>
      <w:pPr>
        <w:pStyle w:val="Style64"/>
        <w:keepNext w:val="0"/>
        <w:keepLines w:val="0"/>
        <w:widowControl w:val="0"/>
        <w:numPr>
          <w:ilvl w:val="0"/>
          <w:numId w:val="105"/>
        </w:numPr>
        <w:shd w:val="clear" w:color="auto" w:fill="auto"/>
        <w:tabs>
          <w:tab w:pos="921" w:val="left"/>
        </w:tabs>
        <w:bidi w:val="0"/>
        <w:spacing w:before="0" w:after="120"/>
        <w:ind w:left="0" w:right="0"/>
        <w:jc w:val="left"/>
      </w:pPr>
      <w:bookmarkStart w:id="1856" w:name="bookmark1856"/>
      <w:bookmarkEnd w:id="1856"/>
      <w:r>
        <w:rPr>
          <w:color w:val="000000"/>
          <w:spacing w:val="0"/>
          <w:w w:val="100"/>
          <w:position w:val="0"/>
        </w:rPr>
        <w:t>客户能够控制本公司履约过程中在建的商品；</w:t>
      </w:r>
    </w:p>
    <w:p>
      <w:pPr>
        <w:pStyle w:val="Style64"/>
        <w:keepNext w:val="0"/>
        <w:keepLines w:val="0"/>
        <w:widowControl w:val="0"/>
        <w:numPr>
          <w:ilvl w:val="0"/>
          <w:numId w:val="105"/>
        </w:numPr>
        <w:shd w:val="clear" w:color="auto" w:fill="auto"/>
        <w:tabs>
          <w:tab w:pos="896" w:val="left"/>
        </w:tabs>
        <w:bidi w:val="0"/>
        <w:spacing w:before="0" w:after="120" w:line="302" w:lineRule="exact"/>
        <w:ind w:left="0" w:right="0"/>
        <w:jc w:val="left"/>
      </w:pPr>
      <w:bookmarkStart w:id="1857" w:name="bookmark1857"/>
      <w:bookmarkEnd w:id="1857"/>
      <w:r>
        <w:rPr>
          <w:color w:val="000000"/>
          <w:spacing w:val="0"/>
          <w:w w:val="100"/>
          <w:position w:val="0"/>
        </w:rPr>
        <w:t>本公司履约过程中所产出的商品具有不可替代用途，且本公司在整个合同期间内有权 就累计至今已完成的履约部分收取款项。</w:t>
      </w:r>
    </w:p>
    <w:p>
      <w:pPr>
        <w:pStyle w:val="Style64"/>
        <w:keepNext w:val="0"/>
        <w:keepLines w:val="0"/>
        <w:widowControl w:val="0"/>
        <w:shd w:val="clear" w:color="auto" w:fill="auto"/>
        <w:bidi w:val="0"/>
        <w:spacing w:before="0" w:after="120"/>
        <w:ind w:left="0" w:right="0"/>
        <w:jc w:val="left"/>
      </w:pPr>
      <w:r>
        <w:rPr>
          <w:color w:val="000000"/>
          <w:spacing w:val="0"/>
          <w:w w:val="100"/>
          <w:position w:val="0"/>
        </w:rPr>
        <w:t>对于在某一时段内履行的履约义务，本公司在该段时间内按照履约进度确认收入，但是， 履约进度不能合理确定的除外。本公司按照投入法（或产出法）确定提供服务的履约进度。 当履约进度不能合理确定时，本公司已经发生的成本预计能够得到补偿的，按照已经发生的 成本金额确认收入，直到履约进度能够合理确定为止。</w:t>
      </w:r>
    </w:p>
    <w:p>
      <w:pPr>
        <w:pStyle w:val="Style64"/>
        <w:keepNext w:val="0"/>
        <w:keepLines w:val="0"/>
        <w:widowControl w:val="0"/>
        <w:shd w:val="clear" w:color="auto" w:fill="auto"/>
        <w:bidi w:val="0"/>
        <w:spacing w:before="0" w:after="120" w:line="307" w:lineRule="exact"/>
        <w:ind w:left="0" w:right="0"/>
        <w:jc w:val="left"/>
      </w:pPr>
      <w:r>
        <w:rPr>
          <w:color w:val="000000"/>
          <w:spacing w:val="0"/>
          <w:w w:val="100"/>
          <w:position w:val="0"/>
        </w:rPr>
        <w:t>对于在某一时点履行的履约义务，本公司在客户取得相关商品控制权时点确认收入。在 判断客户是否已取得商品或服务控制权时，本公司会考虑下列迹象：</w:t>
      </w:r>
    </w:p>
    <w:p>
      <w:pPr>
        <w:pStyle w:val="Style64"/>
        <w:keepNext w:val="0"/>
        <w:keepLines w:val="0"/>
        <w:widowControl w:val="0"/>
        <w:numPr>
          <w:ilvl w:val="0"/>
          <w:numId w:val="107"/>
        </w:numPr>
        <w:shd w:val="clear" w:color="auto" w:fill="auto"/>
        <w:tabs>
          <w:tab w:pos="921" w:val="left"/>
        </w:tabs>
        <w:bidi w:val="0"/>
        <w:spacing w:before="0" w:after="120"/>
        <w:ind w:left="0" w:right="0"/>
        <w:jc w:val="left"/>
      </w:pPr>
      <w:bookmarkStart w:id="1858" w:name="bookmark1858"/>
      <w:bookmarkEnd w:id="1858"/>
      <w:r>
        <w:rPr>
          <w:color w:val="000000"/>
          <w:spacing w:val="0"/>
          <w:w w:val="100"/>
          <w:position w:val="0"/>
        </w:rPr>
        <w:t>本公司就该商品或服务享有现时收款权利，即客户就该商品负有现时付款义务；</w:t>
      </w:r>
    </w:p>
    <w:p>
      <w:pPr>
        <w:pStyle w:val="Style64"/>
        <w:keepNext w:val="0"/>
        <w:keepLines w:val="0"/>
        <w:widowControl w:val="0"/>
        <w:numPr>
          <w:ilvl w:val="0"/>
          <w:numId w:val="107"/>
        </w:numPr>
        <w:shd w:val="clear" w:color="auto" w:fill="auto"/>
        <w:tabs>
          <w:tab w:pos="921" w:val="left"/>
        </w:tabs>
        <w:bidi w:val="0"/>
        <w:spacing w:before="0" w:after="120"/>
        <w:ind w:left="0" w:right="0"/>
        <w:jc w:val="left"/>
      </w:pPr>
      <w:bookmarkStart w:id="1859" w:name="bookmark1859"/>
      <w:bookmarkEnd w:id="1859"/>
      <w:r>
        <w:rPr>
          <w:color w:val="000000"/>
          <w:spacing w:val="0"/>
          <w:w w:val="100"/>
          <w:position w:val="0"/>
        </w:rPr>
        <w:t>本公司已将该商品的法定所有权转移给客户，即客户已拥有了该商品的法定所有权；</w:t>
      </w:r>
    </w:p>
    <w:p>
      <w:pPr>
        <w:pStyle w:val="Style64"/>
        <w:keepNext w:val="0"/>
        <w:keepLines w:val="0"/>
        <w:widowControl w:val="0"/>
        <w:numPr>
          <w:ilvl w:val="0"/>
          <w:numId w:val="107"/>
        </w:numPr>
        <w:shd w:val="clear" w:color="auto" w:fill="auto"/>
        <w:tabs>
          <w:tab w:pos="921" w:val="left"/>
        </w:tabs>
        <w:bidi w:val="0"/>
        <w:spacing w:before="0" w:after="120"/>
        <w:ind w:left="0" w:right="0"/>
        <w:jc w:val="left"/>
      </w:pPr>
      <w:bookmarkStart w:id="1860" w:name="bookmark1860"/>
      <w:bookmarkEnd w:id="1860"/>
      <w:r>
        <w:rPr>
          <w:color w:val="000000"/>
          <w:spacing w:val="0"/>
          <w:w w:val="100"/>
          <w:position w:val="0"/>
        </w:rPr>
        <w:t>本公司已将该商品的实物转移给客户，即客户已实物占有该商品；</w:t>
      </w:r>
    </w:p>
    <w:p>
      <w:pPr>
        <w:pStyle w:val="Style64"/>
        <w:keepNext w:val="0"/>
        <w:keepLines w:val="0"/>
        <w:widowControl w:val="0"/>
        <w:numPr>
          <w:ilvl w:val="0"/>
          <w:numId w:val="107"/>
        </w:numPr>
        <w:shd w:val="clear" w:color="auto" w:fill="auto"/>
        <w:tabs>
          <w:tab w:pos="901" w:val="left"/>
        </w:tabs>
        <w:bidi w:val="0"/>
        <w:spacing w:before="0" w:after="120" w:line="317" w:lineRule="exact"/>
        <w:ind w:left="0" w:right="0"/>
        <w:jc w:val="both"/>
      </w:pPr>
      <w:bookmarkStart w:id="1861" w:name="bookmark1861"/>
      <w:bookmarkEnd w:id="1861"/>
      <w:r>
        <w:rPr>
          <w:color w:val="000000"/>
          <w:spacing w:val="0"/>
          <w:w w:val="100"/>
          <w:position w:val="0"/>
        </w:rPr>
        <w:t>本公司已将该商品所有权上的主要风险和报酬转移给客户，即客户已取得该商品所有 权上的主要风险和报酬；</w:t>
      </w:r>
    </w:p>
    <w:p>
      <w:pPr>
        <w:pStyle w:val="Style64"/>
        <w:keepNext w:val="0"/>
        <w:keepLines w:val="0"/>
        <w:widowControl w:val="0"/>
        <w:numPr>
          <w:ilvl w:val="0"/>
          <w:numId w:val="107"/>
        </w:numPr>
        <w:shd w:val="clear" w:color="auto" w:fill="auto"/>
        <w:tabs>
          <w:tab w:pos="921" w:val="left"/>
        </w:tabs>
        <w:bidi w:val="0"/>
        <w:spacing w:before="0" w:after="320"/>
        <w:ind w:left="0" w:right="0"/>
        <w:jc w:val="both"/>
      </w:pPr>
      <w:bookmarkStart w:id="1862" w:name="bookmark1862"/>
      <w:bookmarkEnd w:id="1862"/>
      <w:r>
        <w:rPr>
          <w:color w:val="000000"/>
          <w:spacing w:val="0"/>
          <w:w w:val="100"/>
          <w:position w:val="0"/>
        </w:rPr>
        <w:t>客户已接受该商品。</w:t>
      </w:r>
    </w:p>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7"/>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1863" w:name="bookmark1863"/>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、投资收益</w:t>
      </w:r>
      <w:bookmarkEnd w:id="186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101,844,549.42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63,730,526.32</w:t>
            </w:r>
          </w:p>
        </w:tc>
      </w:tr>
    </w:tbl>
    <w:p>
      <w:pPr>
        <w:widowControl w:val="0"/>
        <w:spacing w:line="1" w:lineRule="exact"/>
      </w:pP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412,278.46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101,844,549.42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64,142,804.78</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6</w:t>
      </w:r>
      <w:bookmarkEnd w:id="1866"/>
      <w:r>
        <w:rPr>
          <w:color w:val="000000"/>
          <w:spacing w:val="0"/>
          <w:w w:val="100"/>
          <w:position w:val="0"/>
        </w:rPr>
        <w:t>、其他</w:t>
      </w:r>
      <w:bookmarkEnd w:id="1864"/>
      <w:bookmarkEnd w:id="1865"/>
      <w:bookmarkEnd w:id="1867"/>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868" w:name="bookmark1868"/>
      <w:bookmarkStart w:id="1869" w:name="bookmark1869"/>
      <w:bookmarkStart w:id="1870" w:name="bookmark1870"/>
      <w:r>
        <w:rPr>
          <w:color w:val="000000"/>
          <w:spacing w:val="0"/>
          <w:w w:val="100"/>
          <w:position w:val="0"/>
        </w:rPr>
        <w:t>十七、补充资料</w:t>
      </w:r>
      <w:bookmarkEnd w:id="1868"/>
      <w:bookmarkEnd w:id="1869"/>
      <w:bookmarkEnd w:id="1870"/>
    </w:p>
    <w:p>
      <w:pPr>
        <w:pStyle w:val="Style31"/>
        <w:keepNext/>
        <w:keepLines/>
        <w:widowControl w:val="0"/>
        <w:shd w:val="clear" w:color="auto" w:fill="auto"/>
        <w:bidi w:val="0"/>
        <w:spacing w:before="0" w:after="360" w:line="240" w:lineRule="auto"/>
        <w:ind w:left="0" w:right="0" w:firstLine="0"/>
        <w:jc w:val="left"/>
      </w:pPr>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71"/>
      <w:bookmarkEnd w:id="1872"/>
      <w:bookmarkEnd w:id="187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3,042,650.12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33,351,690.68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-291,153.69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17,326,523.22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金融资产处置损益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7,387,677.09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1,724,809.79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44,317,223.45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7"/>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74"/>
      <w:bookmarkEnd w:id="1875"/>
      <w:bookmarkEnd w:id="1876"/>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w:t>
            </w:r>
          </w:p>
        </w:tc>
      </w:tr>
    </w:tbl>
    <w:p>
      <w:pPr>
        <w:pStyle w:val="Style31"/>
        <w:keepNext/>
        <w:keepLines/>
        <w:widowControl w:val="0"/>
        <w:shd w:val="clear" w:color="auto" w:fill="auto"/>
        <w:tabs>
          <w:tab w:pos="378" w:val="left"/>
        </w:tabs>
        <w:bidi w:val="0"/>
        <w:spacing w:before="0" w:after="280" w:line="331" w:lineRule="exact"/>
        <w:ind w:left="0" w:right="0" w:firstLine="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3</w:t>
      </w:r>
      <w:bookmarkEnd w:id="1879"/>
      <w:r>
        <w:rPr>
          <w:color w:val="000000"/>
          <w:spacing w:val="0"/>
          <w:w w:val="100"/>
          <w:position w:val="0"/>
        </w:rPr>
        <w:t>、</w:t>
        <w:tab/>
        <w:t>境内外会计准则下会计数据差异</w:t>
      </w:r>
      <w:bookmarkEnd w:id="1877"/>
      <w:bookmarkEnd w:id="1878"/>
      <w:bookmarkEnd w:id="1880"/>
    </w:p>
    <w:p>
      <w:pPr>
        <w:pStyle w:val="Style40"/>
        <w:keepNext/>
        <w:keepLines/>
        <w:widowControl w:val="0"/>
        <w:shd w:val="clear" w:color="auto" w:fill="auto"/>
        <w:tabs>
          <w:tab w:pos="493" w:val="left"/>
        </w:tabs>
        <w:bidi w:val="0"/>
        <w:spacing w:before="0" w:after="360" w:line="331" w:lineRule="exact"/>
        <w:ind w:left="0" w:right="0" w:firstLine="0"/>
        <w:jc w:val="left"/>
      </w:pPr>
      <w:bookmarkStart w:id="1881" w:name="bookmark1881"/>
      <w:bookmarkStart w:id="1882" w:name="bookmark1882"/>
      <w:bookmarkStart w:id="1883" w:name="bookmark1883"/>
      <w:bookmarkStart w:id="1884" w:name="bookmark1884"/>
      <w:r>
        <w:rPr>
          <w:color w:val="000000"/>
          <w:spacing w:val="0"/>
          <w:w w:val="100"/>
          <w:position w:val="0"/>
        </w:rPr>
        <w:t>（</w:t>
      </w:r>
      <w:bookmarkEnd w:id="188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881"/>
      <w:bookmarkEnd w:id="1882"/>
      <w:bookmarkEnd w:id="1884"/>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360" w:line="331" w:lineRule="exact"/>
        <w:ind w:left="0" w:right="0" w:firstLine="0"/>
        <w:jc w:val="left"/>
      </w:pPr>
      <w:bookmarkStart w:id="1885" w:name="bookmark1885"/>
      <w:bookmarkStart w:id="1886" w:name="bookmark1886"/>
      <w:bookmarkStart w:id="1887" w:name="bookmark1887"/>
      <w:bookmarkStart w:id="1888" w:name="bookmark1888"/>
      <w:r>
        <w:rPr>
          <w:color w:val="000000"/>
          <w:spacing w:val="0"/>
          <w:w w:val="100"/>
          <w:position w:val="0"/>
        </w:rPr>
        <w:t>（</w:t>
      </w:r>
      <w:bookmarkEnd w:id="188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885"/>
      <w:bookmarkEnd w:id="1886"/>
      <w:bookmarkEnd w:id="1888"/>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280" w:line="331" w:lineRule="exact"/>
        <w:ind w:left="0" w:right="0" w:firstLine="0"/>
        <w:jc w:val="left"/>
      </w:pPr>
      <w:bookmarkStart w:id="1889" w:name="bookmark1889"/>
      <w:bookmarkStart w:id="1890" w:name="bookmark1890"/>
      <w:bookmarkStart w:id="1891" w:name="bookmark1891"/>
      <w:bookmarkStart w:id="1892" w:name="bookmark1892"/>
      <w:r>
        <w:rPr>
          <w:color w:val="000000"/>
          <w:spacing w:val="0"/>
          <w:w w:val="100"/>
          <w:position w:val="0"/>
        </w:rPr>
        <w:t>（</w:t>
      </w:r>
      <w:bookmarkEnd w:id="1891"/>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889"/>
      <w:bookmarkEnd w:id="1890"/>
      <w:bookmarkEnd w:id="1892"/>
    </w:p>
    <w:p>
      <w:pPr>
        <w:pStyle w:val="Style31"/>
        <w:keepNext/>
        <w:keepLines/>
        <w:widowControl w:val="0"/>
        <w:shd w:val="clear" w:color="auto" w:fill="auto"/>
        <w:tabs>
          <w:tab w:pos="378" w:val="left"/>
        </w:tabs>
        <w:bidi w:val="0"/>
        <w:spacing w:before="0" w:after="280" w:line="331" w:lineRule="exact"/>
        <w:ind w:left="0" w:right="0" w:firstLine="0"/>
        <w:jc w:val="left"/>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4</w:t>
      </w:r>
      <w:bookmarkEnd w:id="1895"/>
      <w:r>
        <w:rPr>
          <w:color w:val="000000"/>
          <w:spacing w:val="0"/>
          <w:w w:val="100"/>
          <w:position w:val="0"/>
        </w:rPr>
        <w:t>、</w:t>
        <w:tab/>
        <w:t>其他</w:t>
      </w:r>
      <w:bookmarkEnd w:id="1893"/>
      <w:bookmarkEnd w:id="1894"/>
      <w:bookmarkEnd w:id="1896"/>
    </w:p>
    <w:sectPr>
      <w:footnotePr>
        <w:pos w:val="pageBottom"/>
        <w:numFmt w:val="decimal"/>
        <w:numRestart w:val="continuous"/>
      </w:footnotePr>
      <w:pgSz w:w="11900" w:h="16840"/>
      <w:pgMar w:top="1369" w:right="1050" w:bottom="1436" w:left="10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2021.1.%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2024.1.%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2020.11.%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2021.11.%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0"/>
      <w:numFmt w:val="decimal"/>
      <w:lvlText w:val="2019.1.%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0"/>
      <w:numFmt w:val="decimal"/>
      <w:lvlText w:val="2020.1.%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0"/>
      <w:numFmt w:val="decimal"/>
      <w:lvlText w:val="2021.1.%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0"/>
      <w:numFmt w:val="decimal"/>
      <w:lvlText w:val="2022.1.%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1"/>
      <w:numFmt w:val="decimal"/>
      <w:lvlText w:val="2020.1.%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1"/>
      <w:numFmt w:val="decimal"/>
      <w:lvlText w:val="2022.1.%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2020.11.%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2022.11.%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2023.11.%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2024.11.%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2019.1.%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2021.3.%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2021.7.%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2022.7.%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5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2">
    <w:multiLevelType w:val="multilevel"/>
    <w:lvl w:ilvl="0">
      <w:start w:val="6"/>
      <w:numFmt w:val="decimal"/>
      <w:lvlText w:val="(%1)"/>
      <w:rPr>
        <w:rFonts w:ascii="SimSun" w:eastAsia="SimSun" w:hAnsi="SimSun" w:cs="SimSun"/>
        <w:b/>
        <w:bCs/>
        <w:i/>
        <w:iCs/>
        <w:smallCaps w:val="0"/>
        <w:strike w:val="0"/>
        <w:color w:val="000000"/>
        <w:spacing w:val="0"/>
        <w:w w:val="100"/>
        <w:position w:val="0"/>
        <w:sz w:val="24"/>
        <w:szCs w:val="24"/>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0">
    <w:name w:val="Heading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_"/>
    <w:basedOn w:val="DefaultParagraphFont"/>
    <w:link w:val="Style11"/>
    <w:rPr>
      <w:rFonts w:ascii="SimSun" w:eastAsia="SimSun" w:hAnsi="SimSun" w:cs="SimSun"/>
      <w:b w:val="0"/>
      <w:bCs w:val="0"/>
      <w:i w:val="0"/>
      <w:iCs w:val="0"/>
      <w:smallCaps w:val="0"/>
      <w:strike w:val="0"/>
      <w:sz w:val="20"/>
      <w:szCs w:val="20"/>
      <w:u w:val="none"/>
      <w:shd w:val="clear" w:color="auto" w:fill="auto"/>
    </w:rPr>
  </w:style>
  <w:style w:type="character" w:customStyle="1" w:styleId="CharStyle16">
    <w:name w:val="Table of contents_"/>
    <w:basedOn w:val="DefaultParagraphFont"/>
    <w:link w:val="Style15"/>
    <w:rPr>
      <w:rFonts w:ascii="SimSun" w:eastAsia="SimSun" w:hAnsi="SimSun" w:cs="SimSun"/>
      <w:b w:val="0"/>
      <w:bCs w:val="0"/>
      <w:i w:val="0"/>
      <w:iCs w:val="0"/>
      <w:smallCaps w:val="0"/>
      <w:strike w:val="0"/>
      <w:sz w:val="17"/>
      <w:szCs w:val="17"/>
      <w:u w:val="none"/>
      <w:shd w:val="clear" w:color="auto" w:fill="auto"/>
    </w:rPr>
  </w:style>
  <w:style w:type="character" w:customStyle="1" w:styleId="CharStyle24">
    <w:name w:val="Heading #2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Body text (2)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Heading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41">
    <w:name w:val="Heading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53">
    <w:name w:val="Body text (6)_"/>
    <w:basedOn w:val="DefaultParagraphFont"/>
    <w:link w:val="Style52"/>
    <w:rPr>
      <w:rFonts w:ascii="SimSun" w:eastAsia="SimSun" w:hAnsi="SimSun" w:cs="SimSun"/>
      <w:b/>
      <w:bCs/>
      <w:i w:val="0"/>
      <w:iCs w:val="0"/>
      <w:smallCaps w:val="0"/>
      <w:strike w:val="0"/>
      <w:sz w:val="30"/>
      <w:szCs w:val="30"/>
      <w:u w:val="none"/>
      <w:shd w:val="clear" w:color="auto" w:fill="auto"/>
    </w:rPr>
  </w:style>
  <w:style w:type="character" w:customStyle="1" w:styleId="CharStyle55">
    <w:name w:val="Body text (5)_"/>
    <w:basedOn w:val="DefaultParagraphFont"/>
    <w:link w:val="Style54"/>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65">
    <w:name w:val="Body text (7)_"/>
    <w:basedOn w:val="DefaultParagraphFont"/>
    <w:link w:val="Style64"/>
    <w:rPr>
      <w:rFonts w:ascii="SimSun" w:eastAsia="SimSun" w:hAnsi="SimSun" w:cs="SimSun"/>
      <w:b w:val="0"/>
      <w:bCs w:val="0"/>
      <w:i w:val="0"/>
      <w:iCs w:val="0"/>
      <w:smallCaps w:val="0"/>
      <w:strike w:val="0"/>
      <w:sz w:val="22"/>
      <w:szCs w:val="22"/>
      <w:u w:val="none"/>
      <w:shd w:val="clear" w:color="auto" w:fill="auto"/>
    </w:rPr>
  </w:style>
  <w:style w:type="character" w:customStyle="1" w:styleId="CharStyle74">
    <w:name w:val="Heading #5_"/>
    <w:basedOn w:val="DefaultParagraphFont"/>
    <w:link w:val="Style73"/>
    <w:rPr>
      <w:rFonts w:ascii="SimSun" w:eastAsia="SimSun" w:hAnsi="SimSun" w:cs="SimSun"/>
      <w:b/>
      <w:bCs/>
      <w:i w:val="0"/>
      <w:iCs w:val="0"/>
      <w:smallCaps w:val="0"/>
      <w:strike w:val="0"/>
      <w:sz w:val="20"/>
      <w:szCs w:val="20"/>
      <w:u w:val="none"/>
      <w:shd w:val="clear" w:color="auto" w:fill="auto"/>
    </w:rPr>
  </w:style>
  <w:style w:type="character" w:customStyle="1" w:styleId="CharStyle83">
    <w:name w:val="Body text (8)_"/>
    <w:basedOn w:val="DefaultParagraphFont"/>
    <w:link w:val="Style82"/>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
    <w:name w:val="Heading #1"/>
    <w:basedOn w:val="Normal"/>
    <w:link w:val="CharStyle10"/>
    <w:pPr>
      <w:widowControl w:val="0"/>
      <w:shd w:val="clear" w:color="auto" w:fill="auto"/>
      <w:spacing w:before="26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styleId="Style11">
    <w:name w:val="Body text"/>
    <w:basedOn w:val="Normal"/>
    <w:link w:val="CharStyle12"/>
    <w:qFormat/>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5">
    <w:name w:val="Table of contents"/>
    <w:basedOn w:val="Normal"/>
    <w:link w:val="CharStyle16"/>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3">
    <w:name w:val="Heading #2"/>
    <w:basedOn w:val="Normal"/>
    <w:link w:val="CharStyle24"/>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Body text (2)"/>
    <w:basedOn w:val="Normal"/>
    <w:link w:val="CharStyle28"/>
    <w:pPr>
      <w:widowControl w:val="0"/>
      <w:shd w:val="clear" w:color="auto" w:fill="auto"/>
      <w:spacing w:after="100"/>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Heading #3"/>
    <w:basedOn w:val="Normal"/>
    <w:link w:val="CharStyle32"/>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Heading #4"/>
    <w:basedOn w:val="Normal"/>
    <w:link w:val="CharStyle41"/>
    <w:pPr>
      <w:widowControl w:val="0"/>
      <w:shd w:val="clear" w:color="auto" w:fill="auto"/>
      <w:spacing w:after="380" w:line="312" w:lineRule="exact"/>
      <w:ind w:firstLine="4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2">
    <w:name w:val="Body text (6)"/>
    <w:basedOn w:val="Normal"/>
    <w:link w:val="CharStyle53"/>
    <w:pPr>
      <w:widowControl w:val="0"/>
      <w:shd w:val="clear" w:color="auto" w:fill="auto"/>
      <w:spacing w:after="260"/>
      <w:jc w:val="center"/>
    </w:pPr>
    <w:rPr>
      <w:rFonts w:ascii="SimSun" w:eastAsia="SimSun" w:hAnsi="SimSun" w:cs="SimSun"/>
      <w:b/>
      <w:bCs/>
      <w:i w:val="0"/>
      <w:iCs w:val="0"/>
      <w:smallCaps w:val="0"/>
      <w:strike w:val="0"/>
      <w:sz w:val="30"/>
      <w:szCs w:val="30"/>
      <w:u w:val="none"/>
      <w:shd w:val="clear" w:color="auto" w:fill="auto"/>
    </w:rPr>
  </w:style>
  <w:style w:type="paragraph" w:customStyle="1" w:styleId="Style54">
    <w:name w:val="Body text (5)"/>
    <w:basedOn w:val="Normal"/>
    <w:link w:val="CharStyle55"/>
    <w:pPr>
      <w:widowControl w:val="0"/>
      <w:shd w:val="clear" w:color="auto" w:fill="auto"/>
      <w:spacing w:after="370"/>
      <w:ind w:left="2340"/>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64">
    <w:name w:val="Body text (7)"/>
    <w:basedOn w:val="Normal"/>
    <w:link w:val="CharStyle65"/>
    <w:pPr>
      <w:widowControl w:val="0"/>
      <w:shd w:val="clear" w:color="auto" w:fill="auto"/>
      <w:spacing w:after="100" w:line="312" w:lineRule="exact"/>
      <w:ind w:firstLine="500"/>
    </w:pPr>
    <w:rPr>
      <w:rFonts w:ascii="SimSun" w:eastAsia="SimSun" w:hAnsi="SimSun" w:cs="SimSun"/>
      <w:b w:val="0"/>
      <w:bCs w:val="0"/>
      <w:i w:val="0"/>
      <w:iCs w:val="0"/>
      <w:smallCaps w:val="0"/>
      <w:strike w:val="0"/>
      <w:sz w:val="22"/>
      <w:szCs w:val="22"/>
      <w:u w:val="none"/>
      <w:shd w:val="clear" w:color="auto" w:fill="auto"/>
    </w:rPr>
  </w:style>
  <w:style w:type="paragraph" w:customStyle="1" w:styleId="Style73">
    <w:name w:val="Heading #5"/>
    <w:basedOn w:val="Normal"/>
    <w:link w:val="CharStyle74"/>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82">
    <w:name w:val="Body text (8)"/>
    <w:basedOn w:val="Normal"/>
    <w:link w:val="CharStyle83"/>
    <w:pPr>
      <w:widowControl w:val="0"/>
      <w:shd w:val="clear" w:color="auto" w:fill="auto"/>
      <w:spacing w:after="380" w:line="312"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红相股份有限公司2021年年度报告全文</dc:title>
  <dc:subject/>
  <dc:creator>红相股份有限公司</dc:creator>
  <cp:keywords/>
</cp:coreProperties>
</file>