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815"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1409558" cy="11525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558" cy="1152525"/>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3222" w:right="3222" w:firstLine="0"/>
        <w:jc w:val="center"/>
        <w:rPr>
          <w:rFonts w:ascii="宋体" w:hAnsi="宋体" w:cs="宋体" w:eastAsia="宋体" w:hint="default"/>
          <w:sz w:val="36"/>
          <w:szCs w:val="36"/>
        </w:rPr>
      </w:pPr>
      <w:r>
        <w:rPr>
          <w:rFonts w:ascii="宋体" w:hAnsi="宋体" w:cs="宋体" w:eastAsia="宋体" w:hint="default"/>
          <w:b/>
          <w:bCs/>
          <w:sz w:val="36"/>
          <w:szCs w:val="36"/>
        </w:rPr>
        <w:t>广州市浩云安防科技股份有限公司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221" w:right="32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222" w:right="32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公司负责人雷洪文、主管会计工作负责人劳仲秀及会计机构负责人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简玉琴声明：保证年度报告中财务报告的真实、准确、完整。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本报告中涉及的未来发展规划及事项的陈述，属于计划性事项，不构成公</w:t>
      </w:r>
      <w:r>
        <w:rPr>
          <w:rFonts w:ascii="宋体" w:hAnsi="宋体" w:cs="宋体" w:eastAsia="宋体" w:hint="default"/>
          <w:spacing w:val="3"/>
          <w:sz w:val="28"/>
          <w:szCs w:val="28"/>
        </w:rPr>
      </w:r>
    </w:p>
    <w:p>
      <w:pPr>
        <w:spacing w:line="475" w:lineRule="auto" w:before="0"/>
        <w:ind w:left="1695" w:right="0" w:hanging="562"/>
        <w:jc w:val="left"/>
        <w:rPr>
          <w:rFonts w:ascii="宋体" w:hAnsi="宋体" w:cs="宋体" w:eastAsia="宋体" w:hint="default"/>
          <w:sz w:val="28"/>
          <w:szCs w:val="28"/>
        </w:rPr>
      </w:pPr>
      <w:r>
        <w:rPr>
          <w:rFonts w:ascii="宋体" w:hAnsi="宋体" w:cs="宋体" w:eastAsia="宋体" w:hint="default"/>
          <w:b/>
          <w:bCs/>
          <w:sz w:val="28"/>
          <w:szCs w:val="28"/>
        </w:rPr>
        <w:t>司对投资者的实质承诺，请投资者注意投资风险。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管理层讨论与分析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中公司未来发展的展望部分描述</w:t>
      </w:r>
      <w:r>
        <w:rPr>
          <w:rFonts w:ascii="宋体" w:hAnsi="宋体" w:cs="宋体" w:eastAsia="宋体" w:hint="default"/>
          <w:spacing w:val="3"/>
          <w:sz w:val="28"/>
          <w:szCs w:val="28"/>
        </w:rPr>
      </w:r>
    </w:p>
    <w:p>
      <w:pPr>
        <w:spacing w:line="320" w:lineRule="exact" w:before="0"/>
        <w:ind w:left="1133" w:right="0" w:firstLine="0"/>
        <w:jc w:val="both"/>
        <w:rPr>
          <w:rFonts w:ascii="宋体" w:hAnsi="宋体" w:cs="宋体" w:eastAsia="宋体" w:hint="default"/>
          <w:sz w:val="28"/>
          <w:szCs w:val="28"/>
        </w:rPr>
      </w:pPr>
      <w:r>
        <w:rPr>
          <w:rFonts w:ascii="宋体" w:hAnsi="宋体" w:cs="宋体" w:eastAsia="宋体" w:hint="default"/>
          <w:b/>
          <w:bCs/>
          <w:w w:val="99"/>
          <w:sz w:val="28"/>
          <w:szCs w:val="28"/>
        </w:rPr>
        <w:t>了公司</w:t>
      </w:r>
      <w:r>
        <w:rPr>
          <w:rFonts w:ascii="宋体" w:hAnsi="宋体" w:cs="宋体" w:eastAsia="宋体" w:hint="default"/>
          <w:b/>
          <w:bCs/>
          <w:spacing w:val="2"/>
          <w:w w:val="99"/>
          <w:sz w:val="28"/>
          <w:szCs w:val="28"/>
        </w:rPr>
        <w:t>未</w:t>
      </w:r>
      <w:r>
        <w:rPr>
          <w:rFonts w:ascii="宋体" w:hAnsi="宋体" w:cs="宋体" w:eastAsia="宋体" w:hint="default"/>
          <w:b/>
          <w:bCs/>
          <w:w w:val="99"/>
          <w:sz w:val="28"/>
          <w:szCs w:val="28"/>
        </w:rPr>
        <w:t>来经营</w:t>
      </w:r>
      <w:r>
        <w:rPr>
          <w:rFonts w:ascii="宋体" w:hAnsi="宋体" w:cs="宋体" w:eastAsia="宋体" w:hint="default"/>
          <w:b/>
          <w:bCs/>
          <w:spacing w:val="2"/>
          <w:w w:val="99"/>
          <w:sz w:val="28"/>
          <w:szCs w:val="28"/>
        </w:rPr>
        <w:t>中</w:t>
      </w:r>
      <w:r>
        <w:rPr>
          <w:rFonts w:ascii="宋体" w:hAnsi="宋体" w:cs="宋体" w:eastAsia="宋体" w:hint="default"/>
          <w:b/>
          <w:bCs/>
          <w:w w:val="99"/>
          <w:sz w:val="28"/>
          <w:szCs w:val="28"/>
        </w:rPr>
        <w:t>可能面</w:t>
      </w:r>
      <w:r>
        <w:rPr>
          <w:rFonts w:ascii="宋体" w:hAnsi="宋体" w:cs="宋体" w:eastAsia="宋体" w:hint="default"/>
          <w:b/>
          <w:bCs/>
          <w:spacing w:val="2"/>
          <w:w w:val="99"/>
          <w:sz w:val="28"/>
          <w:szCs w:val="28"/>
        </w:rPr>
        <w:t>临</w:t>
      </w:r>
      <w:r>
        <w:rPr>
          <w:rFonts w:ascii="宋体" w:hAnsi="宋体" w:cs="宋体" w:eastAsia="宋体" w:hint="default"/>
          <w:b/>
          <w:bCs/>
          <w:w w:val="99"/>
          <w:sz w:val="28"/>
          <w:szCs w:val="28"/>
        </w:rPr>
        <w:t>的风险</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及</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2016</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年度经</w:t>
      </w:r>
      <w:r>
        <w:rPr>
          <w:rFonts w:ascii="宋体" w:hAnsi="宋体" w:cs="宋体" w:eastAsia="宋体" w:hint="default"/>
          <w:b/>
          <w:bCs/>
          <w:spacing w:val="2"/>
          <w:w w:val="99"/>
          <w:sz w:val="28"/>
          <w:szCs w:val="28"/>
        </w:rPr>
        <w:t>营</w:t>
      </w:r>
      <w:r>
        <w:rPr>
          <w:rFonts w:ascii="宋体" w:hAnsi="宋体" w:cs="宋体" w:eastAsia="宋体" w:hint="default"/>
          <w:b/>
          <w:bCs/>
          <w:w w:val="99"/>
          <w:sz w:val="28"/>
          <w:szCs w:val="28"/>
        </w:rPr>
        <w:t>计划</w:t>
      </w:r>
      <w:r>
        <w:rPr>
          <w:rFonts w:ascii="宋体" w:hAnsi="宋体" w:cs="宋体" w:eastAsia="宋体" w:hint="default"/>
          <w:b/>
          <w:bCs/>
          <w:spacing w:val="-128"/>
          <w:w w:val="99"/>
          <w:sz w:val="28"/>
          <w:szCs w:val="28"/>
        </w:rPr>
        <w:t>，</w:t>
      </w:r>
      <w:r>
        <w:rPr>
          <w:rFonts w:ascii="宋体" w:hAnsi="宋体" w:cs="宋体" w:eastAsia="宋体" w:hint="default"/>
          <w:b/>
          <w:bCs/>
          <w:spacing w:val="2"/>
          <w:w w:val="99"/>
          <w:sz w:val="28"/>
          <w:szCs w:val="28"/>
        </w:rPr>
        <w:t>敬</w:t>
      </w:r>
      <w:r>
        <w:rPr>
          <w:rFonts w:ascii="宋体" w:hAnsi="宋体" w:cs="宋体" w:eastAsia="宋体" w:hint="default"/>
          <w:b/>
          <w:bCs/>
          <w:w w:val="99"/>
          <w:sz w:val="28"/>
          <w:szCs w:val="28"/>
        </w:rPr>
        <w:t>请广大</w:t>
      </w:r>
      <w:r>
        <w:rPr>
          <w:rFonts w:ascii="宋体" w:hAnsi="宋体" w:cs="宋体" w:eastAsia="宋体" w:hint="default"/>
          <w:b/>
          <w:bCs/>
          <w:spacing w:val="2"/>
          <w:w w:val="99"/>
          <w:sz w:val="28"/>
          <w:szCs w:val="28"/>
        </w:rPr>
        <w:t>投</w:t>
      </w:r>
      <w:r>
        <w:rPr>
          <w:rFonts w:ascii="宋体" w:hAnsi="宋体" w:cs="宋体" w:eastAsia="宋体" w:hint="default"/>
          <w:b/>
          <w:bCs/>
          <w:w w:val="99"/>
          <w:sz w:val="28"/>
          <w:szCs w:val="28"/>
        </w:rPr>
        <w:t>资者注</w:t>
      </w:r>
      <w:r>
        <w:rPr>
          <w:rFonts w:ascii="宋体" w:hAnsi="宋体" w:cs="宋体" w:eastAsia="宋体" w:hint="default"/>
          <w:sz w:val="28"/>
          <w:szCs w:val="28"/>
        </w:rPr>
      </w:r>
    </w:p>
    <w:p>
      <w:pPr>
        <w:spacing w:before="237"/>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意查阅。</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46" w:lineRule="auto" w:before="0"/>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、生产经营的季节性风险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受客户结构、业务特点等因素的影响，公司营业收入存在各季度分布不均</w:t>
      </w:r>
      <w:r>
        <w:rPr>
          <w:rFonts w:ascii="宋体" w:hAnsi="宋体" w:cs="宋体" w:eastAsia="宋体" w:hint="default"/>
          <w:spacing w:val="3"/>
          <w:sz w:val="28"/>
          <w:szCs w:val="28"/>
        </w:rPr>
      </w:r>
    </w:p>
    <w:p>
      <w:pPr>
        <w:spacing w:line="408" w:lineRule="auto" w:before="16"/>
        <w:ind w:left="1133" w:right="1142"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衡、前低后高的特点，公司的经营业绩有明显的季节性波动，营业收入和利润</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pacing w:val="3"/>
          <w:w w:val="95"/>
          <w:sz w:val="28"/>
          <w:szCs w:val="28"/>
        </w:rPr>
        <w:t>主要集中于下半年实现。投资者不能简单地以公司季度或中期的财务数据来推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算全年的经营成果、财务状况及现金流量。</w:t>
      </w:r>
      <w:r>
        <w:rPr>
          <w:rFonts w:ascii="宋体" w:hAnsi="宋体" w:cs="宋体" w:eastAsia="宋体" w:hint="default"/>
          <w:sz w:val="28"/>
          <w:szCs w:val="28"/>
        </w:rPr>
      </w:r>
    </w:p>
    <w:p>
      <w:pPr>
        <w:spacing w:line="446" w:lineRule="auto" w:before="162"/>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、技术开发风险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近年来金融安防行业内技术进步和技术更新换代的速度越来越快，随着安</w:t>
      </w:r>
      <w:r>
        <w:rPr>
          <w:rFonts w:ascii="宋体" w:hAnsi="宋体" w:cs="宋体" w:eastAsia="宋体" w:hint="default"/>
          <w:spacing w:val="3"/>
          <w:sz w:val="28"/>
          <w:szCs w:val="28"/>
        </w:rPr>
      </w:r>
    </w:p>
    <w:p>
      <w:pPr>
        <w:spacing w:before="16"/>
        <w:ind w:left="1133"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防系统与银行业务的融合度不断提高，银行对安防产品的要求也趋于专业化和</w:t>
      </w:r>
      <w:r>
        <w:rPr>
          <w:rFonts w:ascii="宋体" w:hAnsi="宋体" w:cs="宋体" w:eastAsia="宋体" w:hint="default"/>
          <w:spacing w:val="3"/>
          <w:sz w:val="28"/>
          <w:szCs w:val="28"/>
        </w:rPr>
      </w:r>
    </w:p>
    <w:p>
      <w:pPr>
        <w:spacing w:after="0"/>
        <w:jc w:val="both"/>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10" w:lineRule="auto" w:before="13"/>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个性化，市场的需求将更难以把握。如果公司的技术和产品研发方向偏离市场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需求，或者研发时机掌握不对，产品化速度减缓，将可能存在产品不能在新的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环境下形成技术优势的风险。</w:t>
      </w:r>
      <w:r>
        <w:rPr>
          <w:rFonts w:ascii="宋体" w:hAnsi="宋体" w:cs="宋体" w:eastAsia="宋体" w:hint="default"/>
          <w:sz w:val="28"/>
          <w:szCs w:val="28"/>
        </w:rPr>
      </w:r>
    </w:p>
    <w:p>
      <w:pPr>
        <w:spacing w:line="448" w:lineRule="auto" w:before="158"/>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、市场竞争加剧风险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中国金融业正处于扩张期，对于安全防范的要求不断提高，金融安防行业</w:t>
      </w:r>
      <w:r>
        <w:rPr>
          <w:rFonts w:ascii="宋体" w:hAnsi="宋体" w:cs="宋体" w:eastAsia="宋体" w:hint="default"/>
          <w:spacing w:val="3"/>
          <w:sz w:val="28"/>
          <w:szCs w:val="28"/>
        </w:rPr>
      </w:r>
    </w:p>
    <w:p>
      <w:pPr>
        <w:spacing w:line="398" w:lineRule="auto" w:before="14"/>
        <w:ind w:left="1133" w:right="1132" w:firstLine="0"/>
        <w:jc w:val="both"/>
        <w:rPr>
          <w:rFonts w:ascii="宋体" w:hAnsi="宋体" w:cs="宋体" w:eastAsia="宋体" w:hint="default"/>
          <w:sz w:val="28"/>
          <w:szCs w:val="28"/>
        </w:rPr>
      </w:pPr>
      <w:r>
        <w:rPr>
          <w:rFonts w:ascii="宋体" w:hAnsi="宋体" w:cs="宋体" w:eastAsia="宋体" w:hint="default"/>
          <w:b/>
          <w:bCs/>
          <w:spacing w:val="-3"/>
          <w:sz w:val="28"/>
          <w:szCs w:val="28"/>
        </w:rPr>
        <w:t>进入快速发展阶段。随着金融安防监控联网工程建设的规模化，部分</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企业开</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始涉足安防领域，业内企业数量不断增加，同时设备产品同质化，行业利润率</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受到挤压，市场竞争日趋激烈。</w:t>
      </w:r>
      <w:r>
        <w:rPr>
          <w:rFonts w:ascii="宋体" w:hAnsi="宋体" w:cs="宋体" w:eastAsia="宋体" w:hint="default"/>
          <w:sz w:val="28"/>
          <w:szCs w:val="28"/>
        </w:rPr>
      </w:r>
    </w:p>
    <w:p>
      <w:pPr>
        <w:spacing w:line="410" w:lineRule="auto" w:before="171"/>
        <w:ind w:left="1133" w:right="0"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受上述市场竞争加剧风险影响，公司利润的增长速度可能会放缓，经营业</w:t>
      </w:r>
      <w:r>
        <w:rPr>
          <w:rFonts w:ascii="宋体" w:hAnsi="宋体" w:cs="宋体" w:eastAsia="宋体" w:hint="default"/>
          <w:b/>
          <w:bCs/>
          <w:w w:val="99"/>
          <w:sz w:val="28"/>
          <w:szCs w:val="28"/>
        </w:rPr>
        <w:t> </w:t>
      </w:r>
      <w:r>
        <w:rPr>
          <w:rFonts w:ascii="宋体" w:hAnsi="宋体" w:cs="宋体" w:eastAsia="宋体" w:hint="default"/>
          <w:b/>
          <w:bCs/>
          <w:sz w:val="28"/>
          <w:szCs w:val="28"/>
        </w:rPr>
        <w:t>绩存在不能保持持续增长的风险。</w:t>
      </w:r>
      <w:r>
        <w:rPr>
          <w:rFonts w:ascii="宋体" w:hAnsi="宋体" w:cs="宋体" w:eastAsia="宋体" w:hint="default"/>
          <w:sz w:val="28"/>
          <w:szCs w:val="28"/>
        </w:rPr>
      </w:r>
    </w:p>
    <w:p>
      <w:pPr>
        <w:spacing w:line="448" w:lineRule="auto" w:before="158"/>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、对单一银行业金融机构行业应用风险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公司业务主要来自银行业金融机构。虽然受益于银行安防联网建设和自助</w:t>
      </w:r>
      <w:r>
        <w:rPr>
          <w:rFonts w:ascii="宋体" w:hAnsi="宋体" w:cs="宋体" w:eastAsia="宋体" w:hint="default"/>
          <w:spacing w:val="3"/>
          <w:sz w:val="28"/>
          <w:szCs w:val="28"/>
        </w:rPr>
      </w:r>
    </w:p>
    <w:p>
      <w:pPr>
        <w:spacing w:line="408" w:lineRule="auto" w:before="14"/>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银行的安防需求扩张，公司的盈利能力和竞争实力获得了较大的提升，但如果</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未来宏观经济或金融环境发生不利变化，导致银行业金融机构缩减安防支出，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公司将面临市场萎缩的风险。</w:t>
      </w:r>
      <w:r>
        <w:rPr>
          <w:rFonts w:ascii="宋体" w:hAnsi="宋体" w:cs="宋体" w:eastAsia="宋体" w:hint="default"/>
          <w:sz w:val="28"/>
          <w:szCs w:val="28"/>
        </w:rPr>
      </w:r>
    </w:p>
    <w:p>
      <w:pPr>
        <w:spacing w:line="446" w:lineRule="auto" w:before="16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、经营管理风险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随着公司的发展，公司资产规模、经营规模、业务规模、人员规模都将不</w:t>
      </w:r>
      <w:r>
        <w:rPr>
          <w:rFonts w:ascii="宋体" w:hAnsi="宋体" w:cs="宋体" w:eastAsia="宋体" w:hint="default"/>
          <w:spacing w:val="3"/>
          <w:sz w:val="28"/>
          <w:szCs w:val="28"/>
        </w:rPr>
      </w:r>
    </w:p>
    <w:p>
      <w:pPr>
        <w:spacing w:line="410" w:lineRule="auto" w:before="16"/>
        <w:ind w:left="1133" w:right="1143"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断扩张，在经营管理、资源整合、市场开拓、统筹管理等方面对公司的管理层</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提出了更高的要求。如公司不能有效地进一步提升管理标准及理念、完善管理</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z w:val="28"/>
          <w:szCs w:val="28"/>
        </w:rPr>
        <w:t>流程和内部控制制度，将会对公司的整体运营带来一定风险。</w:t>
      </w:r>
      <w:r>
        <w:rPr>
          <w:rFonts w:ascii="宋体" w:hAnsi="宋体" w:cs="宋体" w:eastAsia="宋体" w:hint="default"/>
          <w:sz w:val="28"/>
          <w:szCs w:val="28"/>
        </w:rPr>
      </w:r>
    </w:p>
    <w:p>
      <w:pPr>
        <w:spacing w:before="158"/>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80,688,500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13"/>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5</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222" w:right="32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10762" w:val="right" w:leader="dot"/>
            </w:tabs>
            <w:spacing w:line="240" w:lineRule="auto" w:before="238"/>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0749" w:val="right" w:leader="dot"/>
            </w:tabs>
            <w:spacing w:line="240" w:lineRule="auto" w:before="332"/>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0762" w:val="right" w:leader="dot"/>
            </w:tabs>
            <w:spacing w:line="240" w:lineRule="auto" w:before="333"/>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
              </w:rPr>
              <w:t> </w:t>
            </w:r>
            <w:r>
              <w:rPr/>
              <w:t>公司治理</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10762" w:val="right" w:leader="dot"/>
            </w:tabs>
            <w:spacing w:line="240" w:lineRule="auto" w:before="332"/>
            <w:ind w:right="0"/>
            <w:jc w:val="left"/>
            <w:rPr>
              <w:rFonts w:ascii="Times New Roman" w:hAnsi="Times New Roman" w:cs="Times New Roman" w:eastAsia="Times New Roman" w:hint="default"/>
              <w:b w:val="0"/>
              <w:bCs w:val="0"/>
            </w:rPr>
          </w:pPr>
          <w:hyperlink w:history="true" w:anchor="_bookmark8">
            <w:r>
              <w:rPr/>
              <w:t>第十节</w:t>
            </w:r>
            <w:r>
              <w:rPr>
                <w:spacing w:val="-1"/>
              </w:rPr>
              <w:t> </w:t>
            </w:r>
            <w:r>
              <w:rPr/>
              <w:t>财务报告</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
              </w:rPr>
              <w:t> </w:t>
            </w:r>
            <w:r>
              <w:rPr/>
              <w:t>备查文件目录</w:t>
            </w:r>
            <w:r>
              <w:rPr>
                <w:rFonts w:ascii="Times New Roman" w:hAnsi="Times New Roman" w:cs="Times New Roman" w:eastAsia="Times New Roman" w:hint="default"/>
              </w:rPr>
              <w:tab/>
              <w:t>163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3222" w:right="32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浩云科技、公司、本公司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广州市浩云安防科技工程有限公司，本公司前身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浩云设备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广州市浩云安防设备有限公司，本公司全资子公司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苏瑞科技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广州市苏瑞计算机科技有限公司，本公司全资子公司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万欣科技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广州市万欣计算机科技有限公司，本公全资子公司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碧天投资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广州市碧天投资咨询有限公司，本公司之股东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常森投资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广州市常森投资咨询有限责任公司，本公司之股东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本公司的《公司章程》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group style="position:absolute;margin-left:172.339996pt;margin-top:260.359985pt;width:361.5pt;height:19.650pt;mso-position-horizontal-relative:page;mso-position-vertical-relative:page;z-index:-922120" coordorigin="3447,5207" coordsize="7230,393">
            <v:shape style="position:absolute;left:3447;top:5207;width:7230;height:393" coordorigin="3447,5207" coordsize="7230,393" path="m3447,5600l10676,5600,10676,5207,3447,5207,3447,5600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9"/>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浩云科技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300448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广州市浩云安防科技股份有限公司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浩云科技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Guangzhou Haoyun Security Technologies</w:t>
            </w:r>
            <w:r>
              <w:rPr>
                <w:rFonts w:ascii="Times New Roman"/>
                <w:spacing w:val="-26"/>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Haoyun</w:t>
            </w:r>
            <w:r>
              <w:rPr>
                <w:rFonts w:ascii="Times New Roman"/>
                <w:spacing w:val="-20"/>
                <w:sz w:val="18"/>
              </w:rPr>
              <w:t> </w:t>
            </w:r>
            <w:r>
              <w:rPr>
                <w:rFonts w:ascii="Times New Roman"/>
                <w:sz w:val="18"/>
              </w:rPr>
              <w:t>Technologies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雷洪文</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511400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511400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http://www.haoyuntech.com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r>
    </w:tbl>
    <w:p>
      <w:pPr>
        <w:spacing w:line="240" w:lineRule="auto" w:before="0"/>
        <w:rPr>
          <w:rFonts w:ascii="宋体" w:hAnsi="宋体" w:cs="宋体" w:eastAsia="宋体" w:hint="default"/>
          <w:b/>
          <w:bCs/>
          <w:sz w:val="24"/>
          <w:szCs w:val="24"/>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彭燕君</w:t>
            </w: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2201</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2201</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r>
              <w:rPr>
                <w:rFonts w:ascii="Times New Roman"/>
                <w:sz w:val="18"/>
              </w:rPr>
              <w:t>020-34831515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020-34831515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r>
              <w:rPr>
                <w:rFonts w:ascii="Times New Roman"/>
                <w:sz w:val="18"/>
              </w:rPr>
              <w:t>020-34831415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020-34831415</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r>
    </w:tbl>
    <w:p>
      <w:pPr>
        <w:spacing w:line="240" w:lineRule="auto" w:before="0"/>
        <w:rPr>
          <w:rFonts w:ascii="宋体" w:hAnsi="宋体" w:cs="宋体" w:eastAsia="宋体" w:hint="default"/>
          <w:b/>
          <w:bCs/>
          <w:sz w:val="24"/>
          <w:szCs w:val="24"/>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广州市浩云安防科技股份有限公司董事会办公室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7"/>
        <w:rPr>
          <w:rFonts w:ascii="宋体" w:hAnsi="宋体" w:cs="宋体" w:eastAsia="宋体" w:hint="default"/>
          <w:b/>
          <w:bCs/>
          <w:sz w:val="29"/>
          <w:szCs w:val="29"/>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公司聘请的会计师事务所</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杭州市西溪路 </w:t>
            </w:r>
            <w:r>
              <w:rPr>
                <w:rFonts w:ascii="Times New Roman" w:hAnsi="Times New Roman" w:cs="Times New Roman" w:eastAsia="Times New Roman" w:hint="default"/>
                <w:sz w:val="18"/>
                <w:szCs w:val="18"/>
              </w:rPr>
              <w:t>128  </w:t>
            </w:r>
            <w:r>
              <w:rPr>
                <w:rFonts w:ascii="宋体" w:hAnsi="宋体" w:cs="宋体" w:eastAsia="宋体" w:hint="default"/>
                <w:sz w:val="18"/>
                <w:szCs w:val="18"/>
              </w:rPr>
              <w:t>号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魏标文、卢玲玉</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公司聘请的报告期内履行持续督导职责的保荐机构</w:t>
      </w:r>
    </w:p>
    <w:p>
      <w:pPr>
        <w:spacing w:line="240" w:lineRule="auto" w:before="10"/>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朱权炼、陈里强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公司聘请的报告期内履行持续督导职责的财务顾问</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90"/>
        <w:ind w:right="0"/>
        <w:jc w:val="left"/>
      </w:pPr>
      <w:r>
        <w:rPr/>
        <w:t>公司是否因会计政策变更及会计差错更正等追溯调整或重述以前年度会计数据</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465,691,390.41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386,269,441.65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328,764,722.74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65,883,942.02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57,054,537.02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52,043,114.98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63,754,572.99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54,940,240.61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49,901,793.48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25,678,995.07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33,431,679.52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38,393,755.17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679,969,533.81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373,324,281.59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311,298,939.29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581,914,707.97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243,092,465.95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198,037,928.93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70,647,259.11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109,338,227.42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90,987,422.22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194,718,481.66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-12,208,497.62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20,330,619.01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2,566,441.08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55,195,379.55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-12,220,131.24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20,274,820.91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2,575,962.97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53,123,920.35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-57,340,077.49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-37,645,707.82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-25,974,304.37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146,639,084.75</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上述财务指标或其加总数是否与公司已披露季度报告、半年度报告相关财务指标存在重大差异</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-44,431.73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-25,425.00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-9,425.00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2,606,203.43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2,552,275.50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54,302.07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-56,539.47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227,752.23</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486,704.74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356,014.62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327,005.73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2,129,369.03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2,114,296.41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2,141,321.50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10"/>
        <w:rPr>
          <w:rFonts w:ascii="宋体" w:hAnsi="宋体" w:cs="宋体" w:eastAsia="宋体" w:hint="default"/>
          <w:sz w:val="16"/>
          <w:szCs w:val="16"/>
        </w:rPr>
      </w:pPr>
    </w:p>
    <w:p>
      <w:pPr>
        <w:pStyle w:val="BodyText"/>
        <w:spacing w:line="451" w:lineRule="auto"/>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1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451"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right="3222"/>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0"/>
        <w:rPr>
          <w:rFonts w:ascii="宋体" w:hAnsi="宋体" w:cs="宋体" w:eastAsia="宋体" w:hint="default"/>
          <w:b/>
          <w:bCs/>
          <w:sz w:val="40"/>
          <w:szCs w:val="40"/>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0"/>
        <w:rPr>
          <w:rFonts w:ascii="宋体" w:hAnsi="宋体" w:cs="宋体" w:eastAsia="宋体" w:hint="default"/>
          <w:b/>
          <w:bCs/>
          <w:sz w:val="24"/>
          <w:szCs w:val="24"/>
        </w:rPr>
      </w:pPr>
    </w:p>
    <w:p>
      <w:pPr>
        <w:pStyle w:val="BodyText"/>
        <w:spacing w:line="451" w:lineRule="auto" w:before="188"/>
        <w:ind w:right="0" w:firstLine="360"/>
        <w:jc w:val="left"/>
      </w:pPr>
      <w:r>
        <w:rPr>
          <w:spacing w:val="-2"/>
        </w:rPr>
        <w:t>报告期内，公司主要从事金融安防系统集成和金融安防设备的研发、生产、销售业务。金融安防系统集成收入</w:t>
      </w:r>
      <w:r>
        <w:rPr>
          <w:rFonts w:ascii="Times New Roman" w:hAnsi="Times New Roman" w:cs="Times New Roman" w:eastAsia="Times New Roman" w:hint="default"/>
          <w:spacing w:val="-2"/>
        </w:rPr>
        <w:t>35,254.17</w:t>
      </w:r>
      <w:r>
        <w:rPr>
          <w:rFonts w:ascii="Times New Roman" w:hAnsi="Times New Roman" w:cs="Times New Roman" w:eastAsia="Times New Roman" w:hint="default"/>
        </w:rPr>
        <w:t> </w:t>
      </w:r>
      <w:r>
        <w:rPr/>
        <w:t>万元，较上年同期增长</w:t>
      </w:r>
      <w:r>
        <w:rPr>
          <w:rFonts w:ascii="Times New Roman" w:hAnsi="Times New Roman" w:cs="Times New Roman" w:eastAsia="Times New Roman" w:hint="default"/>
        </w:rPr>
        <w:t>14.72%</w:t>
      </w:r>
      <w:r>
        <w:rPr/>
        <w:t>；金融安防设备销售收入</w:t>
      </w:r>
      <w:r>
        <w:rPr>
          <w:rFonts w:ascii="Times New Roman" w:hAnsi="Times New Roman" w:cs="Times New Roman" w:eastAsia="Times New Roman" w:hint="default"/>
        </w:rPr>
        <w:t>11,314.97</w:t>
      </w:r>
      <w:r>
        <w:rPr/>
        <w:t>万元，较上年同期增长</w:t>
      </w:r>
      <w:r>
        <w:rPr>
          <w:rFonts w:ascii="Times New Roman" w:hAnsi="Times New Roman" w:cs="Times New Roman" w:eastAsia="Times New Roman" w:hint="default"/>
        </w:rPr>
        <w:t>43.28%</w:t>
      </w:r>
      <w:r>
        <w:rPr/>
        <w:t>。作为国内金融安防行业领 先企业之一，公司在</w:t>
      </w:r>
      <w:r>
        <w:rPr>
          <w:rFonts w:ascii="Times New Roman" w:hAnsi="Times New Roman" w:cs="Times New Roman" w:eastAsia="Times New Roman" w:hint="default"/>
        </w:rPr>
        <w:t>2015</w:t>
      </w:r>
      <w:r>
        <w:rPr/>
        <w:t>年继续保持快速增长。</w:t>
      </w:r>
    </w:p>
    <w:p>
      <w:pPr>
        <w:pStyle w:val="BodyText"/>
        <w:spacing w:line="477" w:lineRule="auto" w:before="82"/>
        <w:ind w:left="1134" w:right="0" w:firstLine="360"/>
        <w:jc w:val="left"/>
      </w:pPr>
      <w:r>
        <w:rPr>
          <w:spacing w:val="-2"/>
        </w:rPr>
        <w:t>金融安防系统集成主要为银行客户提供营业网点视音频系统、出入口控制系统、自助银行智能安防系统、银行安防综合</w:t>
      </w:r>
      <w:r>
        <w:rPr/>
        <w:t> 管理系统等系统的项目集成服务和运维服务。</w:t>
      </w:r>
    </w:p>
    <w:p>
      <w:pPr>
        <w:pStyle w:val="BodyText"/>
        <w:spacing w:line="516" w:lineRule="auto" w:before="95"/>
        <w:ind w:left="1494" w:right="2692"/>
        <w:jc w:val="left"/>
      </w:pPr>
      <w:r>
        <w:rPr/>
        <w:t>金融安防设备主要包括智能视频设备、出入口控制设备、数字语音设备和安防辅助器材。 报告期内公司所处行业的发展情况，请详见第四节 管理层讨论与分析</w:t>
      </w:r>
      <w:r>
        <w:rPr>
          <w:rFonts w:ascii="Times New Roman" w:hAnsi="Times New Roman" w:cs="Times New Roman" w:eastAsia="Times New Roman" w:hint="default"/>
        </w:rPr>
        <w:t>/</w:t>
      </w:r>
      <w:r>
        <w:rPr/>
        <w:t>九、公司未来发展的展望。</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年年末余额为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411,485,890.67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元，占总资产比重为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60.52%</w:t>
            </w:r>
            <w:r>
              <w:rPr>
                <w:rFonts w:ascii="宋体" w:hAnsi="宋体" w:cs="宋体" w:eastAsia="宋体" w:hint="default"/>
                <w:sz w:val="18"/>
                <w:szCs w:val="18"/>
              </w:rPr>
              <w:t>，比年初 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203.19%</w:t>
            </w:r>
            <w:r>
              <w:rPr>
                <w:rFonts w:ascii="宋体" w:hAnsi="宋体" w:cs="宋体" w:eastAsia="宋体" w:hint="default"/>
                <w:sz w:val="18"/>
                <w:szCs w:val="18"/>
              </w:rPr>
              <w:t>，主要原因是本年公开发行股票募集资金及发行限制性股票收到员工 激励股募集款项</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年年末余额为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122,928,430.14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元，占总资产比重为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18.08%</w:t>
            </w:r>
            <w:r>
              <w:rPr>
                <w:rFonts w:ascii="宋体" w:hAnsi="宋体" w:cs="宋体" w:eastAsia="宋体" w:hint="default"/>
                <w:sz w:val="18"/>
                <w:szCs w:val="18"/>
              </w:rPr>
              <w:t>，比年初 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40.59%</w:t>
            </w:r>
            <w:r>
              <w:rPr>
                <w:rFonts w:ascii="宋体" w:hAnsi="宋体" w:cs="宋体" w:eastAsia="宋体" w:hint="default"/>
                <w:sz w:val="18"/>
                <w:szCs w:val="18"/>
              </w:rPr>
              <w:t>，主要原因是本年收入增加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其他应收款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4,435,899.29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元，占总资产比重为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0.65%</w:t>
            </w:r>
            <w:r>
              <w:rPr>
                <w:rFonts w:ascii="宋体" w:hAnsi="宋体" w:cs="宋体" w:eastAsia="宋体" w:hint="default"/>
                <w:sz w:val="18"/>
                <w:szCs w:val="18"/>
              </w:rPr>
              <w:t>，比年初 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35.17%</w:t>
            </w:r>
            <w:r>
              <w:rPr>
                <w:rFonts w:ascii="宋体" w:hAnsi="宋体" w:cs="宋体" w:eastAsia="宋体" w:hint="default"/>
                <w:sz w:val="18"/>
                <w:szCs w:val="18"/>
              </w:rPr>
              <w:t>，主要原因是上市前发生的上市费用在发行股票后结转冲减股本溢价</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年年末余额为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660,154.07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元，占总资产比重为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0.10%</w:t>
            </w:r>
            <w:r>
              <w:rPr>
                <w:rFonts w:ascii="宋体" w:hAnsi="宋体" w:cs="宋体" w:eastAsia="宋体" w:hint="default"/>
                <w:sz w:val="18"/>
                <w:szCs w:val="18"/>
              </w:rPr>
              <w:t>，比年初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下降 </w:t>
            </w:r>
            <w:r>
              <w:rPr>
                <w:rFonts w:ascii="Times New Roman" w:hAnsi="Times New Roman" w:cs="Times New Roman" w:eastAsia="Times New Roman" w:hint="default"/>
                <w:sz w:val="18"/>
                <w:szCs w:val="18"/>
              </w:rPr>
              <w:t>34.68%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，主要原因是预缴税金减少</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年年末余额为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1,534,000.00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元，占总资产比重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0.23%</w:t>
            </w:r>
            <w:r>
              <w:rPr>
                <w:rFonts w:ascii="宋体" w:hAnsi="宋体" w:cs="宋体" w:eastAsia="宋体" w:hint="default"/>
                <w:sz w:val="18"/>
                <w:szCs w:val="18"/>
              </w:rPr>
              <w:t>，比年初 增长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119.14%</w:t>
            </w:r>
            <w:r>
              <w:rPr>
                <w:rFonts w:ascii="宋体" w:hAnsi="宋体" w:cs="宋体" w:eastAsia="宋体" w:hint="default"/>
                <w:sz w:val="18"/>
                <w:szCs w:val="18"/>
              </w:rPr>
              <w:t>，主要原因是本年期末预付购车款增加</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pStyle w:val="Heading3"/>
        <w:spacing w:line="240" w:lineRule="auto" w:before="174"/>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4"/>
        <w:ind w:right="0"/>
        <w:jc w:val="left"/>
        <w:rPr>
          <w:b w:val="0"/>
          <w:bCs w:val="0"/>
        </w:rPr>
      </w:pPr>
      <w:r>
        <w:rPr>
          <w:rFonts w:ascii="Times New Roman" w:hAnsi="Times New Roman" w:cs="Times New Roman" w:eastAsia="Times New Roman" w:hint="default"/>
        </w:rPr>
        <w:t>1</w:t>
      </w:r>
      <w:r>
        <w:rPr/>
        <w:t>、金融安防整体解决方案能力优势</w:t>
      </w:r>
      <w:r>
        <w:rPr>
          <w:b w:val="0"/>
          <w:bCs w:val="0"/>
        </w:rPr>
      </w:r>
    </w:p>
    <w:p>
      <w:pPr>
        <w:spacing w:line="240" w:lineRule="auto" w:before="6"/>
        <w:rPr>
          <w:rFonts w:ascii="宋体" w:hAnsi="宋体" w:cs="宋体" w:eastAsia="宋体" w:hint="default"/>
          <w:b/>
          <w:bCs/>
          <w:sz w:val="18"/>
          <w:szCs w:val="18"/>
        </w:rPr>
      </w:pPr>
    </w:p>
    <w:p>
      <w:pPr>
        <w:pStyle w:val="BodyText"/>
        <w:spacing w:line="477" w:lineRule="auto"/>
        <w:ind w:left="1134" w:right="1032" w:firstLine="360"/>
        <w:jc w:val="left"/>
      </w:pPr>
      <w:r>
        <w:rPr>
          <w:spacing w:val="-2"/>
        </w:rPr>
        <w:t>公司凭借定制化的软硬件产品线、持续的技术创新和集成能力、丰富的项目实施和运维经验，实现了全产业链纵向一体</w:t>
      </w:r>
      <w:r>
        <w:rPr/>
        <w:t> 化，为客户提供金融安防系统的业务咨询、方案设计、产品定制、系统集成、工程实施、运维服务等综合的整体解决方案。 同时，公司多年深耕于金融安防行业，熟悉银行业金融机构的行业特点，能针对不同类型银行机构的营运环境、风险环节、 管理流程及业务流程，向客户提供定制个性化的安防解决方案。</w:t>
      </w:r>
    </w:p>
    <w:p>
      <w:pPr>
        <w:pStyle w:val="Heading3"/>
        <w:spacing w:line="240" w:lineRule="auto" w:before="149"/>
        <w:ind w:left="1134" w:right="0"/>
        <w:jc w:val="left"/>
        <w:rPr>
          <w:b w:val="0"/>
          <w:bCs w:val="0"/>
        </w:rPr>
      </w:pPr>
      <w:r>
        <w:rPr>
          <w:rFonts w:ascii="Times New Roman" w:hAnsi="Times New Roman" w:cs="Times New Roman" w:eastAsia="Times New Roman" w:hint="default"/>
        </w:rPr>
        <w:t>2</w:t>
      </w:r>
      <w:r>
        <w:rPr/>
        <w:t>、技术与研发优势</w:t>
      </w:r>
      <w:r>
        <w:rPr>
          <w:b w:val="0"/>
          <w:bCs w:val="0"/>
        </w:rPr>
      </w:r>
    </w:p>
    <w:p>
      <w:pPr>
        <w:spacing w:line="240" w:lineRule="auto" w:before="7"/>
        <w:rPr>
          <w:rFonts w:ascii="宋体" w:hAnsi="宋体" w:cs="宋体" w:eastAsia="宋体" w:hint="default"/>
          <w:b/>
          <w:bCs/>
          <w:sz w:val="18"/>
          <w:szCs w:val="18"/>
        </w:rPr>
      </w:pPr>
    </w:p>
    <w:p>
      <w:pPr>
        <w:pStyle w:val="BodyText"/>
        <w:spacing w:line="477" w:lineRule="auto"/>
        <w:ind w:right="1131" w:firstLine="343"/>
        <w:jc w:val="both"/>
      </w:pPr>
      <w:r>
        <w:rPr>
          <w:spacing w:val="-2"/>
        </w:rPr>
        <w:t>公司自</w:t>
      </w:r>
      <w:r>
        <w:rPr>
          <w:rFonts w:ascii="宋体" w:hAnsi="宋体" w:cs="宋体" w:eastAsia="宋体" w:hint="default"/>
          <w:spacing w:val="-2"/>
        </w:rPr>
        <w:t>2001</w:t>
      </w:r>
      <w:r>
        <w:rPr>
          <w:spacing w:val="-2"/>
        </w:rPr>
        <w:t>年成立以来一直致力于金融安防软硬件技术的研究与开发，通过自主研发，形成了一系列业界领先的核心技</w:t>
      </w:r>
      <w:r>
        <w:rPr/>
        <w:t> </w:t>
      </w:r>
      <w:r>
        <w:rPr>
          <w:spacing w:val="-2"/>
        </w:rPr>
        <w:t>术，基本覆盖了金融安防行业的主要技术领域。与此同时，公司紧跟国内外行业的发展趋势，结合公司的实际情况和研究方</w:t>
      </w:r>
      <w:r>
        <w:rPr>
          <w:spacing w:val="-66"/>
        </w:rPr>
        <w:t> </w:t>
      </w:r>
      <w:r>
        <w:rPr>
          <w:spacing w:val="-66"/>
        </w:rPr>
      </w:r>
      <w:r>
        <w:rPr>
          <w:spacing w:val="-2"/>
        </w:rPr>
        <w:t>向，将大数据、物联网传感、云计算、云存储、数据镜像传感、深度学习等先进技术应用到主动安防系统、智慧银行安全综</w:t>
      </w:r>
      <w:r>
        <w:rPr>
          <w:spacing w:val="-72"/>
        </w:rPr>
        <w:t> </w:t>
      </w:r>
      <w:r>
        <w:rPr>
          <w:spacing w:val="-72"/>
        </w:rPr>
      </w:r>
      <w:r>
        <w:rPr>
          <w:spacing w:val="-2"/>
        </w:rPr>
        <w:t>合管理平台和自助银行智能安防系统中，增强了公司的技术优势和产品质量，为客户的安防需求提供更尖端、更柔性的综合</w:t>
      </w:r>
      <w:r>
        <w:rPr>
          <w:spacing w:val="-66"/>
        </w:rPr>
        <w:t> </w:t>
      </w:r>
      <w:r>
        <w:rPr>
          <w:spacing w:val="-66"/>
        </w:rPr>
      </w:r>
      <w:r>
        <w:rPr/>
        <w:t>解决方案。</w:t>
      </w:r>
    </w:p>
    <w:p>
      <w:pPr>
        <w:pStyle w:val="Heading3"/>
        <w:spacing w:line="240" w:lineRule="auto" w:before="147"/>
        <w:ind w:right="0"/>
        <w:jc w:val="left"/>
        <w:rPr>
          <w:b w:val="0"/>
          <w:bCs w:val="0"/>
        </w:rPr>
      </w:pPr>
      <w:r>
        <w:rPr>
          <w:rFonts w:ascii="Times New Roman" w:hAnsi="Times New Roman" w:cs="Times New Roman" w:eastAsia="Times New Roman" w:hint="default"/>
        </w:rPr>
        <w:t>3</w:t>
      </w:r>
      <w:r>
        <w:rPr/>
        <w:t>、行业经验及品牌优势</w:t>
      </w:r>
      <w:r>
        <w:rPr>
          <w:b w:val="0"/>
          <w:bCs w:val="0"/>
        </w:rPr>
      </w:r>
    </w:p>
    <w:p>
      <w:pPr>
        <w:spacing w:line="240" w:lineRule="auto" w:before="7"/>
        <w:rPr>
          <w:rFonts w:ascii="宋体" w:hAnsi="宋体" w:cs="宋体" w:eastAsia="宋体" w:hint="default"/>
          <w:b/>
          <w:bCs/>
          <w:sz w:val="18"/>
          <w:szCs w:val="18"/>
        </w:rPr>
      </w:pPr>
    </w:p>
    <w:p>
      <w:pPr>
        <w:pStyle w:val="BodyText"/>
        <w:spacing w:line="477" w:lineRule="auto"/>
        <w:ind w:right="1131" w:firstLine="360"/>
        <w:jc w:val="both"/>
      </w:pPr>
      <w:r>
        <w:rPr>
          <w:spacing w:val="-2"/>
        </w:rPr>
        <w:t>公司专注金融安防领域十余年，熟悉金融机构的风险对象、风险环节及其管理流程，深入了解客户的安防需求，能够紧</w:t>
      </w:r>
      <w:r>
        <w:rPr/>
        <w:t> </w:t>
      </w:r>
      <w:r>
        <w:rPr>
          <w:spacing w:val="-2"/>
        </w:rPr>
        <w:t>密结合产品的研发、技术更新与金融风险对象、风险环节及其管理流程进行有针对性的技术研究和产品开发。经过长期的市</w:t>
      </w:r>
      <w:r>
        <w:rPr>
          <w:spacing w:val="-66"/>
        </w:rPr>
        <w:t> </w:t>
      </w:r>
      <w:r>
        <w:rPr>
          <w:spacing w:val="-66"/>
        </w:rPr>
      </w:r>
      <w:r>
        <w:rPr>
          <w:spacing w:val="-1"/>
        </w:rPr>
        <w:t>场开拓，</w:t>
      </w:r>
      <w:r>
        <w:rPr>
          <w:rFonts w:ascii="Calibri" w:hAnsi="Calibri" w:cs="Calibri" w:eastAsia="Calibri" w:hint="default"/>
          <w:spacing w:val="-1"/>
        </w:rPr>
        <w:t>“</w:t>
      </w:r>
      <w:r>
        <w:rPr>
          <w:rFonts w:ascii="宋体" w:hAnsi="宋体" w:cs="宋体" w:eastAsia="宋体" w:hint="default"/>
          <w:spacing w:val="-1"/>
        </w:rPr>
        <w:t>TeleSky</w:t>
      </w:r>
      <w:r>
        <w:rPr>
          <w:rFonts w:ascii="Calibri" w:hAnsi="Calibri" w:cs="Calibri" w:eastAsia="Calibri" w:hint="default"/>
          <w:spacing w:val="-1"/>
        </w:rPr>
        <w:t>”</w:t>
      </w:r>
      <w:r>
        <w:rPr>
          <w:spacing w:val="-1"/>
        </w:rPr>
        <w:t>和</w:t>
      </w:r>
      <w:r>
        <w:rPr>
          <w:rFonts w:ascii="Calibri" w:hAnsi="Calibri" w:cs="Calibri" w:eastAsia="Calibri" w:hint="default"/>
          <w:spacing w:val="-1"/>
        </w:rPr>
        <w:t>“</w:t>
      </w:r>
      <w:r>
        <w:rPr>
          <w:spacing w:val="-1"/>
        </w:rPr>
        <w:t>浩云</w:t>
      </w:r>
      <w:r>
        <w:rPr>
          <w:rFonts w:ascii="Calibri" w:hAnsi="Calibri" w:cs="Calibri" w:eastAsia="Calibri" w:hint="default"/>
          <w:spacing w:val="-1"/>
        </w:rPr>
        <w:t>”</w:t>
      </w:r>
      <w:r>
        <w:rPr>
          <w:spacing w:val="-1"/>
        </w:rPr>
        <w:t>品牌培育了众多客户，公司业务区域覆盖全国</w:t>
      </w:r>
      <w:r>
        <w:rPr>
          <w:rFonts w:ascii="宋体" w:hAnsi="宋体" w:cs="宋体" w:eastAsia="宋体" w:hint="default"/>
          <w:spacing w:val="-1"/>
        </w:rPr>
        <w:t>30</w:t>
      </w:r>
      <w:r>
        <w:rPr>
          <w:spacing w:val="-1"/>
        </w:rPr>
        <w:t>多个省级地区，服务对象已超过</w:t>
      </w:r>
      <w:r>
        <w:rPr>
          <w:rFonts w:ascii="宋体" w:hAnsi="宋体" w:cs="宋体" w:eastAsia="宋体" w:hint="default"/>
          <w:spacing w:val="-1"/>
        </w:rPr>
        <w:t>400</w:t>
      </w:r>
      <w:r>
        <w:rPr>
          <w:spacing w:val="-1"/>
        </w:rPr>
        <w:t>多个独立法</w:t>
      </w:r>
    </w:p>
    <w:p>
      <w:pPr>
        <w:pStyle w:val="BodyText"/>
        <w:spacing w:line="229" w:lineRule="exact"/>
        <w:ind w:right="0"/>
        <w:jc w:val="left"/>
      </w:pPr>
      <w:r>
        <w:rPr/>
        <w:t>人金融机构。</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、金融安防综合资质优势</w:t>
      </w:r>
      <w:r>
        <w:rPr>
          <w:b w:val="0"/>
          <w:bCs w:val="0"/>
        </w:rPr>
      </w:r>
    </w:p>
    <w:p>
      <w:pPr>
        <w:spacing w:line="240" w:lineRule="auto" w:before="7"/>
        <w:rPr>
          <w:rFonts w:ascii="宋体" w:hAnsi="宋体" w:cs="宋体" w:eastAsia="宋体" w:hint="default"/>
          <w:b/>
          <w:bCs/>
          <w:sz w:val="18"/>
          <w:szCs w:val="18"/>
        </w:rPr>
      </w:pPr>
    </w:p>
    <w:p>
      <w:pPr>
        <w:pStyle w:val="BodyText"/>
        <w:spacing w:line="480" w:lineRule="auto"/>
        <w:ind w:right="0" w:firstLine="360"/>
        <w:jc w:val="left"/>
        <w:rPr>
          <w:rFonts w:ascii="宋体" w:hAnsi="宋体" w:cs="宋体" w:eastAsia="宋体" w:hint="default"/>
          <w:sz w:val="21"/>
          <w:szCs w:val="21"/>
        </w:rPr>
      </w:pPr>
      <w:r>
        <w:rPr>
          <w:spacing w:val="-2"/>
        </w:rPr>
        <w:t>公司凭借长期积累的行业技术优势及综合服务能力，先后取得了广东省安全技术防范系统设计</w:t>
      </w:r>
      <w:r>
        <w:rPr>
          <w:rFonts w:ascii="宋体" w:hAnsi="宋体" w:cs="宋体" w:eastAsia="宋体" w:hint="default"/>
          <w:spacing w:val="-2"/>
        </w:rPr>
        <w:t>/</w:t>
      </w:r>
      <w:r>
        <w:rPr>
          <w:spacing w:val="-2"/>
        </w:rPr>
        <w:t>施工</w:t>
      </w:r>
      <w:r>
        <w:rPr>
          <w:rFonts w:ascii="宋体" w:hAnsi="宋体" w:cs="宋体" w:eastAsia="宋体" w:hint="default"/>
          <w:spacing w:val="-2"/>
        </w:rPr>
        <w:t>/</w:t>
      </w:r>
      <w:r>
        <w:rPr>
          <w:spacing w:val="-2"/>
        </w:rPr>
        <w:t>维修资格证壹级证</w:t>
      </w:r>
      <w:r>
        <w:rPr/>
        <w:t> </w:t>
      </w:r>
      <w:r>
        <w:rPr>
          <w:spacing w:val="-2"/>
        </w:rPr>
        <w:t>书（该证书是广东省公安厅颁发，适用全国）、安防工程企业资质壹级证书、信息系统集成及服务资质贰级证书、建筑智能</w:t>
      </w:r>
      <w:r>
        <w:rPr>
          <w:spacing w:val="-68"/>
        </w:rPr>
        <w:t> </w:t>
      </w:r>
      <w:r>
        <w:rPr>
          <w:spacing w:val="-68"/>
        </w:rPr>
      </w:r>
      <w:r>
        <w:rPr>
          <w:spacing w:val="-2"/>
        </w:rPr>
        <w:t>化系统设计专项乙级证书、安全生产许可证、质量管理体系认证证书、环境管理体系认证证书、职业健康安全管理体系认证</w:t>
      </w:r>
      <w:r>
        <w:rPr>
          <w:spacing w:val="-66"/>
        </w:rPr>
        <w:t> </w:t>
      </w:r>
      <w:r>
        <w:rPr>
          <w:spacing w:val="-66"/>
        </w:rPr>
      </w:r>
      <w:r>
        <w:rPr>
          <w:spacing w:val="-4"/>
        </w:rPr>
        <w:t>证书等企业资质。公司所取得的以上等级证书已满足金融安防行业对业内企业的资质要求，成为业内资质较齐全的企业之一。</w:t>
      </w:r>
      <w:r>
        <w:rPr>
          <w:spacing w:val="-44"/>
        </w:rPr>
        <w:t> </w:t>
      </w:r>
      <w:r>
        <w:rPr>
          <w:spacing w:val="-44"/>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、营销及服务网络优势</w:t>
      </w:r>
      <w:r>
        <w:rPr>
          <w:rFonts w:ascii="宋体" w:hAnsi="宋体" w:cs="宋体" w:eastAsia="宋体" w:hint="default"/>
          <w:sz w:val="21"/>
          <w:szCs w:val="21"/>
        </w:rPr>
      </w:r>
    </w:p>
    <w:p>
      <w:pPr>
        <w:pStyle w:val="BodyText"/>
        <w:spacing w:line="240" w:lineRule="auto" w:before="89"/>
        <w:ind w:left="1434" w:right="0"/>
        <w:jc w:val="left"/>
      </w:pPr>
      <w:r>
        <w:rPr/>
        <w:t>公司立足广东，构建以总部为核心，辐射全国，不断扩充全国服务及营运网点，优化终端服务功能。目前公司已在全国</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0" w:lineRule="auto"/>
        <w:ind w:right="1130"/>
        <w:jc w:val="both"/>
      </w:pPr>
      <w:r>
        <w:rPr>
          <w:spacing w:val="-2"/>
        </w:rPr>
        <w:t>设立了</w:t>
      </w:r>
      <w:r>
        <w:rPr>
          <w:rFonts w:ascii="Times New Roman" w:hAnsi="Times New Roman" w:cs="Times New Roman" w:eastAsia="Times New Roman" w:hint="default"/>
          <w:spacing w:val="-2"/>
        </w:rPr>
        <w:t>28</w:t>
      </w:r>
      <w:r>
        <w:rPr>
          <w:spacing w:val="-2"/>
        </w:rPr>
        <w:t>家分公司，拥有一支营销能力较强的市场开拓队伍和服务意识强烈的客户服务队伍，贴近客户群体，能及时响应客</w:t>
      </w:r>
      <w:r>
        <w:rPr>
          <w:spacing w:val="-64"/>
        </w:rPr>
        <w:t> </w:t>
      </w:r>
      <w:r>
        <w:rPr>
          <w:spacing w:val="-64"/>
        </w:rPr>
      </w:r>
      <w:r>
        <w:rPr>
          <w:spacing w:val="-2"/>
        </w:rPr>
        <w:t>户的需求，为不同的客户群体的不同安防需求提供定制化的解决方案和专业的售后及维保服务。同时，随着公司首发募集资</w:t>
      </w:r>
      <w:r>
        <w:rPr>
          <w:spacing w:val="-66"/>
        </w:rPr>
        <w:t> </w:t>
      </w:r>
      <w:r>
        <w:rPr>
          <w:spacing w:val="-66"/>
        </w:rPr>
      </w:r>
      <w:r>
        <w:rPr>
          <w:spacing w:val="-1"/>
        </w:rPr>
        <w:t>金投资项目</w:t>
      </w:r>
      <w:r>
        <w:rPr>
          <w:rFonts w:ascii="Times New Roman" w:hAnsi="Times New Roman" w:cs="Times New Roman" w:eastAsia="Times New Roman" w:hint="default"/>
          <w:spacing w:val="-1"/>
        </w:rPr>
        <w:t>“</w:t>
      </w:r>
      <w:r>
        <w:rPr>
          <w:spacing w:val="-1"/>
        </w:rPr>
        <w:t>营销及服务网络升级技术改造项目</w:t>
      </w:r>
      <w:r>
        <w:rPr>
          <w:rFonts w:ascii="Times New Roman" w:hAnsi="Times New Roman" w:cs="Times New Roman" w:eastAsia="Times New Roman" w:hint="default"/>
          <w:spacing w:val="-1"/>
        </w:rPr>
        <w:t>”</w:t>
      </w:r>
      <w:r>
        <w:rPr>
          <w:spacing w:val="-1"/>
        </w:rPr>
        <w:t>的逐步投入，公司将逐步在各地实现与客户</w:t>
      </w:r>
      <w:r>
        <w:rPr>
          <w:rFonts w:ascii="Times New Roman" w:hAnsi="Times New Roman" w:cs="Times New Roman" w:eastAsia="Times New Roman" w:hint="default"/>
          <w:spacing w:val="-1"/>
        </w:rPr>
        <w:t>“</w:t>
      </w:r>
      <w:r>
        <w:rPr>
          <w:spacing w:val="-1"/>
        </w:rPr>
        <w:t>零距离</w:t>
      </w:r>
      <w:r>
        <w:rPr>
          <w:rFonts w:ascii="Times New Roman" w:hAnsi="Times New Roman" w:cs="Times New Roman" w:eastAsia="Times New Roman" w:hint="default"/>
          <w:spacing w:val="-1"/>
        </w:rPr>
        <w:t>”</w:t>
      </w:r>
      <w:r>
        <w:rPr>
          <w:spacing w:val="-1"/>
        </w:rPr>
        <w:t>体验金融系统智能安防</w:t>
      </w:r>
      <w:r>
        <w:rPr>
          <w:spacing w:val="-77"/>
        </w:rPr>
        <w:t> </w:t>
      </w:r>
      <w:r>
        <w:rPr/>
        <w:t>新技术的应用的目标。</w:t>
      </w:r>
    </w:p>
    <w:p>
      <w:pPr>
        <w:spacing w:after="0" w:line="46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222"/>
        <w:jc w:val="center"/>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3" w:firstLine="360"/>
        <w:jc w:val="left"/>
      </w:pPr>
      <w:r>
        <w:rPr>
          <w:rFonts w:ascii="宋体" w:hAnsi="宋体" w:cs="宋体" w:eastAsia="宋体" w:hint="default"/>
          <w:spacing w:val="-2"/>
        </w:rPr>
        <w:t>2015</w:t>
      </w:r>
      <w:r>
        <w:rPr>
          <w:spacing w:val="-2"/>
        </w:rPr>
        <w:t>年是公司走上资本市场的第一年，公司所处行业依旧保持较快的发展态势，公司管理层在继续保持稳健的经营作风</w:t>
      </w:r>
      <w:r>
        <w:rPr/>
        <w:t> </w:t>
      </w:r>
      <w:r>
        <w:rPr>
          <w:spacing w:val="-2"/>
        </w:rPr>
        <w:t>的基础上，围绕着不断完善公司的产品和技术开发、业务发展及营销网络建设、人才体系建设、组织建设和战略投资的总体</w:t>
      </w:r>
      <w:r>
        <w:rPr>
          <w:spacing w:val="-66"/>
        </w:rPr>
        <w:t> </w:t>
      </w:r>
      <w:r>
        <w:rPr>
          <w:spacing w:val="-66"/>
        </w:rPr>
      </w:r>
      <w:r>
        <w:rPr/>
        <w:t>经营思路，在公司管理层的统一部署下，经过公司全体员工的不断努力，完成了公司</w:t>
      </w:r>
      <w:r>
        <w:rPr>
          <w:rFonts w:ascii="宋体" w:hAnsi="宋体" w:cs="宋体" w:eastAsia="宋体" w:hint="default"/>
        </w:rPr>
        <w:t>2015</w:t>
      </w:r>
      <w:r>
        <w:rPr/>
        <w:t>年经营指标，实现了公司新产品、 新客户和新市场的拓展，市场品牌与影响力不断加强，获得客户认可。</w:t>
      </w:r>
    </w:p>
    <w:p>
      <w:pPr>
        <w:spacing w:line="240" w:lineRule="auto" w:before="3"/>
        <w:rPr>
          <w:rFonts w:ascii="宋体" w:hAnsi="宋体" w:cs="宋体" w:eastAsia="宋体" w:hint="default"/>
          <w:sz w:val="13"/>
          <w:szCs w:val="13"/>
        </w:rPr>
      </w:pPr>
    </w:p>
    <w:p>
      <w:pPr>
        <w:pStyle w:val="BodyText"/>
        <w:spacing w:line="477" w:lineRule="auto"/>
        <w:ind w:right="1129" w:firstLine="360"/>
        <w:jc w:val="both"/>
      </w:pPr>
      <w:r>
        <w:rPr/>
        <w:t>报告期内，公司实现营业总收入为</w:t>
      </w:r>
      <w:r>
        <w:rPr>
          <w:rFonts w:ascii="宋体" w:hAnsi="宋体" w:cs="宋体" w:eastAsia="宋体" w:hint="default"/>
        </w:rPr>
        <w:t>46,569.14</w:t>
      </w:r>
      <w:r>
        <w:rPr/>
        <w:t>万元，较上年同期增长</w:t>
      </w:r>
      <w:r>
        <w:rPr>
          <w:rFonts w:ascii="宋体" w:hAnsi="宋体" w:cs="宋体" w:eastAsia="宋体" w:hint="default"/>
        </w:rPr>
        <w:t>20.56%</w:t>
      </w:r>
      <w:r>
        <w:rPr/>
        <w:t>；营业利润为</w:t>
      </w:r>
      <w:r>
        <w:rPr>
          <w:rFonts w:ascii="宋体" w:hAnsi="宋体" w:cs="宋体" w:eastAsia="宋体" w:hint="default"/>
        </w:rPr>
        <w:t>7,477.02</w:t>
      </w:r>
      <w:r>
        <w:rPr/>
        <w:t>万元，较上年同期增 </w:t>
      </w:r>
      <w:r>
        <w:rPr>
          <w:spacing w:val="-2"/>
        </w:rPr>
        <w:t>长</w:t>
      </w:r>
      <w:r>
        <w:rPr>
          <w:rFonts w:ascii="宋体" w:hAnsi="宋体" w:cs="宋体" w:eastAsia="宋体" w:hint="default"/>
          <w:spacing w:val="-2"/>
        </w:rPr>
        <w:t>19.64%</w:t>
      </w:r>
      <w:r>
        <w:rPr>
          <w:spacing w:val="-2"/>
        </w:rPr>
        <w:t>；归属于母公司所有者的净利润为</w:t>
      </w:r>
      <w:r>
        <w:rPr>
          <w:rFonts w:ascii="宋体" w:hAnsi="宋体" w:cs="宋体" w:eastAsia="宋体" w:hint="default"/>
          <w:spacing w:val="-2"/>
        </w:rPr>
        <w:t>6,588.39</w:t>
      </w:r>
      <w:r>
        <w:rPr>
          <w:spacing w:val="-2"/>
        </w:rPr>
        <w:t>万元，较上年同期增长</w:t>
      </w:r>
      <w:r>
        <w:rPr>
          <w:rFonts w:ascii="宋体" w:hAnsi="宋体" w:cs="宋体" w:eastAsia="宋体" w:hint="default"/>
          <w:spacing w:val="-2"/>
        </w:rPr>
        <w:t>15.48%</w:t>
      </w:r>
      <w:r>
        <w:rPr>
          <w:spacing w:val="-2"/>
        </w:rPr>
        <w:t>，主要是由于报告期内行业保持较快的发</w:t>
      </w:r>
      <w:r>
        <w:rPr>
          <w:spacing w:val="-47"/>
        </w:rPr>
        <w:t> </w:t>
      </w:r>
      <w:r>
        <w:rPr>
          <w:spacing w:val="-47"/>
        </w:rPr>
      </w:r>
      <w:r>
        <w:rPr>
          <w:spacing w:val="-2"/>
        </w:rPr>
        <w:t>展态势，公司秉承稳健的经营作风，以市场为导向，以客户满意为目标，通过加强内部管理，持续加大研发和营销力度，保</w:t>
      </w:r>
      <w:r>
        <w:rPr>
          <w:spacing w:val="-67"/>
        </w:rPr>
        <w:t> </w:t>
      </w:r>
      <w:r>
        <w:rPr>
          <w:spacing w:val="-67"/>
        </w:rPr>
      </w:r>
      <w:r>
        <w:rPr/>
        <w:t>证了公司营业收入和净利润的稳步增长。</w:t>
      </w:r>
    </w:p>
    <w:p>
      <w:pPr>
        <w:spacing w:line="240" w:lineRule="auto" w:before="3"/>
        <w:rPr>
          <w:rFonts w:ascii="宋体" w:hAnsi="宋体" w:cs="宋体" w:eastAsia="宋体" w:hint="default"/>
          <w:sz w:val="13"/>
          <w:szCs w:val="13"/>
        </w:rPr>
      </w:pPr>
    </w:p>
    <w:p>
      <w:pPr>
        <w:pStyle w:val="BodyText"/>
        <w:spacing w:line="477" w:lineRule="auto"/>
        <w:ind w:right="1130" w:firstLine="360"/>
        <w:jc w:val="both"/>
      </w:pPr>
      <w:r>
        <w:rPr>
          <w:spacing w:val="-2"/>
        </w:rPr>
        <w:t>报告期内销售费用为</w:t>
      </w:r>
      <w:r>
        <w:rPr>
          <w:rFonts w:ascii="宋体" w:hAnsi="宋体" w:cs="宋体" w:eastAsia="宋体" w:hint="default"/>
          <w:spacing w:val="-2"/>
        </w:rPr>
        <w:t>4,483.90</w:t>
      </w:r>
      <w:r>
        <w:rPr>
          <w:spacing w:val="-2"/>
        </w:rPr>
        <w:t>万元，较上年同期增长</w:t>
      </w:r>
      <w:r>
        <w:rPr>
          <w:rFonts w:ascii="宋体" w:hAnsi="宋体" w:cs="宋体" w:eastAsia="宋体" w:hint="default"/>
          <w:spacing w:val="-2"/>
        </w:rPr>
        <w:t>17.41%</w:t>
      </w:r>
      <w:r>
        <w:rPr>
          <w:spacing w:val="-2"/>
        </w:rPr>
        <w:t>，主要是公司业务增长所致；管理费用为</w:t>
      </w:r>
      <w:r>
        <w:rPr>
          <w:rFonts w:ascii="宋体" w:hAnsi="宋体" w:cs="宋体" w:eastAsia="宋体" w:hint="default"/>
          <w:spacing w:val="-2"/>
        </w:rPr>
        <w:t>6,247.42</w:t>
      </w:r>
      <w:r>
        <w:rPr>
          <w:spacing w:val="-2"/>
        </w:rPr>
        <w:t>万元，较</w:t>
      </w:r>
      <w:r>
        <w:rPr/>
        <w:t> </w:t>
      </w:r>
      <w:r>
        <w:rPr>
          <w:spacing w:val="-2"/>
        </w:rPr>
        <w:t>上年同期增长</w:t>
      </w:r>
      <w:r>
        <w:rPr>
          <w:rFonts w:ascii="宋体" w:hAnsi="宋体" w:cs="宋体" w:eastAsia="宋体" w:hint="default"/>
          <w:spacing w:val="-2"/>
        </w:rPr>
        <w:t>38.15%</w:t>
      </w:r>
      <w:r>
        <w:rPr>
          <w:spacing w:val="-2"/>
        </w:rPr>
        <w:t>，主要由于加大研发投入，研发费用相应增加，中介服务费用增加以及职工薪酬增加所致；财务费用为</w:t>
      </w:r>
      <w:r>
        <w:rPr>
          <w:spacing w:val="-60"/>
        </w:rPr>
        <w:t> </w:t>
      </w:r>
      <w:r>
        <w:rPr>
          <w:spacing w:val="-60"/>
        </w:rPr>
      </w:r>
      <w:r>
        <w:rPr>
          <w:rFonts w:ascii="宋体" w:hAnsi="宋体" w:cs="宋体" w:eastAsia="宋体" w:hint="default"/>
        </w:rPr>
        <w:t>106.45</w:t>
      </w:r>
      <w:r>
        <w:rPr/>
        <w:t>万元，较上年同期减少</w:t>
      </w:r>
      <w:r>
        <w:rPr>
          <w:rFonts w:ascii="宋体" w:hAnsi="宋体" w:cs="宋体" w:eastAsia="宋体" w:hint="default"/>
        </w:rPr>
        <w:t>65.79%</w:t>
      </w:r>
      <w:r>
        <w:rPr/>
        <w:t>，主要是公司公开发行股票募集资金流入，银行借款减少，利息支出同比有所下降。</w:t>
      </w:r>
    </w:p>
    <w:p>
      <w:pPr>
        <w:spacing w:line="240" w:lineRule="auto" w:before="3"/>
        <w:rPr>
          <w:rFonts w:ascii="宋体" w:hAnsi="宋体" w:cs="宋体" w:eastAsia="宋体" w:hint="default"/>
          <w:sz w:val="13"/>
          <w:szCs w:val="13"/>
        </w:rPr>
      </w:pPr>
    </w:p>
    <w:p>
      <w:pPr>
        <w:pStyle w:val="BodyText"/>
        <w:spacing w:line="477" w:lineRule="auto"/>
        <w:ind w:right="1042" w:firstLine="360"/>
        <w:jc w:val="left"/>
      </w:pPr>
      <w:r>
        <w:rPr>
          <w:spacing w:val="-2"/>
        </w:rPr>
        <w:t>报告期内经营活动产生的现金流量净额为</w:t>
      </w:r>
      <w:r>
        <w:rPr>
          <w:rFonts w:ascii="宋体" w:hAnsi="宋体" w:cs="宋体" w:eastAsia="宋体" w:hint="default"/>
          <w:spacing w:val="-2"/>
        </w:rPr>
        <w:t>2,567.90</w:t>
      </w:r>
      <w:r>
        <w:rPr>
          <w:spacing w:val="-2"/>
        </w:rPr>
        <w:t>万元，较上年同期减少</w:t>
      </w:r>
      <w:r>
        <w:rPr>
          <w:rFonts w:ascii="宋体" w:hAnsi="宋体" w:cs="宋体" w:eastAsia="宋体" w:hint="default"/>
          <w:spacing w:val="-2"/>
        </w:rPr>
        <w:t>23.19%</w:t>
      </w:r>
      <w:r>
        <w:rPr>
          <w:spacing w:val="-2"/>
        </w:rPr>
        <w:t>，主要由于本年度客户销售回款较去年</w:t>
      </w:r>
      <w:r>
        <w:rPr/>
        <w:t> </w:t>
      </w:r>
      <w:r>
        <w:rPr>
          <w:spacing w:val="-3"/>
        </w:rPr>
        <w:t>有所缓慢所致；投资活动产生的现金流量净额为</w:t>
      </w:r>
      <w:r>
        <w:rPr>
          <w:rFonts w:ascii="宋体" w:hAnsi="宋体" w:cs="宋体" w:eastAsia="宋体" w:hint="default"/>
          <w:spacing w:val="-3"/>
        </w:rPr>
        <w:t>-627.74</w:t>
      </w:r>
      <w:r>
        <w:rPr>
          <w:spacing w:val="-3"/>
        </w:rPr>
        <w:t>万元，较上年同期减少</w:t>
      </w:r>
      <w:r>
        <w:rPr>
          <w:rFonts w:ascii="宋体" w:hAnsi="宋体" w:cs="宋体" w:eastAsia="宋体" w:hint="default"/>
          <w:spacing w:val="-3"/>
        </w:rPr>
        <w:t>7.76%</w:t>
      </w:r>
      <w:r>
        <w:rPr>
          <w:spacing w:val="-3"/>
        </w:rPr>
        <w:t>，主要原因是预付长期资产款增长所致；</w:t>
      </w:r>
      <w:r>
        <w:rPr>
          <w:spacing w:val="-81"/>
        </w:rPr>
        <w:t> </w:t>
      </w:r>
      <w:r>
        <w:rPr>
          <w:spacing w:val="-81"/>
        </w:rPr>
      </w:r>
      <w:r>
        <w:rPr>
          <w:spacing w:val="-2"/>
        </w:rPr>
        <w:t>筹资活动产生的现金流量净额为</w:t>
      </w:r>
      <w:r>
        <w:rPr>
          <w:rFonts w:ascii="宋体" w:hAnsi="宋体" w:cs="宋体" w:eastAsia="宋体" w:hint="default"/>
          <w:spacing w:val="-2"/>
        </w:rPr>
        <w:t>25,317.03</w:t>
      </w:r>
      <w:r>
        <w:rPr>
          <w:spacing w:val="-2"/>
        </w:rPr>
        <w:t>万元，较上年同期增长</w:t>
      </w:r>
      <w:r>
        <w:rPr>
          <w:rFonts w:ascii="宋体" w:hAnsi="宋体" w:cs="宋体" w:eastAsia="宋体" w:hint="default"/>
          <w:spacing w:val="-2"/>
        </w:rPr>
        <w:t>1,655.67%</w:t>
      </w:r>
      <w:r>
        <w:rPr>
          <w:spacing w:val="-2"/>
        </w:rPr>
        <w:t>，主要原因是公司公开发行股票募集资金流入及</w:t>
      </w:r>
      <w:r>
        <w:rPr>
          <w:spacing w:val="-46"/>
        </w:rPr>
        <w:t> </w:t>
      </w:r>
      <w:r>
        <w:rPr>
          <w:spacing w:val="-46"/>
        </w:rPr>
      </w:r>
      <w:r>
        <w:rPr/>
        <w:t>发行限制性股票收到员工缴纳募集款项所致。</w:t>
      </w:r>
    </w:p>
    <w:p>
      <w:pPr>
        <w:spacing w:line="240" w:lineRule="auto" w:before="4"/>
        <w:rPr>
          <w:rFonts w:ascii="宋体" w:hAnsi="宋体" w:cs="宋体" w:eastAsia="宋体" w:hint="default"/>
          <w:sz w:val="13"/>
          <w:szCs w:val="13"/>
        </w:rPr>
      </w:pPr>
    </w:p>
    <w:p>
      <w:pPr>
        <w:pStyle w:val="BodyText"/>
        <w:spacing w:line="477" w:lineRule="auto"/>
        <w:ind w:left="1134" w:right="1050" w:firstLine="360"/>
        <w:jc w:val="both"/>
      </w:pPr>
      <w:r>
        <w:rPr/>
        <w:t>报告期内，公司管理层紧密围绕着公司的总体经营思路，贯彻执行董事会的战略部署，积极开展各项工作。报告期内， 公司总体经营情况如下：</w:t>
      </w:r>
    </w:p>
    <w:p>
      <w:pPr>
        <w:spacing w:line="240" w:lineRule="auto" w:before="4"/>
        <w:rPr>
          <w:rFonts w:ascii="宋体" w:hAnsi="宋体" w:cs="宋体" w:eastAsia="宋体" w:hint="default"/>
          <w:sz w:val="13"/>
          <w:szCs w:val="13"/>
        </w:rPr>
      </w:pPr>
    </w:p>
    <w:p>
      <w:pPr>
        <w:pStyle w:val="BodyText"/>
        <w:spacing w:line="477" w:lineRule="auto"/>
        <w:ind w:right="1132" w:firstLine="360"/>
        <w:jc w:val="both"/>
      </w:pPr>
      <w:r>
        <w:rPr>
          <w:spacing w:val="-2"/>
        </w:rPr>
        <w:t>产品和技术开发方面，公司持续跟踪前沿技术发展，引入新技术对各条产品线进行扩充和完善。在主动安防系统中引入</w:t>
      </w:r>
      <w:r>
        <w:rPr/>
        <w:t> </w:t>
      </w:r>
      <w:r>
        <w:rPr>
          <w:spacing w:val="-2"/>
        </w:rPr>
        <w:t>大数据、物联网传感技术，在智慧银行安全综合管理平台中引入云计算、云存储技术，在自助银行智能安防系统中，引入数</w:t>
      </w:r>
      <w:r>
        <w:rPr>
          <w:spacing w:val="-66"/>
        </w:rPr>
        <w:t> </w:t>
      </w:r>
      <w:r>
        <w:rPr>
          <w:spacing w:val="-66"/>
        </w:rPr>
      </w:r>
      <w:r>
        <w:rPr>
          <w:spacing w:val="-2"/>
        </w:rPr>
        <w:t>据镜像传感、深度学习、智能感知等先进技术，从而持续改善产品品质，进一步提升了技术应用价值，强化了技术研发对公</w:t>
      </w:r>
      <w:r>
        <w:rPr>
          <w:spacing w:val="-66"/>
        </w:rPr>
        <w:t> </w:t>
      </w:r>
      <w:r>
        <w:rPr>
          <w:spacing w:val="-66"/>
        </w:rPr>
      </w:r>
      <w:r>
        <w:rPr>
          <w:spacing w:val="-2"/>
        </w:rPr>
        <w:t>司整体竞争力的贡献，为开拓市场提供了有力的技术支持。</w:t>
      </w:r>
      <w:r>
        <w:rPr>
          <w:rFonts w:ascii="宋体" w:hAnsi="宋体" w:cs="宋体" w:eastAsia="宋体" w:hint="default"/>
          <w:spacing w:val="-2"/>
        </w:rPr>
        <w:t>2016</w:t>
      </w:r>
      <w:r>
        <w:rPr>
          <w:spacing w:val="-2"/>
        </w:rPr>
        <w:t>年，公司将继续加强在物联网、云计算、大数据等领域的技</w:t>
      </w:r>
      <w:r>
        <w:rPr>
          <w:spacing w:val="-62"/>
        </w:rPr>
        <w:t> </w:t>
      </w:r>
      <w:r>
        <w:rPr>
          <w:spacing w:val="-62"/>
        </w:rPr>
      </w:r>
      <w:r>
        <w:rPr/>
        <w:t>术研究，结合客户需求，在各类产品中深化应用，持续提高产品的综合竞争力。</w:t>
      </w:r>
    </w:p>
    <w:p>
      <w:pPr>
        <w:spacing w:line="240" w:lineRule="auto" w:before="4"/>
        <w:rPr>
          <w:rFonts w:ascii="宋体" w:hAnsi="宋体" w:cs="宋体" w:eastAsia="宋体" w:hint="default"/>
          <w:sz w:val="13"/>
          <w:szCs w:val="13"/>
        </w:rPr>
      </w:pPr>
    </w:p>
    <w:p>
      <w:pPr>
        <w:pStyle w:val="BodyText"/>
        <w:spacing w:line="475" w:lineRule="auto"/>
        <w:ind w:right="1131" w:firstLine="360"/>
        <w:jc w:val="both"/>
      </w:pPr>
      <w:r>
        <w:rPr>
          <w:spacing w:val="-2"/>
        </w:rPr>
        <w:t>业务发展及营销网络建设方面，</w:t>
      </w:r>
      <w:r>
        <w:rPr>
          <w:rFonts w:ascii="宋体" w:hAnsi="宋体" w:cs="宋体" w:eastAsia="宋体" w:hint="default"/>
          <w:spacing w:val="-2"/>
        </w:rPr>
        <w:t>2015</w:t>
      </w:r>
      <w:r>
        <w:rPr>
          <w:spacing w:val="-2"/>
        </w:rPr>
        <w:t>年公司继续贯彻“继续巩固原客户、大力挖掘新客户”的销售策略，业务范围不断</w:t>
      </w:r>
      <w:r>
        <w:rPr/>
        <w:t> </w:t>
      </w:r>
      <w:r>
        <w:rPr>
          <w:spacing w:val="-2"/>
        </w:rPr>
        <w:t>扩大，在巩固和发展华南、华中等业务老区的基础上，在西南、西北、华北、东北等地区的发展较为迅猛，为公司业绩的稳</w:t>
      </w:r>
    </w:p>
    <w:p>
      <w:pPr>
        <w:spacing w:after="0" w:line="475"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29"/>
        <w:jc w:val="both"/>
      </w:pPr>
      <w:r>
        <w:rPr/>
        <w:t>步增长做出了较大的贡献。在客户群体开拓方面，公司继续深挖邮政、农信</w:t>
      </w:r>
      <w:r>
        <w:rPr>
          <w:rFonts w:ascii="宋体" w:hAnsi="宋体" w:cs="宋体" w:eastAsia="宋体" w:hint="default"/>
        </w:rPr>
        <w:t>/</w:t>
      </w:r>
      <w:r>
        <w:rPr/>
        <w:t>农商行等金融机构，并逐步加大了对地方性银</w:t>
      </w:r>
      <w:r>
        <w:rPr>
          <w:spacing w:val="-82"/>
        </w:rPr>
        <w:t> </w:t>
      </w:r>
      <w:r>
        <w:rPr>
          <w:spacing w:val="-82"/>
        </w:rPr>
      </w:r>
      <w:r>
        <w:rPr>
          <w:spacing w:val="-2"/>
        </w:rPr>
        <w:t>行的开拓力度。现公司已在主要经济发达的业务区域成立了</w:t>
      </w:r>
      <w:r>
        <w:rPr>
          <w:rFonts w:ascii="宋体" w:hAnsi="宋体" w:cs="宋体" w:eastAsia="宋体" w:hint="default"/>
          <w:spacing w:val="-2"/>
        </w:rPr>
        <w:t>28</w:t>
      </w:r>
      <w:r>
        <w:rPr>
          <w:spacing w:val="-2"/>
        </w:rPr>
        <w:t>个分公司，公司业务范围覆盖了全国大部分省会城市及部分经</w:t>
      </w:r>
      <w:r>
        <w:rPr>
          <w:spacing w:val="-62"/>
        </w:rPr>
        <w:t> </w:t>
      </w:r>
      <w:r>
        <w:rPr>
          <w:spacing w:val="-62"/>
        </w:rPr>
      </w:r>
      <w:r>
        <w:rPr>
          <w:spacing w:val="-2"/>
        </w:rPr>
        <w:t>济发达城市。同时，随着公司首发募集资金投资项目“营销及服务网络升级技术改造项目”的逐步投入，为公司全国性发展</w:t>
      </w:r>
      <w:r>
        <w:rPr>
          <w:spacing w:val="-66"/>
        </w:rPr>
        <w:t> </w:t>
      </w:r>
      <w:r>
        <w:rPr>
          <w:spacing w:val="-66"/>
        </w:rPr>
      </w:r>
      <w:r>
        <w:rPr>
          <w:spacing w:val="-2"/>
        </w:rPr>
        <w:t>的战略目标实现做了良好的铺垫。公司营销能力、客户维护能力、售后服务能力的提高以及业务承接能力的增强，也为公司</w:t>
      </w:r>
      <w:r>
        <w:rPr>
          <w:spacing w:val="-66"/>
        </w:rPr>
        <w:t> </w:t>
      </w:r>
      <w:r>
        <w:rPr>
          <w:spacing w:val="-66"/>
        </w:rPr>
      </w:r>
      <w:r>
        <w:rPr/>
        <w:t>进一步扩大在银行安防的市场份额，提高公司综合竞争力奠定了基础。</w:t>
      </w:r>
    </w:p>
    <w:p>
      <w:pPr>
        <w:spacing w:line="240" w:lineRule="auto" w:before="3"/>
        <w:rPr>
          <w:rFonts w:ascii="宋体" w:hAnsi="宋体" w:cs="宋体" w:eastAsia="宋体" w:hint="default"/>
          <w:sz w:val="13"/>
          <w:szCs w:val="13"/>
        </w:rPr>
      </w:pPr>
    </w:p>
    <w:p>
      <w:pPr>
        <w:pStyle w:val="BodyText"/>
        <w:spacing w:line="477" w:lineRule="auto"/>
        <w:ind w:right="1129" w:firstLine="360"/>
        <w:jc w:val="both"/>
      </w:pPr>
      <w:r>
        <w:rPr>
          <w:spacing w:val="-2"/>
        </w:rPr>
        <w:t>人才体系建设方面，</w:t>
      </w:r>
      <w:r>
        <w:rPr>
          <w:rFonts w:ascii="宋体" w:hAnsi="宋体" w:cs="宋体" w:eastAsia="宋体" w:hint="default"/>
          <w:spacing w:val="-2"/>
        </w:rPr>
        <w:t>2015</w:t>
      </w:r>
      <w:r>
        <w:rPr>
          <w:spacing w:val="-2"/>
        </w:rPr>
        <w:t>年公司为了更好地经营发展和业务拓展，引进了一批高素质的专业人才。同时，加强了人力资</w:t>
      </w:r>
      <w:r>
        <w:rPr/>
        <w:t> </w:t>
      </w:r>
      <w:r>
        <w:rPr>
          <w:spacing w:val="-2"/>
        </w:rPr>
        <w:t>源管理体系的建设，实施绩效考核及考评制度；从公司实际工作出发，完善培训工作，注重培训效果。报告期内，为提高员</w:t>
      </w:r>
      <w:r>
        <w:rPr>
          <w:spacing w:val="-68"/>
        </w:rPr>
        <w:t> </w:t>
      </w:r>
      <w:r>
        <w:rPr>
          <w:spacing w:val="-68"/>
        </w:rPr>
      </w:r>
      <w:r>
        <w:rPr/>
        <w:t>工凝聚力和工作积极性，吸引和保留优秀管理人才和业务骨干，公司于</w:t>
      </w:r>
      <w:r>
        <w:rPr>
          <w:rFonts w:ascii="宋体" w:hAnsi="宋体" w:cs="宋体" w:eastAsia="宋体" w:hint="default"/>
        </w:rPr>
        <w:t>2015</w:t>
      </w:r>
      <w:r>
        <w:rPr/>
        <w:t>年</w:t>
      </w:r>
      <w:r>
        <w:rPr>
          <w:rFonts w:ascii="宋体" w:hAnsi="宋体" w:cs="宋体" w:eastAsia="宋体" w:hint="default"/>
        </w:rPr>
        <w:t>9</w:t>
      </w:r>
      <w:r>
        <w:rPr/>
        <w:t>月实施公司首次股权激励计划，并于</w:t>
      </w:r>
      <w:r>
        <w:rPr>
          <w:rFonts w:ascii="宋体" w:hAnsi="宋体" w:cs="宋体" w:eastAsia="宋体" w:hint="default"/>
        </w:rPr>
        <w:t>2015</w:t>
      </w:r>
      <w:r>
        <w:rPr/>
        <w:t>年</w:t>
      </w:r>
      <w:r>
        <w:rPr>
          <w:spacing w:val="-82"/>
        </w:rPr>
        <w:t> </w:t>
      </w:r>
      <w:r>
        <w:rPr>
          <w:rFonts w:ascii="宋体" w:hAnsi="宋体" w:cs="宋体" w:eastAsia="宋体" w:hint="default"/>
          <w:spacing w:val="-2"/>
        </w:rPr>
        <w:t>11</w:t>
      </w:r>
      <w:r>
        <w:rPr>
          <w:spacing w:val="-2"/>
        </w:rPr>
        <w:t>月</w:t>
      </w:r>
      <w:r>
        <w:rPr>
          <w:rFonts w:ascii="宋体" w:hAnsi="宋体" w:cs="宋体" w:eastAsia="宋体" w:hint="default"/>
          <w:spacing w:val="-2"/>
        </w:rPr>
        <w:t>6</w:t>
      </w:r>
      <w:r>
        <w:rPr>
          <w:spacing w:val="-2"/>
        </w:rPr>
        <w:t>日授予</w:t>
      </w:r>
      <w:r>
        <w:rPr>
          <w:rFonts w:ascii="宋体" w:hAnsi="宋体" w:cs="宋体" w:eastAsia="宋体" w:hint="default"/>
          <w:spacing w:val="-2"/>
        </w:rPr>
        <w:t>113</w:t>
      </w:r>
      <w:r>
        <w:rPr>
          <w:spacing w:val="-2"/>
        </w:rPr>
        <w:t>名激励对象限制性股票。通过完善公司多层次人才体系和内部激励机制建设，最大限度地挖掘每一位员工的</w:t>
      </w:r>
      <w:r>
        <w:rPr>
          <w:spacing w:val="-58"/>
        </w:rPr>
        <w:t> </w:t>
      </w:r>
      <w:r>
        <w:rPr>
          <w:spacing w:val="-58"/>
        </w:rPr>
      </w:r>
      <w:r>
        <w:rPr/>
        <w:t>潜力，提高运作效率。</w:t>
      </w:r>
    </w:p>
    <w:p>
      <w:pPr>
        <w:spacing w:line="240" w:lineRule="auto" w:before="3"/>
        <w:rPr>
          <w:rFonts w:ascii="宋体" w:hAnsi="宋体" w:cs="宋体" w:eastAsia="宋体" w:hint="default"/>
          <w:sz w:val="13"/>
          <w:szCs w:val="13"/>
        </w:rPr>
      </w:pPr>
    </w:p>
    <w:p>
      <w:pPr>
        <w:pStyle w:val="BodyText"/>
        <w:spacing w:line="477" w:lineRule="auto"/>
        <w:ind w:right="1050" w:firstLine="360"/>
        <w:jc w:val="both"/>
      </w:pPr>
      <w:r>
        <w:rPr>
          <w:spacing w:val="-2"/>
        </w:rPr>
        <w:t>组织建设方面，</w:t>
      </w:r>
      <w:r>
        <w:rPr>
          <w:rFonts w:ascii="宋体" w:hAnsi="宋体" w:cs="宋体" w:eastAsia="宋体" w:hint="default"/>
          <w:spacing w:val="-2"/>
        </w:rPr>
        <w:t>2015</w:t>
      </w:r>
      <w:r>
        <w:rPr>
          <w:spacing w:val="-2"/>
        </w:rPr>
        <w:t>年公司严格按照《创业板上市公司规范运作指引》和公司制度规范运作，不断健全和完善公司治理</w:t>
      </w:r>
      <w:r>
        <w:rPr/>
        <w:t> 结构，提升公司治理水平。公司坚持扁平化的组织管理模式，精简管理层次，引进先进的管理体系，提高科学管理的水平。</w:t>
      </w:r>
    </w:p>
    <w:p>
      <w:pPr>
        <w:spacing w:line="240" w:lineRule="auto" w:before="3"/>
        <w:rPr>
          <w:rFonts w:ascii="宋体" w:hAnsi="宋体" w:cs="宋体" w:eastAsia="宋体" w:hint="default"/>
          <w:sz w:val="13"/>
          <w:szCs w:val="13"/>
        </w:rPr>
      </w:pPr>
    </w:p>
    <w:p>
      <w:pPr>
        <w:pStyle w:val="BodyText"/>
        <w:spacing w:line="477" w:lineRule="auto"/>
        <w:ind w:right="1131" w:firstLine="360"/>
        <w:jc w:val="both"/>
      </w:pPr>
      <w:r>
        <w:rPr>
          <w:spacing w:val="-2"/>
        </w:rPr>
        <w:t>战略投资方面，</w:t>
      </w:r>
      <w:r>
        <w:rPr>
          <w:rFonts w:ascii="宋体" w:hAnsi="宋体" w:cs="宋体" w:eastAsia="宋体" w:hint="default"/>
          <w:spacing w:val="-2"/>
        </w:rPr>
        <w:t>2015</w:t>
      </w:r>
      <w:r>
        <w:rPr>
          <w:spacing w:val="-2"/>
        </w:rPr>
        <w:t>年公司未发生收购兼并事项，但公司将积极利用上市公司的有利地位，在董事会的战略部署下，实</w:t>
      </w:r>
      <w:r>
        <w:rPr/>
        <w:t> 现公司的稳健快速扩张和跨越式发展，增强公司整体竞争力。</w:t>
      </w:r>
    </w:p>
    <w:p>
      <w:pPr>
        <w:spacing w:line="240" w:lineRule="auto" w:before="4"/>
        <w:rPr>
          <w:rFonts w:ascii="宋体" w:hAnsi="宋体" w:cs="宋体" w:eastAsia="宋体" w:hint="default"/>
          <w:sz w:val="23"/>
          <w:szCs w:val="23"/>
        </w:rPr>
      </w:pPr>
    </w:p>
    <w:p>
      <w:pPr>
        <w:pStyle w:val="Heading2"/>
        <w:spacing w:line="240" w:lineRule="auto"/>
        <w:ind w:left="1134"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4"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both"/>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465,691,390.41</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386,269,441.65</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20.56%</w:t>
            </w: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金融安防</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465,691,390.41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386,269,441.65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20.56%</w:t>
            </w:r>
          </w:p>
        </w:tc>
      </w:tr>
      <w:tr>
        <w:trPr>
          <w:trHeight w:val="402"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352,541,659.49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307,296,203.79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113,149,730.92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78,973,237.86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175,818,244.81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188,643,398.94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72,478,658.44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36,441,208.37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71,368,315.64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70,828,859.48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70,247,963.71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48,887,474.19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35,815,093.99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17,413,895.50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21,104,508.91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11,099,677.03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18,858,604.91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12,954,928.14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45.57%</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金融安防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465,691,390.41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264,023,854.90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352,541,659.49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197,270,143.01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113,149,730.92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66,753,711.89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175,818,244.81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89,120,877.46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72,478,658.44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45,310,657.72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71,368,315.64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43,982,371.73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70,247,963.71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38,058,671.01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t>行业和产品分类</w:t>
      </w:r>
    </w:p>
    <w:p>
      <w:pPr>
        <w:spacing w:line="240" w:lineRule="auto" w:before="6"/>
        <w:rPr>
          <w:rFonts w:ascii="宋体" w:hAnsi="宋体" w:cs="宋体" w:eastAsia="宋体" w:hint="default"/>
          <w:sz w:val="11"/>
          <w:szCs w:val="11"/>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金融安防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264,023,854.90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219,998,622.37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264,023,854.90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219,998,622.37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197,270,143.01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170,984,047.12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66,753,711.89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49,014,575.25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264,023,854.90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219,998,622.37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20.01%</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公司主要销售客户情况</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141,735,357.63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30.44%</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45,266,803.37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38,216,436.16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31,133,584.20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广发银行股份有限公司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14,292,836.27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12,825,697.63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141,735,357.63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30.44%</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公司主要供应商情况</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58,688,315.65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31.73%</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24,035,621.40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w:t>
            </w:r>
          </w:p>
        </w:tc>
      </w:tr>
      <w:tr>
        <w:trPr>
          <w:trHeight w:val="161" w:hRule="exact"/>
        </w:trPr>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8"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75"/>
              <w:jc w:val="left"/>
              <w:rPr>
                <w:rFonts w:ascii="宋体" w:hAnsi="宋体" w:cs="宋体" w:eastAsia="宋体" w:hint="default"/>
                <w:sz w:val="18"/>
                <w:szCs w:val="18"/>
              </w:rPr>
            </w:pPr>
            <w:r>
              <w:rPr>
                <w:rFonts w:ascii="宋体" w:hAnsi="宋体" w:cs="宋体" w:eastAsia="宋体" w:hint="default"/>
                <w:sz w:val="18"/>
                <w:szCs w:val="18"/>
              </w:rPr>
              <w:t>广州市腾龙信息科技有限公司及关联公 司</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3" w:right="0"/>
              <w:jc w:val="left"/>
              <w:rPr>
                <w:rFonts w:ascii="Times New Roman" w:hAnsi="Times New Roman" w:cs="Times New Roman" w:eastAsia="Times New Roman" w:hint="default"/>
                <w:sz w:val="18"/>
                <w:szCs w:val="18"/>
              </w:rPr>
            </w:pPr>
            <w:r>
              <w:rPr>
                <w:rFonts w:ascii="Times New Roman"/>
                <w:sz w:val="18"/>
              </w:rPr>
              <w:t>18,056,072.73</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w:t>
            </w:r>
          </w:p>
        </w:tc>
      </w:tr>
      <w:tr>
        <w:trPr>
          <w:trHeight w:val="392" w:hRule="exact"/>
        </w:trPr>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vMerge/>
            <w:tcBorders>
              <w:left w:val="single" w:sz="9" w:space="0" w:color="D2D2D2"/>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8" w:type="dxa"/>
            <w:vMerge/>
            <w:tcBorders>
              <w:left w:val="single" w:sz="9" w:space="0" w:color="D2D2D2"/>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广州市崨讯电脑有限公司及关联公司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6,190,417.83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哈尔滨市新联通线缆经销部</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5,867,088.39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杭州智诺英特科技有限公司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4,539,115.30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58,688,315.65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31.73%</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0" w:right="1139"/>
        <w:jc w:val="right"/>
      </w:pPr>
      <w:r>
        <w:rPr/>
        <w:pict>
          <v:shape style="position:absolute;margin-left:57.029999pt;margin-top:-43.248276pt;width:478.6pt;height:112.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44,838,970.12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38,190,211.60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公司业务增长所致。</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62,474,245.96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45,221,661.14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38.15%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pacing w:val="-7"/>
                            <w:sz w:val="18"/>
                            <w:szCs w:val="18"/>
                          </w:rPr>
                          <w:t>报告期内，科技研发费用，职工薪酬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中介服务费增加以及计提员工股权 激励费用所致。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1,064,522.90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3,112,107.93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报告期内，利息支出减少所致。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19"/>
          <w:szCs w:val="19"/>
        </w:rPr>
      </w:pPr>
    </w:p>
    <w:p>
      <w:pPr>
        <w:pStyle w:val="BodyText"/>
        <w:spacing w:line="477" w:lineRule="auto"/>
        <w:ind w:right="0" w:firstLine="582"/>
        <w:jc w:val="left"/>
      </w:pPr>
      <w:r>
        <w:rPr/>
        <w:t>公司在</w:t>
      </w:r>
      <w:r>
        <w:rPr>
          <w:rFonts w:ascii="宋体" w:hAnsi="宋体" w:cs="宋体" w:eastAsia="宋体" w:hint="default"/>
        </w:rPr>
        <w:t>2015</w:t>
      </w:r>
      <w:r>
        <w:rPr/>
        <w:t>年持续加大对研发的投入力度，深化提升研发交付能力，确保公司战略顺利落地实施。公司研发中心在</w:t>
      </w:r>
      <w:r>
        <w:rPr>
          <w:spacing w:val="1"/>
        </w:rPr>
        <w:t> </w:t>
      </w:r>
      <w:r>
        <w:rPr>
          <w:spacing w:val="-2"/>
        </w:rPr>
        <w:t>“提供整体安防解决方案”的目的指导下，在平台软件、硬件设备、智能算法三方面同时发力，随着核心技术、核心产品的</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0"/>
        <w:jc w:val="both"/>
      </w:pPr>
      <w:r>
        <w:rPr>
          <w:spacing w:val="-2"/>
        </w:rPr>
        <w:t>落地推广，逐渐积累了在金融安防行业的领先优势，并且具备应用到其他安防行业的技术及产品条件。公司在平台软件技术</w:t>
      </w:r>
      <w:r>
        <w:rPr>
          <w:spacing w:val="-66"/>
        </w:rPr>
        <w:t> </w:t>
      </w:r>
      <w:r>
        <w:rPr>
          <w:spacing w:val="-66"/>
        </w:rPr>
      </w:r>
      <w:r>
        <w:rPr>
          <w:spacing w:val="-2"/>
        </w:rPr>
        <w:t>方面取得重大突破，初步实现了平台软件对客户需求的高度适应性及快速响应能力，公司预期随着新一代智慧银行安全综合</w:t>
      </w:r>
      <w:r>
        <w:rPr>
          <w:spacing w:val="-64"/>
        </w:rPr>
        <w:t> </w:t>
      </w:r>
      <w:r>
        <w:rPr>
          <w:spacing w:val="-64"/>
        </w:rPr>
      </w:r>
      <w:r>
        <w:rPr>
          <w:spacing w:val="-2"/>
        </w:rPr>
        <w:t>管理平台软件的推广应用，势必在响应及引领客户需求、提高公司整体解决方案交付能力方面得到极大提高，从而加强公司</w:t>
      </w:r>
      <w:r>
        <w:rPr>
          <w:spacing w:val="-66"/>
        </w:rPr>
        <w:t> </w:t>
      </w:r>
      <w:r>
        <w:rPr>
          <w:spacing w:val="-66"/>
        </w:rPr>
      </w:r>
      <w:r>
        <w:rPr>
          <w:spacing w:val="-2"/>
        </w:rPr>
        <w:t>在金融安防领域的领先地位；同时新一代智慧银行安全综合管理平台软件也着眼于适应非金融安防领域的应用，能有效的支</w:t>
      </w:r>
      <w:r>
        <w:rPr>
          <w:spacing w:val="-64"/>
        </w:rPr>
        <w:t> </w:t>
      </w:r>
      <w:r>
        <w:rPr>
          <w:spacing w:val="-64"/>
        </w:rPr>
      </w:r>
      <w:r>
        <w:rPr>
          <w:spacing w:val="-2"/>
        </w:rPr>
        <w:t>撑公司未来业务的发展方向。得益于新的硬件平台、硬件感知技术以及在智能算法方面取得的突破，公司研发了案件预警系</w:t>
      </w:r>
      <w:r>
        <w:rPr>
          <w:spacing w:val="-66"/>
        </w:rPr>
        <w:t> </w:t>
      </w:r>
      <w:r>
        <w:rPr>
          <w:spacing w:val="-66"/>
        </w:rPr>
      </w:r>
      <w:r>
        <w:rPr/>
        <w:t>统、安保业务系统等深层次解决方案，在行为分析、</w:t>
      </w:r>
      <w:r>
        <w:rPr>
          <w:rFonts w:ascii="宋体" w:hAnsi="宋体" w:cs="宋体" w:eastAsia="宋体" w:hint="default"/>
        </w:rPr>
        <w:t>ATM</w:t>
      </w:r>
      <w:r>
        <w:rPr/>
        <w:t>预警、防诈骗、防护舱智能化、设备综合管理和维护、押钞及钞箱</w:t>
      </w:r>
      <w:r>
        <w:rPr>
          <w:spacing w:val="-82"/>
        </w:rPr>
        <w:t> </w:t>
      </w:r>
      <w:r>
        <w:rPr>
          <w:spacing w:val="-82"/>
        </w:rPr>
      </w:r>
      <w:r>
        <w:rPr>
          <w:spacing w:val="-2"/>
        </w:rPr>
        <w:t>管理、主动安防等方面都取得了重大进展并且顺利应用。公司的“整体安防解决方案”思路正逐步形成爆发力，为客户提供</w:t>
      </w:r>
      <w:r>
        <w:rPr>
          <w:spacing w:val="-66"/>
        </w:rPr>
        <w:t> </w:t>
      </w:r>
      <w:r>
        <w:rPr>
          <w:spacing w:val="-66"/>
        </w:rPr>
      </w:r>
      <w:r>
        <w:rPr>
          <w:spacing w:val="-2"/>
        </w:rPr>
        <w:t>更尖端、更柔性的定制化综合解决方案。</w:t>
      </w:r>
      <w:r>
        <w:rPr>
          <w:rFonts w:ascii="宋体" w:hAnsi="宋体" w:cs="宋体" w:eastAsia="宋体" w:hint="default"/>
          <w:spacing w:val="-2"/>
        </w:rPr>
        <w:t>2015</w:t>
      </w:r>
      <w:r>
        <w:rPr>
          <w:spacing w:val="-2"/>
        </w:rPr>
        <w:t>年公司在研发管理水平、高端人才培养与引进、流程规范化等方面得到全面提</w:t>
      </w:r>
      <w:r>
        <w:rPr>
          <w:spacing w:val="-62"/>
        </w:rPr>
        <w:t> </w:t>
      </w:r>
      <w:r>
        <w:rPr>
          <w:spacing w:val="-62"/>
        </w:rPr>
      </w:r>
      <w:r>
        <w:rPr>
          <w:spacing w:val="-2"/>
        </w:rPr>
        <w:t>升，加强了对研发进度、成本、质量的管控力度，在满足客户多样化需求的基础上，产品及项目的交付能力得到了极大的提</w:t>
      </w:r>
      <w:r>
        <w:rPr>
          <w:spacing w:val="-66"/>
        </w:rPr>
        <w:t> </w:t>
      </w:r>
      <w:r>
        <w:rPr>
          <w:spacing w:val="-66"/>
        </w:rPr>
      </w:r>
      <w:r>
        <w:rPr/>
        <w:t>升，形成了公司核心的竞争能力。</w:t>
      </w:r>
    </w:p>
    <w:p>
      <w:pPr>
        <w:pStyle w:val="BodyText"/>
        <w:spacing w:line="240" w:lineRule="auto" w:before="14"/>
        <w:ind w:left="1134" w:right="0"/>
        <w:jc w:val="both"/>
      </w:pPr>
      <w:r>
        <w:rPr/>
        <w:t>近三年公司研发投入金额及占营业收入的比例</w:t>
      </w:r>
    </w:p>
    <w:p>
      <w:pPr>
        <w:spacing w:line="240" w:lineRule="auto" w:before="0"/>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36,188,813.14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28,616,014.36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18,009,511.03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研发投入总额占营业收入的比重较上年发生显著变化的原因</w:t>
      </w:r>
    </w:p>
    <w:p>
      <w:pPr>
        <w:spacing w:line="240" w:lineRule="auto" w:before="10"/>
        <w:rPr>
          <w:rFonts w:ascii="宋体" w:hAnsi="宋体" w:cs="宋体" w:eastAsia="宋体" w:hint="default"/>
          <w:sz w:val="20"/>
          <w:szCs w:val="20"/>
        </w:rPr>
      </w:pPr>
    </w:p>
    <w:p>
      <w:pPr>
        <w:pStyle w:val="BodyText"/>
        <w:spacing w:line="489"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431,926,306.96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390,838,053.81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406,247,311.89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357,406,374.29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25,678,995.07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33,431,679.52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62,468,159.22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5,205,579.94%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68,745,583.65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5,826,403.55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1,079.90%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-6,277,424.43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-5,825,203.55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303,152,010.00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49,981,718.44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49,774,084.26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253,170,291.56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-16,274,084.26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1,655.67%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272,571,862.20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11,332,391.71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2,305.25%</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相关数据同比发生重大变动的主要影响因素说明</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1</w:t>
      </w:r>
      <w:r>
        <w:rPr/>
        <w:t>、投资活动现金流入较上年增长</w:t>
      </w:r>
      <w:r>
        <w:rPr>
          <w:rFonts w:ascii="Times New Roman" w:hAnsi="Times New Roman" w:cs="Times New Roman" w:eastAsia="Times New Roman" w:hint="default"/>
        </w:rPr>
        <w:t>5,205,579.94%</w:t>
      </w:r>
      <w:r>
        <w:rPr/>
        <w:t>，主要是公司收回购买的银行理财产品本金和利息所致。</w:t>
      </w:r>
    </w:p>
    <w:p>
      <w:pPr>
        <w:spacing w:line="240" w:lineRule="auto" w:before="9"/>
        <w:rPr>
          <w:rFonts w:ascii="宋体" w:hAnsi="宋体" w:cs="宋体" w:eastAsia="宋体" w:hint="default"/>
          <w:sz w:val="16"/>
          <w:szCs w:val="16"/>
        </w:rPr>
      </w:pPr>
    </w:p>
    <w:p>
      <w:pPr>
        <w:pStyle w:val="BodyText"/>
        <w:spacing w:line="240" w:lineRule="auto"/>
        <w:ind w:left="1134" w:right="0"/>
        <w:jc w:val="left"/>
      </w:pPr>
      <w:r>
        <w:rPr>
          <w:rFonts w:ascii="Times New Roman" w:hAnsi="Times New Roman" w:cs="Times New Roman" w:eastAsia="Times New Roman" w:hint="default"/>
        </w:rPr>
        <w:t>2</w:t>
      </w:r>
      <w:r>
        <w:rPr/>
        <w:t>、投资活动现金流出较上年增长</w:t>
      </w:r>
      <w:r>
        <w:rPr>
          <w:rFonts w:ascii="Times New Roman" w:hAnsi="Times New Roman" w:cs="Times New Roman" w:eastAsia="Times New Roman" w:hint="default"/>
        </w:rPr>
        <w:t>1,079.90%</w:t>
      </w:r>
      <w:r>
        <w:rPr/>
        <w:t>，主要是因公司利用闲置自有资金购买银行理财产品所致。</w:t>
      </w:r>
    </w:p>
    <w:p>
      <w:pPr>
        <w:spacing w:line="240" w:lineRule="auto" w:before="9"/>
        <w:rPr>
          <w:rFonts w:ascii="宋体" w:hAnsi="宋体" w:cs="宋体" w:eastAsia="宋体" w:hint="default"/>
          <w:sz w:val="16"/>
          <w:szCs w:val="16"/>
        </w:rPr>
      </w:pPr>
    </w:p>
    <w:p>
      <w:pPr>
        <w:pStyle w:val="BodyText"/>
        <w:spacing w:line="460" w:lineRule="auto"/>
        <w:ind w:right="1122"/>
        <w:jc w:val="left"/>
      </w:pPr>
      <w:r>
        <w:rPr>
          <w:rFonts w:ascii="Times New Roman" w:hAnsi="Times New Roman" w:cs="Times New Roman" w:eastAsia="Times New Roman" w:hint="default"/>
        </w:rPr>
        <w:t>3</w:t>
      </w:r>
      <w:r>
        <w:rPr/>
        <w:t>、筹资活动现金流入较上年增长</w:t>
      </w:r>
      <w:r>
        <w:rPr>
          <w:rFonts w:ascii="Times New Roman" w:hAnsi="Times New Roman" w:cs="Times New Roman" w:eastAsia="Times New Roman" w:hint="default"/>
        </w:rPr>
        <w:t>804.93%</w:t>
      </w:r>
      <w:r>
        <w:rPr/>
        <w:t>，主要是公司公开发行股票募集资金流入及发行限制性股票收到员工缴纳募集款 项所致。 </w:t>
      </w:r>
      <w:r>
        <w:rPr>
          <w:rFonts w:ascii="Times New Roman" w:hAnsi="Times New Roman" w:cs="Times New Roman" w:eastAsia="Times New Roman" w:hint="default"/>
          <w:spacing w:val="-1"/>
        </w:rPr>
        <w:t>4</w:t>
      </w:r>
      <w:r>
        <w:rPr>
          <w:spacing w:val="-1"/>
        </w:rPr>
        <w:t>、现金及现金等价物净增加额较上年增长</w:t>
      </w:r>
      <w:r>
        <w:rPr>
          <w:rFonts w:ascii="Times New Roman" w:hAnsi="Times New Roman" w:cs="Times New Roman" w:eastAsia="Times New Roman" w:hint="default"/>
          <w:spacing w:val="-1"/>
        </w:rPr>
        <w:t>2,305.25%</w:t>
      </w:r>
      <w:r>
        <w:rPr>
          <w:spacing w:val="-1"/>
        </w:rPr>
        <w:t>，主要是公司公开发行股票募集资金流入及发行限制性股票收到员工缴</w:t>
      </w:r>
      <w:r>
        <w:rPr>
          <w:spacing w:val="-86"/>
        </w:rPr>
        <w:t> </w:t>
      </w:r>
      <w:r>
        <w:rPr>
          <w:spacing w:val="-86"/>
        </w:rPr>
      </w:r>
      <w:r>
        <w:rPr/>
        <w:t>纳募集款项所致。</w:t>
      </w:r>
    </w:p>
    <w:p>
      <w:pPr>
        <w:pStyle w:val="BodyText"/>
        <w:spacing w:line="240" w:lineRule="auto" w:before="107"/>
        <w:ind w:left="1134" w:right="0"/>
        <w:jc w:val="left"/>
      </w:pPr>
      <w:r>
        <w:rPr/>
        <w:t>报告期内公司经营活动产生的现金净流量与本年度净利润存在重大差异的原因说明</w:t>
      </w:r>
    </w:p>
    <w:p>
      <w:pPr>
        <w:spacing w:line="240" w:lineRule="auto" w:before="12"/>
        <w:rPr>
          <w:rFonts w:ascii="宋体" w:hAnsi="宋体" w:cs="宋体" w:eastAsia="宋体" w:hint="default"/>
          <w:sz w:val="20"/>
          <w:szCs w:val="20"/>
        </w:rPr>
      </w:pPr>
    </w:p>
    <w:p>
      <w:pPr>
        <w:pStyle w:val="BodyText"/>
        <w:spacing w:line="47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5"/>
        </w:rPr>
        <w:t>公司经营活动产生的现金流量净额为</w:t>
      </w:r>
      <w:r>
        <w:rPr>
          <w:rFonts w:ascii="Times New Roman" w:hAnsi="Times New Roman" w:cs="Times New Roman" w:eastAsia="Times New Roman" w:hint="default"/>
          <w:spacing w:val="5"/>
        </w:rPr>
        <w:t>2,567.90</w:t>
      </w:r>
      <w:r>
        <w:rPr>
          <w:spacing w:val="5"/>
        </w:rPr>
        <w:t>万元，较净利润</w:t>
      </w:r>
      <w:r>
        <w:rPr>
          <w:rFonts w:ascii="Times New Roman" w:hAnsi="Times New Roman" w:cs="Times New Roman" w:eastAsia="Times New Roman" w:hint="default"/>
          <w:spacing w:val="5"/>
        </w:rPr>
        <w:t>6,588.39</w:t>
      </w:r>
      <w:r>
        <w:rPr>
          <w:spacing w:val="5"/>
        </w:rPr>
        <w:t>万元少</w:t>
      </w:r>
      <w:r>
        <w:rPr>
          <w:rFonts w:ascii="Times New Roman" w:hAnsi="Times New Roman" w:cs="Times New Roman" w:eastAsia="Times New Roman" w:hint="default"/>
          <w:spacing w:val="5"/>
        </w:rPr>
        <w:t>4,020.49</w:t>
      </w:r>
      <w:r>
        <w:rPr>
          <w:spacing w:val="5"/>
        </w:rPr>
        <w:t>万元，主要是经营性应收项目增加</w:t>
      </w:r>
      <w:r>
        <w:rPr>
          <w:spacing w:val="-67"/>
        </w:rPr>
        <w:t> </w:t>
      </w:r>
      <w:r>
        <w:rPr>
          <w:spacing w:val="-67"/>
        </w:rPr>
      </w:r>
      <w:r>
        <w:rPr>
          <w:rFonts w:ascii="Times New Roman" w:hAnsi="Times New Roman" w:cs="Times New Roman" w:eastAsia="Times New Roman" w:hint="default"/>
        </w:rPr>
        <w:t>3,600.55</w:t>
      </w:r>
      <w:r>
        <w:rPr/>
        <w:t>万元及经营性应付项目减少</w:t>
      </w:r>
      <w:r>
        <w:rPr>
          <w:rFonts w:ascii="Times New Roman" w:hAnsi="Times New Roman" w:cs="Times New Roman" w:eastAsia="Times New Roman" w:hint="default"/>
        </w:rPr>
        <w:t>1,741.48</w:t>
      </w:r>
      <w:r>
        <w:rPr/>
        <w:t>万元。</w:t>
      </w:r>
    </w:p>
    <w:p>
      <w:pPr>
        <w:spacing w:line="240" w:lineRule="auto" w:before="4"/>
        <w:rPr>
          <w:rFonts w:ascii="宋体" w:hAnsi="宋体" w:cs="宋体" w:eastAsia="宋体" w:hint="default"/>
          <w:sz w:val="21"/>
          <w:szCs w:val="21"/>
        </w:rPr>
      </w:pPr>
    </w:p>
    <w:p>
      <w:pPr>
        <w:pStyle w:val="Heading2"/>
        <w:spacing w:line="240" w:lineRule="auto"/>
        <w:ind w:left="1134"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5"/>
          <w:szCs w:val="15"/>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411,485,890.6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60.52%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135,718,815.19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36.35%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24.17%</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122,928,430.1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18.08%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87,439,965.92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23.42%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-5.34%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74,946,482.51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76,241,271.26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54,480,608.78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54,336,472.45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1,478,370.12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4,504,066.40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2"/>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首次公开 发行普通 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28,398.04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7,319.05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17,986.17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10,454.47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金均存放 在公司募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28,398.04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7,319.05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17,986.17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10,454.47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31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公司经中国证券监督管理委员会证监许可</w:t>
            </w:r>
            <w:r>
              <w:rPr>
                <w:rFonts w:ascii="Times New Roman" w:hAnsi="Times New Roman" w:cs="Times New Roman" w:eastAsia="Times New Roman" w:hint="default"/>
                <w:sz w:val="18"/>
                <w:szCs w:val="18"/>
              </w:rPr>
              <w:t>[2015] 536  </w:t>
            </w:r>
            <w:r>
              <w:rPr>
                <w:rFonts w:ascii="宋体" w:hAnsi="宋体" w:cs="宋体" w:eastAsia="宋体" w:hint="default"/>
                <w:sz w:val="18"/>
                <w:szCs w:val="18"/>
              </w:rPr>
              <w:t>号文核准，向社会首次公开发行人民币普通股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万股，</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每股发行价格为人民币 </w:t>
            </w:r>
            <w:r>
              <w:rPr>
                <w:rFonts w:ascii="Times New Roman" w:hAnsi="Times New Roman" w:cs="Times New Roman" w:eastAsia="Times New Roman" w:hint="default"/>
                <w:sz w:val="18"/>
                <w:szCs w:val="18"/>
              </w:rPr>
              <w:t>15.79  </w:t>
            </w:r>
            <w:r>
              <w:rPr>
                <w:rFonts w:ascii="宋体" w:hAnsi="宋体" w:cs="宋体" w:eastAsia="宋体" w:hint="default"/>
                <w:sz w:val="18"/>
                <w:szCs w:val="18"/>
              </w:rPr>
              <w:t>元，募集资金总额为人民币 </w:t>
            </w:r>
            <w:r>
              <w:rPr>
                <w:rFonts w:ascii="Times New Roman" w:hAnsi="Times New Roman" w:cs="Times New Roman" w:eastAsia="Times New Roman" w:hint="default"/>
                <w:sz w:val="18"/>
                <w:szCs w:val="18"/>
              </w:rPr>
              <w:t>31,580.00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万元，扣除发行费用后募集资金净额为人民币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28,398.04 </w:t>
            </w:r>
            <w:r>
              <w:rPr>
                <w:rFonts w:ascii="宋体" w:hAnsi="宋体" w:cs="宋体" w:eastAsia="宋体" w:hint="default"/>
                <w:sz w:val="18"/>
                <w:szCs w:val="18"/>
              </w:rPr>
              <w:t>万元。天健会计师事务所（特殊普通合伙）已于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日对公司首次公开发行股票的募集资金到位</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情况进行了审验，并出具</w:t>
            </w:r>
            <w:r>
              <w:rPr>
                <w:rFonts w:ascii="Times New Roman" w:hAnsi="Times New Roman" w:cs="Times New Roman" w:eastAsia="Times New Roman" w:hint="default"/>
                <w:sz w:val="18"/>
                <w:szCs w:val="18"/>
              </w:rPr>
              <w:t>“</w:t>
            </w:r>
            <w:r>
              <w:rPr>
                <w:rFonts w:ascii="宋体" w:hAnsi="宋体" w:cs="宋体" w:eastAsia="宋体" w:hint="default"/>
                <w:sz w:val="18"/>
                <w:szCs w:val="18"/>
              </w:rPr>
              <w:t>天健验〔</w:t>
            </w:r>
            <w:r>
              <w:rPr>
                <w:rFonts w:ascii="Times New Roman" w:hAnsi="Times New Roman" w:cs="Times New Roman" w:eastAsia="Times New Roman" w:hint="default"/>
                <w:sz w:val="18"/>
                <w:szCs w:val="18"/>
              </w:rPr>
              <w:t>2015</w:t>
            </w:r>
            <w:r>
              <w:rPr>
                <w:rFonts w:ascii="宋体" w:hAnsi="宋体" w:cs="宋体" w:eastAsia="宋体" w:hint="default"/>
                <w:sz w:val="18"/>
                <w:szCs w:val="18"/>
              </w:rPr>
              <w:t>〕 </w:t>
            </w:r>
            <w:r>
              <w:rPr>
                <w:rFonts w:ascii="Times New Roman" w:hAnsi="Times New Roman" w:cs="Times New Roman" w:eastAsia="Times New Roman" w:hint="default"/>
                <w:sz w:val="18"/>
                <w:szCs w:val="18"/>
              </w:rPr>
              <w:t>7-43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报告期内，公司实际使用募集资金 </w:t>
            </w:r>
            <w:r>
              <w:rPr>
                <w:rFonts w:ascii="Times New Roman" w:hAnsi="Times New Roman" w:cs="Times New Roman" w:eastAsia="Times New Roman" w:hint="default"/>
                <w:sz w:val="18"/>
                <w:szCs w:val="18"/>
              </w:rPr>
              <w:t>7,319.05  </w:t>
            </w:r>
            <w:r>
              <w:rPr>
                <w:rFonts w:ascii="宋体" w:hAnsi="宋体" w:cs="宋体" w:eastAsia="宋体" w:hint="default"/>
                <w:sz w:val="18"/>
                <w:szCs w:val="18"/>
              </w:rPr>
              <w:t>万元， 截止报告期末，公司累计使用募集资金 </w:t>
            </w:r>
            <w:r>
              <w:rPr>
                <w:rFonts w:ascii="Times New Roman" w:hAnsi="Times New Roman" w:cs="Times New Roman" w:eastAsia="Times New Roman" w:hint="default"/>
                <w:sz w:val="18"/>
                <w:szCs w:val="18"/>
              </w:rPr>
              <w:t>17,986.17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万元，募集资</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金结余 </w:t>
            </w:r>
            <w:r>
              <w:rPr>
                <w:rFonts w:ascii="Times New Roman" w:hAnsi="Times New Roman" w:cs="Times New Roman" w:eastAsia="Times New Roman" w:hint="default"/>
                <w:spacing w:val="-1"/>
                <w:sz w:val="18"/>
                <w:szCs w:val="18"/>
              </w:rPr>
              <w:t>10,454.47</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万元（包括累计收到的银行存款利息扣除银行手续费等的净额</w:t>
            </w:r>
            <w:r>
              <w:rPr>
                <w:rFonts w:ascii="宋体" w:hAnsi="宋体" w:cs="宋体" w:eastAsia="宋体" w:hint="default"/>
                <w:sz w:val="18"/>
                <w:szCs w:val="18"/>
              </w:rPr>
              <w:t> </w:t>
            </w:r>
            <w:r>
              <w:rPr>
                <w:rFonts w:ascii="Times New Roman" w:hAnsi="Times New Roman" w:cs="Times New Roman" w:eastAsia="Times New Roman" w:hint="default"/>
                <w:sz w:val="18"/>
                <w:szCs w:val="18"/>
              </w:rPr>
              <w:t>42.60</w:t>
            </w:r>
            <w:r>
              <w:rPr>
                <w:rFonts w:ascii="Times New Roman" w:hAnsi="Times New Roman" w:cs="Times New Roman" w:eastAsia="Times New Roman" w:hint="default"/>
                <w:spacing w:val="-19"/>
                <w:sz w:val="18"/>
                <w:szCs w:val="18"/>
              </w:rPr>
              <w:t> </w:t>
            </w:r>
            <w:r>
              <w:rPr>
                <w:rFonts w:ascii="宋体" w:hAnsi="宋体" w:cs="宋体" w:eastAsia="宋体" w:hint="default"/>
                <w:spacing w:val="-9"/>
                <w:w w:val="100"/>
                <w:sz w:val="18"/>
                <w:szCs w:val="18"/>
              </w:rPr>
              <w:t>万元）。详见</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w:t>
            </w:r>
            <w:r>
              <w:rPr>
                <w:rFonts w:ascii="Times New Roman" w:hAnsi="Times New Roman" w:cs="Times New Roman" w:eastAsia="Times New Roman" w:hint="default"/>
                <w:spacing w:val="-9"/>
                <w:w w:val="100"/>
                <w:sz w:val="18"/>
                <w:szCs w:val="18"/>
              </w:rPr>
              <w:t>2</w:t>
            </w:r>
            <w:r>
              <w:rPr>
                <w:rFonts w:ascii="宋体" w:hAnsi="宋体" w:cs="宋体" w:eastAsia="宋体" w:hint="default"/>
                <w:spacing w:val="-9"/>
                <w:w w:val="100"/>
                <w:sz w:val="18"/>
                <w:szCs w:val="18"/>
              </w:rPr>
              <w:t>）募集资金承诺项</w:t>
            </w:r>
            <w:r>
              <w:rPr>
                <w:rFonts w:ascii="宋体" w:hAnsi="宋体" w:cs="宋体" w:eastAsia="宋体" w:hint="default"/>
                <w:sz w:val="18"/>
                <w:szCs w:val="18"/>
              </w:rPr>
              <w:t> 目情况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19"/>
        <w:gridCol w:w="718"/>
        <w:gridCol w:w="715"/>
        <w:gridCol w:w="720"/>
        <w:gridCol w:w="718"/>
        <w:gridCol w:w="716"/>
        <w:gridCol w:w="719"/>
        <w:gridCol w:w="718"/>
        <w:gridCol w:w="718"/>
        <w:gridCol w:w="714"/>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7"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2"/>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3" w:right="8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银行大型平台流媒 体综合安防系统解 决方案技术改造项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3,602.55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3,602.55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5"/>
              <w:jc w:val="right"/>
              <w:rPr>
                <w:rFonts w:ascii="Times New Roman" w:hAnsi="Times New Roman" w:cs="Times New Roman" w:eastAsia="Times New Roman" w:hint="default"/>
                <w:sz w:val="18"/>
                <w:szCs w:val="18"/>
              </w:rPr>
            </w:pPr>
            <w:r>
              <w:rPr>
                <w:rFonts w:ascii="Times New Roman"/>
                <w:sz w:val="18"/>
              </w:rPr>
              <w:t>652.4</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6"/>
              <w:jc w:val="right"/>
              <w:rPr>
                <w:rFonts w:ascii="Times New Roman" w:hAnsi="Times New Roman" w:cs="Times New Roman" w:eastAsia="Times New Roman" w:hint="default"/>
                <w:sz w:val="18"/>
                <w:szCs w:val="18"/>
              </w:rPr>
            </w:pPr>
            <w:r>
              <w:rPr>
                <w:rFonts w:ascii="Times New Roman"/>
                <w:sz w:val="18"/>
              </w:rPr>
              <w:t>3,557.74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98.76%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1,414.9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5"/>
              <w:jc w:val="right"/>
              <w:rPr>
                <w:rFonts w:ascii="Times New Roman" w:hAnsi="Times New Roman" w:cs="Times New Roman" w:eastAsia="Times New Roman" w:hint="default"/>
                <w:sz w:val="18"/>
                <w:szCs w:val="18"/>
              </w:rPr>
            </w:pPr>
            <w:r>
              <w:rPr>
                <w:rFonts w:ascii="Times New Roman"/>
                <w:sz w:val="18"/>
              </w:rPr>
              <w:t>1,414.9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银行自助设备智能 安防系统技术改造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5,960.25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5,960.25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874.78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4,899.17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82.20%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1,747.84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1,747.84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研发中心建设技术 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3,592.63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3,592.63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296.91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2,365.74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65.85%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营销及服务网络升 级技术改造项目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3,544.15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3,544.15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140.48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666.41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18.80%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银行主动安防综合 管理系统项目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7,078.56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7,078.56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734.58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1,877.21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26.52%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4,629.36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4,619.9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4,619.9</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4,619.9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28,407.5</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28,398.0</w:t>
            </w: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7,319.05</w:t>
            </w: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17,986.1</w:t>
            </w:r>
          </w:p>
          <w:p>
            <w:pPr>
              <w:pStyle w:val="TableParagraph"/>
              <w:spacing w:line="240" w:lineRule="auto" w:before="106"/>
              <w:ind w:right="-12"/>
              <w:jc w:val="right"/>
              <w:rPr>
                <w:rFonts w:ascii="Times New Roman" w:hAnsi="Times New Roman" w:cs="Times New Roman" w:eastAsia="Times New Roman" w:hint="default"/>
                <w:sz w:val="18"/>
                <w:szCs w:val="18"/>
              </w:rPr>
            </w:pPr>
            <w:r>
              <w:rPr>
                <w:rFonts w:ascii="Times New Roman"/>
                <w:sz w:val="18"/>
              </w:rPr>
              <w:t>7</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3,162.74</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3,162.74</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28,407.5</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28,398.0</w:t>
            </w:r>
          </w:p>
          <w:p>
            <w:pPr>
              <w:pStyle w:val="TableParagraph"/>
              <w:spacing w:line="240" w:lineRule="auto" w:before="106"/>
              <w:ind w:right="27"/>
              <w:jc w:val="right"/>
              <w:rPr>
                <w:rFonts w:ascii="Times New Roman" w:hAnsi="Times New Roman" w:cs="Times New Roman" w:eastAsia="Times New Roman" w:hint="default"/>
                <w:sz w:val="18"/>
                <w:szCs w:val="18"/>
              </w:rPr>
            </w:pPr>
            <w:r>
              <w:rPr>
                <w:rFonts w:ascii="Times New Roman"/>
                <w:sz w:val="18"/>
              </w:rPr>
              <w:t>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7,319.05</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17,986.</w:t>
            </w:r>
          </w:p>
          <w:p>
            <w:pPr>
              <w:pStyle w:val="TableParagraph"/>
              <w:spacing w:line="240" w:lineRule="auto" w:before="106"/>
              <w:ind w:left="452" w:right="0"/>
              <w:jc w:val="left"/>
              <w:rPr>
                <w:rFonts w:ascii="Times New Roman" w:hAnsi="Times New Roman" w:cs="Times New Roman" w:eastAsia="Times New Roman" w:hint="default"/>
                <w:sz w:val="18"/>
                <w:szCs w:val="18"/>
              </w:rPr>
            </w:pPr>
            <w:r>
              <w:rPr>
                <w:rFonts w:ascii="Times New Roman"/>
                <w:sz w:val="18"/>
              </w:rPr>
              <w:t>17</w:t>
            </w:r>
          </w:p>
        </w:tc>
        <w:tc>
          <w:tcPr>
            <w:tcW w:w="7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3,162.74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3,162.74</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r>
      <w:tr>
        <w:trPr>
          <w:trHeight w:val="689"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02" w:lineRule="auto" w:before="51"/>
              <w:ind w:left="16" w:right="4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）研发中心建设技术改造项目、营销及服务网络升级技术改造项目以及补充流动资金不直接产生 效益；</w:t>
            </w:r>
          </w:p>
          <w:p>
            <w:pPr>
              <w:pStyle w:val="TableParagraph"/>
              <w:spacing w:line="240" w:lineRule="auto" w:before="6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）银行主动安防综合管理系统项目截止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日未达产，故尚未产生效益；</w:t>
            </w:r>
          </w:p>
          <w:p>
            <w:pPr>
              <w:pStyle w:val="TableParagraph"/>
              <w:spacing w:line="240" w:lineRule="auto" w:before="101"/>
              <w:ind w:left="1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）银行大型平台流媒体综合安防系统解决方案技术改造项目由于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日未达到预定可</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使用状态，项目产生的效益未完全体现，累计实现效益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）银行自助设备智能安防系统技术改造项目由于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日未达到预定可使用状态，项目</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产生的效益未完全体现，累计实现效益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1,747.84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16"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9" w:space="0" w:color="D2D2D2"/>
              <w:right w:val="single" w:sz="4" w:space="0" w:color="000000"/>
            </w:tcBorders>
          </w:tcPr>
          <w:p>
            <w:pPr/>
          </w:p>
        </w:tc>
      </w:tr>
      <w:tr>
        <w:trPr>
          <w:trHeight w:val="689"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FFFFFF"/>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65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7"/>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日，公司第二届董事会第四次会议审议通过，同意公司以募集资金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10,667.12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换预先投入募投项目的自筹资金。公司于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日完成了置换。</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尚未使用的募集资金均存放在公司募集资金专项账户。</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Times New Roman" w:hAnsi="Times New Roman" w:cs="Times New Roman" w:eastAsia="Times New Roman" w:hint="default"/>
          <w:sz w:val="28"/>
          <w:szCs w:val="28"/>
        </w:rPr>
      </w:pPr>
    </w:p>
    <w:p>
      <w:pPr>
        <w:pStyle w:val="Heading3"/>
        <w:spacing w:line="240" w:lineRule="auto" w:before="35"/>
        <w:ind w:left="1134"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广州市浩云 安防设备有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主要从事安 防设备的维 修等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10,080,000.0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11,284,272.5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8,299,800.96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308,324.81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-1,083,506.0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-1,083,506.0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广州市苏瑞 计算机科技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主要从事联 网平台基础 软件的开发 及销售等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11,197,733.2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9,212,038.10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11,185,782.1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2,584,703.78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3,539,771.33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广州市万欣 计算机科技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主要从事算 法基础软件 的开发等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441,170.88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441,170.88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-306,895.82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-314,786.80</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报告期内取得和处置子公司的情况</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44"/>
        <w:ind w:left="0" w:right="1139"/>
        <w:jc w:val="right"/>
      </w:pPr>
      <w:r>
        <w:rPr/>
        <w:pict>
          <v:shape style="position:absolute;margin-left:56.459999pt;margin-top:-36.54829pt;width:479.25pt;height:8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广州市万欣计算机科技有限公司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注销（经公司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 第二届董事会第九次会议审议通过，截 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日，其注销手续尚未 办理完毕）</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2"/>
                          <w:jc w:val="left"/>
                          <w:rPr>
                            <w:rFonts w:ascii="宋体" w:hAnsi="宋体" w:cs="宋体" w:eastAsia="宋体" w:hint="default"/>
                            <w:sz w:val="18"/>
                            <w:szCs w:val="18"/>
                          </w:rPr>
                        </w:pPr>
                        <w:r>
                          <w:rPr>
                            <w:rFonts w:ascii="宋体" w:hAnsi="宋体" w:cs="宋体" w:eastAsia="宋体" w:hint="default"/>
                            <w:spacing w:val="-1"/>
                            <w:sz w:val="18"/>
                            <w:szCs w:val="18"/>
                          </w:rPr>
                          <w:t>为了优化公司资源配置，降低管理成本</w:t>
                        </w:r>
                        <w:r>
                          <w:rPr>
                            <w:rFonts w:ascii="宋体" w:hAnsi="宋体" w:cs="宋体" w:eastAsia="宋体" w:hint="default"/>
                            <w:sz w:val="18"/>
                            <w:szCs w:val="18"/>
                          </w:rPr>
                          <w:t> 提高运营效率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2"/>
        <w:spacing w:line="240" w:lineRule="auto" w:before="26"/>
        <w:ind w:left="1134"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r>
        <w:rPr>
          <w:rFonts w:ascii="Times New Roman" w:hAnsi="Times New Roman" w:cs="Times New Roman" w:eastAsia="Times New Roman" w:hint="default"/>
        </w:rPr>
        <w:t>1</w:t>
      </w:r>
      <w:r>
        <w:rPr/>
        <w:t>、公司所处行业的发展情况</w:t>
      </w:r>
      <w:r>
        <w:rPr>
          <w:b w:val="0"/>
          <w:bCs w:val="0"/>
        </w:rPr>
      </w:r>
    </w:p>
    <w:p>
      <w:pPr>
        <w:spacing w:line="240" w:lineRule="auto" w:before="7"/>
        <w:rPr>
          <w:rFonts w:ascii="宋体" w:hAnsi="宋体" w:cs="宋体" w:eastAsia="宋体" w:hint="default"/>
          <w:b/>
          <w:bCs/>
          <w:sz w:val="18"/>
          <w:szCs w:val="18"/>
        </w:rPr>
      </w:pPr>
    </w:p>
    <w:p>
      <w:pPr>
        <w:pStyle w:val="BodyText"/>
        <w:spacing w:line="465" w:lineRule="auto"/>
        <w:ind w:right="1130" w:firstLine="362"/>
        <w:jc w:val="both"/>
      </w:pPr>
      <w:r>
        <w:rPr>
          <w:rFonts w:ascii="Times New Roman" w:hAnsi="Times New Roman" w:cs="Times New Roman" w:eastAsia="Times New Roman" w:hint="default"/>
        </w:rPr>
        <w:t>2015</w:t>
      </w:r>
      <w:r>
        <w:rPr/>
        <w:t>年，国家相继出台了安防产业相关政策，大力支持行业发展。</w:t>
      </w:r>
      <w:r>
        <w:rPr>
          <w:rFonts w:ascii="Times New Roman" w:hAnsi="Times New Roman" w:cs="Times New Roman" w:eastAsia="Times New Roman" w:hint="default"/>
        </w:rPr>
        <w:t>5</w:t>
      </w:r>
      <w:r>
        <w:rPr/>
        <w:t>月，国家九部委联合发布《关于加强公共安全视频 </w:t>
      </w:r>
      <w:r>
        <w:rPr>
          <w:spacing w:val="-2"/>
        </w:rPr>
        <w:t>监控建设联网应用工作的若干意见》，大大促进安防行业的繁荣发展。各行各业的安防需求不断涌现，民用安防出现了爆发</w:t>
      </w:r>
      <w:r>
        <w:rPr>
          <w:spacing w:val="-66"/>
        </w:rPr>
        <w:t> </w:t>
      </w:r>
      <w:r>
        <w:rPr>
          <w:spacing w:val="-66"/>
        </w:rPr>
      </w:r>
      <w:r>
        <w:rPr/>
        <w:t>性增长，大安防产业在</w:t>
      </w:r>
      <w:r>
        <w:rPr>
          <w:rFonts w:ascii="Times New Roman" w:hAnsi="Times New Roman" w:cs="Times New Roman" w:eastAsia="Times New Roman" w:hint="default"/>
        </w:rPr>
        <w:t>2015</w:t>
      </w:r>
      <w:r>
        <w:rPr/>
        <w:t>年总体处于迅猛发展。</w:t>
      </w:r>
    </w:p>
    <w:p>
      <w:pPr>
        <w:pStyle w:val="BodyText"/>
        <w:spacing w:line="477" w:lineRule="auto" w:before="70"/>
        <w:ind w:left="1134" w:right="1170" w:firstLine="420"/>
        <w:jc w:val="both"/>
      </w:pPr>
      <w:r>
        <w:rPr/>
        <w:t>国内银行业发展呈现不同的发展态势。传统的银行营业网点数量趋于稳定，自助设备、自助银行等自助网点数量增长 较快，推动金融安防行业需求进一步扩大。</w:t>
      </w:r>
    </w:p>
    <w:p>
      <w:pPr>
        <w:pStyle w:val="BodyText"/>
        <w:spacing w:line="451" w:lineRule="auto" w:before="92"/>
        <w:ind w:right="1132" w:firstLine="420"/>
        <w:jc w:val="both"/>
      </w:pPr>
      <w:r>
        <w:rPr>
          <w:spacing w:val="-1"/>
        </w:rPr>
        <w:t>银行安防行业标准</w:t>
      </w:r>
      <w:r>
        <w:rPr>
          <w:rFonts w:ascii="Times New Roman" w:hAnsi="Times New Roman" w:cs="Times New Roman" w:eastAsia="Times New Roman" w:hint="default"/>
          <w:spacing w:val="-1"/>
        </w:rPr>
        <w:t>GA38-2015</w:t>
      </w:r>
      <w:r>
        <w:rPr>
          <w:spacing w:val="-1"/>
        </w:rPr>
        <w:t>《银行营业场所安全防范要求》在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月发布实施，根据新的要求，银行对辖内营业</w:t>
      </w:r>
      <w:r>
        <w:rPr/>
        <w:t> 场所的安防设施进一步完善和升级。同时，国内大部分银行根据</w:t>
      </w:r>
      <w:r>
        <w:rPr>
          <w:rFonts w:ascii="Times New Roman" w:hAnsi="Times New Roman" w:cs="Times New Roman" w:eastAsia="Times New Roman" w:hint="default"/>
        </w:rPr>
        <w:t>GB/T</w:t>
      </w:r>
      <w:r>
        <w:rPr>
          <w:rFonts w:ascii="Times New Roman" w:hAnsi="Times New Roman" w:cs="Times New Roman" w:eastAsia="Times New Roman" w:hint="default"/>
          <w:spacing w:val="-1"/>
        </w:rPr>
        <w:t> </w:t>
      </w:r>
      <w:r>
        <w:rPr>
          <w:rFonts w:ascii="Times New Roman" w:hAnsi="Times New Roman" w:cs="Times New Roman" w:eastAsia="Times New Roman" w:hint="default"/>
        </w:rPr>
        <w:t>16676-2010</w:t>
      </w:r>
      <w:r>
        <w:rPr/>
        <w:t>《银行安全防范报警监控联网系统技术要</w:t>
      </w:r>
    </w:p>
    <w:p>
      <w:pPr>
        <w:spacing w:after="0" w:line="451"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jc w:val="left"/>
      </w:pPr>
      <w:r>
        <w:rPr>
          <w:spacing w:val="-2"/>
        </w:rPr>
        <w:t>求》的规定，已基本完成第一轮安防联网工作，部分银行已启动第二轮联网工作，与第一轮联网以实现各类技术防范设施联</w:t>
      </w:r>
      <w:r>
        <w:rPr>
          <w:spacing w:val="-66"/>
        </w:rPr>
        <w:t> </w:t>
      </w:r>
      <w:r>
        <w:rPr>
          <w:spacing w:val="-66"/>
        </w:rPr>
      </w:r>
      <w:r>
        <w:rPr/>
        <w:t>网管理为目的不同，第二轮联网以银行安保信息管理为核心，实现安防风险管理向业务操作风险管理延伸。新行业标准 </w:t>
      </w:r>
      <w:r>
        <w:rPr>
          <w:rFonts w:ascii="Times New Roman" w:hAnsi="Times New Roman" w:cs="Times New Roman" w:eastAsia="Times New Roman" w:hint="default"/>
        </w:rPr>
        <w:t>GA38-2015</w:t>
      </w:r>
      <w:r>
        <w:rPr/>
        <w:t>的发布实施以及银行第二轮联网大潮的启动，都将促进金融安防行业持续发展和金融安防市场进一步增长。</w:t>
      </w:r>
    </w:p>
    <w:p>
      <w:pPr>
        <w:pStyle w:val="Heading3"/>
        <w:spacing w:line="240" w:lineRule="auto" w:before="115"/>
        <w:ind w:right="0"/>
        <w:jc w:val="left"/>
        <w:rPr>
          <w:b w:val="0"/>
          <w:bCs w:val="0"/>
        </w:rPr>
      </w:pPr>
      <w:r>
        <w:rPr>
          <w:rFonts w:ascii="Times New Roman" w:hAnsi="Times New Roman" w:cs="Times New Roman" w:eastAsia="Times New Roman" w:hint="default"/>
        </w:rPr>
        <w:t>2</w:t>
      </w:r>
      <w:r>
        <w:rPr/>
        <w:t>、公司发展战略</w:t>
      </w:r>
      <w:r>
        <w:rPr>
          <w:b w:val="0"/>
          <w:bCs w:val="0"/>
        </w:rPr>
      </w:r>
    </w:p>
    <w:p>
      <w:pPr>
        <w:spacing w:line="240" w:lineRule="auto" w:before="7"/>
        <w:rPr>
          <w:rFonts w:ascii="宋体" w:hAnsi="宋体" w:cs="宋体" w:eastAsia="宋体" w:hint="default"/>
          <w:b/>
          <w:bCs/>
          <w:sz w:val="18"/>
          <w:szCs w:val="18"/>
        </w:rPr>
      </w:pPr>
    </w:p>
    <w:p>
      <w:pPr>
        <w:pStyle w:val="BodyText"/>
        <w:spacing w:line="477" w:lineRule="auto"/>
        <w:ind w:left="1134" w:right="1152" w:firstLine="420"/>
        <w:jc w:val="left"/>
      </w:pPr>
      <w:r>
        <w:rPr/>
        <w:t>公司发展战略是以创新为引擎，服务为两翼，通过智能硬件产品，安防系统建设和安保运营服务巩固且持续实现传统 业务的增长，并且积极开拓新行业，成为智慧和安全世界的构筑者。</w:t>
      </w:r>
    </w:p>
    <w:p>
      <w:pPr>
        <w:pStyle w:val="Heading3"/>
        <w:spacing w:line="240" w:lineRule="auto" w:before="149"/>
        <w:ind w:right="0"/>
        <w:jc w:val="left"/>
        <w:rPr>
          <w:b w:val="0"/>
          <w:bCs w:val="0"/>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2016</w:t>
      </w:r>
      <w:r>
        <w:rPr/>
        <w:t>年主要经营计划</w:t>
      </w:r>
      <w:r>
        <w:rPr>
          <w:b w:val="0"/>
          <w:bCs w:val="0"/>
        </w:rPr>
      </w:r>
    </w:p>
    <w:p>
      <w:pPr>
        <w:spacing w:line="240" w:lineRule="auto" w:before="7"/>
        <w:rPr>
          <w:rFonts w:ascii="宋体" w:hAnsi="宋体" w:cs="宋体" w:eastAsia="宋体" w:hint="default"/>
          <w:b/>
          <w:bCs/>
          <w:sz w:val="18"/>
          <w:szCs w:val="18"/>
        </w:rPr>
      </w:pPr>
    </w:p>
    <w:p>
      <w:pPr>
        <w:pStyle w:val="BodyText"/>
        <w:spacing w:line="463" w:lineRule="auto"/>
        <w:ind w:left="1287" w:right="1133" w:firstLine="30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日，公安部出台强制性标准</w:t>
      </w:r>
      <w:r>
        <w:rPr>
          <w:rFonts w:ascii="Times New Roman" w:hAnsi="Times New Roman" w:cs="Times New Roman" w:eastAsia="Times New Roman" w:hint="default"/>
        </w:rPr>
        <w:t>GA38-2015</w:t>
      </w:r>
      <w:r>
        <w:rPr/>
        <w:t>《银行营业场所安全防范要求》，该标准要求银行在前端安 </w:t>
      </w:r>
      <w:r>
        <w:rPr>
          <w:spacing w:val="-2"/>
        </w:rPr>
        <w:t>防设备和系统方面都要进行性能的大幅提升，带来大量更新换代的机会，公司在这方面有大量的技术储备和经验积累，将</w:t>
      </w:r>
      <w:r>
        <w:rPr>
          <w:spacing w:val="-42"/>
        </w:rPr>
        <w:t> </w:t>
      </w:r>
      <w:r>
        <w:rPr>
          <w:spacing w:val="-42"/>
        </w:rPr>
      </w:r>
      <w:r>
        <w:rPr/>
        <w:t>借此继续扩大在安防系统建设的占有率。</w:t>
      </w:r>
    </w:p>
    <w:p>
      <w:pPr>
        <w:pStyle w:val="BodyText"/>
        <w:spacing w:line="475" w:lineRule="auto" w:before="65"/>
        <w:ind w:left="1287" w:right="1075" w:firstLine="300"/>
        <w:jc w:val="both"/>
      </w:pPr>
      <w:r>
        <w:rPr>
          <w:spacing w:val="-2"/>
        </w:rPr>
        <w:t>（</w:t>
      </w:r>
      <w:r>
        <w:rPr>
          <w:rFonts w:ascii="Times New Roman" w:hAnsi="Times New Roman" w:cs="Times New Roman" w:eastAsia="Times New Roman" w:hint="default"/>
          <w:spacing w:val="-2"/>
        </w:rPr>
        <w:t>2</w:t>
      </w:r>
      <w:r>
        <w:rPr>
          <w:spacing w:val="-2"/>
        </w:rPr>
        <w:t>）针对已完成安防系统建设的金融企业所存在的问题开发新技术和智能产品提升整个系统的功效，公司将持续加大</w:t>
      </w:r>
      <w:r>
        <w:rPr/>
        <w:t> </w:t>
      </w:r>
      <w:r>
        <w:rPr>
          <w:spacing w:val="-2"/>
        </w:rPr>
        <w:t>研发投入在：①主动安防综合联网管理系统，主动安防综合联网管理系统的技术特点是除传统安防技术外，结合智能分析</w:t>
      </w:r>
      <w:r>
        <w:rPr>
          <w:spacing w:val="-43"/>
        </w:rPr>
        <w:t> </w:t>
      </w:r>
      <w:r>
        <w:rPr>
          <w:spacing w:val="-43"/>
        </w:rPr>
      </w:r>
      <w:r>
        <w:rPr>
          <w:spacing w:val="-2"/>
        </w:rPr>
        <w:t>和大数据技术针对金融行业的操作风险进行重点防范，大大提升金融行业综合联网管理系统的效率和含金量，预计该系统</w:t>
      </w:r>
      <w:r>
        <w:rPr>
          <w:spacing w:val="-39"/>
        </w:rPr>
        <w:t> </w:t>
      </w:r>
      <w:r>
        <w:rPr>
          <w:spacing w:val="-39"/>
        </w:rPr>
      </w:r>
      <w:r>
        <w:rPr>
          <w:spacing w:val="-2"/>
        </w:rPr>
        <w:t>会逐步替代传统安防综合联网管理系统；②视频驱动模式转向以事件报警驱动的产品及系统；③设备的管理、维护、检测</w:t>
      </w:r>
      <w:r>
        <w:rPr>
          <w:spacing w:val="-43"/>
        </w:rPr>
        <w:t> </w:t>
      </w:r>
      <w:r>
        <w:rPr>
          <w:spacing w:val="-43"/>
        </w:rPr>
      </w:r>
      <w:r>
        <w:rPr>
          <w:spacing w:val="-2"/>
        </w:rPr>
        <w:t>职能前移的系统；④智能三维行为分析设备，该设备具有以下几个特点：一是激光三维成像，不依赖环境光线，零照度下</w:t>
      </w:r>
      <w:r>
        <w:rPr>
          <w:spacing w:val="-39"/>
        </w:rPr>
        <w:t> </w:t>
      </w:r>
      <w:r>
        <w:rPr>
          <w:spacing w:val="-39"/>
        </w:rPr>
      </w:r>
      <w:r>
        <w:rPr>
          <w:spacing w:val="-2"/>
        </w:rPr>
        <w:t>完成智能分析。二是实时激光三维建模，实时演算深度和高度。三是用神经网络学习，不断演化和学习，在使用过程中不</w:t>
      </w:r>
      <w:r>
        <w:rPr>
          <w:spacing w:val="-39"/>
        </w:rPr>
        <w:t> </w:t>
      </w:r>
      <w:r>
        <w:rPr>
          <w:spacing w:val="-39"/>
        </w:rPr>
      </w:r>
      <w:r>
        <w:rPr>
          <w:spacing w:val="-2"/>
        </w:rPr>
        <w:t>断提高准确度。四是自主核心三维算法，该算法下的准确率是传统视频智能分析技术所无法企及的。同时利用三维视觉感</w:t>
      </w:r>
      <w:r>
        <w:rPr>
          <w:spacing w:val="-43"/>
        </w:rPr>
        <w:t> </w:t>
      </w:r>
      <w:r>
        <w:rPr>
          <w:spacing w:val="-43"/>
        </w:rPr>
      </w:r>
      <w:r>
        <w:rPr/>
        <w:t>知来理解复杂场景下人的行动与行为，自动识别异常事件并实时推送给监控中心处理。与此同时它还将视频数据结构化， </w:t>
      </w:r>
      <w:r>
        <w:rPr>
          <w:spacing w:val="-2"/>
        </w:rPr>
        <w:t>通过搜索条件对发生的事件进行迅速地查找与定位。该技术很好地解决了长期困扰视频安防监控领域的技术难点，为摆脱</w:t>
      </w:r>
      <w:r>
        <w:rPr>
          <w:spacing w:val="-40"/>
        </w:rPr>
        <w:t> </w:t>
      </w:r>
      <w:r>
        <w:rPr>
          <w:spacing w:val="-40"/>
        </w:rPr>
      </w:r>
      <w:r>
        <w:rPr>
          <w:spacing w:val="-2"/>
        </w:rPr>
        <w:t>传统依赖人力发现异常情况和目标事件奠定了技术基础。以上创新产品和系统将带给公司在金融行业巨大的增长空间，同</w:t>
      </w:r>
      <w:r>
        <w:rPr>
          <w:spacing w:val="-40"/>
        </w:rPr>
        <w:t> </w:t>
      </w:r>
      <w:r>
        <w:rPr>
          <w:spacing w:val="-40"/>
        </w:rPr>
      </w:r>
      <w:r>
        <w:rPr/>
        <w:t>时还能帮助公司拓展新行业。</w:t>
      </w:r>
    </w:p>
    <w:p>
      <w:pPr>
        <w:pStyle w:val="BodyText"/>
        <w:spacing w:line="456" w:lineRule="auto" w:before="56"/>
        <w:ind w:left="1287" w:right="0" w:firstLine="30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月，国务院出台《关于加强社会治安防控体系建设的意见》，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月，国家发展改革委等九部委联合</w:t>
      </w:r>
      <w:r>
        <w:rPr/>
        <w:t> 推出《关于加强公共安全视频监控建设联网应用工作的若干意见》，要求到</w:t>
      </w:r>
      <w:r>
        <w:rPr>
          <w:rFonts w:ascii="Times New Roman" w:hAnsi="Times New Roman" w:cs="Times New Roman" w:eastAsia="Times New Roman" w:hint="default"/>
        </w:rPr>
        <w:t>2020</w:t>
      </w:r>
      <w:r>
        <w:rPr/>
        <w:t>年，重点公共区域视频监控联网率达到 </w:t>
      </w:r>
      <w:r>
        <w:rPr>
          <w:rFonts w:ascii="Times New Roman" w:hAnsi="Times New Roman" w:cs="Times New Roman" w:eastAsia="Times New Roman" w:hint="default"/>
        </w:rPr>
        <w:t>100%</w:t>
      </w:r>
      <w:r>
        <w:rPr/>
        <w:t>；银行是重点公共区域，未来</w:t>
      </w:r>
      <w:r>
        <w:rPr>
          <w:rFonts w:ascii="Times New Roman" w:hAnsi="Times New Roman" w:cs="Times New Roman" w:eastAsia="Times New Roman" w:hint="default"/>
        </w:rPr>
        <w:t>110</w:t>
      </w:r>
      <w:r>
        <w:rPr/>
        <w:t>报警需要视频复核，金融机构较难解决大量视频分析及推送至</w:t>
      </w:r>
      <w:r>
        <w:rPr>
          <w:rFonts w:ascii="Times New Roman" w:hAnsi="Times New Roman" w:cs="Times New Roman" w:eastAsia="Times New Roman" w:hint="default"/>
        </w:rPr>
        <w:t>110</w:t>
      </w:r>
      <w:r>
        <w:rPr/>
        <w:t>的工作，因此金 融机构基于视频安保服务的需求增长会非常迅速。公司已建和在建的监控中心已达</w:t>
      </w:r>
      <w:r>
        <w:rPr>
          <w:rFonts w:ascii="Times New Roman" w:hAnsi="Times New Roman" w:cs="Times New Roman" w:eastAsia="Times New Roman" w:hint="default"/>
        </w:rPr>
        <w:t>600</w:t>
      </w:r>
      <w:r>
        <w:rPr/>
        <w:t>个以上，这些监控中心都由公司提 </w:t>
      </w:r>
      <w:r>
        <w:rPr>
          <w:spacing w:val="-2"/>
        </w:rPr>
        <w:t>供联网软件及服务，加上遍布全国的服务网点，公司具有向交互式视频安保服务业务发展的优势基础，公司将进一步提升</w:t>
      </w:r>
      <w:r>
        <w:rPr>
          <w:spacing w:val="-43"/>
        </w:rPr>
        <w:t> </w:t>
      </w:r>
      <w:r>
        <w:rPr>
          <w:spacing w:val="-43"/>
        </w:rPr>
      </w:r>
      <w:r>
        <w:rPr/>
        <w:t>服务质量和扩大服务项目，以客户满意为导向打造专业服务团队，以成为金融安保服务第一品牌为目标。</w:t>
      </w:r>
    </w:p>
    <w:p>
      <w:pPr>
        <w:pStyle w:val="BodyText"/>
        <w:spacing w:line="451" w:lineRule="auto" w:before="70"/>
        <w:ind w:left="1287" w:right="1132" w:firstLine="300"/>
        <w:jc w:val="both"/>
      </w:pPr>
      <w:r>
        <w:rPr>
          <w:spacing w:val="-2"/>
        </w:rPr>
        <w:t>（</w:t>
      </w:r>
      <w:r>
        <w:rPr>
          <w:rFonts w:ascii="Times New Roman" w:hAnsi="Times New Roman" w:cs="Times New Roman" w:eastAsia="Times New Roman" w:hint="default"/>
          <w:spacing w:val="-2"/>
        </w:rPr>
        <w:t>4</w:t>
      </w:r>
      <w:r>
        <w:rPr>
          <w:spacing w:val="-2"/>
        </w:rPr>
        <w:t>）公司在金融行业已服务十多年，除对金融传统安防技术掌握外，也对金融行业的操件风险有深刻认知和应对风控</w:t>
      </w:r>
      <w:r>
        <w:rPr/>
        <w:t> </w:t>
      </w:r>
      <w:r>
        <w:rPr>
          <w:spacing w:val="-2"/>
        </w:rPr>
        <w:t>点的积叠，操作风险既来自外部也来自内部，传统安防系统并不能全覆盖，因此，公司已投入研发基于大数据的金融风控</w:t>
      </w:r>
    </w:p>
    <w:p>
      <w:pPr>
        <w:spacing w:after="0" w:line="451"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287" w:right="0"/>
        <w:jc w:val="left"/>
      </w:pPr>
      <w:r>
        <w:rPr>
          <w:spacing w:val="-2"/>
        </w:rPr>
        <w:t>系统产品，预计这些产品将会填补部分金融机构的空白并能广泛运用于金融行业，同时风险产品结合公司的主动安防综合</w:t>
      </w:r>
      <w:r>
        <w:rPr>
          <w:spacing w:val="-40"/>
        </w:rPr>
        <w:t> </w:t>
      </w:r>
      <w:r>
        <w:rPr>
          <w:spacing w:val="-40"/>
        </w:rPr>
      </w:r>
      <w:r>
        <w:rPr/>
        <w:t>联网管理平台将帮助金融行业有效的防范操作风险。</w:t>
      </w:r>
    </w:p>
    <w:p>
      <w:pPr>
        <w:pStyle w:val="BodyText"/>
        <w:spacing w:line="463" w:lineRule="auto" w:before="54"/>
        <w:ind w:left="1287" w:right="1132" w:firstLine="30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2016</w:t>
      </w:r>
      <w:r>
        <w:rPr>
          <w:spacing w:val="-2"/>
        </w:rPr>
        <w:t>年是公司向新行业开拓的元年，金融机构是安防系统在中国最早的用户，并且使用的产品和技术方面都是先</w:t>
      </w:r>
      <w:r>
        <w:rPr/>
        <w:t> </w:t>
      </w:r>
      <w:r>
        <w:rPr>
          <w:spacing w:val="-2"/>
        </w:rPr>
        <w:t>进的，公司长期在金融安防建设方面处于领先地位，对各种技术和产品的掌握已非常深入，加上从联网平台到硬件都有研</w:t>
      </w:r>
      <w:r>
        <w:rPr>
          <w:spacing w:val="-43"/>
        </w:rPr>
        <w:t> </w:t>
      </w:r>
      <w:r>
        <w:rPr>
          <w:spacing w:val="-43"/>
        </w:rPr>
      </w:r>
      <w:r>
        <w:rPr/>
        <w:t>发和定制能力，未来通过自主新技术、智能产品、业务拓展能力和对外的资本结合可以迅速的进入目标行业中。</w:t>
      </w:r>
    </w:p>
    <w:p>
      <w:pPr>
        <w:pStyle w:val="Heading3"/>
        <w:spacing w:line="240" w:lineRule="auto" w:before="161"/>
        <w:ind w:right="0"/>
        <w:jc w:val="left"/>
        <w:rPr>
          <w:b w:val="0"/>
          <w:bCs w:val="0"/>
        </w:rPr>
      </w:pPr>
      <w:r>
        <w:rPr>
          <w:rFonts w:ascii="Times New Roman" w:hAnsi="Times New Roman" w:cs="Times New Roman" w:eastAsia="Times New Roman" w:hint="default"/>
        </w:rPr>
        <w:t>4</w:t>
      </w:r>
      <w:r>
        <w:rPr/>
        <w:t>、公司可能面对的风险</w:t>
      </w:r>
      <w:r>
        <w:rPr>
          <w:b w:val="0"/>
          <w:bCs w:val="0"/>
        </w:rPr>
      </w:r>
    </w:p>
    <w:p>
      <w:pPr>
        <w:spacing w:line="240" w:lineRule="auto" w:before="1"/>
        <w:rPr>
          <w:rFonts w:ascii="宋体" w:hAnsi="宋体" w:cs="宋体" w:eastAsia="宋体" w:hint="default"/>
          <w:b/>
          <w:bCs/>
          <w:sz w:val="23"/>
          <w:szCs w:val="23"/>
        </w:rPr>
      </w:pPr>
    </w:p>
    <w:p>
      <w:pPr>
        <w:pStyle w:val="BodyText"/>
        <w:spacing w:line="547" w:lineRule="auto"/>
        <w:ind w:left="1494" w:right="0"/>
        <w:jc w:val="left"/>
      </w:pPr>
      <w:r>
        <w:rPr/>
        <w:t>（</w:t>
      </w:r>
      <w:r>
        <w:rPr>
          <w:rFonts w:ascii="Times New Roman" w:hAnsi="Times New Roman" w:cs="Times New Roman" w:eastAsia="Times New Roman" w:hint="default"/>
        </w:rPr>
        <w:t>1</w:t>
      </w:r>
      <w:r>
        <w:rPr/>
        <w:t>）生产经营的季节性风险 </w:t>
      </w:r>
      <w:r>
        <w:rPr>
          <w:spacing w:val="-2"/>
        </w:rPr>
        <w:t>受客户结构、业务特点等因素的影响，公司营业收入存在各季度分布不均衡、前低后高的特点，公司的经营业绩有明显</w:t>
      </w:r>
    </w:p>
    <w:p>
      <w:pPr>
        <w:pStyle w:val="BodyText"/>
        <w:spacing w:line="477" w:lineRule="auto" w:before="2"/>
        <w:ind w:left="1134" w:right="0"/>
        <w:jc w:val="left"/>
      </w:pPr>
      <w:r>
        <w:rPr>
          <w:spacing w:val="-2"/>
        </w:rPr>
        <w:t>的季节性波动，营业收入和利润主要集中于下半年实现。投资者不能简单地以公司季度或中期的财务数据来推算全年的经营</w:t>
      </w:r>
      <w:r>
        <w:rPr>
          <w:spacing w:val="-64"/>
        </w:rPr>
        <w:t> </w:t>
      </w:r>
      <w:r>
        <w:rPr>
          <w:spacing w:val="-64"/>
        </w:rPr>
      </w:r>
      <w:r>
        <w:rPr/>
        <w:t>成果、财务状况及现金流量。</w:t>
      </w:r>
    </w:p>
    <w:p>
      <w:pPr>
        <w:pStyle w:val="BodyText"/>
        <w:spacing w:line="544" w:lineRule="auto" w:before="154"/>
        <w:ind w:left="1494" w:right="0"/>
        <w:jc w:val="left"/>
      </w:pPr>
      <w:r>
        <w:rPr/>
        <w:t>（</w:t>
      </w:r>
      <w:r>
        <w:rPr>
          <w:rFonts w:ascii="Times New Roman" w:hAnsi="Times New Roman" w:cs="Times New Roman" w:eastAsia="Times New Roman" w:hint="default"/>
        </w:rPr>
        <w:t>2</w:t>
      </w:r>
      <w:r>
        <w:rPr/>
        <w:t>）技术开发风险 </w:t>
      </w:r>
      <w:r>
        <w:rPr>
          <w:spacing w:val="-2"/>
        </w:rPr>
        <w:t>近年来金融安防行业内技术进步和技术更新换代的速度越来越快，随着安防系统与银行业务的融合度不断提高，银行对</w:t>
      </w:r>
    </w:p>
    <w:p>
      <w:pPr>
        <w:pStyle w:val="BodyText"/>
        <w:spacing w:line="477" w:lineRule="auto" w:before="4"/>
        <w:ind w:left="1134" w:right="0"/>
        <w:jc w:val="left"/>
      </w:pPr>
      <w:r>
        <w:rPr>
          <w:spacing w:val="-2"/>
        </w:rPr>
        <w:t>安防产品的要求也趋于专业化和个性化，市场的需求将更难以把握。如果公司的技术和产品研发方向偏离市场需求，或者研</w:t>
      </w:r>
      <w:r>
        <w:rPr>
          <w:spacing w:val="-66"/>
        </w:rPr>
        <w:t> </w:t>
      </w:r>
      <w:r>
        <w:rPr>
          <w:spacing w:val="-66"/>
        </w:rPr>
      </w:r>
      <w:r>
        <w:rPr/>
        <w:t>发时机掌握不对，产品化速度减缓，将可能存在产品不能在新的环境下形成技术优势的风险。</w:t>
      </w:r>
    </w:p>
    <w:p>
      <w:pPr>
        <w:pStyle w:val="BodyText"/>
        <w:spacing w:line="544" w:lineRule="auto" w:before="155"/>
        <w:ind w:left="1494" w:right="0"/>
        <w:jc w:val="left"/>
      </w:pPr>
      <w:r>
        <w:rPr/>
        <w:t>（</w:t>
      </w:r>
      <w:r>
        <w:rPr>
          <w:rFonts w:ascii="Times New Roman" w:hAnsi="Times New Roman" w:cs="Times New Roman" w:eastAsia="Times New Roman" w:hint="default"/>
        </w:rPr>
        <w:t>3</w:t>
      </w:r>
      <w:r>
        <w:rPr/>
        <w:t>）市场竞争加剧风险 </w:t>
      </w:r>
      <w:r>
        <w:rPr>
          <w:spacing w:val="-2"/>
        </w:rPr>
        <w:t>中国金融业正处于扩张期，对于安全防范的要求不断提高，金融安防行业进入快速发展阶段。随着金融安防监控联网工</w:t>
      </w:r>
    </w:p>
    <w:p>
      <w:pPr>
        <w:pStyle w:val="BodyText"/>
        <w:spacing w:line="451" w:lineRule="auto" w:before="4"/>
        <w:ind w:left="1134" w:right="0"/>
        <w:jc w:val="left"/>
      </w:pPr>
      <w:r>
        <w:rPr>
          <w:spacing w:val="-2"/>
        </w:rPr>
        <w:t>程建设的规模化，部分</w:t>
      </w:r>
      <w:r>
        <w:rPr>
          <w:rFonts w:ascii="Times New Roman" w:hAnsi="Times New Roman" w:cs="Times New Roman" w:eastAsia="Times New Roman" w:hint="default"/>
          <w:spacing w:val="-2"/>
        </w:rPr>
        <w:t>IT</w:t>
      </w:r>
      <w:r>
        <w:rPr>
          <w:spacing w:val="-2"/>
        </w:rPr>
        <w:t>企业开始涉足安防领域，业内企业数量不断增加，同时设备产品同质化，行业利润率受到挤压，市</w:t>
      </w:r>
      <w:r>
        <w:rPr>
          <w:spacing w:val="-55"/>
        </w:rPr>
        <w:t> </w:t>
      </w:r>
      <w:r>
        <w:rPr>
          <w:spacing w:val="-55"/>
        </w:rPr>
      </w:r>
      <w:r>
        <w:rPr/>
        <w:t>场竞争日趋激烈。</w:t>
      </w:r>
    </w:p>
    <w:p>
      <w:pPr>
        <w:spacing w:line="240" w:lineRule="auto" w:before="4"/>
        <w:rPr>
          <w:rFonts w:ascii="宋体" w:hAnsi="宋体" w:cs="宋体" w:eastAsia="宋体" w:hint="default"/>
          <w:sz w:val="13"/>
          <w:szCs w:val="13"/>
        </w:rPr>
      </w:pPr>
    </w:p>
    <w:p>
      <w:pPr>
        <w:pStyle w:val="BodyText"/>
        <w:spacing w:line="240" w:lineRule="auto"/>
        <w:ind w:left="1494" w:right="0"/>
        <w:jc w:val="left"/>
      </w:pPr>
      <w:r>
        <w:rPr/>
        <w:t>受上述市场竞争加剧风险影响，公司利润的增长速度可能会放缓，经营业绩存在不能保持持续增长的风险。</w:t>
      </w:r>
    </w:p>
    <w:p>
      <w:pPr>
        <w:spacing w:line="240" w:lineRule="auto" w:before="6"/>
        <w:rPr>
          <w:rFonts w:ascii="宋体" w:hAnsi="宋体" w:cs="宋体" w:eastAsia="宋体" w:hint="default"/>
          <w:sz w:val="25"/>
          <w:szCs w:val="25"/>
        </w:rPr>
      </w:pPr>
    </w:p>
    <w:p>
      <w:pPr>
        <w:pStyle w:val="BodyText"/>
        <w:spacing w:line="544" w:lineRule="auto"/>
        <w:ind w:left="1493" w:right="0"/>
        <w:jc w:val="left"/>
      </w:pPr>
      <w:r>
        <w:rPr/>
        <w:t>（</w:t>
      </w:r>
      <w:r>
        <w:rPr>
          <w:rFonts w:ascii="Times New Roman" w:hAnsi="Times New Roman" w:cs="Times New Roman" w:eastAsia="Times New Roman" w:hint="default"/>
        </w:rPr>
        <w:t>4</w:t>
      </w:r>
      <w:r>
        <w:rPr/>
        <w:t>）对单一银行业金融机构行业应用风险 </w:t>
      </w:r>
      <w:r>
        <w:rPr>
          <w:spacing w:val="-2"/>
        </w:rPr>
        <w:t>公司业务主要来自银行业金融机构。虽然受益于银行安防联网建设和自助银行的安防需求扩张，公司的盈利能力和竞争</w:t>
      </w:r>
    </w:p>
    <w:p>
      <w:pPr>
        <w:pStyle w:val="BodyText"/>
        <w:spacing w:line="477" w:lineRule="auto" w:before="4"/>
        <w:ind w:right="0"/>
        <w:jc w:val="left"/>
      </w:pPr>
      <w:r>
        <w:rPr>
          <w:spacing w:val="-2"/>
        </w:rPr>
        <w:t>实力获得了较大的提升，但如果未来宏观经济或金融环境发生不利变化，导致银行业金融机构缩减安防支出，公司将面临市</w:t>
      </w:r>
      <w:r>
        <w:rPr>
          <w:spacing w:val="-66"/>
        </w:rPr>
        <w:t> </w:t>
      </w:r>
      <w:r>
        <w:rPr>
          <w:spacing w:val="-66"/>
        </w:rPr>
      </w:r>
      <w:r>
        <w:rPr/>
        <w:t>场萎缩的风险。</w:t>
      </w:r>
    </w:p>
    <w:p>
      <w:pPr>
        <w:pStyle w:val="BodyText"/>
        <w:spacing w:line="547" w:lineRule="auto" w:before="154"/>
        <w:ind w:left="1494" w:right="1032"/>
        <w:jc w:val="left"/>
      </w:pPr>
      <w:r>
        <w:rPr/>
        <w:t>（</w:t>
      </w:r>
      <w:r>
        <w:rPr>
          <w:rFonts w:ascii="Times New Roman" w:hAnsi="Times New Roman" w:cs="Times New Roman" w:eastAsia="Times New Roman" w:hint="default"/>
        </w:rPr>
        <w:t>5</w:t>
      </w:r>
      <w:r>
        <w:rPr/>
        <w:t>）经营管理风险 随着公司的发展，公司资产规模、经营规模、业务规模、人员规模都将不断扩张，在经营管理、资源整合、市场开拓、</w:t>
      </w:r>
    </w:p>
    <w:p>
      <w:pPr>
        <w:pStyle w:val="BodyText"/>
        <w:spacing w:line="477" w:lineRule="auto" w:before="2"/>
        <w:ind w:right="0"/>
        <w:jc w:val="left"/>
      </w:pPr>
      <w:r>
        <w:rPr>
          <w:spacing w:val="-2"/>
        </w:rPr>
        <w:t>统筹管理等方面对公司的管理层提出更高了的要求。如公司不能有效地进一步提升管理标准及理念、完善管理流程和内部控</w:t>
      </w:r>
      <w:r>
        <w:rPr>
          <w:spacing w:val="-64"/>
        </w:rPr>
        <w:t> </w:t>
      </w:r>
      <w:r>
        <w:rPr>
          <w:spacing w:val="-64"/>
        </w:rPr>
      </w:r>
      <w:r>
        <w:rPr/>
        <w:t>制制度，将会对公司的整体运营带来一定风险。</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1493" w:right="0"/>
        <w:jc w:val="left"/>
      </w:pPr>
      <w:r>
        <w:rPr/>
        <w:t>上述计划并不代表公司对</w:t>
      </w:r>
      <w:r>
        <w:rPr>
          <w:rFonts w:ascii="Times New Roman" w:hAnsi="Times New Roman" w:cs="Times New Roman" w:eastAsia="Times New Roman" w:hint="default"/>
        </w:rPr>
        <w:t>2016</w:t>
      </w:r>
      <w:r>
        <w:rPr/>
        <w:t>年度的盈利预测，不构成公司对投资者的实质承诺，请投资者注意投资风险。</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222"/>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240" w:lineRule="auto" w:before="10"/>
        <w:rPr>
          <w:rFonts w:ascii="宋体" w:hAnsi="宋体" w:cs="宋体" w:eastAsia="宋体" w:hint="default"/>
          <w:b/>
          <w:bCs/>
          <w:sz w:val="44"/>
          <w:szCs w:val="44"/>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报告期内普通股利润分配政策，特别是现金分红政策的制定、执行或调整情况</w:t>
      </w:r>
    </w:p>
    <w:p>
      <w:pPr>
        <w:spacing w:line="240" w:lineRule="auto" w:before="10"/>
        <w:rPr>
          <w:rFonts w:ascii="宋体" w:hAnsi="宋体" w:cs="宋体" w:eastAsia="宋体" w:hint="default"/>
          <w:sz w:val="20"/>
          <w:szCs w:val="20"/>
        </w:rPr>
      </w:pPr>
    </w:p>
    <w:p>
      <w:pPr>
        <w:pStyle w:val="BodyText"/>
        <w:spacing w:line="465"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、《公司章程》第一百六十一条明确规定了公司进行利润分配的原则、形式、条件以及利润分配政策的决策机制和审批程 </w:t>
      </w:r>
      <w:r>
        <w:rPr>
          <w:spacing w:val="-2"/>
        </w:rPr>
        <w:t>序等，符合中国证监会等相关监管机构对于上市公司股利分配政策的最新要求，分红标准和比例明确、清晰，充分维护了全</w:t>
      </w:r>
      <w:r>
        <w:rPr>
          <w:spacing w:val="-66"/>
        </w:rPr>
        <w:t> </w:t>
      </w:r>
      <w:r>
        <w:rPr>
          <w:spacing w:val="-66"/>
        </w:rPr>
      </w:r>
      <w:r>
        <w:rPr/>
        <w:t>体股东的合法权益。 </w:t>
      </w:r>
      <w:r>
        <w:rPr>
          <w:rFonts w:ascii="Times New Roman" w:hAnsi="Times New Roman" w:cs="Times New Roman" w:eastAsia="Times New Roman" w:hint="default"/>
          <w:spacing w:val="-2"/>
        </w:rPr>
        <w:t>2</w:t>
      </w:r>
      <w:r>
        <w:rPr>
          <w:spacing w:val="-2"/>
        </w:rPr>
        <w:t>、报告期内，公司严格按照《公司章程》相关利润分配政策和审议程序实施利润分配方案，分红标准和分红比例明确清晰，</w:t>
      </w:r>
      <w:r>
        <w:rPr>
          <w:spacing w:val="-63"/>
        </w:rPr>
        <w:t> </w:t>
      </w:r>
      <w:r>
        <w:rPr>
          <w:spacing w:val="-63"/>
        </w:rPr>
      </w:r>
      <w:r>
        <w:rPr>
          <w:spacing w:val="-2"/>
        </w:rPr>
        <w:t>相关的决策程序和机制完备，相关的议案经董事会、监事会、股东大会审议，并由独立董事发表独立意见，审议通过后在规</w:t>
      </w:r>
      <w:r>
        <w:rPr>
          <w:spacing w:val="-66"/>
        </w:rPr>
        <w:t> </w:t>
      </w:r>
      <w:r>
        <w:rPr>
          <w:spacing w:val="-66"/>
        </w:rPr>
      </w:r>
      <w:r>
        <w:rPr/>
        <w:t>定时间内进行实施，切实保证了全体股东的利益。 </w:t>
      </w:r>
      <w:r>
        <w:rPr>
          <w:rFonts w:ascii="Times New Roman" w:hAnsi="Times New Roman" w:cs="Times New Roman" w:eastAsia="Times New Roman" w:hint="default"/>
        </w:rPr>
        <w:t>3</w:t>
      </w:r>
      <w:r>
        <w:rPr/>
        <w:t>、经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日召开的公司</w:t>
      </w:r>
      <w:r>
        <w:rPr>
          <w:rFonts w:ascii="Times New Roman" w:hAnsi="Times New Roman" w:cs="Times New Roman" w:eastAsia="Times New Roman" w:hint="default"/>
        </w:rPr>
        <w:t>2014</w:t>
      </w:r>
      <w:r>
        <w:rPr/>
        <w:t>年年度股东大会审议批准，公司</w:t>
      </w:r>
      <w:r>
        <w:rPr>
          <w:rFonts w:ascii="Times New Roman" w:hAnsi="Times New Roman" w:cs="Times New Roman" w:eastAsia="Times New Roman" w:hint="default"/>
        </w:rPr>
        <w:t>2014</w:t>
      </w:r>
      <w:r>
        <w:rPr/>
        <w:t>年度利润分配的方案为：以截止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 </w:t>
      </w:r>
      <w:r>
        <w:rPr>
          <w:spacing w:val="-2"/>
        </w:rPr>
        <w:t>司总股本</w:t>
      </w:r>
      <w:r>
        <w:rPr>
          <w:rFonts w:ascii="Times New Roman" w:hAnsi="Times New Roman" w:cs="Times New Roman" w:eastAsia="Times New Roman" w:hint="default"/>
          <w:spacing w:val="-2"/>
        </w:rPr>
        <w:t>60,000,000.00</w:t>
      </w:r>
      <w:r>
        <w:rPr>
          <w:spacing w:val="-2"/>
        </w:rPr>
        <w:t>股为基数，向全体股东按每</w:t>
      </w:r>
      <w:r>
        <w:rPr>
          <w:rFonts w:ascii="Times New Roman" w:hAnsi="Times New Roman" w:cs="Times New Roman" w:eastAsia="Times New Roman" w:hint="default"/>
          <w:spacing w:val="-2"/>
        </w:rPr>
        <w:t>10</w:t>
      </w:r>
      <w:r>
        <w:rPr>
          <w:spacing w:val="-2"/>
        </w:rPr>
        <w:t>股派发现金</w:t>
      </w:r>
      <w:r>
        <w:rPr>
          <w:rFonts w:ascii="Times New Roman" w:hAnsi="Times New Roman" w:cs="Times New Roman" w:eastAsia="Times New Roman" w:hint="default"/>
          <w:spacing w:val="-2"/>
        </w:rPr>
        <w:t>2</w:t>
      </w:r>
      <w:r>
        <w:rPr>
          <w:spacing w:val="-2"/>
        </w:rPr>
        <w:t>元（含税），共分配现金股利</w:t>
      </w:r>
      <w:r>
        <w:rPr>
          <w:rFonts w:ascii="Times New Roman" w:hAnsi="Times New Roman" w:cs="Times New Roman" w:eastAsia="Times New Roman" w:hint="default"/>
          <w:spacing w:val="-2"/>
        </w:rPr>
        <w:t>12,000,000.00</w:t>
      </w:r>
      <w:r>
        <w:rPr>
          <w:spacing w:val="-2"/>
        </w:rPr>
        <w:t>元。该方案已于</w:t>
      </w:r>
      <w:r>
        <w:rPr>
          <w:spacing w:val="-40"/>
        </w:rPr>
        <w:t> </w:t>
      </w:r>
      <w:r>
        <w:rPr>
          <w:spacing w:val="-40"/>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日实施完毕。</w:t>
      </w:r>
    </w:p>
    <w:p>
      <w:pPr>
        <w:spacing w:line="240" w:lineRule="auto" w:before="6"/>
        <w:rPr>
          <w:rFonts w:ascii="宋体" w:hAnsi="宋体" w:cs="宋体" w:eastAsia="宋体" w:hint="default"/>
          <w:sz w:val="19"/>
          <w:szCs w:val="19"/>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公司报告期利润分配预案及资本公积金转增股本预案与公司章程和分红管理办法等的相关规定一致</w:t>
      </w:r>
    </w:p>
    <w:p>
      <w:pPr>
        <w:spacing w:line="240" w:lineRule="auto" w:before="12"/>
        <w:rPr>
          <w:rFonts w:ascii="宋体" w:hAnsi="宋体" w:cs="宋体" w:eastAsia="宋体" w:hint="default"/>
          <w:sz w:val="20"/>
          <w:szCs w:val="20"/>
        </w:rPr>
      </w:pPr>
    </w:p>
    <w:p>
      <w:pPr>
        <w:pStyle w:val="BodyText"/>
        <w:spacing w:line="504" w:lineRule="auto"/>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2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80,688,500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12,103,275.00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182,631,217.60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4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经天健会计师事务所（特殊普通合伙）审计，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年度实现归属于上市公司股东的净利润 </w:t>
            </w:r>
            <w:r>
              <w:rPr>
                <w:rFonts w:ascii="Times New Roman" w:hAnsi="Times New Roman" w:cs="Times New Roman" w:eastAsia="Times New Roman" w:hint="default"/>
                <w:sz w:val="18"/>
                <w:szCs w:val="18"/>
              </w:rPr>
              <w:t>65,883,942.02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元，归属于 母公司普通股股东净利润为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64,648,377.07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元。根据公司章程有关规定，按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年归属于母公司普通股股东净利润的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提取法定盈余公积金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6,464,837.71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元，年初未分配利润为</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136,447,678.24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年年度股东大会审议批准向全体股东派</w:t>
            </w:r>
          </w:p>
          <w:p>
            <w:pPr>
              <w:pStyle w:val="TableParagraph"/>
              <w:spacing w:line="338" w:lineRule="auto" w:before="64"/>
              <w:ind w:left="382" w:right="20" w:hanging="360"/>
              <w:jc w:val="left"/>
              <w:rPr>
                <w:rFonts w:ascii="宋体" w:hAnsi="宋体" w:cs="宋体" w:eastAsia="宋体" w:hint="default"/>
                <w:sz w:val="18"/>
                <w:szCs w:val="18"/>
              </w:rPr>
            </w:pPr>
            <w:r>
              <w:rPr>
                <w:rFonts w:ascii="宋体" w:hAnsi="宋体" w:cs="宋体" w:eastAsia="宋体" w:hint="default"/>
                <w:sz w:val="18"/>
                <w:szCs w:val="18"/>
              </w:rPr>
              <w:t>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日公司可供分配利润为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182,631,217.60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为回报广大股东，使其与公司共享发展成果，同时综合考量公司未来业务的持续发展，</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年年度公司利润分配及资</w:t>
            </w:r>
          </w:p>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本公积转增股本预案如下：</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80,688,500.00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合计现金分红总额为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12,103,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75.00 </w:t>
            </w: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股</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同时以资本公积金向全体股东每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pacing w:val="-15"/>
                <w:sz w:val="18"/>
                <w:szCs w:val="18"/>
              </w:rPr>
              <w:t>，</w:t>
            </w:r>
            <w:r>
              <w:rPr>
                <w:rFonts w:ascii="宋体" w:hAnsi="宋体" w:cs="宋体" w:eastAsia="宋体" w:hint="default"/>
                <w:sz w:val="18"/>
                <w:szCs w:val="18"/>
              </w:rPr>
              <w:t>共</w:t>
            </w:r>
          </w:p>
          <w:p>
            <w:pPr>
              <w:pStyle w:val="TableParagraph"/>
              <w:spacing w:line="338" w:lineRule="auto" w:before="64"/>
              <w:ind w:left="382" w:right="21" w:hanging="360"/>
              <w:jc w:val="left"/>
              <w:rPr>
                <w:rFonts w:ascii="宋体" w:hAnsi="宋体" w:cs="宋体" w:eastAsia="宋体" w:hint="default"/>
                <w:sz w:val="18"/>
                <w:szCs w:val="18"/>
              </w:rPr>
            </w:pPr>
            <w:r>
              <w:rPr>
                <w:rFonts w:ascii="宋体" w:hAnsi="宋体" w:cs="宋体" w:eastAsia="宋体" w:hint="default"/>
                <w:sz w:val="18"/>
                <w:szCs w:val="18"/>
              </w:rPr>
              <w:t>计送转股本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121,032,750.00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股，送转后公司总股本将增加至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201,721,250.00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w:t>
            </w:r>
            <w:r>
              <w:rPr>
                <w:rFonts w:ascii="宋体" w:hAnsi="宋体" w:cs="宋体" w:eastAsia="宋体" w:hint="default"/>
                <w:spacing w:val="-1"/>
                <w:sz w:val="18"/>
                <w:szCs w:val="18"/>
              </w:rPr>
              <w:t>上述利润分配预案披露后至权益分派实施公告确定的股权登记日前公司股本发生变动的，将按照分配总额不变的原则</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对各分配比例进行调整。</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10"/>
        <w:rPr>
          <w:rFonts w:ascii="宋体" w:hAnsi="宋体" w:cs="宋体" w:eastAsia="宋体" w:hint="default"/>
          <w:sz w:val="19"/>
          <w:szCs w:val="19"/>
        </w:rPr>
      </w:pPr>
    </w:p>
    <w:p>
      <w:pPr>
        <w:pStyle w:val="BodyText"/>
        <w:spacing w:line="451" w:lineRule="auto"/>
        <w:ind w:right="112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日召开的公司</w:t>
      </w:r>
      <w:r>
        <w:rPr>
          <w:rFonts w:ascii="Times New Roman" w:hAnsi="Times New Roman" w:cs="Times New Roman" w:eastAsia="Times New Roman" w:hint="default"/>
        </w:rPr>
        <w:t>2013</w:t>
      </w:r>
      <w:r>
        <w:rPr/>
        <w:t>年年度股东大会审议批准，公司</w:t>
      </w:r>
      <w:r>
        <w:rPr>
          <w:rFonts w:ascii="Times New Roman" w:hAnsi="Times New Roman" w:cs="Times New Roman" w:eastAsia="Times New Roman" w:hint="default"/>
        </w:rPr>
        <w:t>2013</w:t>
      </w:r>
      <w:r>
        <w:rPr/>
        <w:t>年度利润分配的方案为：以截止</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60,000,000.00</w:t>
      </w:r>
      <w:r>
        <w:rPr/>
        <w:t>股为基数，向全体股东按每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2</w:t>
      </w:r>
      <w:r>
        <w:rPr/>
        <w:t>元（含税），共分配现金股利</w:t>
      </w:r>
      <w:r>
        <w:rPr>
          <w:rFonts w:ascii="Times New Roman" w:hAnsi="Times New Roman" w:cs="Times New Roman" w:eastAsia="Times New Roman" w:hint="default"/>
        </w:rPr>
        <w:t>12,000,000.00 </w:t>
      </w:r>
      <w:r>
        <w:rPr/>
        <w:t>元。该方案已于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日实施完毕。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日召开的公司</w:t>
      </w:r>
      <w:r>
        <w:rPr>
          <w:rFonts w:ascii="Times New Roman" w:hAnsi="Times New Roman" w:cs="Times New Roman" w:eastAsia="Times New Roman" w:hint="default"/>
        </w:rPr>
        <w:t>2014</w:t>
      </w:r>
      <w:r>
        <w:rPr/>
        <w:t>年年度股东大会审议批准，公司</w:t>
      </w:r>
      <w:r>
        <w:rPr>
          <w:rFonts w:ascii="Times New Roman" w:hAnsi="Times New Roman" w:cs="Times New Roman" w:eastAsia="Times New Roman" w:hint="default"/>
        </w:rPr>
        <w:t>2014</w:t>
      </w:r>
      <w:r>
        <w:rPr/>
        <w:t>年度利润分配的方案为：以截止</w:t>
      </w:r>
      <w:r>
        <w:rPr>
          <w:rFonts w:ascii="Times New Roman" w:hAnsi="Times New Roman" w:cs="Times New Roman" w:eastAsia="Times New Roman" w:hint="default"/>
        </w:rPr>
        <w:t>2014</w:t>
      </w:r>
      <w:r>
        <w:rPr/>
        <w:t>年</w:t>
      </w:r>
    </w:p>
    <w:p>
      <w:pPr>
        <w:pStyle w:val="BodyText"/>
        <w:spacing w:line="453" w:lineRule="auto" w:before="43"/>
        <w:ind w:right="1033"/>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60,000,000.00</w:t>
      </w:r>
      <w:r>
        <w:rPr/>
        <w:t>股为基数，向全体股东按每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2</w:t>
      </w:r>
      <w:r>
        <w:rPr/>
        <w:t>元（含税），共分配现金股利</w:t>
      </w:r>
      <w:r>
        <w:rPr>
          <w:rFonts w:ascii="Times New Roman" w:hAnsi="Times New Roman" w:cs="Times New Roman" w:eastAsia="Times New Roman" w:hint="default"/>
        </w:rPr>
        <w:t>12,000,000.00</w:t>
      </w:r>
      <w:r>
        <w:rPr/>
        <w:t>元。 该方案已于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日实施完毕。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年度，经</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日召开的第二届董事会第十六次会议审议通过，公司</w:t>
      </w:r>
      <w:r>
        <w:rPr>
          <w:rFonts w:ascii="Times New Roman" w:hAnsi="Times New Roman" w:cs="Times New Roman" w:eastAsia="Times New Roman" w:hint="default"/>
          <w:spacing w:val="-2"/>
        </w:rPr>
        <w:t>2015</w:t>
      </w:r>
      <w:r>
        <w:rPr>
          <w:spacing w:val="-2"/>
        </w:rPr>
        <w:t>年度利润分配及资本公积转增股本的</w:t>
      </w:r>
      <w:r>
        <w:rPr>
          <w:spacing w:val="-51"/>
        </w:rPr>
        <w:t> </w:t>
      </w:r>
      <w:r>
        <w:rPr/>
        <w:t>预案为：以截至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80,688,500.00</w:t>
      </w:r>
      <w:r>
        <w:rPr/>
        <w:t>股为基数，向全体股东按每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元（含税），合 计现金分红总额为</w:t>
      </w:r>
      <w:r>
        <w:rPr>
          <w:rFonts w:ascii="Times New Roman" w:hAnsi="Times New Roman" w:cs="Times New Roman" w:eastAsia="Times New Roman" w:hint="default"/>
        </w:rPr>
        <w:t>12,103,275.00</w:t>
      </w:r>
      <w:r>
        <w:rPr/>
        <w:t>元（含税），送红股</w:t>
      </w:r>
      <w:r>
        <w:rPr>
          <w:rFonts w:ascii="Times New Roman" w:hAnsi="Times New Roman" w:cs="Times New Roman" w:eastAsia="Times New Roman" w:hint="default"/>
        </w:rPr>
        <w:t>5</w:t>
      </w:r>
      <w:r>
        <w:rPr/>
        <w:t>股（含税），同时以资本公积金向全体股东每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股，共计送 转股本</w:t>
      </w:r>
      <w:r>
        <w:rPr>
          <w:rFonts w:ascii="Times New Roman" w:hAnsi="Times New Roman" w:cs="Times New Roman" w:eastAsia="Times New Roman" w:hint="default"/>
        </w:rPr>
        <w:t>121,032,750.00</w:t>
      </w:r>
      <w:r>
        <w:rPr/>
        <w:t>股，送转后公司总股本将增加至</w:t>
      </w:r>
      <w:r>
        <w:rPr>
          <w:rFonts w:ascii="Times New Roman" w:hAnsi="Times New Roman" w:cs="Times New Roman" w:eastAsia="Times New Roman" w:hint="default"/>
        </w:rPr>
        <w:t>201,721,250.00</w:t>
      </w:r>
      <w:r>
        <w:rPr/>
        <w:t>股。 </w:t>
      </w:r>
      <w:r>
        <w:rPr>
          <w:spacing w:val="-2"/>
        </w:rPr>
        <w:t>前述利润分配预案披露后至权益分派实施公告确定的股权登记日前公司股本发生变动的，将按照分配总额不变的原则对各分</w:t>
      </w:r>
      <w:r>
        <w:rPr>
          <w:spacing w:val="-64"/>
        </w:rPr>
        <w:t> </w:t>
      </w:r>
      <w:r>
        <w:rPr>
          <w:spacing w:val="-64"/>
        </w:rPr>
      </w:r>
      <w:r>
        <w:rPr/>
        <w:t>配比例进行调整。</w:t>
      </w:r>
    </w:p>
    <w:p>
      <w:pPr>
        <w:spacing w:after="0" w:line="453"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44"/>
        <w:ind w:right="0"/>
        <w:jc w:val="left"/>
      </w:pPr>
      <w:r>
        <w:rPr/>
        <w:t>公司近三年（包括本报告期）普通股现金分红情况表</w:t>
      </w:r>
    </w:p>
    <w:p>
      <w:pPr>
        <w:spacing w:line="240" w:lineRule="auto" w:before="7"/>
        <w:rPr>
          <w:rFonts w:ascii="宋体" w:hAnsi="宋体" w:cs="宋体" w:eastAsia="宋体" w:hint="default"/>
          <w:sz w:val="11"/>
          <w:szCs w:val="11"/>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12,103,275.00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65,883,942.02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57,054,537.02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52,043,114.98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公司报告期内盈利且母公司可供普通股股东分配利润为正但未提出普通股现金红利分配预案</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0"/>
        <w:rPr>
          <w:rFonts w:ascii="宋体" w:hAnsi="宋体" w:cs="宋体" w:eastAsia="宋体" w:hint="default"/>
          <w:b/>
          <w:bCs/>
          <w:sz w:val="24"/>
          <w:szCs w:val="24"/>
        </w:rPr>
      </w:pPr>
    </w:p>
    <w:p>
      <w:pPr>
        <w:pStyle w:val="Heading3"/>
        <w:spacing w:line="386" w:lineRule="auto" w:before="163"/>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25"/>
        <w:gridCol w:w="1137"/>
        <w:gridCol w:w="1126"/>
        <w:gridCol w:w="1127"/>
        <w:gridCol w:w="1126"/>
        <w:gridCol w:w="1121"/>
        <w:gridCol w:w="110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546"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00" w:lineRule="auto"/>
              <w:ind w:left="28" w:right="89"/>
              <w:jc w:val="both"/>
              <w:rPr>
                <w:rFonts w:ascii="宋体" w:hAnsi="宋体" w:cs="宋体" w:eastAsia="宋体" w:hint="default"/>
                <w:sz w:val="18"/>
                <w:szCs w:val="18"/>
              </w:rPr>
            </w:pPr>
            <w:r>
              <w:rPr>
                <w:rFonts w:ascii="宋体" w:hAnsi="宋体" w:cs="宋体" w:eastAsia="宋体" w:hint="default"/>
                <w:sz w:val="18"/>
                <w:szCs w:val="18"/>
              </w:rPr>
              <w:t>雷洪文</w:t>
            </w:r>
            <w:r>
              <w:rPr>
                <w:rFonts w:ascii="Times New Roman" w:hAnsi="Times New Roman" w:cs="Times New Roman" w:eastAsia="Times New Roman" w:hint="default"/>
                <w:sz w:val="18"/>
                <w:szCs w:val="18"/>
              </w:rPr>
              <w:t>;</w:t>
            </w:r>
            <w:r>
              <w:rPr>
                <w:rFonts w:ascii="宋体" w:hAnsi="宋体" w:cs="宋体" w:eastAsia="宋体" w:hint="default"/>
                <w:sz w:val="18"/>
                <w:szCs w:val="18"/>
              </w:rPr>
              <w:t>袁小 康</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龙中 胜</w:t>
            </w:r>
            <w:r>
              <w:rPr>
                <w:rFonts w:ascii="Times New Roman" w:hAnsi="Times New Roman" w:cs="Times New Roman" w:eastAsia="Times New Roman" w:hint="default"/>
                <w:sz w:val="18"/>
                <w:szCs w:val="18"/>
              </w:rPr>
              <w:t>;</w:t>
            </w:r>
            <w:r>
              <w:rPr>
                <w:rFonts w:ascii="宋体" w:hAnsi="宋体" w:cs="宋体" w:eastAsia="宋体" w:hint="default"/>
                <w:sz w:val="18"/>
                <w:szCs w:val="18"/>
              </w:rPr>
              <w:t>段汉文</w:t>
            </w:r>
            <w:r>
              <w:rPr>
                <w:rFonts w:ascii="Times New Roman" w:hAnsi="Times New Roman" w:cs="Times New Roman" w:eastAsia="Times New Roman" w:hint="default"/>
                <w:sz w:val="18"/>
                <w:szCs w:val="18"/>
              </w:rPr>
              <w:t>;</w:t>
            </w:r>
            <w:r>
              <w:rPr>
                <w:rFonts w:ascii="宋体" w:hAnsi="宋体" w:cs="宋体" w:eastAsia="宋体" w:hint="default"/>
                <w:sz w:val="18"/>
                <w:szCs w:val="18"/>
              </w:rPr>
              <w:t>龙 罡</w:t>
            </w:r>
            <w:r>
              <w:rPr>
                <w:rFonts w:ascii="Times New Roman" w:hAnsi="Times New Roman" w:cs="Times New Roman" w:eastAsia="Times New Roman" w:hint="default"/>
                <w:sz w:val="18"/>
                <w:szCs w:val="18"/>
              </w:rPr>
              <w:t>;</w:t>
            </w:r>
            <w:r>
              <w:rPr>
                <w:rFonts w:ascii="宋体" w:hAnsi="宋体" w:cs="宋体" w:eastAsia="宋体" w:hint="default"/>
                <w:sz w:val="18"/>
                <w:szCs w:val="18"/>
              </w:rPr>
              <w:t>郑盛泰</w:t>
            </w:r>
            <w:r>
              <w:rPr>
                <w:rFonts w:ascii="Times New Roman" w:hAnsi="Times New Roman" w:cs="Times New Roman" w:eastAsia="Times New Roman" w:hint="default"/>
                <w:sz w:val="18"/>
                <w:szCs w:val="18"/>
              </w:rPr>
              <w:t>;</w:t>
            </w:r>
            <w:r>
              <w:rPr>
                <w:rFonts w:ascii="宋体" w:hAnsi="宋体" w:cs="宋体" w:eastAsia="宋体" w:hint="default"/>
                <w:sz w:val="18"/>
                <w:szCs w:val="18"/>
              </w:rPr>
              <w:t>高 传江</w:t>
            </w:r>
            <w:r>
              <w:rPr>
                <w:rFonts w:ascii="Times New Roman" w:hAnsi="Times New Roman" w:cs="Times New Roman" w:eastAsia="Times New Roman" w:hint="default"/>
                <w:sz w:val="18"/>
                <w:szCs w:val="18"/>
              </w:rPr>
              <w:t>;</w:t>
            </w: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张 忠民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2"/>
              <w:jc w:val="left"/>
              <w:rPr>
                <w:rFonts w:ascii="宋体" w:hAnsi="宋体" w:cs="宋体" w:eastAsia="宋体" w:hint="default"/>
                <w:sz w:val="18"/>
                <w:szCs w:val="18"/>
              </w:rPr>
            </w:pPr>
            <w:r>
              <w:rPr>
                <w:rFonts w:ascii="宋体" w:hAnsi="宋体" w:cs="宋体" w:eastAsia="宋体" w:hint="default"/>
                <w:sz w:val="18"/>
                <w:szCs w:val="18"/>
              </w:rPr>
              <w:t>直接或间接 持有公司股 份的董事、监 事、高级管理 人员雷洪文、 袁小康、徐 彪、龙中胜、 段汉文、龙 罡、郑盛泰、 高传江、陈 翩，持有公司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2015.04.24-20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16.04.24</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r>
        <w:trPr>
          <w:trHeight w:val="392"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545"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2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r>
                          <w:rPr>
                            <w:rFonts w:ascii="宋体" w:hAnsi="宋体" w:cs="宋体" w:eastAsia="宋体" w:hint="default"/>
                            <w:w w:val="99"/>
                            <w:sz w:val="18"/>
                            <w:szCs w:val="18"/>
                          </w:rPr>
                          <w:t> </w:t>
                        </w:r>
                        <w:r>
                          <w:rPr>
                            <w:rFonts w:ascii="宋体" w:hAnsi="宋体" w:cs="宋体" w:eastAsia="宋体" w:hint="default"/>
                            <w:sz w:val="18"/>
                            <w:szCs w:val="18"/>
                          </w:rPr>
                          <w:t>的股东张忠</w:t>
                        </w:r>
                        <w:r>
                          <w:rPr>
                            <w:rFonts w:ascii="宋体" w:hAnsi="宋体" w:cs="宋体" w:eastAsia="宋体" w:hint="default"/>
                            <w:w w:val="99"/>
                            <w:sz w:val="18"/>
                            <w:szCs w:val="18"/>
                          </w:rPr>
                          <w:t> </w:t>
                        </w:r>
                        <w:r>
                          <w:rPr>
                            <w:rFonts w:ascii="宋体" w:hAnsi="宋体" w:cs="宋体" w:eastAsia="宋体" w:hint="default"/>
                            <w:spacing w:val="-2"/>
                            <w:sz w:val="18"/>
                            <w:szCs w:val="18"/>
                          </w:rPr>
                          <w:t>民承诺：自公</w:t>
                        </w:r>
                        <w:r>
                          <w:rPr>
                            <w:rFonts w:ascii="宋体" w:hAnsi="宋体" w:cs="宋体" w:eastAsia="宋体" w:hint="default"/>
                            <w:w w:val="99"/>
                            <w:sz w:val="18"/>
                            <w:szCs w:val="18"/>
                          </w:rPr>
                          <w:t> </w:t>
                        </w:r>
                        <w:r>
                          <w:rPr>
                            <w:rFonts w:ascii="宋体" w:hAnsi="宋体" w:cs="宋体" w:eastAsia="宋体" w:hint="default"/>
                            <w:sz w:val="18"/>
                            <w:szCs w:val="18"/>
                          </w:rPr>
                          <w:t>司股票上市</w:t>
                        </w:r>
                        <w:r>
                          <w:rPr>
                            <w:rFonts w:ascii="宋体" w:hAnsi="宋体" w:cs="宋体" w:eastAsia="宋体" w:hint="default"/>
                            <w:w w:val="99"/>
                            <w:sz w:val="18"/>
                            <w:szCs w:val="18"/>
                          </w:rPr>
                          <w:t> </w:t>
                        </w:r>
                        <w:r>
                          <w:rPr>
                            <w:rFonts w:ascii="宋体" w:hAnsi="宋体" w:cs="宋体" w:eastAsia="宋体" w:hint="default"/>
                            <w:sz w:val="18"/>
                            <w:szCs w:val="18"/>
                          </w:rPr>
                          <w:t>之日起十二</w:t>
                        </w:r>
                        <w:r>
                          <w:rPr>
                            <w:rFonts w:ascii="宋体" w:hAnsi="宋体" w:cs="宋体" w:eastAsia="宋体" w:hint="default"/>
                            <w:w w:val="99"/>
                            <w:sz w:val="18"/>
                            <w:szCs w:val="18"/>
                          </w:rPr>
                          <w:t> </w:t>
                        </w:r>
                        <w:r>
                          <w:rPr>
                            <w:rFonts w:ascii="宋体" w:hAnsi="宋体" w:cs="宋体" w:eastAsia="宋体" w:hint="default"/>
                            <w:spacing w:val="-2"/>
                            <w:sz w:val="18"/>
                            <w:szCs w:val="18"/>
                          </w:rPr>
                          <w:t>个月内，本人</w:t>
                        </w:r>
                        <w:r>
                          <w:rPr>
                            <w:rFonts w:ascii="宋体" w:hAnsi="宋体" w:cs="宋体" w:eastAsia="宋体" w:hint="default"/>
                            <w:w w:val="99"/>
                            <w:sz w:val="18"/>
                            <w:szCs w:val="18"/>
                          </w:rPr>
                          <w:t> </w:t>
                        </w:r>
                        <w:r>
                          <w:rPr>
                            <w:rFonts w:ascii="宋体" w:hAnsi="宋体" w:cs="宋体" w:eastAsia="宋体" w:hint="default"/>
                            <w:sz w:val="18"/>
                            <w:szCs w:val="18"/>
                          </w:rPr>
                          <w:t>不转让或者</w:t>
                        </w:r>
                        <w:r>
                          <w:rPr>
                            <w:rFonts w:ascii="宋体" w:hAnsi="宋体" w:cs="宋体" w:eastAsia="宋体" w:hint="default"/>
                            <w:w w:val="99"/>
                            <w:sz w:val="18"/>
                            <w:szCs w:val="18"/>
                          </w:rPr>
                          <w:t> </w:t>
                        </w:r>
                        <w:r>
                          <w:rPr>
                            <w:rFonts w:ascii="宋体" w:hAnsi="宋体" w:cs="宋体" w:eastAsia="宋体" w:hint="default"/>
                            <w:sz w:val="18"/>
                            <w:szCs w:val="18"/>
                          </w:rPr>
                          <w:t>委托他人管</w:t>
                        </w:r>
                        <w:r>
                          <w:rPr>
                            <w:rFonts w:ascii="宋体" w:hAnsi="宋体" w:cs="宋体" w:eastAsia="宋体" w:hint="default"/>
                            <w:w w:val="99"/>
                            <w:sz w:val="18"/>
                            <w:szCs w:val="18"/>
                          </w:rPr>
                          <w:t> </w:t>
                        </w:r>
                        <w:r>
                          <w:rPr>
                            <w:rFonts w:ascii="宋体" w:hAnsi="宋体" w:cs="宋体" w:eastAsia="宋体" w:hint="default"/>
                            <w:sz w:val="18"/>
                            <w:szCs w:val="18"/>
                          </w:rPr>
                          <w:t>理本人持有</w:t>
                        </w:r>
                      </w:p>
                      <w:p>
                        <w:pPr>
                          <w:pStyle w:val="TableParagraph"/>
                          <w:spacing w:line="319"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（包括直接 或间接持有） 的公司公开 发行股票前 已发行的股 份，也不由公 司回购本人 持有的公司 公开发行股 票前已发行 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茅庆江</w:t>
                        </w:r>
                        <w:r>
                          <w:rPr>
                            <w:rFonts w:ascii="Times New Roman" w:hAnsi="Times New Roman" w:cs="Times New Roman" w:eastAsia="Times New Roman" w:hint="default"/>
                            <w:sz w:val="18"/>
                            <w:szCs w:val="18"/>
                          </w:rPr>
                          <w:t>;</w:t>
                        </w:r>
                        <w:r>
                          <w:rPr>
                            <w:rFonts w:ascii="宋体" w:hAnsi="宋体" w:cs="宋体" w:eastAsia="宋体" w:hint="default"/>
                            <w:sz w:val="18"/>
                            <w:szCs w:val="18"/>
                          </w:rPr>
                          <w:t>雷洪 文</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袁小 康</w:t>
                        </w:r>
                        <w:r>
                          <w:rPr>
                            <w:rFonts w:ascii="Times New Roman" w:hAnsi="Times New Roman" w:cs="Times New Roman" w:eastAsia="Times New Roman" w:hint="default"/>
                            <w:sz w:val="18"/>
                            <w:szCs w:val="18"/>
                          </w:rPr>
                          <w:t>;</w:t>
                        </w: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 文</w:t>
                        </w:r>
                        <w:r>
                          <w:rPr>
                            <w:rFonts w:ascii="Times New Roman" w:hAnsi="Times New Roman" w:cs="Times New Roman" w:eastAsia="Times New Roman" w:hint="default"/>
                            <w:sz w:val="18"/>
                            <w:szCs w:val="18"/>
                          </w:rPr>
                          <w:t>;</w:t>
                        </w:r>
                        <w:r>
                          <w:rPr>
                            <w:rFonts w:ascii="宋体" w:hAnsi="宋体" w:cs="宋体" w:eastAsia="宋体" w:hint="default"/>
                            <w:sz w:val="18"/>
                            <w:szCs w:val="18"/>
                          </w:rPr>
                          <w:t>高传江</w:t>
                        </w:r>
                        <w:r>
                          <w:rPr>
                            <w:rFonts w:ascii="Times New Roman" w:hAnsi="Times New Roman" w:cs="Times New Roman" w:eastAsia="Times New Roman" w:hint="default"/>
                            <w:sz w:val="18"/>
                            <w:szCs w:val="18"/>
                          </w:rPr>
                          <w:t>;</w:t>
                        </w:r>
                        <w:r>
                          <w:rPr>
                            <w:rFonts w:ascii="宋体" w:hAnsi="宋体" w:cs="宋体" w:eastAsia="宋体" w:hint="default"/>
                            <w:sz w:val="18"/>
                            <w:szCs w:val="18"/>
                          </w:rPr>
                          <w:t>龙 罡</w:t>
                        </w:r>
                        <w:r>
                          <w:rPr>
                            <w:rFonts w:ascii="Times New Roman" w:hAnsi="Times New Roman" w:cs="Times New Roman" w:eastAsia="Times New Roman" w:hint="default"/>
                            <w:sz w:val="18"/>
                            <w:szCs w:val="18"/>
                          </w:rPr>
                          <w:t>;</w:t>
                        </w:r>
                        <w:r>
                          <w:rPr>
                            <w:rFonts w:ascii="宋体" w:hAnsi="宋体" w:cs="宋体" w:eastAsia="宋体" w:hint="default"/>
                            <w:sz w:val="18"/>
                            <w:szCs w:val="18"/>
                          </w:rPr>
                          <w:t>龙中胜</w:t>
                        </w:r>
                        <w:r>
                          <w:rPr>
                            <w:rFonts w:ascii="Times New Roman" w:hAnsi="Times New Roman" w:cs="Times New Roman" w:eastAsia="Times New Roman" w:hint="default"/>
                            <w:sz w:val="18"/>
                            <w:szCs w:val="18"/>
                          </w:rPr>
                          <w:t>;</w:t>
                        </w:r>
                        <w:r>
                          <w:rPr>
                            <w:rFonts w:ascii="宋体" w:hAnsi="宋体" w:cs="宋体" w:eastAsia="宋体" w:hint="default"/>
                            <w:sz w:val="18"/>
                            <w:szCs w:val="18"/>
                          </w:rPr>
                          <w:t>茅 屏萍</w:t>
                        </w:r>
                        <w:r>
                          <w:rPr>
                            <w:rFonts w:ascii="Times New Roman" w:hAnsi="Times New Roman" w:cs="Times New Roman" w:eastAsia="Times New Roman" w:hint="default"/>
                            <w:sz w:val="18"/>
                            <w:szCs w:val="18"/>
                          </w:rPr>
                          <w:t>;</w:t>
                        </w:r>
                        <w:r>
                          <w:rPr>
                            <w:rFonts w:ascii="宋体" w:hAnsi="宋体" w:cs="宋体" w:eastAsia="宋体" w:hint="default"/>
                            <w:sz w:val="18"/>
                            <w:szCs w:val="18"/>
                          </w:rPr>
                          <w:t>郑盛泰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股份销售承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直接或间接 持有公司股 份的董事、监 事、高级管理 人员茅庆江、 雷洪文、袁小 康、徐彪、茅 屏萍、龙中 胜、段汉文、 龙罡、郑盛 泰、高传江、 陈翩承诺：本 人持有的公 司股份解禁 期满后，在本 人担任公司 董事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 级管理人员 期间，本人每 年转让持有 的公司股份 不超过本人 持有公司股 份总数的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陈翩，段汉 文，高传江， 龙罡和郑盛 泰是通过广 州市常森投 资咨询有限 责任公司间 接持有本公 司股份。同 时，所有董 </w:t>
                        </w:r>
                        <w:r>
                          <w:rPr>
                            <w:rFonts w:ascii="宋体" w:hAnsi="宋体" w:cs="宋体" w:eastAsia="宋体" w:hint="default"/>
                            <w:spacing w:val="-5"/>
                            <w:sz w:val="18"/>
                            <w:szCs w:val="18"/>
                          </w:rPr>
                          <w:t>事、监事和高</w:t>
                        </w:r>
                        <w:r>
                          <w:rPr>
                            <w:rFonts w:ascii="宋体" w:hAnsi="宋体" w:cs="宋体" w:eastAsia="宋体" w:hint="default"/>
                            <w:sz w:val="18"/>
                            <w:szCs w:val="18"/>
                          </w:rPr>
                          <w:t> 级管理人员 每年转让持 有的公司股 份不超过本 人持有公司 股份总数的 </w:t>
                        </w:r>
                        <w:r>
                          <w:rPr>
                            <w:rFonts w:ascii="Times New Roman" w:hAnsi="Times New Roman" w:cs="Times New Roman" w:eastAsia="Times New Roman" w:hint="default"/>
                            <w:spacing w:val="-13"/>
                            <w:sz w:val="18"/>
                            <w:szCs w:val="18"/>
                          </w:rPr>
                          <w:t>25%</w:t>
                        </w:r>
                        <w:r>
                          <w:rPr>
                            <w:rFonts w:ascii="宋体" w:hAnsi="宋体" w:cs="宋体" w:eastAsia="宋体" w:hint="default"/>
                            <w:spacing w:val="-13"/>
                            <w:sz w:val="18"/>
                            <w:szCs w:val="18"/>
                          </w:rPr>
                          <w:t>。（董事</w:t>
                        </w:r>
                        <w:r>
                          <w:rPr>
                            <w:rFonts w:ascii="宋体" w:hAnsi="宋体" w:cs="宋体" w:eastAsia="宋体" w:hint="default"/>
                            <w:sz w:val="18"/>
                            <w:szCs w:val="18"/>
                          </w:rPr>
                          <w:t> 监事和高级 管理人员以 在上年最后 一个交易日 登记在其名 下的在深交</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44"/>
        <w:ind w:left="0" w:right="1141"/>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。本人如</w:t>
            </w:r>
            <w:r>
              <w:rPr>
                <w:rFonts w:ascii="宋体" w:hAnsi="宋体" w:cs="宋体" w:eastAsia="宋体" w:hint="default"/>
                <w:w w:val="99"/>
                <w:sz w:val="18"/>
                <w:szCs w:val="18"/>
              </w:rPr>
              <w:t> </w:t>
            </w:r>
            <w:r>
              <w:rPr>
                <w:rFonts w:ascii="宋体" w:hAnsi="宋体" w:cs="宋体" w:eastAsia="宋体" w:hint="default"/>
                <w:sz w:val="18"/>
                <w:szCs w:val="18"/>
              </w:rPr>
              <w:t>在公司首次</w:t>
            </w:r>
            <w:r>
              <w:rPr>
                <w:rFonts w:ascii="宋体" w:hAnsi="宋体" w:cs="宋体" w:eastAsia="宋体" w:hint="default"/>
                <w:w w:val="99"/>
                <w:sz w:val="18"/>
                <w:szCs w:val="18"/>
              </w:rPr>
              <w:t> </w:t>
            </w:r>
            <w:r>
              <w:rPr>
                <w:rFonts w:ascii="宋体" w:hAnsi="宋体" w:cs="宋体" w:eastAsia="宋体" w:hint="default"/>
                <w:sz w:val="18"/>
                <w:szCs w:val="18"/>
              </w:rPr>
              <w:t>公开发行股</w:t>
            </w:r>
            <w:r>
              <w:rPr>
                <w:rFonts w:ascii="宋体" w:hAnsi="宋体" w:cs="宋体" w:eastAsia="宋体" w:hint="default"/>
                <w:w w:val="99"/>
                <w:sz w:val="18"/>
                <w:szCs w:val="18"/>
              </w:rPr>
              <w:t> </w:t>
            </w:r>
            <w:r>
              <w:rPr>
                <w:rFonts w:ascii="宋体" w:hAnsi="宋体" w:cs="宋体" w:eastAsia="宋体" w:hint="default"/>
                <w:sz w:val="18"/>
                <w:szCs w:val="18"/>
              </w:rPr>
              <w:t>票上市之日</w:t>
            </w:r>
            <w:r>
              <w:rPr>
                <w:rFonts w:ascii="宋体" w:hAnsi="宋体" w:cs="宋体" w:eastAsia="宋体" w:hint="default"/>
                <w:w w:val="99"/>
                <w:sz w:val="18"/>
                <w:szCs w:val="18"/>
              </w:rPr>
              <w:t> </w:t>
            </w:r>
            <w:r>
              <w:rPr>
                <w:rFonts w:ascii="宋体" w:hAnsi="宋体" w:cs="宋体" w:eastAsia="宋体" w:hint="default"/>
                <w:sz w:val="18"/>
                <w:szCs w:val="18"/>
              </w:rPr>
              <w:t>起六个月内</w:t>
            </w:r>
            <w:r>
              <w:rPr>
                <w:rFonts w:ascii="宋体" w:hAnsi="宋体" w:cs="宋体" w:eastAsia="宋体" w:hint="default"/>
                <w:w w:val="99"/>
                <w:sz w:val="18"/>
                <w:szCs w:val="18"/>
              </w:rPr>
              <w:t> </w:t>
            </w:r>
            <w:r>
              <w:rPr>
                <w:rFonts w:ascii="宋体" w:hAnsi="宋体" w:cs="宋体" w:eastAsia="宋体" w:hint="default"/>
                <w:spacing w:val="-2"/>
                <w:sz w:val="18"/>
                <w:szCs w:val="18"/>
              </w:rPr>
              <w:t>申报离职，自</w:t>
            </w:r>
            <w:r>
              <w:rPr>
                <w:rFonts w:ascii="宋体" w:hAnsi="宋体" w:cs="宋体" w:eastAsia="宋体" w:hint="default"/>
                <w:w w:val="99"/>
                <w:sz w:val="18"/>
                <w:szCs w:val="18"/>
              </w:rPr>
              <w:t> </w:t>
            </w:r>
            <w:r>
              <w:rPr>
                <w:rFonts w:ascii="宋体" w:hAnsi="宋体" w:cs="宋体" w:eastAsia="宋体" w:hint="default"/>
                <w:sz w:val="18"/>
                <w:szCs w:val="18"/>
              </w:rPr>
              <w:t>申报离职之</w:t>
            </w:r>
            <w:r>
              <w:rPr>
                <w:rFonts w:ascii="宋体" w:hAnsi="宋体" w:cs="宋体" w:eastAsia="宋体" w:hint="default"/>
                <w:w w:val="99"/>
                <w:sz w:val="18"/>
                <w:szCs w:val="18"/>
              </w:rPr>
              <w:t> </w:t>
            </w:r>
            <w:r>
              <w:rPr>
                <w:rFonts w:ascii="宋体" w:hAnsi="宋体" w:cs="宋体" w:eastAsia="宋体" w:hint="default"/>
                <w:sz w:val="18"/>
                <w:szCs w:val="18"/>
              </w:rPr>
              <w:t>日起十八个</w:t>
            </w:r>
            <w:r>
              <w:rPr>
                <w:rFonts w:ascii="宋体" w:hAnsi="宋体" w:cs="宋体" w:eastAsia="宋体" w:hint="default"/>
                <w:w w:val="99"/>
                <w:sz w:val="18"/>
                <w:szCs w:val="18"/>
              </w:rPr>
              <w:t> </w:t>
            </w:r>
            <w:r>
              <w:rPr>
                <w:rFonts w:ascii="宋体" w:hAnsi="宋体" w:cs="宋体" w:eastAsia="宋体" w:hint="default"/>
                <w:sz w:val="18"/>
                <w:szCs w:val="18"/>
              </w:rPr>
              <w:t>月内不转让</w:t>
            </w:r>
            <w:r>
              <w:rPr>
                <w:rFonts w:ascii="宋体" w:hAnsi="宋体" w:cs="宋体" w:eastAsia="宋体" w:hint="default"/>
                <w:w w:val="99"/>
                <w:sz w:val="18"/>
                <w:szCs w:val="18"/>
              </w:rPr>
              <w:t> </w:t>
            </w:r>
            <w:r>
              <w:rPr>
                <w:rFonts w:ascii="宋体" w:hAnsi="宋体" w:cs="宋体" w:eastAsia="宋体" w:hint="default"/>
                <w:sz w:val="18"/>
                <w:szCs w:val="18"/>
              </w:rPr>
              <w:t>本人持有的</w:t>
            </w:r>
            <w:r>
              <w:rPr>
                <w:rFonts w:ascii="宋体" w:hAnsi="宋体" w:cs="宋体" w:eastAsia="宋体" w:hint="default"/>
                <w:w w:val="99"/>
                <w:sz w:val="18"/>
                <w:szCs w:val="18"/>
              </w:rPr>
              <w:t> </w:t>
            </w:r>
            <w:r>
              <w:rPr>
                <w:rFonts w:ascii="宋体" w:hAnsi="宋体" w:cs="宋体" w:eastAsia="宋体" w:hint="default"/>
                <w:spacing w:val="-2"/>
                <w:sz w:val="18"/>
                <w:szCs w:val="18"/>
              </w:rPr>
              <w:t>公司股份；本</w:t>
            </w:r>
            <w:r>
              <w:rPr>
                <w:rFonts w:ascii="宋体" w:hAnsi="宋体" w:cs="宋体" w:eastAsia="宋体" w:hint="default"/>
                <w:w w:val="99"/>
                <w:sz w:val="18"/>
                <w:szCs w:val="18"/>
              </w:rPr>
              <w:t> </w:t>
            </w:r>
            <w:r>
              <w:rPr>
                <w:rFonts w:ascii="宋体" w:hAnsi="宋体" w:cs="宋体" w:eastAsia="宋体" w:hint="default"/>
                <w:sz w:val="18"/>
                <w:szCs w:val="18"/>
              </w:rPr>
              <w:t>人如在公司</w:t>
            </w:r>
            <w:r>
              <w:rPr>
                <w:rFonts w:ascii="宋体" w:hAnsi="宋体" w:cs="宋体" w:eastAsia="宋体" w:hint="default"/>
                <w:w w:val="99"/>
                <w:sz w:val="18"/>
                <w:szCs w:val="18"/>
              </w:rPr>
              <w:t> </w:t>
            </w:r>
            <w:r>
              <w:rPr>
                <w:rFonts w:ascii="宋体" w:hAnsi="宋体" w:cs="宋体" w:eastAsia="宋体" w:hint="default"/>
                <w:sz w:val="18"/>
                <w:szCs w:val="18"/>
              </w:rPr>
              <w:t>首次公开发</w:t>
            </w:r>
            <w:r>
              <w:rPr>
                <w:rFonts w:ascii="宋体" w:hAnsi="宋体" w:cs="宋体" w:eastAsia="宋体" w:hint="default"/>
                <w:w w:val="99"/>
                <w:sz w:val="18"/>
                <w:szCs w:val="18"/>
              </w:rPr>
              <w:t> </w:t>
            </w:r>
            <w:r>
              <w:rPr>
                <w:rFonts w:ascii="宋体" w:hAnsi="宋体" w:cs="宋体" w:eastAsia="宋体" w:hint="default"/>
                <w:sz w:val="18"/>
                <w:szCs w:val="18"/>
              </w:rPr>
              <w:t>行股票上市</w:t>
            </w:r>
            <w:r>
              <w:rPr>
                <w:rFonts w:ascii="宋体" w:hAnsi="宋体" w:cs="宋体" w:eastAsia="宋体" w:hint="default"/>
                <w:w w:val="99"/>
                <w:sz w:val="18"/>
                <w:szCs w:val="18"/>
              </w:rPr>
              <w:t> </w:t>
            </w:r>
            <w:r>
              <w:rPr>
                <w:rFonts w:ascii="宋体" w:hAnsi="宋体" w:cs="宋体" w:eastAsia="宋体" w:hint="default"/>
                <w:sz w:val="18"/>
                <w:szCs w:val="18"/>
              </w:rPr>
              <w:t>之日起第七</w:t>
            </w:r>
            <w:r>
              <w:rPr>
                <w:rFonts w:ascii="宋体" w:hAnsi="宋体" w:cs="宋体" w:eastAsia="宋体" w:hint="default"/>
                <w:w w:val="99"/>
                <w:sz w:val="18"/>
                <w:szCs w:val="18"/>
              </w:rPr>
              <w:t> </w:t>
            </w:r>
            <w:r>
              <w:rPr>
                <w:rFonts w:ascii="宋体" w:hAnsi="宋体" w:cs="宋体" w:eastAsia="宋体" w:hint="default"/>
                <w:sz w:val="18"/>
                <w:szCs w:val="18"/>
              </w:rPr>
              <w:t>个月至第十</w:t>
            </w:r>
            <w:r>
              <w:rPr>
                <w:rFonts w:ascii="宋体" w:hAnsi="宋体" w:cs="宋体" w:eastAsia="宋体" w:hint="default"/>
                <w:w w:val="99"/>
                <w:sz w:val="18"/>
                <w:szCs w:val="18"/>
              </w:rPr>
              <w:t> </w:t>
            </w:r>
            <w:r>
              <w:rPr>
                <w:rFonts w:ascii="宋体" w:hAnsi="宋体" w:cs="宋体" w:eastAsia="宋体" w:hint="default"/>
                <w:sz w:val="18"/>
                <w:szCs w:val="18"/>
              </w:rPr>
              <w:t>二个月之间</w:t>
            </w:r>
            <w:r>
              <w:rPr>
                <w:rFonts w:ascii="宋体" w:hAnsi="宋体" w:cs="宋体" w:eastAsia="宋体" w:hint="default"/>
                <w:w w:val="99"/>
                <w:sz w:val="18"/>
                <w:szCs w:val="18"/>
              </w:rPr>
              <w:t> </w:t>
            </w:r>
            <w:r>
              <w:rPr>
                <w:rFonts w:ascii="宋体" w:hAnsi="宋体" w:cs="宋体" w:eastAsia="宋体" w:hint="default"/>
                <w:spacing w:val="-2"/>
                <w:sz w:val="18"/>
                <w:szCs w:val="18"/>
              </w:rPr>
              <w:t>申报离职，自</w:t>
            </w:r>
            <w:r>
              <w:rPr>
                <w:rFonts w:ascii="宋体" w:hAnsi="宋体" w:cs="宋体" w:eastAsia="宋体" w:hint="default"/>
                <w:w w:val="99"/>
                <w:sz w:val="18"/>
                <w:szCs w:val="18"/>
              </w:rPr>
              <w:t> </w:t>
            </w:r>
            <w:r>
              <w:rPr>
                <w:rFonts w:ascii="宋体" w:hAnsi="宋体" w:cs="宋体" w:eastAsia="宋体" w:hint="default"/>
                <w:sz w:val="18"/>
                <w:szCs w:val="18"/>
              </w:rPr>
              <w:t>申报离职之</w:t>
            </w:r>
            <w:r>
              <w:rPr>
                <w:rFonts w:ascii="宋体" w:hAnsi="宋体" w:cs="宋体" w:eastAsia="宋体" w:hint="default"/>
                <w:w w:val="99"/>
                <w:sz w:val="18"/>
                <w:szCs w:val="18"/>
              </w:rPr>
              <w:t> </w:t>
            </w:r>
            <w:r>
              <w:rPr>
                <w:rFonts w:ascii="宋体" w:hAnsi="宋体" w:cs="宋体" w:eastAsia="宋体" w:hint="default"/>
                <w:sz w:val="18"/>
                <w:szCs w:val="18"/>
              </w:rPr>
              <w:t>日起十二个</w:t>
            </w:r>
            <w:r>
              <w:rPr>
                <w:rFonts w:ascii="宋体" w:hAnsi="宋体" w:cs="宋体" w:eastAsia="宋体" w:hint="default"/>
                <w:w w:val="99"/>
                <w:sz w:val="18"/>
                <w:szCs w:val="18"/>
              </w:rPr>
              <w:t> </w:t>
            </w:r>
            <w:r>
              <w:rPr>
                <w:rFonts w:ascii="宋体" w:hAnsi="宋体" w:cs="宋体" w:eastAsia="宋体" w:hint="default"/>
                <w:sz w:val="18"/>
                <w:szCs w:val="18"/>
              </w:rPr>
              <w:t>月内不转让</w:t>
            </w:r>
            <w:r>
              <w:rPr>
                <w:rFonts w:ascii="宋体" w:hAnsi="宋体" w:cs="宋体" w:eastAsia="宋体" w:hint="default"/>
                <w:w w:val="99"/>
                <w:sz w:val="18"/>
                <w:szCs w:val="18"/>
              </w:rPr>
              <w:t> </w:t>
            </w:r>
            <w:r>
              <w:rPr>
                <w:rFonts w:ascii="宋体" w:hAnsi="宋体" w:cs="宋体" w:eastAsia="宋体" w:hint="default"/>
                <w:sz w:val="18"/>
                <w:szCs w:val="18"/>
              </w:rPr>
              <w:t>本人持有的</w:t>
            </w:r>
            <w:r>
              <w:rPr>
                <w:rFonts w:ascii="宋体" w:hAnsi="宋体" w:cs="宋体" w:eastAsia="宋体" w:hint="default"/>
                <w:w w:val="99"/>
                <w:sz w:val="18"/>
                <w:szCs w:val="18"/>
              </w:rPr>
              <w:t> </w:t>
            </w:r>
            <w:r>
              <w:rPr>
                <w:rFonts w:ascii="宋体" w:hAnsi="宋体" w:cs="宋体" w:eastAsia="宋体" w:hint="default"/>
                <w:sz w:val="18"/>
                <w:szCs w:val="18"/>
              </w:rPr>
              <w:t>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所上市的本 公司股份为 </w:t>
            </w:r>
            <w:r>
              <w:rPr>
                <w:rFonts w:ascii="宋体" w:hAnsi="宋体" w:cs="宋体" w:eastAsia="宋体" w:hint="default"/>
                <w:spacing w:val="-12"/>
                <w:sz w:val="18"/>
                <w:szCs w:val="18"/>
              </w:rPr>
              <w:t>基数，按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计算其本年 度可转让股 份法定额 </w:t>
            </w:r>
            <w:r>
              <w:rPr>
                <w:rFonts w:ascii="宋体" w:hAnsi="宋体" w:cs="宋体" w:eastAsia="宋体" w:hint="default"/>
                <w:spacing w:val="-30"/>
                <w:sz w:val="18"/>
                <w:szCs w:val="18"/>
              </w:rPr>
              <w:t>度）。</w:t>
            </w:r>
            <w:r>
              <w:rPr>
                <w:rFonts w:ascii="宋体" w:hAnsi="宋体" w:cs="宋体" w:eastAsia="宋体" w:hint="default"/>
                <w:sz w:val="18"/>
                <w:szCs w:val="18"/>
              </w:rPr>
              <w:t> </w:t>
            </w: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45"/>
              <w:ind w:left="23" w:right="141"/>
              <w:jc w:val="both"/>
              <w:rPr>
                <w:rFonts w:ascii="宋体" w:hAnsi="宋体" w:cs="宋体" w:eastAsia="宋体" w:hint="default"/>
                <w:sz w:val="18"/>
                <w:szCs w:val="18"/>
              </w:rPr>
            </w:pPr>
            <w:r>
              <w:rPr>
                <w:rFonts w:ascii="宋体" w:hAnsi="宋体" w:cs="宋体" w:eastAsia="宋体" w:hint="default"/>
                <w:sz w:val="18"/>
                <w:szCs w:val="18"/>
              </w:rPr>
              <w:t>茅庆江</w:t>
            </w:r>
            <w:r>
              <w:rPr>
                <w:rFonts w:ascii="Times New Roman" w:hAnsi="Times New Roman" w:cs="Times New Roman" w:eastAsia="Times New Roman" w:hint="default"/>
                <w:sz w:val="18"/>
                <w:szCs w:val="18"/>
              </w:rPr>
              <w:t>;</w:t>
            </w:r>
            <w:r>
              <w:rPr>
                <w:rFonts w:ascii="宋体" w:hAnsi="宋体" w:cs="宋体" w:eastAsia="宋体" w:hint="default"/>
                <w:sz w:val="18"/>
                <w:szCs w:val="18"/>
              </w:rPr>
              <w:t>茅屏 萍</w:t>
            </w:r>
            <w:r>
              <w:rPr>
                <w:rFonts w:ascii="Times New Roman" w:hAnsi="Times New Roman" w:cs="Times New Roman" w:eastAsia="Times New Roman" w:hint="default"/>
                <w:sz w:val="18"/>
                <w:szCs w:val="18"/>
              </w:rPr>
              <w:t>;</w:t>
            </w:r>
            <w:r>
              <w:rPr>
                <w:rFonts w:ascii="宋体" w:hAnsi="宋体" w:cs="宋体" w:eastAsia="宋体" w:hint="default"/>
                <w:sz w:val="18"/>
                <w:szCs w:val="18"/>
              </w:rPr>
              <w:t>广州市常 森投资咨询 有限责任公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广州市碧 天投资咨询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公司的控股 股东、实际控 制人茅庆江 及其姐姐茅 屏萍承诺：自 公司股票上 市之日起三 十六个月内， 本人不转让 或者委托他 人管理本人 持有（包括直 接或间接持 有）的公司公 开发行股票 前已发行的 股份，也不由 公司回购本 人持有的公 司公开发行 股票前已发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2015.4.24-201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8.4.24</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387.019989pt;width:62pt;height:170.6pt;mso-position-horizontal-relative:page;mso-position-vertical-relative:page;z-index:-922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行的股份。 公司的法人 股东常森投 资、碧天投资 承诺：自公司 首次公开发 行（</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 票并在创业 板上市之日 起三十六个 月内，本公司 不转让或者 委托他人管 理首次公开 发行前本公 司已持有的 公司的股份， 也不由公司 回购该部分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雷洪文</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 </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w:t>
            </w:r>
            <w:r>
              <w:rPr>
                <w:rFonts w:ascii="宋体" w:hAnsi="宋体" w:cs="宋体" w:eastAsia="宋体" w:hint="default"/>
                <w:sz w:val="18"/>
                <w:szCs w:val="18"/>
              </w:rPr>
              <w:t>张忠 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股东雷洪文、 袁小康、徐 彪、张忠民承 诺：</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）持有股 份的意向 未来在不违 反《证券法》 交易所等相 关法律法规 以及不违背 个人就股份 锁定所作出 的有关承诺 的前提下，本 人将根据自 身经济的实 际状况和公 司二级市场 的交易表现， 有计划地就 所持股份进 行减持。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4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7"/>
                <w:sz w:val="20"/>
                <w:szCs w:val="20"/>
              </w:rPr>
              <w:pict>
                <v:group style="width:55.85pt;height:170.6pt;mso-position-horizontal-relative:char;mso-position-vertical-relative:line" coordorigin="0,0" coordsize="1117,3412">
                  <v:group style="position:absolute;left:0;top:0;width:1117;height:3412" coordorigin="0,0" coordsize="1117,3412">
                    <v:shape style="position:absolute;left:0;top:0;width:1117;height:3412" coordorigin="0,0" coordsize="1117,3412" path="m0,3412l1116,3412,1116,0,0,0,0,3412xe" filled="true" fillcolor="#ffffff" stroked="false">
                      <v:path arrowok="t"/>
                      <v:fill type="solid"/>
                    </v:shape>
                  </v:group>
                </v:group>
              </w:pict>
            </w:r>
            <w:r>
              <w:rPr>
                <w:rFonts w:ascii="Times New Roman" w:hAnsi="Times New Roman" w:cs="Times New Roman" w:eastAsia="Times New Roman" w:hint="default"/>
                <w:position w:val="-67"/>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2015.4.24-201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8.4.24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份的计划</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本人计划在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份，本人承诺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减持计划如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①减持满足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  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起，至本人就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减持股份发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布提示性公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告之日，本人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能够及时有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效地履行首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股票时公开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承诺的各项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②减持数量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以上股份的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股东雷洪文、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袁小康、徐彪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承诺：在上述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后两年内，每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份不超过其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股东张忠民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承诺：在其所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的锁定期届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满后两年内，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34.420013pt;margin-top:72.47998pt;width:89.1pt;height:686.5pt;mso-position-horizontal-relative:page;mso-position-vertical-relative:page;z-index:-921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0"/>
                      <w:szCs w:val="20"/>
                    </w:rPr>
                  </w:pPr>
                </w:p>
                <w:p>
                  <w:pPr>
                    <w:pStyle w:val="BodyText"/>
                    <w:spacing w:line="240" w:lineRule="auto"/>
                    <w:ind w:left="0" w:right="0"/>
                    <w:jc w:val="left"/>
                  </w:pPr>
                  <w:r>
                    <w:rPr/>
                    <w:t>个月内，</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有意通过深</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所减持公司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超过其直接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50%</w:t>
            </w:r>
            <w:r>
              <w:rPr>
                <w:rFonts w:ascii="宋体" w:hAnsi="宋体" w:cs="宋体" w:eastAsia="宋体" w:hint="default"/>
                <w:spacing w:val="-11"/>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量不超过其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③减持方式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司股份将通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易、协议转让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法方式进行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易日予以公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告。④减持价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持价格不低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票的股票发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生派发股利、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除息、除权行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121.79998pt;width:62pt;height:303.25pt;mso-position-horizontal-relative:page;mso-position-vertical-relative:page;z-index:-921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367.660004pt;margin-top:121.79998pt;width:55.85pt;height:303.25pt;mso-position-horizontal-relative:page;mso-position-vertical-relative:page;z-index:-921904" coordorigin="7353,2436" coordsize="1117,6065">
            <v:shape style="position:absolute;left:7353;top:2436;width:1117;height:6065" coordorigin="7353,2436" coordsize="1117,6065" path="m7353,8500l8470,8500,8470,2436,7353,2436,7353,850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为的，上述发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行价格亦将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作相应调整。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以上股份的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股东茅庆江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）持有股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份的意向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未来在不违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反《证券法》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交易所等相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以及不违背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个人就股份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锁定所作出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人将根据自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身经济的实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0"/>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际状况和公 司二级市场 的交易表现， 有计划地就 所持股份进 </w:t>
            </w:r>
            <w:r>
              <w:rPr>
                <w:rFonts w:ascii="宋体" w:hAnsi="宋体" w:cs="宋体" w:eastAsia="宋体" w:hint="default"/>
                <w:spacing w:val="-13"/>
                <w:sz w:val="18"/>
                <w:szCs w:val="18"/>
              </w:rPr>
              <w:t>行减持。（</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减持股份的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2015.4.24-202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0.4.24</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本人计划在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份，本人承诺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减持计划如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①减持满足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  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公司首次公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起，至本人就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减持股份发</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布提示性公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告之日，本人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能够及时有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效地履行首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股票时公开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承诺的各项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②减持数量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东茅庆江承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诺：锁定期满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的两年内，每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年内减持股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份不超过本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③减持方式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司股份将通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易、协议转让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法方式进行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减持，如本人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易日予以公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 ④减持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内减持的，减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持价格不低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票的股票发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生派发股利、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除息、除权行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为的，上述发 行价格亦将 作相应调整。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2" w:lineRule="auto"/>
              <w:ind w:left="23" w:right="141"/>
              <w:jc w:val="both"/>
              <w:rPr>
                <w:rFonts w:ascii="宋体" w:hAnsi="宋体" w:cs="宋体" w:eastAsia="宋体" w:hint="default"/>
                <w:sz w:val="18"/>
                <w:szCs w:val="18"/>
              </w:rPr>
            </w:pPr>
            <w:r>
              <w:rPr>
                <w:rFonts w:ascii="宋体" w:hAnsi="宋体" w:cs="宋体" w:eastAsia="宋体" w:hint="default"/>
                <w:sz w:val="18"/>
                <w:szCs w:val="18"/>
              </w:rPr>
              <w:t>茅庆江</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市浩云安防 科技股份有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 </w:t>
            </w:r>
            <w:r>
              <w:rPr>
                <w:rFonts w:ascii="宋体" w:hAnsi="宋体" w:cs="宋体" w:eastAsia="宋体" w:hint="default"/>
                <w:spacing w:val="-2"/>
                <w:sz w:val="18"/>
                <w:szCs w:val="18"/>
              </w:rPr>
              <w:t>如公司《招股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说明书》有虚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判断公司是 否符合法律 规定的发行 条件构成重 </w:t>
            </w:r>
            <w:r>
              <w:rPr>
                <w:rFonts w:ascii="宋体" w:hAnsi="宋体" w:cs="宋体" w:eastAsia="宋体" w:hint="default"/>
                <w:spacing w:val="-2"/>
                <w:sz w:val="18"/>
                <w:szCs w:val="18"/>
              </w:rPr>
              <w:t>大、实质影响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的，并已由有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权部门作出 行政处罚或 人民法院作 出相关判决 </w:t>
            </w:r>
            <w:r>
              <w:rPr>
                <w:rFonts w:ascii="宋体" w:hAnsi="宋体" w:cs="宋体" w:eastAsia="宋体" w:hint="default"/>
                <w:spacing w:val="-2"/>
                <w:sz w:val="18"/>
                <w:szCs w:val="18"/>
              </w:rPr>
              <w:t>的，在相关行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政处罚或判 决生效之日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w:t>
            </w:r>
            <w:r>
              <w:rPr>
                <w:rFonts w:ascii="宋体" w:hAnsi="宋体" w:cs="宋体" w:eastAsia="宋体" w:hint="default"/>
                <w:spacing w:val="-2"/>
                <w:sz w:val="18"/>
                <w:szCs w:val="18"/>
              </w:rPr>
              <w:t>日内，本公司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将召开董事 会并作出决 </w:t>
            </w:r>
            <w:r>
              <w:rPr>
                <w:rFonts w:ascii="宋体" w:hAnsi="宋体" w:cs="宋体" w:eastAsia="宋体" w:hint="default"/>
                <w:spacing w:val="-2"/>
                <w:sz w:val="18"/>
                <w:szCs w:val="18"/>
              </w:rPr>
              <w:t>议，通过回购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首次公开发 行所有新股 的具体方案 </w:t>
            </w:r>
            <w:r>
              <w:rPr>
                <w:rFonts w:ascii="宋体" w:hAnsi="宋体" w:cs="宋体" w:eastAsia="宋体" w:hint="default"/>
                <w:spacing w:val="-2"/>
                <w:sz w:val="18"/>
                <w:szCs w:val="18"/>
              </w:rPr>
              <w:t>的议案，并进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行公告。本公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司将以不低 于发行价格 回购首次公 开发行的全 </w:t>
            </w:r>
            <w:r>
              <w:rPr>
                <w:rFonts w:ascii="宋体" w:hAnsi="宋体" w:cs="宋体" w:eastAsia="宋体" w:hint="default"/>
                <w:spacing w:val="-15"/>
                <w:sz w:val="18"/>
                <w:szCs w:val="18"/>
              </w:rPr>
              <w:t>部新股。（在</w:t>
            </w:r>
            <w:r>
              <w:rPr>
                <w:rFonts w:ascii="宋体" w:hAnsi="宋体" w:cs="宋体" w:eastAsia="宋体" w:hint="default"/>
                <w:sz w:val="18"/>
                <w:szCs w:val="18"/>
              </w:rPr>
              <w:t> 公司上市后 至上述期间 </w:t>
            </w:r>
            <w:r>
              <w:rPr>
                <w:rFonts w:ascii="宋体" w:hAnsi="宋体" w:cs="宋体" w:eastAsia="宋体" w:hint="default"/>
                <w:spacing w:val="-2"/>
                <w:sz w:val="18"/>
                <w:szCs w:val="18"/>
              </w:rPr>
              <w:t>内，公司发生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派发股利、送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红股、转增股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本、增发新股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或配股等除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息、除权行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为，上述发行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价格亦将作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相应调整</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东茅庆江承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如公司《招股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说明书》有虚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假记载、误导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重大遗漏，对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判断公司是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否符合法律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条件构成重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大、实质影响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的，并已由有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权部门作出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行政处罚或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人民法院作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出相关判决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的，在相关行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政处罚或判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决生效之日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依法提出购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回已转让的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原限售股份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的具体方案，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并进行公告。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本人将以不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格购回已转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让的原限售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90"/>
                <w:sz w:val="18"/>
                <w:szCs w:val="18"/>
              </w:rPr>
              <w:t>。</w:t>
            </w:r>
            <w:r>
              <w:rPr>
                <w:rFonts w:ascii="宋体" w:hAnsi="宋体" w:cs="宋体" w:eastAsia="宋体" w:hint="default"/>
                <w:sz w:val="18"/>
                <w:szCs w:val="18"/>
              </w:rPr>
              <w:t>（在公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司上市后至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上述期间内，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公司发生派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发股利、送红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或配股等除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20013pt;margin-top:690.940002pt;width:62.1pt;height:77pt;mso-position-horizontal-relative:page;mso-position-vertical-relative:page;z-index:-9218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息、除权行 </w:t>
            </w:r>
            <w:r>
              <w:rPr>
                <w:rFonts w:ascii="宋体" w:hAnsi="宋体" w:cs="宋体" w:eastAsia="宋体" w:hint="default"/>
                <w:spacing w:val="-2"/>
                <w:sz w:val="18"/>
                <w:szCs w:val="18"/>
              </w:rPr>
              <w:t>为，上述发行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价格亦将作 </w:t>
            </w:r>
            <w:r>
              <w:rPr>
                <w:rFonts w:ascii="宋体" w:hAnsi="宋体" w:cs="宋体" w:eastAsia="宋体" w:hint="default"/>
                <w:spacing w:val="-15"/>
                <w:sz w:val="18"/>
                <w:szCs w:val="18"/>
              </w:rPr>
              <w:t>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82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5"/>
              <w:ind w:left="23" w:right="89"/>
              <w:jc w:val="left"/>
              <w:rPr>
                <w:rFonts w:ascii="宋体" w:hAnsi="宋体" w:cs="宋体" w:eastAsia="宋体" w:hint="default"/>
                <w:sz w:val="18"/>
                <w:szCs w:val="18"/>
              </w:rPr>
            </w:pPr>
            <w:r>
              <w:rPr>
                <w:rFonts w:ascii="宋体" w:hAnsi="宋体" w:cs="宋体" w:eastAsia="宋体" w:hint="default"/>
                <w:sz w:val="18"/>
                <w:szCs w:val="18"/>
              </w:rPr>
              <w:t>广州市浩云 安防科技股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茅庆江</w:t>
            </w:r>
            <w:r>
              <w:rPr>
                <w:rFonts w:ascii="Times New Roman" w:hAnsi="Times New Roman" w:cs="Times New Roman" w:eastAsia="Times New Roman" w:hint="default"/>
                <w:sz w:val="18"/>
                <w:szCs w:val="18"/>
              </w:rPr>
              <w:t>;</w:t>
            </w:r>
            <w:r>
              <w:rPr>
                <w:rFonts w:ascii="宋体" w:hAnsi="宋体" w:cs="宋体" w:eastAsia="宋体" w:hint="default"/>
                <w:sz w:val="18"/>
                <w:szCs w:val="18"/>
              </w:rPr>
              <w:t>雷洪 文</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张忠 民</w:t>
            </w:r>
            <w:r>
              <w:rPr>
                <w:rFonts w:ascii="Times New Roman" w:hAnsi="Times New Roman" w:cs="Times New Roman" w:eastAsia="Times New Roman" w:hint="default"/>
                <w:sz w:val="18"/>
                <w:szCs w:val="18"/>
              </w:rPr>
              <w:t>;</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w:t>
            </w:r>
            <w:r>
              <w:rPr>
                <w:rFonts w:ascii="宋体" w:hAnsi="宋体" w:cs="宋体" w:eastAsia="宋体" w:hint="default"/>
                <w:sz w:val="18"/>
                <w:szCs w:val="18"/>
              </w:rPr>
              <w:t>龙 中胜</w:t>
            </w:r>
            <w:r>
              <w:rPr>
                <w:rFonts w:ascii="Times New Roman" w:hAnsi="Times New Roman" w:cs="Times New Roman" w:eastAsia="Times New Roman" w:hint="default"/>
                <w:sz w:val="18"/>
                <w:szCs w:val="18"/>
              </w:rPr>
              <w:t>;</w:t>
            </w:r>
            <w:r>
              <w:rPr>
                <w:rFonts w:ascii="宋体" w:hAnsi="宋体" w:cs="宋体" w:eastAsia="宋体" w:hint="default"/>
                <w:sz w:val="18"/>
                <w:szCs w:val="18"/>
              </w:rPr>
              <w:t>茅屏萍</w:t>
            </w:r>
            <w:r>
              <w:rPr>
                <w:rFonts w:ascii="Times New Roman" w:hAnsi="Times New Roman" w:cs="Times New Roman" w:eastAsia="Times New Roman" w:hint="default"/>
                <w:sz w:val="18"/>
                <w:szCs w:val="18"/>
              </w:rPr>
              <w:t>; </w:t>
            </w:r>
            <w:r>
              <w:rPr>
                <w:rFonts w:ascii="宋体" w:hAnsi="宋体" w:cs="宋体" w:eastAsia="宋体" w:hint="default"/>
                <w:sz w:val="18"/>
                <w:szCs w:val="18"/>
              </w:rPr>
              <w:t>广州市常森 投资咨询有 限责任公司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广州市碧天 投资咨询有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公司及本次 发行前全体 股东承诺： 公司将严格 按照《公司章 程》规定的利 润分配政策 履行利润分 配决策程序， 并按照相关 法律法规中 关于利润分 配政策（包括 现金分红）的 规定履行分 红义务。公司 及本次发行 前全体股东 承诺将从维 护中小投资 者利益的角 度制定利润 分配计划，充 分考虑公众 投资者的意 见，保护中小 股东、公众投 资者的利益。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tabs>
                <w:tab w:pos="832" w:val="left" w:leader="none"/>
              </w:tabs>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为避免同业 </w:t>
            </w:r>
            <w:r>
              <w:rPr>
                <w:rFonts w:ascii="宋体" w:hAnsi="宋体" w:cs="宋体" w:eastAsia="宋体" w:hint="default"/>
                <w:spacing w:val="-2"/>
                <w:sz w:val="18"/>
                <w:szCs w:val="18"/>
              </w:rPr>
              <w:t>竞争，维护本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公司的利益 和保证公司 的长期稳定 </w:t>
            </w:r>
            <w:r>
              <w:rPr>
                <w:rFonts w:ascii="宋体" w:hAnsi="宋体" w:cs="宋体" w:eastAsia="宋体" w:hint="default"/>
                <w:spacing w:val="-2"/>
                <w:sz w:val="18"/>
                <w:szCs w:val="18"/>
              </w:rPr>
              <w:t>发展，控股股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人茅庆江出 </w:t>
            </w:r>
            <w:r>
              <w:rPr>
                <w:rFonts w:ascii="宋体" w:hAnsi="宋体" w:cs="宋体" w:eastAsia="宋体" w:hint="default"/>
                <w:spacing w:val="-2"/>
                <w:sz w:val="18"/>
                <w:szCs w:val="18"/>
              </w:rPr>
              <w:t>具了《关于避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免同业竞争 </w:t>
            </w:r>
            <w:r>
              <w:rPr>
                <w:rFonts w:ascii="宋体" w:hAnsi="宋体" w:cs="宋体" w:eastAsia="宋体" w:hint="default"/>
                <w:spacing w:val="-15"/>
                <w:sz w:val="18"/>
                <w:szCs w:val="18"/>
              </w:rPr>
              <w:t>的承诺函》，</w:t>
            </w:r>
            <w:r>
              <w:rPr>
                <w:rFonts w:ascii="宋体" w:hAnsi="宋体" w:cs="宋体" w:eastAsia="宋体" w:hint="default"/>
                <w:sz w:val="18"/>
                <w:szCs w:val="18"/>
              </w:rPr>
              <w:t> 承诺：</w:t>
              <w:tab/>
            </w:r>
            <w:r>
              <w:rPr>
                <w:rFonts w:ascii="Times New Roman" w:hAnsi="Times New Roman" w:cs="Times New Roman" w:eastAsia="Times New Roman" w:hint="default"/>
                <w:sz w:val="18"/>
                <w:szCs w:val="18"/>
              </w:rPr>
              <w:t>“1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15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55.85pt;height:77pt;mso-position-horizontal-relative:char;mso-position-vertical-relative:line" coordorigin="0,0" coordsize="1117,1540">
                  <v:group style="position:absolute;left:0;top:0;width:1117;height:1540" coordorigin="0,0" coordsize="1117,1540">
                    <v:shape style="position:absolute;left:0;top:0;width:1117;height:1540" coordorigin="0,0" coordsize="1117,1540" path="m0,1540l1116,1540,1116,0,0,0,0,154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截至本承诺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本人未直接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限于持有其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股份、合伙份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额，在其他企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业担任董事、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员）与浩云科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函签署之日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起，本人将不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不限于持有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权、股份、合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伙份额，在其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理人员）与浩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子公司目前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及未来经营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、自本承诺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函签署之日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起，凡本人有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会可从事、参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与或投资可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能会与浩云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科技及其子</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631.839966pt;width:62pt;height:131.6pt;mso-position-horizontal-relative:page;mso-position-vertical-relative:page;z-index:-921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w:t>
                  </w:r>
                </w:p>
              </w:txbxContent>
            </v:textbox>
            <w10:wrap type="none"/>
          </v:shape>
        </w:pict>
      </w:r>
      <w:r>
        <w:rPr/>
        <w:pict>
          <v:group style="position:absolute;margin-left:367.660004pt;margin-top:631.839966pt;width:55.85pt;height:131.6pt;mso-position-horizontal-relative:page;mso-position-vertical-relative:page;z-index:-921808" coordorigin="7353,12637" coordsize="1117,2632">
            <v:shape style="position:absolute;left:7353;top:12637;width:1117;height:2632" coordorigin="7353,12637" coordsize="1117,2632" path="m7353,15269l8470,15269,8470,12637,7353,12637,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公司目前及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未来的主营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人会将该等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予浩云科技。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、本人将促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使本人直接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实体遵守上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如本人或本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他经济实体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承诺而给浩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云科技造成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经济损失，本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人将承担相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应的赔偿责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公司及其控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股股东茅庆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江，直接或间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4" w:lineRule="auto" w:before="147"/>
              <w:ind w:left="23" w:right="89"/>
              <w:jc w:val="left"/>
              <w:rPr>
                <w:rFonts w:ascii="宋体" w:hAnsi="宋体" w:cs="宋体" w:eastAsia="宋体" w:hint="default"/>
                <w:sz w:val="18"/>
                <w:szCs w:val="18"/>
              </w:rPr>
            </w:pPr>
            <w:r>
              <w:rPr>
                <w:rFonts w:ascii="宋体" w:hAnsi="宋体" w:cs="宋体" w:eastAsia="宋体" w:hint="default"/>
                <w:sz w:val="18"/>
                <w:szCs w:val="18"/>
              </w:rPr>
              <w:t>雷洪文</w:t>
            </w:r>
            <w:r>
              <w:rPr>
                <w:rFonts w:ascii="Times New Roman" w:hAnsi="Times New Roman" w:cs="Times New Roman" w:eastAsia="Times New Roman" w:hint="default"/>
                <w:sz w:val="18"/>
                <w:szCs w:val="18"/>
              </w:rPr>
              <w:t>;</w:t>
            </w:r>
            <w:r>
              <w:rPr>
                <w:rFonts w:ascii="宋体" w:hAnsi="宋体" w:cs="宋体" w:eastAsia="宋体" w:hint="default"/>
                <w:sz w:val="18"/>
                <w:szCs w:val="18"/>
              </w:rPr>
              <w:t>茅庆 江</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袁小 康</w:t>
            </w:r>
            <w:r>
              <w:rPr>
                <w:rFonts w:ascii="Times New Roman" w:hAnsi="Times New Roman" w:cs="Times New Roman" w:eastAsia="Times New Roman" w:hint="default"/>
                <w:sz w:val="18"/>
                <w:szCs w:val="18"/>
              </w:rPr>
              <w:t>;</w:t>
            </w: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 文</w:t>
            </w:r>
            <w:r>
              <w:rPr>
                <w:rFonts w:ascii="Times New Roman" w:hAnsi="Times New Roman" w:cs="Times New Roman" w:eastAsia="Times New Roman" w:hint="default"/>
                <w:sz w:val="18"/>
                <w:szCs w:val="18"/>
              </w:rPr>
              <w:t>;</w:t>
            </w:r>
            <w:r>
              <w:rPr>
                <w:rFonts w:ascii="宋体" w:hAnsi="宋体" w:cs="宋体" w:eastAsia="宋体" w:hint="default"/>
                <w:sz w:val="18"/>
                <w:szCs w:val="18"/>
              </w:rPr>
              <w:t>龙中胜</w:t>
            </w:r>
            <w:r>
              <w:rPr>
                <w:rFonts w:ascii="Times New Roman" w:hAnsi="Times New Roman" w:cs="Times New Roman" w:eastAsia="Times New Roman" w:hint="default"/>
                <w:sz w:val="18"/>
                <w:szCs w:val="18"/>
              </w:rPr>
              <w:t>;</w:t>
            </w:r>
            <w:r>
              <w:rPr>
                <w:rFonts w:ascii="宋体" w:hAnsi="宋体" w:cs="宋体" w:eastAsia="宋体" w:hint="default"/>
                <w:sz w:val="18"/>
                <w:szCs w:val="18"/>
              </w:rPr>
              <w:t>茅 屏萍</w:t>
            </w:r>
            <w:r>
              <w:rPr>
                <w:rFonts w:ascii="Times New Roman" w:hAnsi="Times New Roman" w:cs="Times New Roman" w:eastAsia="Times New Roman" w:hint="default"/>
                <w:sz w:val="18"/>
                <w:szCs w:val="18"/>
              </w:rPr>
              <w:t>;</w:t>
            </w:r>
            <w:r>
              <w:rPr>
                <w:rFonts w:ascii="宋体" w:hAnsi="宋体" w:cs="宋体" w:eastAsia="宋体" w:hint="default"/>
                <w:sz w:val="18"/>
                <w:szCs w:val="18"/>
              </w:rPr>
              <w:t>广州市 浩云安防科 技股份有限 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（外部董事、 独立董事除 </w:t>
            </w:r>
            <w:r>
              <w:rPr>
                <w:rFonts w:ascii="宋体" w:hAnsi="宋体" w:cs="宋体" w:eastAsia="宋体" w:hint="default"/>
                <w:spacing w:val="-15"/>
                <w:sz w:val="18"/>
                <w:szCs w:val="18"/>
              </w:rPr>
              <w:t>外，下同）、</w:t>
            </w:r>
            <w:r>
              <w:rPr>
                <w:rFonts w:ascii="宋体" w:hAnsi="宋体" w:cs="宋体" w:eastAsia="宋体" w:hint="default"/>
                <w:sz w:val="18"/>
                <w:szCs w:val="18"/>
              </w:rPr>
              <w:t> 高级管理人 员茅庆江、雷 洪文、袁小 康、徐彪、茅 屏萍、龙中 胜、段汉文、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2015.4.24-201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8.4.24</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陈翩承诺：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、启动股价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稳定措施的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具体条件（</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预警条件</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如果公司在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股股票正式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挂牌上市之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日起三年内，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公司股价连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日收盘价（如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果因派发现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等原因进行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的，须按照深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定作复权处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理，下同）低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个会计年度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经审计的摊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报表中归属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于母公司普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通股股东权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末公司股份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w:t>
            </w:r>
            <w:r>
              <w:rPr>
                <w:rFonts w:ascii="宋体" w:hAnsi="宋体" w:cs="宋体" w:eastAsia="宋体" w:hint="default"/>
                <w:sz w:val="18"/>
                <w:szCs w:val="18"/>
              </w:rPr>
              <w:t>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及董事和高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易日内讨论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并拟定关于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）启动条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tabs>
                <w:tab w:pos="652" w:val="left" w:leader="none"/>
              </w:tabs>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w:t>
              <w:tab/>
              <w:t>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股票正式挂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牌上市之日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起三年内，公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公司上一个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会计年度经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审计的摊薄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时，公司、实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股股东及董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定制定并实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施股价稳定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措施，并应提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前公告具体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、可能采取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的具体措施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当上述启动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施的条件满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足时，将按顺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序采取如下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部分或全部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措施稳定公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  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动条件所述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情形出现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个交易日内</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参照公司股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价表现并结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状况确定回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购价格和数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量区间，拟定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回购股票的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方案，对外公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w:t>
            </w:r>
            <w:r>
              <w:rPr>
                <w:rFonts w:ascii="宋体" w:hAnsi="宋体" w:cs="宋体" w:eastAsia="宋体" w:hint="default"/>
                <w:sz w:val="18"/>
                <w:szCs w:val="18"/>
              </w:rPr>
              <w:t>回购方案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审议通过后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司按照相关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规定在二级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市场以集中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竞价方式、要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其他合法方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式回购公司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股份将予以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超过上一个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会计年度经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审计的每股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份的资金金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额不高于回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发生时上一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个会计年度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经审计的归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股东净利润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结果应不导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致公司股权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分布及股本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规模不符合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上市条件。回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购期间，如遇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除权除息，回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购价格作相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应调整。在实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施上述回购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计划过程中，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如公司股票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价均高于当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日已公告每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股净资产，则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本公司可中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止实施股份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人茅庆江承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诺：将于股价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稳定措施的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启动条件所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述情形出现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内，依照公司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内部决策程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序，拟定增持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计划，明确增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持数量、方式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和期限，对外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①增持方式：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易、协议转让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②增持股份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数量、比例及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价格：计划增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持股份数量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总股本的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，但不超过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；增持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价格不高于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公司上一会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计年度经审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③其他事项：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在实施上述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增持计划过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程中，如公司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收盘价均高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于当日公司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已公告每股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净资产，则可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中止实施股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份增持计划。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增持行为严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格遵守《证券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法》以及其他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相关规定，在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增持期间及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法定期限内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不减持其所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 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事（外部董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80"/>
                <w:sz w:val="18"/>
                <w:szCs w:val="18"/>
              </w:rPr>
              <w:t> </w:t>
            </w:r>
            <w:r>
              <w:rPr>
                <w:rFonts w:ascii="宋体" w:hAnsi="宋体" w:cs="宋体" w:eastAsia="宋体" w:hint="default"/>
                <w:sz w:val="18"/>
                <w:szCs w:val="18"/>
              </w:rPr>
              <w:t>将于股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价稳定措施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的启动条件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所述情形出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日内，依照公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司内部决策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程序，拟定增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持计划，明确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增持数量、方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式和期限，对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外公告，并于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增持计划。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①增持方式：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易、协议转让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②增持股份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数量、比例及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金不少于该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年度自公司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领取薪酬总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和（税前，下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但不超过该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年度的薪酬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总和；增持公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司股份的价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格不高于公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司上一会计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③其他事项：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在实施上述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增持计划过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程中，如公司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收盘价均高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于当日公司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已公告每股 </w:t>
            </w:r>
            <w:r>
              <w:rPr>
                <w:rFonts w:ascii="宋体" w:hAnsi="宋体" w:cs="宋体" w:eastAsia="宋体" w:hint="default"/>
                <w:spacing w:val="-2"/>
                <w:sz w:val="18"/>
                <w:szCs w:val="18"/>
              </w:rPr>
              <w:t>净资产，则本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人可中止实 施股份增持 </w:t>
            </w:r>
            <w:r>
              <w:rPr>
                <w:rFonts w:ascii="宋体" w:hAnsi="宋体" w:cs="宋体" w:eastAsia="宋体" w:hint="default"/>
                <w:spacing w:val="-2"/>
                <w:sz w:val="18"/>
                <w:szCs w:val="18"/>
              </w:rPr>
              <w:t>计划。增持行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为严格遵守</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12"/>
              <w:jc w:val="left"/>
              <w:rPr>
                <w:rFonts w:ascii="宋体" w:hAnsi="宋体" w:cs="宋体" w:eastAsia="宋体" w:hint="default"/>
                <w:sz w:val="18"/>
                <w:szCs w:val="18"/>
              </w:rPr>
            </w:pPr>
            <w:r>
              <w:rPr>
                <w:rFonts w:ascii="宋体" w:hAnsi="宋体" w:cs="宋体" w:eastAsia="宋体" w:hint="default"/>
                <w:sz w:val="18"/>
                <w:szCs w:val="18"/>
              </w:rPr>
              <w:t>《公司法》以 及其他法律 法规的相关 规定，在增持 期间及法定 期限内不减 持其所持有 的公司股份。 上述承诺对 未来新聘任 的董事和高 级管理人员 具有同等约 束力。公司在 未来聘任新 的董事、高级 管理人员前， 将要求其签 署承诺书，保 证其履行公 司首次公开 发行上市时 董事、高级管 理人员已做 出的相应承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广州市浩云 安防科技股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雷洪文</w:t>
            </w:r>
            <w:r>
              <w:rPr>
                <w:rFonts w:ascii="Times New Roman" w:hAnsi="Times New Roman" w:cs="Times New Roman" w:eastAsia="Times New Roman" w:hint="default"/>
                <w:sz w:val="18"/>
                <w:szCs w:val="18"/>
              </w:rPr>
              <w:t>;</w:t>
            </w:r>
            <w:r>
              <w:rPr>
                <w:rFonts w:ascii="宋体" w:hAnsi="宋体" w:cs="宋体" w:eastAsia="宋体" w:hint="default"/>
                <w:sz w:val="18"/>
                <w:szCs w:val="18"/>
              </w:rPr>
              <w:t>茅庆 江</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袁小 康</w:t>
            </w:r>
            <w:r>
              <w:rPr>
                <w:rFonts w:ascii="Times New Roman" w:hAnsi="Times New Roman" w:cs="Times New Roman" w:eastAsia="Times New Roman" w:hint="default"/>
                <w:sz w:val="18"/>
                <w:szCs w:val="18"/>
              </w:rPr>
              <w:t>;</w:t>
            </w: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 文</w:t>
            </w:r>
            <w:r>
              <w:rPr>
                <w:rFonts w:ascii="Times New Roman" w:hAnsi="Times New Roman" w:cs="Times New Roman" w:eastAsia="Times New Roman" w:hint="default"/>
                <w:sz w:val="18"/>
                <w:szCs w:val="18"/>
              </w:rPr>
              <w:t>;</w:t>
            </w:r>
            <w:r>
              <w:rPr>
                <w:rFonts w:ascii="宋体" w:hAnsi="宋体" w:cs="宋体" w:eastAsia="宋体" w:hint="default"/>
                <w:sz w:val="18"/>
                <w:szCs w:val="18"/>
              </w:rPr>
              <w:t>高传江</w:t>
            </w:r>
            <w:r>
              <w:rPr>
                <w:rFonts w:ascii="Times New Roman" w:hAnsi="Times New Roman" w:cs="Times New Roman" w:eastAsia="Times New Roman" w:hint="default"/>
                <w:sz w:val="18"/>
                <w:szCs w:val="18"/>
              </w:rPr>
              <w:t>;</w:t>
            </w:r>
            <w:r>
              <w:rPr>
                <w:rFonts w:ascii="宋体" w:hAnsi="宋体" w:cs="宋体" w:eastAsia="宋体" w:hint="default"/>
                <w:sz w:val="18"/>
                <w:szCs w:val="18"/>
              </w:rPr>
              <w:t>龙 罡</w:t>
            </w:r>
            <w:r>
              <w:rPr>
                <w:rFonts w:ascii="Times New Roman" w:hAnsi="Times New Roman" w:cs="Times New Roman" w:eastAsia="Times New Roman" w:hint="default"/>
                <w:sz w:val="18"/>
                <w:szCs w:val="18"/>
              </w:rPr>
              <w:t>;</w:t>
            </w:r>
            <w:r>
              <w:rPr>
                <w:rFonts w:ascii="宋体" w:hAnsi="宋体" w:cs="宋体" w:eastAsia="宋体" w:hint="default"/>
                <w:sz w:val="18"/>
                <w:szCs w:val="18"/>
              </w:rPr>
              <w:t>龙中胜</w:t>
            </w:r>
            <w:r>
              <w:rPr>
                <w:rFonts w:ascii="Times New Roman" w:hAnsi="Times New Roman" w:cs="Times New Roman" w:eastAsia="Times New Roman" w:hint="default"/>
                <w:sz w:val="18"/>
                <w:szCs w:val="18"/>
              </w:rPr>
              <w:t>;</w:t>
            </w:r>
            <w:r>
              <w:rPr>
                <w:rFonts w:ascii="宋体" w:hAnsi="宋体" w:cs="宋体" w:eastAsia="宋体" w:hint="default"/>
                <w:sz w:val="18"/>
                <w:szCs w:val="18"/>
              </w:rPr>
              <w:t>茅 屏萍</w:t>
            </w:r>
            <w:r>
              <w:rPr>
                <w:rFonts w:ascii="Times New Roman" w:hAnsi="Times New Roman" w:cs="Times New Roman" w:eastAsia="Times New Roman" w:hint="default"/>
                <w:sz w:val="18"/>
                <w:szCs w:val="18"/>
              </w:rPr>
              <w:t>;</w:t>
            </w:r>
            <w:r>
              <w:rPr>
                <w:rFonts w:ascii="宋体" w:hAnsi="宋体" w:cs="宋体" w:eastAsia="宋体" w:hint="default"/>
                <w:sz w:val="18"/>
                <w:szCs w:val="18"/>
              </w:rPr>
              <w:t>秦家银</w:t>
            </w:r>
            <w:r>
              <w:rPr>
                <w:rFonts w:ascii="Times New Roman" w:hAnsi="Times New Roman" w:cs="Times New Roman" w:eastAsia="Times New Roman" w:hint="default"/>
                <w:sz w:val="18"/>
                <w:szCs w:val="18"/>
              </w:rPr>
              <w:t>; </w:t>
            </w:r>
            <w:r>
              <w:rPr>
                <w:rFonts w:ascii="宋体" w:hAnsi="宋体" w:cs="宋体" w:eastAsia="宋体" w:hint="default"/>
                <w:sz w:val="18"/>
                <w:szCs w:val="18"/>
              </w:rPr>
              <w:t>王朝曦</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 </w:t>
            </w:r>
            <w:r>
              <w:rPr>
                <w:rFonts w:ascii="宋体" w:hAnsi="宋体" w:cs="宋体" w:eastAsia="宋体" w:hint="default"/>
                <w:sz w:val="18"/>
                <w:szCs w:val="18"/>
              </w:rPr>
              <w:t>郑盛泰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公司及其控 </w:t>
            </w:r>
            <w:r>
              <w:rPr>
                <w:rFonts w:ascii="宋体" w:hAnsi="宋体" w:cs="宋体" w:eastAsia="宋体" w:hint="default"/>
                <w:spacing w:val="-2"/>
                <w:sz w:val="18"/>
                <w:szCs w:val="18"/>
              </w:rPr>
              <w:t>股股东、实际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控制人茅庆 江，全体董 </w:t>
            </w:r>
            <w:r>
              <w:rPr>
                <w:rFonts w:ascii="宋体" w:hAnsi="宋体" w:cs="宋体" w:eastAsia="宋体" w:hint="default"/>
                <w:spacing w:val="-2"/>
                <w:sz w:val="18"/>
                <w:szCs w:val="18"/>
              </w:rPr>
              <w:t>事、监事、高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级管理人员 </w:t>
            </w:r>
            <w:r>
              <w:rPr>
                <w:rFonts w:ascii="宋体" w:hAnsi="宋体" w:cs="宋体" w:eastAsia="宋体" w:hint="default"/>
                <w:spacing w:val="-2"/>
                <w:sz w:val="18"/>
                <w:szCs w:val="18"/>
              </w:rPr>
              <w:t>茅庆江、雷洪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文、张勇、王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朝曦、秦家 </w:t>
            </w:r>
            <w:r>
              <w:rPr>
                <w:rFonts w:ascii="宋体" w:hAnsi="宋体" w:cs="宋体" w:eastAsia="宋体" w:hint="default"/>
                <w:spacing w:val="-2"/>
                <w:sz w:val="18"/>
                <w:szCs w:val="18"/>
              </w:rPr>
              <w:t>银、龙罡、郑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盛泰、高传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江、袁小康、 徐彪、茅屏 萍、龙中胜、 段汉文、陈翩 承诺：公司</w:t>
            </w:r>
          </w:p>
          <w:p>
            <w:pPr>
              <w:pStyle w:val="TableParagraph"/>
              <w:spacing w:line="316" w:lineRule="auto" w:before="17"/>
              <w:ind w:left="22" w:right="21"/>
              <w:jc w:val="left"/>
              <w:rPr>
                <w:rFonts w:ascii="宋体" w:hAnsi="宋体" w:cs="宋体" w:eastAsia="宋体" w:hint="default"/>
                <w:sz w:val="18"/>
                <w:szCs w:val="18"/>
              </w:rPr>
            </w:pPr>
            <w:r>
              <w:rPr>
                <w:rFonts w:ascii="宋体" w:hAnsi="宋体" w:cs="宋体" w:eastAsia="宋体" w:hint="default"/>
                <w:sz w:val="18"/>
                <w:szCs w:val="18"/>
              </w:rPr>
              <w:t>《招股说明 </w:t>
            </w:r>
            <w:r>
              <w:rPr>
                <w:rFonts w:ascii="宋体" w:hAnsi="宋体" w:cs="宋体" w:eastAsia="宋体" w:hint="default"/>
                <w:spacing w:val="-2"/>
                <w:sz w:val="18"/>
                <w:szCs w:val="18"/>
              </w:rPr>
              <w:t>书》有虚假记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 </w:t>
            </w:r>
            <w:r>
              <w:rPr>
                <w:rFonts w:ascii="宋体" w:hAnsi="宋体" w:cs="宋体" w:eastAsia="宋体" w:hint="default"/>
                <w:spacing w:val="-2"/>
                <w:sz w:val="18"/>
                <w:szCs w:val="18"/>
              </w:rPr>
              <w:t>遗漏，并因此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给投资者造 成直接损失 的，本公司</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pacing w:val="-2"/>
                <w:sz w:val="18"/>
                <w:szCs w:val="18"/>
              </w:rPr>
              <w:t>（或本人）将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依法就上述 事项向投资 者承担连带 </w:t>
            </w:r>
            <w:r>
              <w:rPr>
                <w:rFonts w:ascii="宋体" w:hAnsi="宋体" w:cs="宋体" w:eastAsia="宋体" w:hint="default"/>
                <w:spacing w:val="-2"/>
                <w:sz w:val="18"/>
                <w:szCs w:val="18"/>
              </w:rPr>
              <w:t>赔偿责任，但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本公司（或本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人）能够证明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自己没有过 错的除外。</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42"/>
              <w:ind w:left="23" w:right="89"/>
              <w:jc w:val="both"/>
              <w:rPr>
                <w:rFonts w:ascii="宋体" w:hAnsi="宋体" w:cs="宋体" w:eastAsia="宋体" w:hint="default"/>
                <w:sz w:val="18"/>
                <w:szCs w:val="18"/>
              </w:rPr>
            </w:pPr>
            <w:r>
              <w:rPr>
                <w:rFonts w:ascii="宋体" w:hAnsi="宋体" w:cs="宋体" w:eastAsia="宋体" w:hint="default"/>
                <w:sz w:val="18"/>
                <w:szCs w:val="18"/>
              </w:rPr>
              <w:t>广州市浩云 安防科技股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雷洪文</w:t>
            </w:r>
            <w:r>
              <w:rPr>
                <w:rFonts w:ascii="Times New Roman" w:hAnsi="Times New Roman" w:cs="Times New Roman" w:eastAsia="Times New Roman" w:hint="default"/>
                <w:sz w:val="18"/>
                <w:szCs w:val="18"/>
              </w:rPr>
              <w:t>;</w:t>
            </w:r>
            <w:r>
              <w:rPr>
                <w:rFonts w:ascii="宋体" w:hAnsi="宋体" w:cs="宋体" w:eastAsia="宋体" w:hint="default"/>
                <w:sz w:val="18"/>
                <w:szCs w:val="18"/>
              </w:rPr>
              <w:t>茅庆 江</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袁小 康</w:t>
            </w:r>
            <w:r>
              <w:rPr>
                <w:rFonts w:ascii="Times New Roman" w:hAnsi="Times New Roman" w:cs="Times New Roman" w:eastAsia="Times New Roman" w:hint="default"/>
                <w:sz w:val="18"/>
                <w:szCs w:val="18"/>
              </w:rPr>
              <w:t>;</w:t>
            </w: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 文</w:t>
            </w:r>
            <w:r>
              <w:rPr>
                <w:rFonts w:ascii="Times New Roman" w:hAnsi="Times New Roman" w:cs="Times New Roman" w:eastAsia="Times New Roman" w:hint="default"/>
                <w:sz w:val="18"/>
                <w:szCs w:val="18"/>
              </w:rPr>
              <w:t>;</w:t>
            </w:r>
            <w:r>
              <w:rPr>
                <w:rFonts w:ascii="宋体" w:hAnsi="宋体" w:cs="宋体" w:eastAsia="宋体" w:hint="default"/>
                <w:sz w:val="18"/>
                <w:szCs w:val="18"/>
              </w:rPr>
              <w:t>高传江</w:t>
            </w:r>
            <w:r>
              <w:rPr>
                <w:rFonts w:ascii="Times New Roman" w:hAnsi="Times New Roman" w:cs="Times New Roman" w:eastAsia="Times New Roman" w:hint="default"/>
                <w:sz w:val="18"/>
                <w:szCs w:val="18"/>
              </w:rPr>
              <w:t>;</w:t>
            </w:r>
            <w:r>
              <w:rPr>
                <w:rFonts w:ascii="宋体" w:hAnsi="宋体" w:cs="宋体" w:eastAsia="宋体" w:hint="default"/>
                <w:sz w:val="18"/>
                <w:szCs w:val="18"/>
              </w:rPr>
              <w:t>龙 罡</w:t>
            </w:r>
            <w:r>
              <w:rPr>
                <w:rFonts w:ascii="Times New Roman" w:hAnsi="Times New Roman" w:cs="Times New Roman" w:eastAsia="Times New Roman" w:hint="default"/>
                <w:sz w:val="18"/>
                <w:szCs w:val="18"/>
              </w:rPr>
              <w:t>;</w:t>
            </w:r>
            <w:r>
              <w:rPr>
                <w:rFonts w:ascii="宋体" w:hAnsi="宋体" w:cs="宋体" w:eastAsia="宋体" w:hint="default"/>
                <w:sz w:val="18"/>
                <w:szCs w:val="18"/>
              </w:rPr>
              <w:t>龙中胜</w:t>
            </w:r>
            <w:r>
              <w:rPr>
                <w:rFonts w:ascii="Times New Roman" w:hAnsi="Times New Roman" w:cs="Times New Roman" w:eastAsia="Times New Roman" w:hint="default"/>
                <w:sz w:val="18"/>
                <w:szCs w:val="18"/>
              </w:rPr>
              <w:t>;</w:t>
            </w:r>
            <w:r>
              <w:rPr>
                <w:rFonts w:ascii="宋体" w:hAnsi="宋体" w:cs="宋体" w:eastAsia="宋体" w:hint="default"/>
                <w:sz w:val="18"/>
                <w:szCs w:val="18"/>
              </w:rPr>
              <w:t>茅 屏萍</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w:t>
            </w:r>
            <w:r>
              <w:rPr>
                <w:rFonts w:ascii="宋体" w:hAnsi="宋体" w:cs="宋体" w:eastAsia="宋体" w:hint="default"/>
                <w:sz w:val="18"/>
                <w:szCs w:val="18"/>
              </w:rPr>
              <w:t>高 传江</w:t>
            </w:r>
            <w:r>
              <w:rPr>
                <w:rFonts w:ascii="Times New Roman" w:hAnsi="Times New Roman" w:cs="Times New Roman" w:eastAsia="Times New Roman" w:hint="default"/>
                <w:sz w:val="18"/>
                <w:szCs w:val="18"/>
              </w:rPr>
              <w:t>;</w:t>
            </w:r>
            <w:r>
              <w:rPr>
                <w:rFonts w:ascii="宋体" w:hAnsi="宋体" w:cs="宋体" w:eastAsia="宋体" w:hint="default"/>
                <w:sz w:val="18"/>
                <w:szCs w:val="18"/>
              </w:rPr>
              <w:t>龙罡</w:t>
            </w:r>
            <w:r>
              <w:rPr>
                <w:rFonts w:ascii="Times New Roman" w:hAnsi="Times New Roman" w:cs="Times New Roman" w:eastAsia="Times New Roman" w:hint="default"/>
                <w:sz w:val="18"/>
                <w:szCs w:val="18"/>
              </w:rPr>
              <w:t>;</w:t>
            </w:r>
            <w:r>
              <w:rPr>
                <w:rFonts w:ascii="宋体" w:hAnsi="宋体" w:cs="宋体" w:eastAsia="宋体" w:hint="default"/>
                <w:sz w:val="18"/>
                <w:szCs w:val="18"/>
              </w:rPr>
              <w:t>郑 盛泰</w:t>
            </w:r>
            <w:r>
              <w:rPr>
                <w:rFonts w:ascii="Times New Roman" w:hAnsi="Times New Roman" w:cs="Times New Roman" w:eastAsia="Times New Roman" w:hint="default"/>
                <w:sz w:val="18"/>
                <w:szCs w:val="18"/>
              </w:rPr>
              <w:t>;</w:t>
            </w:r>
            <w:r>
              <w:rPr>
                <w:rFonts w:ascii="宋体" w:hAnsi="宋体" w:cs="宋体" w:eastAsia="宋体" w:hint="default"/>
                <w:sz w:val="18"/>
                <w:szCs w:val="18"/>
              </w:rPr>
              <w:t>秦家银</w:t>
            </w:r>
            <w:r>
              <w:rPr>
                <w:rFonts w:ascii="Times New Roman" w:hAnsi="Times New Roman" w:cs="Times New Roman" w:eastAsia="Times New Roman" w:hint="default"/>
                <w:sz w:val="18"/>
                <w:szCs w:val="18"/>
              </w:rPr>
              <w:t>; </w:t>
            </w:r>
            <w:r>
              <w:rPr>
                <w:rFonts w:ascii="宋体" w:hAnsi="宋体" w:cs="宋体" w:eastAsia="宋体" w:hint="default"/>
                <w:sz w:val="18"/>
                <w:szCs w:val="18"/>
              </w:rPr>
              <w:t>王朝曦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tabs>
                <w:tab w:pos="832" w:val="left" w:leader="none"/>
              </w:tabs>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关于未能履 行承诺的约 束措施 公司及其控 股股东、实际 控制人茅庆 江，全体董 事、监事、高 级管理人员 茅庆江、雷洪 文、张勇、王 朝曦、秦家 银、袁小康、 徐彪、茅屏 萍、龙中胜、 段汉文、陈翩 承诺：</w:t>
              <w:tab/>
              <w:t>公 司如若不能 履行《招股说 明书》中列明 的承诺，则采 取或接受以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4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下措施：</w:t>
            </w:r>
          </w:p>
          <w:p>
            <w:pPr>
              <w:pStyle w:val="TableParagraph"/>
              <w:spacing w:line="312" w:lineRule="auto" w:before="76"/>
              <w:ind w:left="22" w:right="1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）在有关 监管机关要 求的期限内 予以纠正；</w:t>
            </w:r>
          </w:p>
          <w:p>
            <w:pPr>
              <w:pStyle w:val="TableParagraph"/>
              <w:spacing w:line="312" w:lineRule="auto" w:before="22"/>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）给投资 者造成直接 </w:t>
            </w:r>
            <w:r>
              <w:rPr>
                <w:rFonts w:ascii="宋体" w:hAnsi="宋体" w:cs="宋体" w:eastAsia="宋体" w:hint="default"/>
                <w:spacing w:val="-2"/>
                <w:sz w:val="18"/>
                <w:szCs w:val="18"/>
              </w:rPr>
              <w:t>损失的，依法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赔偿损失；</w:t>
            </w:r>
          </w:p>
          <w:p>
            <w:pPr>
              <w:pStyle w:val="TableParagraph"/>
              <w:spacing w:line="312" w:lineRule="auto" w:before="22"/>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）有违法 </w:t>
            </w:r>
            <w:r>
              <w:rPr>
                <w:rFonts w:ascii="宋体" w:hAnsi="宋体" w:cs="宋体" w:eastAsia="宋体" w:hint="default"/>
                <w:spacing w:val="-2"/>
                <w:sz w:val="18"/>
                <w:szCs w:val="18"/>
              </w:rPr>
              <w:t>所得的，按相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关法律法规 处理；</w:t>
            </w:r>
          </w:p>
          <w:p>
            <w:pPr>
              <w:pStyle w:val="TableParagraph"/>
              <w:spacing w:line="314" w:lineRule="auto" w:before="22"/>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）如该违 反的承诺属 可以继续履 行的，将继续 履行该承诺；</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）其他根 据届时规定 可以采取的 其他措施。 公司董事、监 事、高级管理 人员承诺不 因职务变更、 离职等原因 而放弃履行 已作出的承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firstLine="90"/>
              <w:jc w:val="left"/>
              <w:rPr>
                <w:rFonts w:ascii="宋体" w:hAnsi="宋体" w:cs="宋体" w:eastAsia="宋体" w:hint="default"/>
                <w:sz w:val="18"/>
                <w:szCs w:val="18"/>
              </w:rPr>
            </w:pPr>
            <w:r>
              <w:rPr>
                <w:rFonts w:ascii="宋体" w:hAnsi="宋体" w:cs="宋体" w:eastAsia="宋体" w:hint="default"/>
                <w:sz w:val="18"/>
                <w:szCs w:val="18"/>
              </w:rPr>
              <w:t>关于租赁无 产权证书仓 库的承诺： 鉴于公司承 租了位于广 州市番禺区 桥南街陈涌 工业区兴业 大道东七横 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房 的物业作仓</w:t>
            </w:r>
          </w:p>
          <w:p>
            <w:pPr>
              <w:pStyle w:val="TableParagraph"/>
              <w:spacing w:line="309" w:lineRule="auto" w:before="19"/>
              <w:ind w:left="22" w:right="12"/>
              <w:jc w:val="both"/>
              <w:rPr>
                <w:rFonts w:ascii="宋体" w:hAnsi="宋体" w:cs="宋体" w:eastAsia="宋体" w:hint="default"/>
                <w:sz w:val="18"/>
                <w:szCs w:val="18"/>
              </w:rPr>
            </w:pPr>
            <w:r>
              <w:rPr>
                <w:rFonts w:ascii="宋体" w:hAnsi="宋体" w:cs="宋体" w:eastAsia="宋体" w:hint="default"/>
                <w:sz w:val="18"/>
                <w:szCs w:val="18"/>
              </w:rPr>
              <w:t>库用途使用， 面积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675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平方 米，租赁期限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2014.3.1-2016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.1.30</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52.420013pt;margin-top:72.47998pt;width:71.1pt;height:407.7pt;mso-position-horizontal-relative:page;mso-position-vertical-relative:page;z-index:-921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jc w:val="left"/>
                  </w:pPr>
                  <w:r>
                    <w:rPr/>
                    <w:t>日，</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p>
          <w:p>
            <w:pPr>
              <w:pStyle w:val="TableParagraph"/>
              <w:spacing w:line="314"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该处房屋未 取得房产证。 就此事项，本 公司实际控 制人茅庆江</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16" w:lineRule="auto" w:before="63"/>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月作出确认 及承诺如下： </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本人承诺，若</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由于上述物 业瑕疵导致 不能正常使 用或被拆除 的，本人将承</w:t>
            </w:r>
            <w:r>
              <w:rPr>
                <w:rFonts w:ascii="宋体" w:hAnsi="宋体" w:cs="宋体" w:eastAsia="宋体" w:hint="default"/>
                <w:sz w:val="18"/>
                <w:szCs w:val="18"/>
              </w:rPr>
              <w:t> 担发行人因 此造成的全 部经济损失， 因该仓库搬 迁造成的全 部直接及间 接经济损失 也由本人无 条件承担。</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815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2"/>
                <w:sz w:val="20"/>
                <w:szCs w:val="20"/>
              </w:rPr>
              <w:pict>
                <v:group style="width:55.85pt;height:407.7pt;mso-position-horizontal-relative:char;mso-position-vertical-relative:line" coordorigin="0,0" coordsize="1117,8154">
                  <v:group style="position:absolute;left:0;top:0;width:1117;height:8154" coordorigin="0,0" coordsize="1117,8154">
                    <v:shape style="position:absolute;left:0;top:0;width:1117;height:8154" coordorigin="0,0" coordsize="1117,8154" path="m0,8154l1116,8154,1116,0,0,0,0,8154xe" filled="true" fillcolor="#ffffff" stroked="false">
                      <v:path arrowok="t"/>
                      <v:fill type="solid"/>
                    </v:shape>
                  </v:group>
                </v:group>
              </w:pict>
            </w:r>
            <w:r>
              <w:rPr>
                <w:rFonts w:ascii="Times New Roman" w:hAnsi="Times New Roman" w:cs="Times New Roman" w:eastAsia="Times New Roman" w:hint="default"/>
                <w:position w:val="-162"/>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雷洪文</w:t>
            </w:r>
            <w:r>
              <w:rPr>
                <w:rFonts w:ascii="Times New Roman" w:hAnsi="Times New Roman" w:cs="Times New Roman" w:eastAsia="Times New Roman" w:hint="default"/>
                <w:sz w:val="18"/>
                <w:szCs w:val="18"/>
              </w:rPr>
              <w:t>;</w:t>
            </w:r>
            <w:r>
              <w:rPr>
                <w:rFonts w:ascii="宋体" w:hAnsi="宋体" w:cs="宋体" w:eastAsia="宋体" w:hint="default"/>
                <w:sz w:val="18"/>
                <w:szCs w:val="18"/>
              </w:rPr>
              <w:t>茅庆 江</w:t>
            </w:r>
            <w:r>
              <w:rPr>
                <w:rFonts w:ascii="Times New Roman" w:hAnsi="Times New Roman" w:cs="Times New Roman" w:eastAsia="Times New Roman" w:hint="default"/>
                <w:sz w:val="18"/>
                <w:szCs w:val="18"/>
              </w:rPr>
              <w:t>;</w:t>
            </w:r>
            <w:r>
              <w:rPr>
                <w:rFonts w:ascii="宋体" w:hAnsi="宋体" w:cs="宋体" w:eastAsia="宋体" w:hint="default"/>
                <w:sz w:val="18"/>
                <w:szCs w:val="18"/>
              </w:rPr>
              <w:t>徐彪</w:t>
            </w:r>
            <w:r>
              <w:rPr>
                <w:rFonts w:ascii="Times New Roman" w:hAnsi="Times New Roman" w:cs="Times New Roman" w:eastAsia="Times New Roman" w:hint="default"/>
                <w:sz w:val="18"/>
                <w:szCs w:val="18"/>
              </w:rPr>
              <w:t>;</w:t>
            </w:r>
            <w:r>
              <w:rPr>
                <w:rFonts w:ascii="宋体" w:hAnsi="宋体" w:cs="宋体" w:eastAsia="宋体" w:hint="default"/>
                <w:sz w:val="18"/>
                <w:szCs w:val="18"/>
              </w:rPr>
              <w:t>袁小 康</w:t>
            </w:r>
            <w:r>
              <w:rPr>
                <w:rFonts w:ascii="Times New Roman" w:hAnsi="Times New Roman" w:cs="Times New Roman" w:eastAsia="Times New Roman" w:hint="default"/>
                <w:sz w:val="18"/>
                <w:szCs w:val="18"/>
              </w:rPr>
              <w:t>;</w:t>
            </w:r>
            <w:r>
              <w:rPr>
                <w:rFonts w:ascii="宋体" w:hAnsi="宋体" w:cs="宋体" w:eastAsia="宋体" w:hint="default"/>
                <w:sz w:val="18"/>
                <w:szCs w:val="18"/>
              </w:rPr>
              <w:t>陈翩</w:t>
            </w:r>
            <w:r>
              <w:rPr>
                <w:rFonts w:ascii="Times New Roman" w:hAnsi="Times New Roman" w:cs="Times New Roman" w:eastAsia="Times New Roman" w:hint="default"/>
                <w:sz w:val="18"/>
                <w:szCs w:val="18"/>
              </w:rPr>
              <w:t>;</w:t>
            </w:r>
            <w:r>
              <w:rPr>
                <w:rFonts w:ascii="宋体" w:hAnsi="宋体" w:cs="宋体" w:eastAsia="宋体" w:hint="default"/>
                <w:sz w:val="18"/>
                <w:szCs w:val="18"/>
              </w:rPr>
              <w:t>段汉 文</w:t>
            </w:r>
            <w:r>
              <w:rPr>
                <w:rFonts w:ascii="Times New Roman" w:hAnsi="Times New Roman" w:cs="Times New Roman" w:eastAsia="Times New Roman" w:hint="default"/>
                <w:sz w:val="18"/>
                <w:szCs w:val="18"/>
              </w:rPr>
              <w:t>;</w:t>
            </w:r>
            <w:r>
              <w:rPr>
                <w:rFonts w:ascii="宋体" w:hAnsi="宋体" w:cs="宋体" w:eastAsia="宋体" w:hint="default"/>
                <w:sz w:val="18"/>
                <w:szCs w:val="18"/>
              </w:rPr>
              <w:t>龙中胜</w:t>
            </w:r>
            <w:r>
              <w:rPr>
                <w:rFonts w:ascii="Times New Roman" w:hAnsi="Times New Roman" w:cs="Times New Roman" w:eastAsia="Times New Roman" w:hint="default"/>
                <w:sz w:val="18"/>
                <w:szCs w:val="18"/>
              </w:rPr>
              <w:t>;</w:t>
            </w:r>
            <w:r>
              <w:rPr>
                <w:rFonts w:ascii="宋体" w:hAnsi="宋体" w:cs="宋体" w:eastAsia="宋体" w:hint="default"/>
                <w:sz w:val="18"/>
                <w:szCs w:val="18"/>
              </w:rPr>
              <w:t>茅 屏萍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公司控股股 东、实际控制 人茅庆江，直 接或间接持 有公司股份 的董事、高级 管理人员雷 洪文、袁小 康、徐彪、龙 中胜、段汉 文、茅屏萍、 陈翩承诺： 本人所持公 司股票在原 各自承诺的 锁定期满后 两年内减持 的，减持价格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2015.4.24-201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5.10.24</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3"/>
              <w:jc w:val="left"/>
              <w:rPr>
                <w:rFonts w:ascii="宋体" w:hAnsi="宋体" w:cs="宋体" w:eastAsia="宋体" w:hint="default"/>
                <w:sz w:val="18"/>
                <w:szCs w:val="18"/>
              </w:rPr>
            </w:pPr>
            <w:r>
              <w:rPr>
                <w:rFonts w:ascii="宋体" w:hAnsi="宋体" w:cs="宋体" w:eastAsia="宋体" w:hint="default"/>
                <w:sz w:val="18"/>
                <w:szCs w:val="18"/>
              </w:rPr>
              <w:t>已履行完毕， 未发现存在 违反承诺的 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不低于发行 价；公司上市 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 公司股票连 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价，或者上市 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 收盘价低于 发行价，持有 公司股票的 锁定期自动 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持有公司股 份的董事和 高级管理人 员承诺不因 职务变更、离 职等原因不 担任相关职 务而放弃上 述承诺。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、承诺在未 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7</w:t>
            </w:r>
          </w:p>
          <w:p>
            <w:pPr>
              <w:pStyle w:val="TableParagraph"/>
              <w:spacing w:line="314"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日）不减</w:t>
            </w:r>
            <w:r>
              <w:rPr>
                <w:rFonts w:ascii="宋体" w:hAnsi="宋体" w:cs="宋体" w:eastAsia="宋体" w:hint="default"/>
                <w:sz w:val="18"/>
                <w:szCs w:val="18"/>
              </w:rPr>
              <w:t> 持所持公司 股份，以实际 行动切实维 护市场稳定， 保护投资者 利益； </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、承诺将根 据市场情况， 在法律、法规 允许的范围 内，积极探索 采取增持、股 权激励等措 施； </w:t>
            </w:r>
            <w:r>
              <w:rPr>
                <w:rFonts w:ascii="Times New Roman" w:hAnsi="Times New Roman" w:cs="Times New Roman" w:eastAsia="Times New Roman" w:hint="default"/>
                <w:sz w:val="18"/>
                <w:szCs w:val="18"/>
              </w:rPr>
              <w:t>3</w:t>
            </w:r>
            <w:r>
              <w:rPr>
                <w:rFonts w:ascii="宋体" w:hAnsi="宋体" w:cs="宋体" w:eastAsia="宋体" w:hint="default"/>
                <w:sz w:val="18"/>
                <w:szCs w:val="18"/>
              </w:rPr>
              <w:t>、承诺将立 足长远扎实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2015.7.8-2018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.7.7</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遵守承诺，未</w:t>
            </w:r>
            <w:r>
              <w:rPr>
                <w:rFonts w:ascii="宋体" w:hAnsi="宋体" w:cs="宋体" w:eastAsia="宋体" w:hint="default"/>
                <w:sz w:val="18"/>
                <w:szCs w:val="18"/>
              </w:rPr>
              <w:t> 发现存在违 反承诺的情 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878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做好实业发 展，努力强化 企业核心竞 争力，充分利 用好改革机 遇，发挥好资 本市场功能， 率先实现企 业转型发展， 以真实稳定 的业绩回报 广大股东； </w:t>
            </w:r>
            <w:r>
              <w:rPr>
                <w:rFonts w:ascii="Times New Roman" w:hAnsi="Times New Roman" w:cs="Times New Roman" w:eastAsia="Times New Roman" w:hint="default"/>
                <w:sz w:val="18"/>
                <w:szCs w:val="18"/>
              </w:rPr>
              <w:t>4</w:t>
            </w:r>
            <w:r>
              <w:rPr>
                <w:rFonts w:ascii="宋体" w:hAnsi="宋体" w:cs="宋体" w:eastAsia="宋体" w:hint="default"/>
                <w:sz w:val="18"/>
                <w:szCs w:val="18"/>
              </w:rPr>
              <w:t>、承诺诚信 经营规范发 展，持续提高 公司信息披 露质量，积极 践行投资者 关系管理，切 实保护投资 者合法权益， 努力推动中 小股东参与 公司治理和 重大决策，为 股东提供真 实、准确的投 资决策依据。</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Times New Roman" w:hAnsi="Times New Roman" w:cs="Times New Roman" w:eastAsia="Times New Roman" w:hint="default"/>
          <w:sz w:val="28"/>
          <w:szCs w:val="28"/>
        </w:rPr>
      </w:pPr>
    </w:p>
    <w:p>
      <w:pPr>
        <w:pStyle w:val="Heading3"/>
        <w:spacing w:line="386" w:lineRule="auto" w:before="35"/>
        <w:ind w:left="1134"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9"/>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8"/>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现聘任的会计师事务所</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魏标文、卢玲玉</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是否改聘会计师事务所</w:t>
      </w:r>
    </w:p>
    <w:p>
      <w:pPr>
        <w:spacing w:line="240" w:lineRule="auto" w:before="12"/>
        <w:rPr>
          <w:rFonts w:ascii="宋体" w:hAnsi="宋体" w:cs="宋体" w:eastAsia="宋体" w:hint="default"/>
          <w:sz w:val="20"/>
          <w:szCs w:val="20"/>
        </w:rPr>
      </w:pPr>
    </w:p>
    <w:p>
      <w:pPr>
        <w:pStyle w:val="BodyText"/>
        <w:spacing w:line="489" w:lineRule="auto"/>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8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9"/>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8"/>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0"/>
        <w:rPr>
          <w:rFonts w:ascii="宋体" w:hAnsi="宋体" w:cs="宋体" w:eastAsia="宋体" w:hint="default"/>
          <w:b/>
          <w:bCs/>
          <w:sz w:val="24"/>
          <w:szCs w:val="24"/>
        </w:rPr>
      </w:pPr>
    </w:p>
    <w:p>
      <w:pPr>
        <w:pStyle w:val="BodyText"/>
        <w:spacing w:line="489" w:lineRule="auto" w:before="189"/>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0"/>
        <w:rPr>
          <w:rFonts w:ascii="宋体" w:hAnsi="宋体" w:cs="宋体" w:eastAsia="宋体" w:hint="default"/>
          <w:b/>
          <w:bCs/>
          <w:sz w:val="24"/>
          <w:szCs w:val="24"/>
        </w:rPr>
      </w:pPr>
    </w:p>
    <w:p>
      <w:pPr>
        <w:pStyle w:val="BodyText"/>
        <w:spacing w:line="470" w:lineRule="auto" w:before="189"/>
        <w:ind w:right="11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日，经公司第二届董事会第八次会议审议通过了《关于广州市浩云安防科技股份有限公司</w:t>
      </w:r>
      <w:r>
        <w:rPr>
          <w:rFonts w:ascii="Times New Roman" w:hAnsi="Times New Roman" w:cs="Times New Roman" w:eastAsia="Times New Roman" w:hint="default"/>
        </w:rPr>
        <w:t>&lt;</w:t>
      </w:r>
      <w:r>
        <w:rPr/>
        <w:t>限制性股票激励 计划（草案）</w:t>
      </w:r>
      <w:r>
        <w:rPr>
          <w:rFonts w:ascii="Times New Roman" w:hAnsi="Times New Roman" w:cs="Times New Roman" w:eastAsia="Times New Roman" w:hint="default"/>
        </w:rPr>
        <w:t>&gt;</w:t>
      </w:r>
      <w:r>
        <w:rPr/>
        <w:t>及其摘要的议案》，公司独立董事对此发表了独立意见。</w:t>
      </w:r>
    </w:p>
    <w:p>
      <w:pPr>
        <w:pStyle w:val="BodyText"/>
        <w:spacing w:line="458" w:lineRule="auto" w:before="27"/>
        <w:ind w:right="113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日，公司召开的</w:t>
      </w:r>
      <w:r>
        <w:rPr>
          <w:rFonts w:ascii="Times New Roman" w:hAnsi="Times New Roman" w:cs="Times New Roman" w:eastAsia="Times New Roman" w:hint="default"/>
        </w:rPr>
        <w:t>2015</w:t>
      </w:r>
      <w:r>
        <w:rPr/>
        <w:t>年第二次临时股东大会审议通过了《关于广州市浩云安防科技股份有限公司</w:t>
      </w:r>
      <w:r>
        <w:rPr>
          <w:rFonts w:ascii="Times New Roman" w:hAnsi="Times New Roman" w:cs="Times New Roman" w:eastAsia="Times New Roman" w:hint="default"/>
        </w:rPr>
        <w:t>&lt;</w:t>
      </w:r>
      <w:r>
        <w:rPr/>
        <w:t>限制性</w:t>
      </w:r>
      <w:r>
        <w:rPr>
          <w:spacing w:val="-12"/>
        </w:rPr>
        <w:t> </w:t>
      </w:r>
      <w:r>
        <w:rPr/>
        <w:t>股票激励计划（草案）</w:t>
      </w:r>
      <w:r>
        <w:rPr>
          <w:rFonts w:ascii="Times New Roman" w:hAnsi="Times New Roman" w:cs="Times New Roman" w:eastAsia="Times New Roman" w:hint="default"/>
        </w:rPr>
        <w:t>&gt;</w:t>
      </w:r>
      <w:r>
        <w:rPr/>
        <w:t>及其摘要的议案》、《关于广州市浩云安防科技股份有限公司</w:t>
      </w:r>
      <w:r>
        <w:rPr>
          <w:rFonts w:ascii="Times New Roman" w:hAnsi="Times New Roman" w:cs="Times New Roman" w:eastAsia="Times New Roman" w:hint="default"/>
        </w:rPr>
        <w:t>&lt;</w:t>
      </w:r>
      <w:r>
        <w:rPr/>
        <w:t>限制性股票激励计划实施考核管理</w:t>
      </w:r>
      <w:r>
        <w:rPr>
          <w:spacing w:val="-25"/>
        </w:rPr>
        <w:t> </w:t>
      </w:r>
      <w:r>
        <w:rPr>
          <w:spacing w:val="-25"/>
        </w:rPr>
      </w:r>
      <w:r>
        <w:rPr/>
        <w:t>办法</w:t>
      </w:r>
      <w:r>
        <w:rPr>
          <w:rFonts w:ascii="Times New Roman" w:hAnsi="Times New Roman" w:cs="Times New Roman" w:eastAsia="Times New Roman" w:hint="default"/>
        </w:rPr>
        <w:t>&gt;</w:t>
      </w:r>
      <w:r>
        <w:rPr/>
        <w:t>的议案》和《关于提请广州市浩云安防科技股份有限公司股东大会授权董事会办理公司限制性股票激励计划相关事宜 </w:t>
      </w:r>
      <w:r>
        <w:rPr>
          <w:spacing w:val="-2"/>
        </w:rPr>
        <w:t>的议案》。董事会被授权确定限制性股票授予日、在激励对象符合条件时向激励对象授予限制性股票并办理授予限制性股票</w:t>
      </w:r>
      <w:r>
        <w:rPr>
          <w:spacing w:val="-66"/>
        </w:rPr>
        <w:t> </w:t>
      </w:r>
      <w:r>
        <w:rPr>
          <w:spacing w:val="-66"/>
        </w:rPr>
      </w:r>
      <w:r>
        <w:rPr/>
        <w:t>所必须的全部事宜。</w:t>
      </w:r>
    </w:p>
    <w:p>
      <w:pPr>
        <w:spacing w:after="0" w:line="45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日，经公司第二届董事会第十次会议审议通过了《关于调整限制性股票激励计划相关事项的议案》和《关</w:t>
      </w:r>
      <w:r>
        <w:rPr>
          <w:spacing w:val="-83"/>
        </w:rPr>
        <w:t> </w:t>
      </w:r>
      <w:r>
        <w:rPr>
          <w:spacing w:val="-83"/>
        </w:rPr>
      </w:r>
      <w:r>
        <w:rPr>
          <w:spacing w:val="-3"/>
        </w:rPr>
        <w:t>于向激励对象授予限制性股票的议案》，对限制性股票的授予数量、授予人数进行了调整，将计划授予数量由</w:t>
      </w:r>
      <w:r>
        <w:rPr>
          <w:rFonts w:ascii="Times New Roman" w:hAnsi="Times New Roman" w:cs="Times New Roman" w:eastAsia="Times New Roman" w:hint="default"/>
          <w:spacing w:val="-3"/>
        </w:rPr>
        <w:t>80.00</w:t>
      </w:r>
      <w:r>
        <w:rPr>
          <w:spacing w:val="-3"/>
        </w:rPr>
        <w:t>万股（预</w:t>
      </w:r>
      <w:r>
        <w:rPr>
          <w:spacing w:val="-50"/>
        </w:rPr>
        <w:t> </w:t>
      </w:r>
      <w:r>
        <w:rPr>
          <w:spacing w:val="-50"/>
        </w:rPr>
      </w:r>
      <w:r>
        <w:rPr/>
        <w:t>留</w:t>
      </w:r>
      <w:r>
        <w:rPr>
          <w:rFonts w:ascii="Times New Roman" w:hAnsi="Times New Roman" w:cs="Times New Roman" w:eastAsia="Times New Roman" w:hint="default"/>
        </w:rPr>
        <w:t>8.00</w:t>
      </w:r>
      <w:r>
        <w:rPr/>
        <w:t>万股）调整为</w:t>
      </w:r>
      <w:r>
        <w:rPr>
          <w:rFonts w:ascii="Times New Roman" w:hAnsi="Times New Roman" w:cs="Times New Roman" w:eastAsia="Times New Roman" w:hint="default"/>
        </w:rPr>
        <w:t>76.85</w:t>
      </w:r>
      <w:r>
        <w:rPr/>
        <w:t>万股（预留</w:t>
      </w:r>
      <w:r>
        <w:rPr>
          <w:rFonts w:ascii="Times New Roman" w:hAnsi="Times New Roman" w:cs="Times New Roman" w:eastAsia="Times New Roman" w:hint="default"/>
        </w:rPr>
        <w:t>8.00</w:t>
      </w:r>
      <w:r>
        <w:rPr/>
        <w:t>万股），首次授予的限制性股票的授予数量调整为</w:t>
      </w:r>
      <w:r>
        <w:rPr>
          <w:rFonts w:ascii="Times New Roman" w:hAnsi="Times New Roman" w:cs="Times New Roman" w:eastAsia="Times New Roman" w:hint="default"/>
        </w:rPr>
        <w:t>68.85</w:t>
      </w:r>
      <w:r>
        <w:rPr/>
        <w:t>万股，激励对象由</w:t>
      </w:r>
      <w:r>
        <w:rPr>
          <w:rFonts w:ascii="Times New Roman" w:hAnsi="Times New Roman" w:cs="Times New Roman" w:eastAsia="Times New Roman" w:hint="default"/>
        </w:rPr>
        <w:t>124</w:t>
      </w:r>
      <w:r>
        <w:rPr/>
        <w:t>名调</w:t>
      </w:r>
      <w:r>
        <w:rPr>
          <w:spacing w:val="-85"/>
        </w:rPr>
        <w:t> </w:t>
      </w:r>
      <w:r>
        <w:rPr/>
        <w:t>整为</w:t>
      </w:r>
      <w:r>
        <w:rPr>
          <w:rFonts w:ascii="Times New Roman" w:hAnsi="Times New Roman" w:cs="Times New Roman" w:eastAsia="Times New Roman" w:hint="default"/>
        </w:rPr>
        <w:t>113</w:t>
      </w:r>
      <w:r>
        <w:rPr/>
        <w:t>名，并确定了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日为授予日。公司独立董事对此发表了独立意见。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w:t>
      </w:r>
      <w:r>
        <w:rPr>
          <w:spacing w:val="-2"/>
        </w:rPr>
        <w:t>日，公司收到</w:t>
      </w:r>
      <w:r>
        <w:rPr>
          <w:rFonts w:ascii="Times New Roman" w:hAnsi="Times New Roman" w:cs="Times New Roman" w:eastAsia="Times New Roman" w:hint="default"/>
          <w:spacing w:val="-2"/>
        </w:rPr>
        <w:t>113</w:t>
      </w:r>
      <w:r>
        <w:rPr>
          <w:spacing w:val="-2"/>
        </w:rPr>
        <w:t>位激励对象缴纳的出资款，共计人民币</w:t>
      </w:r>
      <w:r>
        <w:rPr>
          <w:rFonts w:ascii="Times New Roman" w:hAnsi="Times New Roman" w:cs="Times New Roman" w:eastAsia="Times New Roman" w:hint="default"/>
          <w:spacing w:val="-2"/>
        </w:rPr>
        <w:t>1,918.161</w:t>
      </w:r>
      <w:r>
        <w:rPr>
          <w:spacing w:val="-2"/>
        </w:rPr>
        <w:t>万元。天健会计师事务所（特殊普通合伙）</w:t>
      </w:r>
      <w:r>
        <w:rPr>
          <w:spacing w:val="-46"/>
        </w:rPr>
        <w:t> </w:t>
      </w:r>
      <w:r>
        <w:rPr>
          <w:spacing w:val="-46"/>
        </w:rPr>
      </w:r>
      <w:r>
        <w:rPr/>
        <w:t>就激励对象缴款事项出具了验资报告。本次</w:t>
      </w:r>
      <w:r>
        <w:rPr>
          <w:rFonts w:ascii="Times New Roman" w:hAnsi="Times New Roman" w:cs="Times New Roman" w:eastAsia="Times New Roman" w:hint="default"/>
        </w:rPr>
        <w:t>68.85</w:t>
      </w:r>
      <w:r>
        <w:rPr/>
        <w:t>万股份已于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日公司在中国证券登记结算公司深圳分公司办理 完登记手续，上市日为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w:t>
      </w:r>
    </w:p>
    <w:p>
      <w:pPr>
        <w:pStyle w:val="BodyText"/>
        <w:spacing w:line="376" w:lineRule="auto" w:before="43"/>
        <w:ind w:left="1134" w:right="4272"/>
        <w:jc w:val="left"/>
      </w:pPr>
      <w:r>
        <w:rPr>
          <w:rFonts w:ascii="Times New Roman" w:hAnsi="Times New Roman" w:cs="Times New Roman" w:eastAsia="Times New Roman" w:hint="default"/>
        </w:rPr>
        <w:t>5</w:t>
      </w:r>
      <w:r>
        <w:rPr/>
        <w:t>、报告期内，公司确认股权激励成本共计</w:t>
      </w:r>
      <w:r>
        <w:rPr>
          <w:rFonts w:ascii="Times New Roman" w:hAnsi="Times New Roman" w:cs="Times New Roman" w:eastAsia="Times New Roman" w:hint="default"/>
        </w:rPr>
        <w:t>96.79</w:t>
      </w:r>
      <w:r>
        <w:rPr/>
        <w:t>万元。 上述本次股权激励相关事项及进展均已披露于公司信息披露指定媒体巨潮资讯网。</w:t>
      </w:r>
    </w:p>
    <w:p>
      <w:pPr>
        <w:spacing w:line="240" w:lineRule="auto" w:before="2"/>
        <w:rPr>
          <w:rFonts w:ascii="宋体" w:hAnsi="宋体" w:cs="宋体" w:eastAsia="宋体" w:hint="default"/>
          <w:sz w:val="23"/>
          <w:szCs w:val="23"/>
        </w:rPr>
      </w:pPr>
    </w:p>
    <w:p>
      <w:pPr>
        <w:pStyle w:val="Heading2"/>
        <w:spacing w:line="240" w:lineRule="auto"/>
        <w:ind w:left="1134"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4"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89"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5"/>
        <w:rPr>
          <w:rFonts w:ascii="宋体" w:hAnsi="宋体" w:cs="宋体" w:eastAsia="宋体" w:hint="default"/>
          <w:sz w:val="24"/>
          <w:szCs w:val="24"/>
        </w:rPr>
      </w:pPr>
    </w:p>
    <w:p>
      <w:pPr>
        <w:pStyle w:val="Heading3"/>
        <w:spacing w:line="240" w:lineRule="auto"/>
        <w:ind w:left="1134"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after="0" w:line="489"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both"/>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right="1130"/>
        <w:jc w:val="both"/>
      </w:pPr>
      <w:r>
        <w:rPr>
          <w:spacing w:val="-6"/>
        </w:rPr>
        <w:t>①</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28</w:t>
      </w:r>
      <w:r>
        <w:rPr>
          <w:spacing w:val="-6"/>
        </w:rPr>
        <w:t>日，浩云设备与兴业银行广州番禺支行签订了《最高额保证合同》（编号为兴银粤保字（番禺）第</w:t>
      </w:r>
      <w:r>
        <w:rPr>
          <w:rFonts w:ascii="Times New Roman" w:hAnsi="Times New Roman" w:cs="Times New Roman" w:eastAsia="Times New Roman" w:hint="default"/>
          <w:spacing w:val="-6"/>
        </w:rPr>
        <w:t>201403180001</w:t>
      </w:r>
      <w:r>
        <w:rPr>
          <w:rFonts w:ascii="Times New Roman" w:hAnsi="Times New Roman" w:cs="Times New Roman" w:eastAsia="Times New Roman" w:hint="default"/>
          <w:spacing w:val="-9"/>
        </w:rPr>
        <w:t> </w:t>
      </w:r>
      <w:r>
        <w:rPr>
          <w:spacing w:val="-2"/>
        </w:rPr>
        <w:t>号），该合同约定浩云设备为本公司与该行之间签署的《基本额度授信合同》（编号为兴银粤授字（番禺）第</w:t>
      </w:r>
      <w:r>
        <w:rPr>
          <w:rFonts w:ascii="Times New Roman" w:hAnsi="Times New Roman" w:cs="Times New Roman" w:eastAsia="Times New Roman" w:hint="default"/>
          <w:spacing w:val="-2"/>
        </w:rPr>
        <w:t>201403180001</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4"/>
        </w:rPr>
        <w:t>号）项下发生的债务提供连带责任保证担保，担保的最高债权额为</w:t>
      </w:r>
      <w:r>
        <w:rPr>
          <w:rFonts w:ascii="Times New Roman" w:hAnsi="Times New Roman" w:cs="Times New Roman" w:eastAsia="Times New Roman" w:hint="default"/>
          <w:spacing w:val="-4"/>
        </w:rPr>
        <w:t>4,000</w:t>
      </w:r>
      <w:r>
        <w:rPr>
          <w:spacing w:val="-4"/>
        </w:rPr>
        <w:t>万元，担保的主债权发生期间为</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日至</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w:t>
      </w:r>
    </w:p>
    <w:p>
      <w:pPr>
        <w:pStyle w:val="BodyText"/>
        <w:spacing w:line="451" w:lineRule="auto" w:before="83"/>
        <w:ind w:right="1040"/>
        <w:jc w:val="both"/>
      </w:pPr>
      <w:r>
        <w:rPr>
          <w:spacing w:val="-6"/>
        </w:rPr>
        <w:t>②</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28</w:t>
      </w:r>
      <w:r>
        <w:rPr>
          <w:spacing w:val="-6"/>
        </w:rPr>
        <w:t>日，茅庆江与兴业银行广州番禺支行签订了《最高额保证合同》（编号为兴银粤个保字（番禺）第</w:t>
      </w:r>
      <w:r>
        <w:rPr>
          <w:rFonts w:ascii="Times New Roman" w:hAnsi="Times New Roman" w:cs="Times New Roman" w:eastAsia="Times New Roman" w:hint="default"/>
          <w:spacing w:val="-6"/>
        </w:rPr>
        <w:t>201403180001</w:t>
      </w:r>
      <w:r>
        <w:rPr>
          <w:rFonts w:ascii="Times New Roman" w:hAnsi="Times New Roman" w:cs="Times New Roman" w:eastAsia="Times New Roman" w:hint="default"/>
          <w:spacing w:val="-9"/>
        </w:rPr>
        <w:t> </w:t>
      </w:r>
      <w:r>
        <w:rPr>
          <w:spacing w:val="-2"/>
        </w:rPr>
        <w:t>号），茅庆江为本公司与该行之间签署的《基本额度授信合同》（编号为兴银粤授字（番禺）第</w:t>
      </w:r>
      <w:r>
        <w:rPr>
          <w:rFonts w:ascii="Times New Roman" w:hAnsi="Times New Roman" w:cs="Times New Roman" w:eastAsia="Times New Roman" w:hint="default"/>
          <w:spacing w:val="-2"/>
        </w:rPr>
        <w:t>201403180001</w:t>
      </w:r>
      <w:r>
        <w:rPr>
          <w:spacing w:val="-2"/>
        </w:rPr>
        <w:t>号）项下发生</w:t>
      </w:r>
      <w:r>
        <w:rPr>
          <w:spacing w:val="-54"/>
        </w:rPr>
        <w:t> </w:t>
      </w:r>
      <w:r>
        <w:rPr>
          <w:spacing w:val="-54"/>
        </w:rPr>
      </w:r>
      <w:r>
        <w:rPr>
          <w:spacing w:val="-1"/>
        </w:rPr>
        <w:t>的债务提供连带责任保证担保，担保的最高债权额为</w:t>
      </w:r>
      <w:r>
        <w:rPr>
          <w:rFonts w:ascii="Times New Roman" w:hAnsi="Times New Roman" w:cs="Times New Roman" w:eastAsia="Times New Roman" w:hint="default"/>
          <w:spacing w:val="-1"/>
        </w:rPr>
        <w:t>4,000</w:t>
      </w:r>
      <w:r>
        <w:rPr>
          <w:spacing w:val="-1"/>
        </w:rPr>
        <w:t>万元，担保的主债权发生期间为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w:t>
      </w:r>
    </w:p>
    <w:p>
      <w:pPr>
        <w:pStyle w:val="BodyText"/>
        <w:spacing w:line="451" w:lineRule="auto" w:before="82"/>
        <w:ind w:right="1129"/>
        <w:jc w:val="both"/>
      </w:pPr>
      <w:r>
        <w:rPr>
          <w:spacing w:val="-2"/>
        </w:rPr>
        <w:t>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日，茅庆江与中国银行广州番禺支行签订了《最高额保证合同》（编号为</w:t>
      </w:r>
      <w:r>
        <w:rPr>
          <w:rFonts w:ascii="Times New Roman" w:hAnsi="Times New Roman" w:cs="Times New Roman" w:eastAsia="Times New Roman" w:hint="default"/>
          <w:spacing w:val="-2"/>
        </w:rPr>
        <w:t>GBZ476780120140251</w:t>
      </w:r>
      <w:r>
        <w:rPr>
          <w:spacing w:val="-2"/>
        </w:rPr>
        <w:t>），约定茅庆</w:t>
      </w:r>
      <w:r>
        <w:rPr>
          <w:spacing w:val="-43"/>
        </w:rPr>
        <w:t> </w:t>
      </w:r>
      <w:r>
        <w:rPr>
          <w:spacing w:val="-43"/>
        </w:rPr>
      </w:r>
      <w:r>
        <w:rPr/>
        <w:t>江为本公司向中国银行广州番禺支行申请银行授信项下借款提供担保，担保的最高债权额为</w:t>
      </w:r>
      <w:r>
        <w:rPr>
          <w:rFonts w:ascii="Times New Roman" w:hAnsi="Times New Roman" w:cs="Times New Roman" w:eastAsia="Times New Roman" w:hint="default"/>
        </w:rPr>
        <w:t>2,000</w:t>
      </w:r>
      <w:r>
        <w:rPr/>
        <w:t>万元，担保的主债权发生 期间为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日，担保方式为连带责任保证。</w:t>
      </w:r>
    </w:p>
    <w:p>
      <w:pPr>
        <w:pStyle w:val="BodyText"/>
        <w:spacing w:line="451" w:lineRule="auto" w:before="82"/>
        <w:ind w:right="1139"/>
        <w:jc w:val="both"/>
      </w:pPr>
      <w:r>
        <w:rPr/>
        <w:t>④</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日，雷洪文与中国银行广州番禺支行签订了《最高额保证合同》（编号为</w:t>
      </w:r>
      <w:r>
        <w:rPr>
          <w:rFonts w:ascii="Times New Roman" w:hAnsi="Times New Roman" w:cs="Times New Roman" w:eastAsia="Times New Roman" w:hint="default"/>
        </w:rPr>
        <w:t>GBZ47780120140252</w:t>
      </w:r>
      <w:r>
        <w:rPr/>
        <w:t>），约定雷洪 文为本公司向中国银行广州番禺支行申请银行授信项下借款提供担保，担保的最高债权额为</w:t>
      </w:r>
      <w:r>
        <w:rPr>
          <w:rFonts w:ascii="Times New Roman" w:hAnsi="Times New Roman" w:cs="Times New Roman" w:eastAsia="Times New Roman" w:hint="default"/>
        </w:rPr>
        <w:t>2,000</w:t>
      </w:r>
      <w:r>
        <w:rPr/>
        <w:t>万元，担保的主债权发生 期间为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日，担保方式为连带责任保证。</w:t>
      </w:r>
    </w:p>
    <w:p>
      <w:pPr>
        <w:pStyle w:val="BodyText"/>
        <w:spacing w:line="240" w:lineRule="auto" w:before="84"/>
        <w:ind w:right="0"/>
        <w:jc w:val="both"/>
      </w:pPr>
      <w:r>
        <w:rPr/>
        <w:t>重大关联交易临时报告披露网站相关查询</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浩云科技：首次公开发行股票并在创业板上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市招股意向书</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0"/>
        <w:rPr>
          <w:rFonts w:ascii="宋体" w:hAnsi="宋体" w:cs="宋体" w:eastAsia="宋体" w:hint="default"/>
          <w:sz w:val="24"/>
          <w:szCs w:val="24"/>
        </w:rPr>
      </w:pPr>
    </w:p>
    <w:p>
      <w:pPr>
        <w:pStyle w:val="Heading2"/>
        <w:spacing w:line="240" w:lineRule="auto" w:before="26"/>
        <w:ind w:left="1134"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489"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89"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中信银行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保本浮动 收益型、 封闭型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到期本息 入账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全额收 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到期本息 入账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全额收 回</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6,200</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46.38</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70"/>
        <w:gridCol w:w="7100"/>
      </w:tblGrid>
      <w:tr>
        <w:trPr>
          <w:trHeight w:val="714"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both"/>
              <w:rPr>
                <w:rFonts w:ascii="宋体" w:hAnsi="宋体" w:cs="宋体" w:eastAsia="宋体" w:hint="default"/>
                <w:sz w:val="18"/>
                <w:szCs w:val="18"/>
              </w:rPr>
            </w:pPr>
            <w:r>
              <w:rPr>
                <w:rFonts w:ascii="宋体" w:hAnsi="宋体" w:cs="宋体" w:eastAsia="宋体" w:hint="default"/>
                <w:spacing w:val="-3"/>
                <w:sz w:val="18"/>
                <w:szCs w:val="18"/>
              </w:rPr>
              <w:t>公司将在不影响主营业务正常开展的前提下，使用不超过人民币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万元自有资金购</w:t>
            </w:r>
            <w:r>
              <w:rPr>
                <w:rFonts w:ascii="宋体" w:hAnsi="宋体" w:cs="宋体" w:eastAsia="宋体" w:hint="default"/>
                <w:spacing w:val="-88"/>
                <w:sz w:val="18"/>
                <w:szCs w:val="18"/>
              </w:rPr>
              <w:t> </w:t>
            </w:r>
            <w:r>
              <w:rPr>
                <w:rFonts w:ascii="宋体" w:hAnsi="宋体" w:cs="宋体" w:eastAsia="宋体" w:hint="default"/>
                <w:sz w:val="18"/>
                <w:szCs w:val="18"/>
              </w:rPr>
              <w:t>买低风险的银行理财产品，在该额度内，资金可循环使用。投资期限自股东大会审议通过 之日起一年内有效。</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5"/>
        <w:rPr>
          <w:rFonts w:ascii="宋体" w:hAnsi="宋体" w:cs="宋体" w:eastAsia="宋体" w:hint="default"/>
          <w:sz w:val="24"/>
          <w:szCs w:val="24"/>
        </w:rPr>
      </w:pPr>
    </w:p>
    <w:p>
      <w:pPr>
        <w:pStyle w:val="Heading3"/>
        <w:spacing w:line="240" w:lineRule="auto"/>
        <w:ind w:left="1134"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489"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0"/>
        <w:rPr>
          <w:rFonts w:ascii="宋体" w:hAnsi="宋体" w:cs="宋体" w:eastAsia="宋体" w:hint="default"/>
          <w:b/>
          <w:bCs/>
          <w:sz w:val="24"/>
          <w:szCs w:val="24"/>
        </w:rPr>
      </w:pPr>
    </w:p>
    <w:p>
      <w:pPr>
        <w:pStyle w:val="BodyText"/>
        <w:spacing w:line="468" w:lineRule="auto" w:before="18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日，公司召开第二届董事会第四次会议，审议通过了《关于确定募集资金专项账户并授权总经理签订三方监</w:t>
      </w:r>
      <w:r>
        <w:rPr>
          <w:spacing w:val="-58"/>
        </w:rPr>
        <w:t> </w:t>
      </w:r>
      <w:r>
        <w:rPr>
          <w:spacing w:val="-58"/>
        </w:rPr>
      </w:r>
      <w:r>
        <w:rPr>
          <w:spacing w:val="-2"/>
        </w:rPr>
        <w:t>管协议的议案》、《关于使用募集资金置换已预先投入募投项目自筹资金的议案》，公司独立董事、监事会、保荐机构及会</w:t>
      </w:r>
      <w:r>
        <w:rPr>
          <w:spacing w:val="-70"/>
        </w:rPr>
        <w:t> </w:t>
      </w:r>
      <w:r>
        <w:rPr>
          <w:spacing w:val="-70"/>
        </w:rPr>
      </w:r>
      <w:r>
        <w:rPr>
          <w:spacing w:val="-2"/>
        </w:rPr>
        <w:t>计师事务所也就前述公司使用募投资金置换已预先投入募投项目自筹资金事项发表了相关意见或出具了相关报告，具体内容</w:t>
      </w:r>
      <w:r>
        <w:rPr>
          <w:spacing w:val="-64"/>
        </w:rPr>
        <w:t> </w:t>
      </w:r>
      <w:r>
        <w:rPr>
          <w:spacing w:val="-64"/>
        </w:rPr>
      </w:r>
      <w:r>
        <w:rPr/>
        <w:t>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日披露于巨潮资讯网的相关公告。 </w:t>
      </w:r>
      <w:r>
        <w:rPr>
          <w:rFonts w:ascii="Times New Roman" w:hAnsi="Times New Roman" w:cs="Times New Roman" w:eastAsia="Times New Roman" w:hint="default"/>
        </w:rPr>
        <w:t>2</w:t>
      </w:r>
      <w:r>
        <w:rPr/>
        <w:t>、报告期内，公司取得了</w:t>
      </w:r>
      <w:r>
        <w:rPr>
          <w:rFonts w:ascii="Times New Roman" w:hAnsi="Times New Roman" w:cs="Times New Roman" w:eastAsia="Times New Roman" w:hint="default"/>
        </w:rPr>
        <w:t>1</w:t>
      </w:r>
      <w:r>
        <w:rPr/>
        <w:t>项</w:t>
      </w:r>
      <w:r>
        <w:rPr>
          <w:rFonts w:ascii="Times New Roman" w:hAnsi="Times New Roman" w:cs="Times New Roman" w:eastAsia="Times New Roman" w:hint="default"/>
        </w:rPr>
        <w:t>“TSS”</w:t>
      </w:r>
      <w:r>
        <w:rPr/>
        <w:t>的商标注册证书，具体内容详见公司于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日披露于巨潮资讯网的相关公告。</w:t>
      </w:r>
    </w:p>
    <w:p>
      <w:pPr>
        <w:pStyle w:val="BodyText"/>
        <w:spacing w:line="456" w:lineRule="auto" w:before="29"/>
        <w:ind w:right="1121"/>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19</w:t>
      </w:r>
      <w:r>
        <w:rPr>
          <w:spacing w:val="-5"/>
        </w:rPr>
        <w:t>日，公司召开第二届董事会第五次会议，审议通过了《关于修改公司章程并办理工商变更登记的议案》、《关</w:t>
      </w:r>
      <w:r>
        <w:rPr>
          <w:spacing w:val="-60"/>
        </w:rPr>
        <w:t> </w:t>
      </w:r>
      <w:r>
        <w:rPr>
          <w:spacing w:val="-60"/>
        </w:rPr>
      </w:r>
      <w:r>
        <w:rPr>
          <w:spacing w:val="-1"/>
        </w:rPr>
        <w:t>于审议公司</w:t>
      </w:r>
      <w:r>
        <w:rPr>
          <w:rFonts w:ascii="Times New Roman" w:hAnsi="Times New Roman" w:cs="Times New Roman" w:eastAsia="Times New Roman" w:hint="default"/>
          <w:spacing w:val="-1"/>
        </w:rPr>
        <w:t>&lt;</w:t>
      </w:r>
      <w:r>
        <w:rPr>
          <w:spacing w:val="-1"/>
        </w:rPr>
        <w:t>内幕信息知情人登记制度</w:t>
      </w:r>
      <w:r>
        <w:rPr>
          <w:rFonts w:ascii="Times New Roman" w:hAnsi="Times New Roman" w:cs="Times New Roman" w:eastAsia="Times New Roman" w:hint="default"/>
          <w:spacing w:val="-1"/>
        </w:rPr>
        <w:t>&gt;</w:t>
      </w:r>
      <w:r>
        <w:rPr>
          <w:spacing w:val="-1"/>
        </w:rPr>
        <w:t>的议案》、《关于审议公司</w:t>
      </w:r>
      <w:r>
        <w:rPr>
          <w:rFonts w:ascii="Times New Roman" w:hAnsi="Times New Roman" w:cs="Times New Roman" w:eastAsia="Times New Roman" w:hint="default"/>
          <w:spacing w:val="-1"/>
        </w:rPr>
        <w:t>&lt;</w:t>
      </w:r>
      <w:r>
        <w:rPr>
          <w:spacing w:val="-1"/>
        </w:rPr>
        <w:t>重大信息内部报告制度</w:t>
      </w:r>
      <w:r>
        <w:rPr>
          <w:rFonts w:ascii="Times New Roman" w:hAnsi="Times New Roman" w:cs="Times New Roman" w:eastAsia="Times New Roman" w:hint="default"/>
          <w:spacing w:val="-1"/>
        </w:rPr>
        <w:t>&gt;</w:t>
      </w:r>
      <w:r>
        <w:rPr>
          <w:spacing w:val="-1"/>
        </w:rPr>
        <w:t>的议案》、《关于审议公司</w:t>
      </w:r>
      <w:r>
        <w:rPr>
          <w:rFonts w:ascii="Times New Roman" w:hAnsi="Times New Roman" w:cs="Times New Roman" w:eastAsia="Times New Roman" w:hint="default"/>
          <w:spacing w:val="-1"/>
        </w:rPr>
        <w:t>&lt;</w:t>
      </w:r>
      <w:r>
        <w:rPr>
          <w:spacing w:val="-1"/>
        </w:rPr>
        <w:t>股</w:t>
      </w:r>
      <w:r>
        <w:rPr>
          <w:spacing w:val="-86"/>
        </w:rPr>
        <w:t> </w:t>
      </w:r>
      <w:r>
        <w:rPr>
          <w:spacing w:val="-1"/>
        </w:rPr>
        <w:t>东大会网络投票实施细则</w:t>
      </w:r>
      <w:r>
        <w:rPr>
          <w:rFonts w:ascii="Times New Roman" w:hAnsi="Times New Roman" w:cs="Times New Roman" w:eastAsia="Times New Roman" w:hint="default"/>
          <w:spacing w:val="-1"/>
        </w:rPr>
        <w:t>&gt;</w:t>
      </w:r>
      <w:r>
        <w:rPr>
          <w:spacing w:val="-1"/>
        </w:rPr>
        <w:t>的议案》、《关于修订公司</w:t>
      </w:r>
      <w:r>
        <w:rPr>
          <w:rFonts w:ascii="Times New Roman" w:hAnsi="Times New Roman" w:cs="Times New Roman" w:eastAsia="Times New Roman" w:hint="default"/>
          <w:spacing w:val="-1"/>
        </w:rPr>
        <w:t>&lt;</w:t>
      </w:r>
      <w:r>
        <w:rPr>
          <w:spacing w:val="-1"/>
        </w:rPr>
        <w:t>募集资金管理制度</w:t>
      </w:r>
      <w:r>
        <w:rPr>
          <w:rFonts w:ascii="Times New Roman" w:hAnsi="Times New Roman" w:cs="Times New Roman" w:eastAsia="Times New Roman" w:hint="default"/>
          <w:spacing w:val="-1"/>
        </w:rPr>
        <w:t>&gt;</w:t>
      </w:r>
      <w:r>
        <w:rPr>
          <w:spacing w:val="-1"/>
        </w:rPr>
        <w:t>的议案》、《关于公司使用部分闲置自有资金购</w:t>
      </w:r>
      <w:r>
        <w:rPr>
          <w:spacing w:val="-64"/>
        </w:rPr>
        <w:t> </w:t>
      </w:r>
      <w:r>
        <w:rPr>
          <w:spacing w:val="-64"/>
        </w:rPr>
      </w:r>
      <w:r>
        <w:rPr>
          <w:spacing w:val="-5"/>
        </w:rPr>
        <w:t>买理财产品的议案》以及《关于召开公司</w:t>
      </w:r>
      <w:r>
        <w:rPr>
          <w:rFonts w:ascii="Times New Roman" w:hAnsi="Times New Roman" w:cs="Times New Roman" w:eastAsia="Times New Roman" w:hint="default"/>
          <w:spacing w:val="-5"/>
        </w:rPr>
        <w:t>2015</w:t>
      </w:r>
      <w:r>
        <w:rPr>
          <w:spacing w:val="-5"/>
        </w:rPr>
        <w:t>年第一次临时股东大会的议案》，公司第二届监事会第四次会议审议通过了《关</w:t>
      </w:r>
      <w:r>
        <w:rPr>
          <w:spacing w:val="-68"/>
        </w:rPr>
        <w:t> </w:t>
      </w:r>
      <w:r>
        <w:rPr>
          <w:spacing w:val="-68"/>
        </w:rPr>
      </w:r>
      <w:r>
        <w:rPr>
          <w:spacing w:val="-2"/>
        </w:rPr>
        <w:t>于公司使用部分闲置自有资金购买理财产品的议案》，公司独立董事也就公司使用部分闲置自有资金购买理财产品的事项发</w:t>
      </w:r>
      <w:r>
        <w:rPr>
          <w:spacing w:val="-64"/>
        </w:rPr>
        <w:t> </w:t>
      </w:r>
      <w:r>
        <w:rPr>
          <w:spacing w:val="-64"/>
        </w:rPr>
      </w:r>
      <w:r>
        <w:rPr/>
        <w:t>表了独立意见，具体内容详见公司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日披露于巨潮资讯网的相关公告。 </w:t>
      </w:r>
      <w:r>
        <w:rPr>
          <w:rFonts w:ascii="Times New Roman" w:hAnsi="Times New Roman" w:cs="Times New Roman" w:eastAsia="Times New Roman" w:hint="default"/>
          <w:spacing w:val="-2"/>
        </w:rPr>
        <w:t>4</w:t>
      </w:r>
      <w:r>
        <w:rPr>
          <w:spacing w:val="-2"/>
        </w:rPr>
        <w:t>、报告期内，公司持有的原</w:t>
      </w:r>
      <w:r>
        <w:rPr>
          <w:rFonts w:ascii="Times New Roman" w:hAnsi="Times New Roman" w:cs="Times New Roman" w:eastAsia="Times New Roman" w:hint="default"/>
          <w:spacing w:val="-2"/>
        </w:rPr>
        <w:t>“</w:t>
      </w:r>
      <w:r>
        <w:rPr>
          <w:spacing w:val="-2"/>
        </w:rPr>
        <w:t>工程设计与施工资质证书</w:t>
      </w:r>
      <w:r>
        <w:rPr>
          <w:rFonts w:ascii="Times New Roman" w:hAnsi="Times New Roman" w:cs="Times New Roman" w:eastAsia="Times New Roman" w:hint="default"/>
          <w:spacing w:val="-2"/>
        </w:rPr>
        <w:t>”</w:t>
      </w:r>
      <w:r>
        <w:rPr>
          <w:spacing w:val="-2"/>
        </w:rPr>
        <w:t>到期并顺利获得续期证书，具体内容详见公司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日披露于</w:t>
      </w:r>
    </w:p>
    <w:p>
      <w:pPr>
        <w:spacing w:after="0" w:line="45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3" w:lineRule="auto"/>
        <w:ind w:right="1123"/>
        <w:jc w:val="left"/>
      </w:pPr>
      <w:r>
        <w:rPr/>
        <w:t>巨潮资讯网的相关公告。 </w:t>
      </w:r>
      <w:r>
        <w:rPr>
          <w:rFonts w:ascii="Times New Roman" w:hAnsi="Times New Roman" w:cs="Times New Roman" w:eastAsia="Times New Roman" w:hint="default"/>
        </w:rPr>
        <w:t>5</w:t>
      </w:r>
      <w:r>
        <w:rPr/>
        <w:t>、公司关于更正</w:t>
      </w:r>
      <w:r>
        <w:rPr>
          <w:rFonts w:ascii="Times New Roman" w:hAnsi="Times New Roman" w:cs="Times New Roman" w:eastAsia="Times New Roman" w:hint="default"/>
        </w:rPr>
        <w:t>2015</w:t>
      </w:r>
      <w:r>
        <w:rPr/>
        <w:t>年第一次临时股东大会的现场会议召开时间、网络投票时间及现场会议登记时间的公告详见公司</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日披露于巨潮资讯网的相关公告。 </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日，股东茅庆江先生向公司董事会提交了《关于提议增加</w:t>
      </w:r>
      <w:r>
        <w:rPr>
          <w:rFonts w:ascii="Times New Roman" w:hAnsi="Times New Roman" w:cs="Times New Roman" w:eastAsia="Times New Roman" w:hint="default"/>
          <w:spacing w:val="-2"/>
        </w:rPr>
        <w:t>2015</w:t>
      </w:r>
      <w:r>
        <w:rPr>
          <w:spacing w:val="-2"/>
        </w:rPr>
        <w:t>年第一次临时股东大会临时提案的函》，提议</w:t>
      </w:r>
      <w:r>
        <w:rPr>
          <w:spacing w:val="-55"/>
        </w:rPr>
        <w:t> </w:t>
      </w:r>
      <w:r>
        <w:rPr>
          <w:spacing w:val="-55"/>
        </w:rPr>
      </w:r>
      <w:r>
        <w:rPr>
          <w:spacing w:val="-2"/>
        </w:rPr>
        <w:t>公司将《关于公司使用部分闲置自有资金购买理财产品的议案》作为新增的临时提案提交公司</w:t>
      </w:r>
      <w:r>
        <w:rPr>
          <w:rFonts w:ascii="Times New Roman" w:hAnsi="Times New Roman" w:cs="Times New Roman" w:eastAsia="Times New Roman" w:hint="default"/>
          <w:spacing w:val="-2"/>
        </w:rPr>
        <w:t>2015</w:t>
      </w:r>
      <w:r>
        <w:rPr>
          <w:spacing w:val="-2"/>
        </w:rPr>
        <w:t>年第一次临时股东大会审</w:t>
      </w:r>
      <w:r>
        <w:rPr>
          <w:spacing w:val="-59"/>
        </w:rPr>
        <w:t> </w:t>
      </w:r>
      <w:r>
        <w:rPr/>
        <w:t>议。收到前述函件及提案后，公司于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日召开第二届董事会第六次会议，审议通过了《关于将股东茅庆江提交的 </w:t>
      </w:r>
      <w:r>
        <w:rPr>
          <w:spacing w:val="-2"/>
        </w:rPr>
        <w:t>临时提案提交公司</w:t>
      </w:r>
      <w:r>
        <w:rPr>
          <w:rFonts w:ascii="Times New Roman" w:hAnsi="Times New Roman" w:cs="Times New Roman" w:eastAsia="Times New Roman" w:hint="default"/>
          <w:spacing w:val="-2"/>
        </w:rPr>
        <w:t>2015</w:t>
      </w:r>
      <w:r>
        <w:rPr>
          <w:spacing w:val="-2"/>
        </w:rPr>
        <w:t>年第一次临时股东大会审议的议案》，暨同意将《关于公司使用部分闲置自有资金购买理财产品的议</w:t>
      </w:r>
      <w:r>
        <w:rPr>
          <w:spacing w:val="-62"/>
        </w:rPr>
        <w:t> </w:t>
      </w:r>
      <w:r>
        <w:rPr>
          <w:spacing w:val="-62"/>
        </w:rPr>
      </w:r>
      <w:r>
        <w:rPr>
          <w:spacing w:val="-2"/>
        </w:rPr>
        <w:t>案》提交公司</w:t>
      </w:r>
      <w:r>
        <w:rPr>
          <w:rFonts w:ascii="Times New Roman" w:hAnsi="Times New Roman" w:cs="Times New Roman" w:eastAsia="Times New Roman" w:hint="default"/>
          <w:spacing w:val="-2"/>
        </w:rPr>
        <w:t>2015</w:t>
      </w:r>
      <w:r>
        <w:rPr>
          <w:spacing w:val="-2"/>
        </w:rPr>
        <w:t>年第一次临时股东大会审议，公司保荐机构就公司使用部分闲置自有资金购买理财产品事项发表了核查意</w:t>
      </w:r>
      <w:r>
        <w:rPr>
          <w:spacing w:val="-60"/>
        </w:rPr>
        <w:t> </w:t>
      </w:r>
      <w:r>
        <w:rPr>
          <w:spacing w:val="-60"/>
        </w:rPr>
      </w:r>
      <w:r>
        <w:rPr/>
        <w:t>见，公司并于同日发布了</w:t>
      </w:r>
      <w:r>
        <w:rPr>
          <w:rFonts w:ascii="Times New Roman" w:hAnsi="Times New Roman" w:cs="Times New Roman" w:eastAsia="Times New Roman" w:hint="default"/>
        </w:rPr>
        <w:t>“</w:t>
      </w:r>
      <w:r>
        <w:rPr/>
        <w:t>关于</w:t>
      </w:r>
      <w:r>
        <w:rPr>
          <w:rFonts w:ascii="Times New Roman" w:hAnsi="Times New Roman" w:cs="Times New Roman" w:eastAsia="Times New Roman" w:hint="default"/>
        </w:rPr>
        <w:t>2015</w:t>
      </w:r>
      <w:r>
        <w:rPr/>
        <w:t>年第一次临时股东大会增加临时提案暨股东大会补充通知的公告</w:t>
      </w:r>
      <w:r>
        <w:rPr>
          <w:rFonts w:ascii="Times New Roman" w:hAnsi="Times New Roman" w:cs="Times New Roman" w:eastAsia="Times New Roman" w:hint="default"/>
        </w:rPr>
        <w:t>”</w:t>
      </w:r>
      <w:r>
        <w:rPr/>
        <w:t>，前述具体内容详见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日披露于巨潮资讯网的相关公告。</w:t>
      </w:r>
    </w:p>
    <w:p>
      <w:pPr>
        <w:pStyle w:val="BodyText"/>
        <w:spacing w:line="453" w:lineRule="auto" w:before="41"/>
        <w:ind w:right="112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日，公司收到董事长暨公司控股股东、实际控制人茅庆江先生关于提振股票市场信心承诺的通知，公司于同 日对外进行了披露，具体内容详见公司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日披露于巨潮资讯网的相关公告。 </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日，公司收到广州市工商行政管理局颁发的《营业执照》，公司注册资本由原来的陆仟万元整变更为捌仟万</w:t>
      </w:r>
      <w:r>
        <w:rPr>
          <w:spacing w:val="-58"/>
        </w:rPr>
        <w:t> </w:t>
      </w:r>
      <w:r>
        <w:rPr>
          <w:spacing w:val="-58"/>
        </w:rPr>
      </w:r>
      <w:r>
        <w:rPr/>
        <w:t>元整，具体内容详见公司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日披露于巨潮资讯网的相关公告。 </w:t>
      </w:r>
      <w:r>
        <w:rPr>
          <w:rFonts w:ascii="Times New Roman" w:hAnsi="Times New Roman" w:cs="Times New Roman" w:eastAsia="Times New Roman" w:hint="default"/>
        </w:rPr>
        <w:t>9</w:t>
      </w:r>
      <w:r>
        <w:rPr/>
        <w:t>、报告期内，公司持有的原</w:t>
      </w:r>
      <w:r>
        <w:rPr>
          <w:rFonts w:ascii="Times New Roman" w:hAnsi="Times New Roman" w:cs="Times New Roman" w:eastAsia="Times New Roman" w:hint="default"/>
        </w:rPr>
        <w:t>“</w:t>
      </w:r>
      <w:r>
        <w:rPr/>
        <w:t>广东省安全技术防范系统设计、施工、维修资格证书</w:t>
      </w:r>
      <w:r>
        <w:rPr>
          <w:rFonts w:ascii="Times New Roman" w:hAnsi="Times New Roman" w:cs="Times New Roman" w:eastAsia="Times New Roman" w:hint="default"/>
        </w:rPr>
        <w:t>”</w:t>
      </w:r>
      <w:r>
        <w:rPr/>
        <w:t>到期并顺利获得续期证书，具体内容详 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日披露于巨潮资讯网的相关公告。 </w:t>
      </w:r>
      <w:r>
        <w:rPr>
          <w:rFonts w:ascii="Times New Roman" w:hAnsi="Times New Roman" w:cs="Times New Roman" w:eastAsia="Times New Roman" w:hint="default"/>
          <w:spacing w:val="-5"/>
        </w:rPr>
        <w:t>10</w:t>
      </w:r>
      <w:r>
        <w:rPr>
          <w:spacing w:val="-5"/>
        </w:rPr>
        <w:t>、报告期内，公司依照第二届董事会第五次会议、第二届监事会第四次会议以及</w:t>
      </w:r>
      <w:r>
        <w:rPr>
          <w:rFonts w:ascii="Times New Roman" w:hAnsi="Times New Roman" w:cs="Times New Roman" w:eastAsia="Times New Roman" w:hint="default"/>
          <w:spacing w:val="-5"/>
        </w:rPr>
        <w:t>2015</w:t>
      </w:r>
      <w:r>
        <w:rPr>
          <w:spacing w:val="-5"/>
        </w:rPr>
        <w:t>年第一次临时股东大会审议通过的《关</w:t>
      </w:r>
      <w:r>
        <w:rPr>
          <w:spacing w:val="-66"/>
        </w:rPr>
        <w:t> </w:t>
      </w:r>
      <w:r>
        <w:rPr>
          <w:spacing w:val="-66"/>
        </w:rPr>
      </w:r>
      <w:r>
        <w:rPr>
          <w:spacing w:val="-2"/>
        </w:rPr>
        <w:t>于公司使用部分闲置自有资金购买理财产品的议案》决议，分别与中信银行签订了购买理财产品的协议，使用闲置自有资金</w:t>
      </w:r>
      <w:r>
        <w:rPr>
          <w:spacing w:val="-65"/>
        </w:rPr>
        <w:t> </w:t>
      </w:r>
      <w:r>
        <w:rPr>
          <w:spacing w:val="-65"/>
        </w:rPr>
      </w:r>
      <w:r>
        <w:rPr>
          <w:rFonts w:ascii="Times New Roman" w:hAnsi="Times New Roman" w:cs="Times New Roman" w:eastAsia="Times New Roman" w:hint="default"/>
          <w:spacing w:val="-1"/>
        </w:rPr>
        <w:t>2,700.00</w:t>
      </w:r>
      <w:r>
        <w:rPr>
          <w:spacing w:val="-1"/>
        </w:rPr>
        <w:t>万元购买了</w:t>
      </w:r>
      <w:r>
        <w:rPr>
          <w:rFonts w:ascii="Times New Roman" w:hAnsi="Times New Roman" w:cs="Times New Roman" w:eastAsia="Times New Roman" w:hint="default"/>
          <w:spacing w:val="-1"/>
        </w:rPr>
        <w:t>“</w:t>
      </w:r>
      <w:r>
        <w:rPr>
          <w:spacing w:val="-1"/>
        </w:rPr>
        <w:t>保本浮动收益型、封闭性</w:t>
      </w:r>
      <w:r>
        <w:rPr>
          <w:rFonts w:ascii="Times New Roman" w:hAnsi="Times New Roman" w:cs="Times New Roman" w:eastAsia="Times New Roman" w:hint="default"/>
          <w:spacing w:val="-1"/>
        </w:rPr>
        <w:t>”</w:t>
      </w:r>
      <w:r>
        <w:rPr>
          <w:spacing w:val="-1"/>
        </w:rPr>
        <w:t>、为期</w:t>
      </w:r>
      <w:r>
        <w:rPr>
          <w:rFonts w:ascii="Times New Roman" w:hAnsi="Times New Roman" w:cs="Times New Roman" w:eastAsia="Times New Roman" w:hint="default"/>
          <w:spacing w:val="-1"/>
        </w:rPr>
        <w:t>90</w:t>
      </w:r>
      <w:r>
        <w:rPr>
          <w:spacing w:val="-1"/>
        </w:rPr>
        <w:t>天（自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7</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5</w:t>
      </w:r>
      <w:r>
        <w:rPr>
          <w:spacing w:val="-1"/>
        </w:rPr>
        <w:t>日）的结构性理财产品以及与中</w:t>
      </w:r>
      <w:r>
        <w:rPr/>
        <w:t> 国银行签订了购买理财产品的协议，使用闲置自有资金</w:t>
      </w:r>
      <w:r>
        <w:rPr>
          <w:rFonts w:ascii="Times New Roman" w:hAnsi="Times New Roman" w:cs="Times New Roman" w:eastAsia="Times New Roman" w:hint="default"/>
        </w:rPr>
        <w:t>3,500.00</w:t>
      </w:r>
      <w:r>
        <w:rPr/>
        <w:t>万元购买了</w:t>
      </w:r>
      <w:r>
        <w:rPr>
          <w:rFonts w:ascii="Times New Roman" w:hAnsi="Times New Roman" w:cs="Times New Roman" w:eastAsia="Times New Roman" w:hint="default"/>
        </w:rPr>
        <w:t>“</w:t>
      </w:r>
      <w:r>
        <w:rPr/>
        <w:t>保证收益型</w:t>
      </w:r>
      <w:r>
        <w:rPr>
          <w:rFonts w:ascii="Times New Roman" w:hAnsi="Times New Roman" w:cs="Times New Roman" w:eastAsia="Times New Roman" w:hint="default"/>
        </w:rPr>
        <w:t>”</w:t>
      </w:r>
      <w:r>
        <w:rPr/>
        <w:t>、期限为自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日的保本理财产品，具体内容详见公司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日披露于巨潮资讯网的相关公告；公司已分别 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日收到前述理财产品的本息共</w:t>
      </w:r>
      <w:r>
        <w:rPr>
          <w:rFonts w:ascii="Times New Roman" w:hAnsi="Times New Roman" w:cs="Times New Roman" w:eastAsia="Times New Roman" w:hint="default"/>
        </w:rPr>
        <w:t>27,223,027.40</w:t>
      </w:r>
      <w:r>
        <w:rPr/>
        <w:t>元与</w:t>
      </w:r>
      <w:r>
        <w:rPr>
          <w:rFonts w:ascii="Times New Roman" w:hAnsi="Times New Roman" w:cs="Times New Roman" w:eastAsia="Times New Roman" w:hint="default"/>
        </w:rPr>
        <w:t>35,240,780.82</w:t>
      </w:r>
      <w:r>
        <w:rPr/>
        <w:t>元。</w:t>
      </w:r>
    </w:p>
    <w:p>
      <w:pPr>
        <w:pStyle w:val="BodyText"/>
        <w:spacing w:line="463" w:lineRule="auto" w:before="41"/>
        <w:ind w:right="1029"/>
        <w:jc w:val="left"/>
      </w:pPr>
      <w:r>
        <w:rPr>
          <w:rFonts w:ascii="Times New Roman" w:hAnsi="Times New Roman" w:cs="Times New Roman" w:eastAsia="Times New Roman" w:hint="default"/>
        </w:rPr>
        <w:t>11</w:t>
      </w:r>
      <w:r>
        <w:rPr/>
        <w:t>、报告期内，公司取得了</w:t>
      </w:r>
      <w:r>
        <w:rPr>
          <w:rFonts w:ascii="Times New Roman" w:hAnsi="Times New Roman" w:cs="Times New Roman" w:eastAsia="Times New Roman" w:hint="default"/>
        </w:rPr>
        <w:t>1</w:t>
      </w:r>
      <w:r>
        <w:rPr/>
        <w:t>项</w:t>
      </w:r>
      <w:r>
        <w:rPr>
          <w:rFonts w:ascii="Times New Roman" w:hAnsi="Times New Roman" w:cs="Times New Roman" w:eastAsia="Times New Roman" w:hint="default"/>
        </w:rPr>
        <w:t>“</w:t>
      </w:r>
      <w:r>
        <w:rPr/>
        <w:t>一种针对摄像机遮挡的感知方法及装置</w:t>
      </w:r>
      <w:r>
        <w:rPr>
          <w:rFonts w:ascii="Times New Roman" w:hAnsi="Times New Roman" w:cs="Times New Roman" w:eastAsia="Times New Roman" w:hint="default"/>
        </w:rPr>
        <w:t>”</w:t>
      </w:r>
      <w:r>
        <w:rPr/>
        <w:t>的发明专利证书，具体内容详见公司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 披露于巨潮资讯网的相关公告。 </w:t>
      </w:r>
      <w:r>
        <w:rPr>
          <w:rFonts w:ascii="Times New Roman" w:hAnsi="Times New Roman" w:cs="Times New Roman" w:eastAsia="Times New Roman" w:hint="default"/>
          <w:spacing w:val="-1"/>
        </w:rPr>
        <w:t>12</w:t>
      </w:r>
      <w:r>
        <w:rPr>
          <w:spacing w:val="-1"/>
        </w:rPr>
        <w:t>、报告期内，公司持股</w:t>
      </w:r>
      <w:r>
        <w:rPr>
          <w:rFonts w:ascii="Times New Roman" w:hAnsi="Times New Roman" w:cs="Times New Roman" w:eastAsia="Times New Roman" w:hint="default"/>
          <w:spacing w:val="-1"/>
        </w:rPr>
        <w:t>5%</w:t>
      </w:r>
      <w:r>
        <w:rPr>
          <w:spacing w:val="-1"/>
        </w:rPr>
        <w:t>以上的股东雷洪文先生在中国证券登记结算有限责任公司深圳分公司办理了股权质押登记手续，</w:t>
      </w:r>
    </w:p>
    <w:p>
      <w:pPr>
        <w:pStyle w:val="BodyText"/>
        <w:spacing w:line="451" w:lineRule="auto" w:before="33"/>
        <w:ind w:right="1132"/>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日将其所持有的公司首发限售</w:t>
      </w:r>
      <w:r>
        <w:rPr>
          <w:rFonts w:ascii="Times New Roman" w:hAnsi="Times New Roman" w:cs="Times New Roman" w:eastAsia="Times New Roman" w:hint="default"/>
          <w:spacing w:val="-1"/>
        </w:rPr>
        <w:t>135.00</w:t>
      </w:r>
      <w:r>
        <w:rPr>
          <w:spacing w:val="-1"/>
        </w:rPr>
        <w:t>万股质押给招商证券股份有限公司，质押期限自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日起至雷洪文先</w:t>
      </w:r>
      <w:r>
        <w:rPr>
          <w:spacing w:val="-67"/>
        </w:rPr>
        <w:t> </w:t>
      </w:r>
      <w:r>
        <w:rPr>
          <w:spacing w:val="-1"/>
        </w:rPr>
        <w:t>生办理解除质押登记手续之日止；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日将其所持有的公司首发限售股</w:t>
      </w:r>
      <w:r>
        <w:rPr>
          <w:rFonts w:ascii="Times New Roman" w:hAnsi="Times New Roman" w:cs="Times New Roman" w:eastAsia="Times New Roman" w:hint="default"/>
          <w:spacing w:val="-1"/>
        </w:rPr>
        <w:t>150.00</w:t>
      </w:r>
      <w:r>
        <w:rPr>
          <w:spacing w:val="-1"/>
        </w:rPr>
        <w:t>万股质押给中国银河证券股份有限公</w:t>
      </w:r>
      <w:r>
        <w:rPr>
          <w:spacing w:val="-67"/>
        </w:rPr>
        <w:t> </w:t>
      </w:r>
      <w:r>
        <w:rPr/>
        <w:t>司，质押期限自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日起至雷洪文先生办理解除质押登记手续之日止，具体内容详见公司分别于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日披露于巨潮资讯网的相关公告。</w:t>
      </w:r>
    </w:p>
    <w:p>
      <w:pPr>
        <w:pStyle w:val="BodyText"/>
        <w:spacing w:line="240" w:lineRule="auto" w:before="43"/>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日，公司董事会收到原财务总监陈翩女士的书面辞职报告并于次日进行了披露，具体内容见公司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453" w:lineRule="auto" w:before="44"/>
        <w:ind w:right="1033"/>
        <w:jc w:val="left"/>
        <w:rPr>
          <w:rFonts w:ascii="Times New Roman" w:hAnsi="Times New Roman" w:cs="Times New Roman" w:eastAsia="Times New Roman" w:hint="default"/>
        </w:rPr>
      </w:pPr>
      <w:r>
        <w:rPr/>
        <w:t>月</w:t>
      </w:r>
      <w:r>
        <w:rPr>
          <w:rFonts w:ascii="Times New Roman" w:hAnsi="Times New Roman" w:cs="Times New Roman" w:eastAsia="Times New Roman" w:hint="default"/>
        </w:rPr>
        <w:t>18</w:t>
      </w:r>
      <w:r>
        <w:rPr/>
        <w:t>日披露于巨潮资讯网的相关公告。 </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日，公司召开第二届董事会第八次会议，审议通过了《关于公司聘任财务总监的议案》及限制性股票激励 计划相关议案，公司独立董事对前述聘任财务总监事项发表了意见，具体内容详见公司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日披露于巨潮资讯网的 </w:t>
      </w:r>
      <w:r>
        <w:rPr>
          <w:spacing w:val="-2"/>
        </w:rPr>
        <w:t>相关公告；公司独立董事、监事会、律师事务所及独立财务顾问就前述限制性股票激励计划相关事项发表了相关意见或出具</w:t>
      </w:r>
      <w:r>
        <w:rPr>
          <w:spacing w:val="-66"/>
        </w:rPr>
        <w:t> </w:t>
      </w:r>
      <w:r>
        <w:rPr>
          <w:spacing w:val="-66"/>
        </w:rPr>
      </w:r>
      <w:r>
        <w:rPr/>
        <w:t>了相关报告，并公司后续分别于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日召开</w:t>
      </w:r>
      <w:r>
        <w:rPr>
          <w:rFonts w:ascii="Times New Roman" w:hAnsi="Times New Roman" w:cs="Times New Roman" w:eastAsia="Times New Roman" w:hint="default"/>
        </w:rPr>
        <w:t>2015</w:t>
      </w:r>
      <w:r>
        <w:rPr/>
        <w:t>年第二次临时股东大会及第二届董事会第十次会 议、第二届监事会第八次会议，审议限制性股票激励计划及限制性股票授予事项，具体内容详见本报告第五节</w:t>
      </w:r>
      <w:r>
        <w:rPr>
          <w:rFonts w:ascii="Times New Roman" w:hAnsi="Times New Roman" w:cs="Times New Roman" w:eastAsia="Times New Roman" w:hint="default"/>
        </w:rPr>
        <w:t>“</w:t>
      </w:r>
      <w:r>
        <w:rPr/>
        <w:t>重要事项</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第十四项</w:t>
      </w:r>
      <w:r>
        <w:rPr>
          <w:rFonts w:ascii="Times New Roman" w:hAnsi="Times New Roman" w:cs="Times New Roman" w:eastAsia="Times New Roman" w:hint="default"/>
        </w:rPr>
        <w:t>“</w:t>
      </w:r>
      <w:r>
        <w:rPr/>
        <w:t>公司股权激励计划、员工持股计划或其他员工激励措施的实施情况</w:t>
      </w:r>
      <w:r>
        <w:rPr>
          <w:rFonts w:ascii="Times New Roman" w:hAnsi="Times New Roman" w:cs="Times New Roman" w:eastAsia="Times New Roman" w:hint="default"/>
        </w:rPr>
        <w:t>”</w:t>
      </w:r>
      <w:r>
        <w:rPr/>
        <w:t>的具体内容。 </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日，公司召开第二届董事会第九次会议，审议通过了《关于注销全资子公司广州市万欣计算机科技有限公</w:t>
      </w:r>
      <w:r>
        <w:rPr>
          <w:spacing w:val="-56"/>
        </w:rPr>
        <w:t> </w:t>
      </w:r>
      <w:r>
        <w:rPr>
          <w:spacing w:val="-56"/>
        </w:rPr>
      </w:r>
      <w:r>
        <w:rPr/>
        <w:t>司的议案》及《关于公司</w:t>
      </w:r>
      <w:r>
        <w:rPr>
          <w:rFonts w:ascii="Times New Roman" w:hAnsi="Times New Roman" w:cs="Times New Roman" w:eastAsia="Times New Roman" w:hint="default"/>
        </w:rPr>
        <w:t>2015</w:t>
      </w:r>
      <w:r>
        <w:rPr/>
        <w:t>年第三季度报告的议案》，具体内容详见公司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日披露于巨潮资讯网的相关公告。 </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日，公司召开第二届董事会第十一次会议，审议通过了《关于增加公司经营范围的议案》、《关于修改公 </w:t>
      </w:r>
      <w:r>
        <w:rPr>
          <w:spacing w:val="-2"/>
        </w:rPr>
        <w:t>司章程并办理工商变更登记的议案》以及《关于召开公司</w:t>
      </w:r>
      <w:r>
        <w:rPr>
          <w:rFonts w:ascii="Times New Roman" w:hAnsi="Times New Roman" w:cs="Times New Roman" w:eastAsia="Times New Roman" w:hint="default"/>
          <w:spacing w:val="-2"/>
        </w:rPr>
        <w:t>2015</w:t>
      </w:r>
      <w:r>
        <w:rPr>
          <w:spacing w:val="-2"/>
        </w:rPr>
        <w:t>年第三次临时股东大会的议案》，具体内容详见公司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1"/>
        </w:rPr>
        <w:t> </w:t>
      </w:r>
      <w:r>
        <w:rPr/>
        <w:t>月</w:t>
      </w:r>
      <w:r>
        <w:rPr>
          <w:rFonts w:ascii="Times New Roman" w:hAnsi="Times New Roman" w:cs="Times New Roman" w:eastAsia="Times New Roman" w:hint="default"/>
        </w:rPr>
        <w:t>2</w:t>
      </w:r>
      <w:r>
        <w:rPr/>
        <w:t>日披露于巨潮资讯网的相关公告。 </w:t>
      </w:r>
      <w:r>
        <w:rPr>
          <w:rFonts w:ascii="Times New Roman" w:hAnsi="Times New Roman" w:cs="Times New Roman" w:eastAsia="Times New Roman" w:hint="default"/>
          <w:spacing w:val="-3"/>
        </w:rPr>
        <w:t>17</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8</w:t>
      </w:r>
      <w:r>
        <w:rPr>
          <w:spacing w:val="-3"/>
        </w:rPr>
        <w:t>日，公司收到了由中国电子信息行业联合会授予的</w:t>
      </w:r>
      <w:r>
        <w:rPr>
          <w:rFonts w:ascii="Times New Roman" w:hAnsi="Times New Roman" w:cs="Times New Roman" w:eastAsia="Times New Roman" w:hint="default"/>
          <w:spacing w:val="-3"/>
        </w:rPr>
        <w:t>“</w:t>
      </w:r>
      <w:r>
        <w:rPr>
          <w:spacing w:val="-3"/>
        </w:rPr>
        <w:t>信息系统集成及服务资质证书</w:t>
      </w:r>
      <w:r>
        <w:rPr>
          <w:rFonts w:ascii="Times New Roman" w:hAnsi="Times New Roman" w:cs="Times New Roman" w:eastAsia="Times New Roman" w:hint="default"/>
          <w:spacing w:val="-3"/>
        </w:rPr>
        <w:t>”</w:t>
      </w:r>
      <w:r>
        <w:rPr>
          <w:spacing w:val="-3"/>
        </w:rPr>
        <w:t>，具体内容详见公司</w:t>
      </w:r>
      <w:r>
        <w:rPr>
          <w:rFonts w:ascii="Times New Roman" w:hAnsi="Times New Roman" w:cs="Times New Roman" w:eastAsia="Times New Roman" w:hint="default"/>
          <w:spacing w:val="-3"/>
        </w:rPr>
        <w:t>2015</w:t>
      </w:r>
    </w:p>
    <w:p>
      <w:pPr>
        <w:pStyle w:val="BodyText"/>
        <w:spacing w:line="451" w:lineRule="auto" w:before="41"/>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日披露于巨潮资讯网的相关公告。 </w:t>
      </w:r>
      <w:r>
        <w:rPr>
          <w:rFonts w:ascii="Times New Roman" w:hAnsi="Times New Roman" w:cs="Times New Roman" w:eastAsia="Times New Roman" w:hint="default"/>
          <w:spacing w:val="-5"/>
        </w:rPr>
        <w:t>18</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30</w:t>
      </w:r>
      <w:r>
        <w:rPr>
          <w:spacing w:val="-5"/>
        </w:rPr>
        <w:t>日，公司召开第二届董事会第十二次会议，审议通过了《关于聘任陈翩女士为公司副总经理的议案》、《关</w:t>
      </w:r>
      <w:r>
        <w:rPr>
          <w:spacing w:val="-55"/>
        </w:rPr>
        <w:t> </w:t>
      </w:r>
      <w:r>
        <w:rPr>
          <w:spacing w:val="-55"/>
        </w:rPr>
      </w:r>
      <w:r>
        <w:rPr/>
        <w:t>于审议公司</w:t>
      </w:r>
      <w:r>
        <w:rPr>
          <w:rFonts w:ascii="Times New Roman" w:hAnsi="Times New Roman" w:cs="Times New Roman" w:eastAsia="Times New Roman" w:hint="default"/>
        </w:rPr>
        <w:t>&lt;</w:t>
      </w:r>
      <w:r>
        <w:rPr/>
        <w:t>年报信息披露重大差错责任追究制度</w:t>
      </w:r>
      <w:r>
        <w:rPr>
          <w:rFonts w:ascii="Times New Roman" w:hAnsi="Times New Roman" w:cs="Times New Roman" w:eastAsia="Times New Roman" w:hint="default"/>
        </w:rPr>
        <w:t>&gt;</w:t>
      </w:r>
      <w:r>
        <w:rPr/>
        <w:t>的议案》、《关于审议公司</w:t>
      </w:r>
      <w:r>
        <w:rPr>
          <w:rFonts w:ascii="Times New Roman" w:hAnsi="Times New Roman" w:cs="Times New Roman" w:eastAsia="Times New Roman" w:hint="default"/>
        </w:rPr>
        <w:t>&lt;</w:t>
      </w:r>
      <w:r>
        <w:rPr/>
        <w:t>特定对象调研来访接待工作管理制度</w:t>
      </w:r>
      <w:r>
        <w:rPr>
          <w:rFonts w:ascii="Times New Roman" w:hAnsi="Times New Roman" w:cs="Times New Roman" w:eastAsia="Times New Roman" w:hint="default"/>
        </w:rPr>
        <w:t>&gt;</w:t>
      </w:r>
      <w:r>
        <w:rPr/>
        <w:t>的议 案》以及《关于审议公司</w:t>
      </w:r>
      <w:r>
        <w:rPr>
          <w:rFonts w:ascii="Times New Roman" w:hAnsi="Times New Roman" w:cs="Times New Roman" w:eastAsia="Times New Roman" w:hint="default"/>
        </w:rPr>
        <w:t>&lt;</w:t>
      </w:r>
      <w:r>
        <w:rPr/>
        <w:t>董事、监事、高级管理人员所持公司股份及其变动管理办法</w:t>
      </w:r>
      <w:r>
        <w:rPr>
          <w:rFonts w:ascii="Times New Roman" w:hAnsi="Times New Roman" w:cs="Times New Roman" w:eastAsia="Times New Roman" w:hint="default"/>
        </w:rPr>
        <w:t>&gt;</w:t>
      </w:r>
      <w:r>
        <w:rPr/>
        <w:t>的议案》，公司独立董事对前述聘 任陈翩女士为公司副总经理的事项发表了独立意见，具体内容详见公司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日披露于巨潮资讯网的相关公告。</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7"/>
        <w:rPr>
          <w:rFonts w:ascii="宋体" w:hAnsi="宋体" w:cs="宋体" w:eastAsia="宋体" w:hint="default"/>
          <w:b/>
          <w:bCs/>
          <w:sz w:val="32"/>
          <w:szCs w:val="32"/>
        </w:rPr>
      </w:pPr>
    </w:p>
    <w:p>
      <w:pPr>
        <w:pStyle w:val="BodyText"/>
        <w:spacing w:line="47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为了优化公司资源配置，降低管理成本，提高运营效率，经公司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日召开的第二届董事会第九次会议审议通过， 决定注销全资子公司广州市万欣计算机科技有限公司。</w:t>
      </w:r>
    </w:p>
    <w:p>
      <w:pPr>
        <w:pStyle w:val="BodyText"/>
        <w:spacing w:line="240" w:lineRule="auto" w:before="59"/>
        <w:ind w:left="1207"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日，上述子公司的注销手续尚未办理完毕。</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left="1134" w:right="0"/>
        <w:jc w:val="left"/>
        <w:rPr>
          <w:b w:val="0"/>
          <w:bCs w:val="0"/>
        </w:rPr>
      </w:pPr>
      <w:bookmarkStart w:name="十九、社会责任情况" w:id="96"/>
      <w:bookmarkEnd w:id="96"/>
      <w:r>
        <w:rPr>
          <w:b w:val="0"/>
          <w:bCs w:val="0"/>
        </w:rPr>
      </w:r>
      <w:r>
        <w:rPr/>
        <w:t>十九、社会责任情况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9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0"/>
        <w:rPr>
          <w:rFonts w:ascii="宋体" w:hAnsi="宋体" w:cs="宋体" w:eastAsia="宋体" w:hint="default"/>
          <w:b/>
          <w:bCs/>
          <w:sz w:val="24"/>
          <w:szCs w:val="24"/>
        </w:rPr>
      </w:pPr>
    </w:p>
    <w:p>
      <w:pPr>
        <w:pStyle w:val="BodyText"/>
        <w:spacing w:line="518" w:lineRule="auto" w:before="189"/>
        <w:ind w:right="2113"/>
        <w:jc w:val="left"/>
      </w:pPr>
      <w:r>
        <w:rPr/>
        <w:t>公司是否存在公开发行并在证券交易所上市，且在年度报告批准报出日未到期或到期未能全额兑付的公司债券 否</w:t>
      </w:r>
    </w:p>
    <w:p>
      <w:pPr>
        <w:spacing w:after="0" w:line="51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98"/>
      <w:bookmarkEnd w:id="98"/>
      <w:r>
        <w:rPr>
          <w:b w:val="0"/>
          <w:bCs w:val="0"/>
        </w:rPr>
      </w:r>
      <w:bookmarkStart w:name="_bookmark5" w:id="99"/>
      <w:bookmarkEnd w:id="9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688,500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688,500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60,688,50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75.21%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688,500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688,500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60,688,50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75.21%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3,900,000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6.50%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3,900,000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6" w:right="0"/>
              <w:jc w:val="left"/>
              <w:rPr>
                <w:rFonts w:ascii="Times New Roman" w:hAnsi="Times New Roman" w:cs="Times New Roman" w:eastAsia="Times New Roman" w:hint="default"/>
                <w:sz w:val="18"/>
                <w:szCs w:val="18"/>
              </w:rPr>
            </w:pPr>
            <w:r>
              <w:rPr>
                <w:rFonts w:ascii="Times New Roman"/>
                <w:sz w:val="18"/>
              </w:rPr>
              <w:t>4.83%</w:t>
            </w: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93.50%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688,500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688,500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56,788,50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70.38%</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24.79%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24.79%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20,688,50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20,688,50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80,688,50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2"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both"/>
      </w:pPr>
      <w:r>
        <w:rPr/>
        <w:t>股份变动的原因</w:t>
      </w:r>
    </w:p>
    <w:p>
      <w:pPr>
        <w:spacing w:line="240" w:lineRule="auto" w:before="10"/>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9"/>
          <w:szCs w:val="19"/>
        </w:rPr>
      </w:pPr>
    </w:p>
    <w:p>
      <w:pPr>
        <w:pStyle w:val="BodyText"/>
        <w:spacing w:line="451" w:lineRule="auto"/>
        <w:ind w:right="113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51"/>
        </w:rPr>
        <w:t>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t>日，公司在深圳证券交易所创业板首次公开发行人民币普通股（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股）</w:t>
      </w:r>
      <w:r>
        <w:rPr>
          <w:rFonts w:ascii="Times New Roman" w:hAnsi="Times New Roman" w:cs="Times New Roman" w:eastAsia="Times New Roman" w:hint="default"/>
        </w:rPr>
        <w:t>2,000.00</w:t>
      </w:r>
      <w:r>
        <w:rPr>
          <w:rFonts w:ascii="Times New Roman" w:hAnsi="Times New Roman" w:cs="Times New Roman" w:eastAsia="Times New Roman" w:hint="default"/>
          <w:spacing w:val="-14"/>
        </w:rPr>
        <w:t> </w:t>
      </w:r>
      <w:r>
        <w:rPr/>
        <w:t>万股，占发行后股份总数 的</w:t>
      </w:r>
      <w:r>
        <w:rPr>
          <w:spacing w:val="-47"/>
        </w:rPr>
        <w:t> </w:t>
      </w:r>
      <w:r>
        <w:rPr>
          <w:rFonts w:ascii="Times New Roman" w:hAnsi="Times New Roman" w:cs="Times New Roman" w:eastAsia="Times New Roman" w:hint="default"/>
        </w:rPr>
        <w:t>25%</w:t>
      </w:r>
      <w:r>
        <w:rPr/>
        <w:t>，发行后总股本</w:t>
      </w:r>
      <w:r>
        <w:rPr>
          <w:spacing w:val="-47"/>
        </w:rPr>
        <w:t> </w:t>
      </w:r>
      <w:r>
        <w:rPr>
          <w:rFonts w:ascii="Times New Roman" w:hAnsi="Times New Roman" w:cs="Times New Roman" w:eastAsia="Times New Roman" w:hint="default"/>
        </w:rPr>
        <w:t>8,000.00</w:t>
      </w:r>
      <w:r>
        <w:rPr>
          <w:rFonts w:ascii="Times New Roman" w:hAnsi="Times New Roman" w:cs="Times New Roman" w:eastAsia="Times New Roman" w:hint="default"/>
          <w:spacing w:val="-10"/>
        </w:rPr>
        <w:t> </w:t>
      </w:r>
      <w:r>
        <w:rPr/>
        <w:t>万股。</w:t>
      </w:r>
    </w:p>
    <w:p>
      <w:pPr>
        <w:pStyle w:val="BodyText"/>
        <w:spacing w:line="451" w:lineRule="auto" w:before="82"/>
        <w:ind w:right="1207"/>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日，经公司第二届董事会第八次会议、第二届监事会第六次会议审议通过了《关于广州市浩云安防科技 股份有限公司</w:t>
      </w:r>
      <w:r>
        <w:rPr>
          <w:rFonts w:ascii="Times New Roman" w:hAnsi="Times New Roman" w:cs="Times New Roman" w:eastAsia="Times New Roman" w:hint="default"/>
        </w:rPr>
        <w:t>&lt;</w:t>
      </w:r>
      <w:r>
        <w:rPr/>
        <w:t>限制性股票激励计划（草案）</w:t>
      </w:r>
      <w:r>
        <w:rPr>
          <w:rFonts w:ascii="Times New Roman" w:hAnsi="Times New Roman" w:cs="Times New Roman" w:eastAsia="Times New Roman" w:hint="default"/>
        </w:rPr>
        <w:t>&gt;</w:t>
      </w:r>
      <w:r>
        <w:rPr/>
        <w:t>及其摘要的议案》，同意拟授予公司的中层管理人员、核心业务（技术）人 员共计</w:t>
      </w:r>
      <w:r>
        <w:rPr>
          <w:spacing w:val="-4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9"/>
        </w:rPr>
        <w:t> </w:t>
      </w:r>
      <w:r>
        <w:rPr/>
        <w:t>万股限制性股票，其中首次授予</w:t>
      </w:r>
      <w:r>
        <w:rPr>
          <w:spacing w:val="-46"/>
        </w:rPr>
        <w:t> </w:t>
      </w:r>
      <w:r>
        <w:rPr>
          <w:rFonts w:ascii="Times New Roman" w:hAnsi="Times New Roman" w:cs="Times New Roman" w:eastAsia="Times New Roman" w:hint="default"/>
        </w:rPr>
        <w:t>72.00</w:t>
      </w:r>
      <w:r>
        <w:rPr>
          <w:rFonts w:ascii="Times New Roman" w:hAnsi="Times New Roman" w:cs="Times New Roman" w:eastAsia="Times New Roman" w:hint="default"/>
          <w:spacing w:val="-9"/>
        </w:rPr>
        <w:t> </w:t>
      </w:r>
      <w:r>
        <w:rPr/>
        <w:t>万股，预留</w:t>
      </w:r>
      <w:r>
        <w:rPr>
          <w:spacing w:val="-46"/>
        </w:rPr>
        <w:t> </w:t>
      </w:r>
      <w:r>
        <w:rPr>
          <w:rFonts w:ascii="Times New Roman" w:hAnsi="Times New Roman" w:cs="Times New Roman" w:eastAsia="Times New Roman" w:hint="default"/>
        </w:rPr>
        <w:t>8.00</w:t>
      </w:r>
      <w:r>
        <w:rPr>
          <w:rFonts w:ascii="Times New Roman" w:hAnsi="Times New Roman" w:cs="Times New Roman" w:eastAsia="Times New Roman" w:hint="default"/>
          <w:spacing w:val="-9"/>
        </w:rPr>
        <w:t> </w:t>
      </w:r>
      <w:r>
        <w:rPr/>
        <w:t>万股。</w:t>
      </w:r>
    </w:p>
    <w:p>
      <w:pPr>
        <w:pStyle w:val="BodyText"/>
        <w:spacing w:line="240" w:lineRule="auto" w:before="83"/>
        <w:ind w:left="1207"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日，公司召开的</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年第二次临时股东大会审议通过了前述相关议案并授权董事会办理相关事项。</w:t>
      </w:r>
    </w:p>
    <w:p>
      <w:pPr>
        <w:spacing w:line="240" w:lineRule="auto" w:before="10"/>
        <w:rPr>
          <w:rFonts w:ascii="宋体" w:hAnsi="宋体" w:cs="宋体" w:eastAsia="宋体" w:hint="default"/>
          <w:sz w:val="19"/>
          <w:szCs w:val="19"/>
        </w:rPr>
      </w:pPr>
    </w:p>
    <w:p>
      <w:pPr>
        <w:pStyle w:val="BodyText"/>
        <w:spacing w:line="451" w:lineRule="auto"/>
        <w:ind w:left="1134" w:right="1131" w:firstLine="73"/>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日，经公司第二届董事会第十次会议、第二届监事会第八次审议通过了《关于调整限制性股票激励计划相 </w:t>
      </w:r>
      <w:r>
        <w:rPr>
          <w:spacing w:val="-2"/>
        </w:rPr>
        <w:t>关事项的议案》和《关于向激励对象授予限制性股票的议案》，对限制性股票的授予数量、授予人数进行了调整，将计划授</w:t>
      </w:r>
    </w:p>
    <w:p>
      <w:pPr>
        <w:spacing w:after="0" w:line="451"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rPr>
          <w:rFonts w:ascii="Times New Roman" w:hAnsi="Times New Roman" w:cs="Times New Roman" w:eastAsia="Times New Roman" w:hint="default"/>
        </w:rPr>
      </w:pPr>
      <w:r>
        <w:rPr/>
        <w:t>予数量由</w:t>
      </w:r>
      <w:r>
        <w:rPr>
          <w:spacing w:val="-4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8"/>
        </w:rPr>
        <w:t> </w:t>
      </w:r>
      <w:r>
        <w:rPr>
          <w:spacing w:val="-6"/>
        </w:rPr>
        <w:t>万股（预留</w:t>
      </w:r>
      <w:r>
        <w:rPr>
          <w:spacing w:val="-45"/>
        </w:rPr>
        <w:t> </w:t>
      </w:r>
      <w:r>
        <w:rPr>
          <w:rFonts w:ascii="Times New Roman" w:hAnsi="Times New Roman" w:cs="Times New Roman" w:eastAsia="Times New Roman" w:hint="default"/>
        </w:rPr>
        <w:t>8.00</w:t>
      </w:r>
      <w:r>
        <w:rPr>
          <w:rFonts w:ascii="Times New Roman" w:hAnsi="Times New Roman" w:cs="Times New Roman" w:eastAsia="Times New Roman" w:hint="default"/>
          <w:spacing w:val="-8"/>
        </w:rPr>
        <w:t> </w:t>
      </w:r>
      <w:r>
        <w:rPr>
          <w:spacing w:val="-5"/>
        </w:rPr>
        <w:t>万股）调整为</w:t>
      </w:r>
      <w:r>
        <w:rPr>
          <w:spacing w:val="-44"/>
        </w:rPr>
        <w:t> </w:t>
      </w:r>
      <w:r>
        <w:rPr>
          <w:rFonts w:ascii="Times New Roman" w:hAnsi="Times New Roman" w:cs="Times New Roman" w:eastAsia="Times New Roman" w:hint="default"/>
        </w:rPr>
        <w:t>76.85</w:t>
      </w:r>
      <w:r>
        <w:rPr>
          <w:rFonts w:ascii="Times New Roman" w:hAnsi="Times New Roman" w:cs="Times New Roman" w:eastAsia="Times New Roman" w:hint="default"/>
          <w:spacing w:val="-8"/>
        </w:rPr>
        <w:t> </w:t>
      </w:r>
      <w:r>
        <w:rPr>
          <w:spacing w:val="-6"/>
        </w:rPr>
        <w:t>万股（预留</w:t>
      </w:r>
      <w:r>
        <w:rPr>
          <w:spacing w:val="-45"/>
        </w:rPr>
        <w:t> </w:t>
      </w:r>
      <w:r>
        <w:rPr>
          <w:rFonts w:ascii="Times New Roman" w:hAnsi="Times New Roman" w:cs="Times New Roman" w:eastAsia="Times New Roman" w:hint="default"/>
        </w:rPr>
        <w:t>8.00</w:t>
      </w:r>
      <w:r>
        <w:rPr>
          <w:rFonts w:ascii="Times New Roman" w:hAnsi="Times New Roman" w:cs="Times New Roman" w:eastAsia="Times New Roman" w:hint="default"/>
          <w:spacing w:val="-8"/>
        </w:rPr>
        <w:t> </w:t>
      </w:r>
      <w:r>
        <w:rPr>
          <w:spacing w:val="-3"/>
        </w:rPr>
        <w:t>万股），首次授予的限制性股票的授予数量调整为</w:t>
      </w:r>
      <w:r>
        <w:rPr>
          <w:spacing w:val="-45"/>
        </w:rPr>
        <w:t> </w:t>
      </w:r>
      <w:r>
        <w:rPr>
          <w:rFonts w:ascii="Times New Roman" w:hAnsi="Times New Roman" w:cs="Times New Roman" w:eastAsia="Times New Roman" w:hint="default"/>
        </w:rPr>
        <w:t>68.85</w:t>
      </w:r>
    </w:p>
    <w:p>
      <w:pPr>
        <w:spacing w:line="240" w:lineRule="auto" w:before="0"/>
        <w:rPr>
          <w:rFonts w:ascii="Times New Roman" w:hAnsi="Times New Roman" w:cs="Times New Roman" w:eastAsia="Times New Roman" w:hint="default"/>
          <w:sz w:val="19"/>
          <w:szCs w:val="19"/>
        </w:rPr>
      </w:pPr>
    </w:p>
    <w:p>
      <w:pPr>
        <w:pStyle w:val="BodyText"/>
        <w:spacing w:line="451" w:lineRule="auto"/>
        <w:ind w:left="1134" w:right="1200"/>
        <w:jc w:val="left"/>
      </w:pPr>
      <w:r>
        <w:rPr/>
        <w:t>万股，激励对象由</w:t>
      </w:r>
      <w:r>
        <w:rPr>
          <w:spacing w:val="-46"/>
        </w:rPr>
        <w:t> </w:t>
      </w:r>
      <w:r>
        <w:rPr>
          <w:rFonts w:ascii="Times New Roman" w:hAnsi="Times New Roman" w:cs="Times New Roman" w:eastAsia="Times New Roman" w:hint="default"/>
        </w:rPr>
        <w:t>124</w:t>
      </w:r>
      <w:r>
        <w:rPr>
          <w:rFonts w:ascii="Times New Roman" w:hAnsi="Times New Roman" w:cs="Times New Roman" w:eastAsia="Times New Roman" w:hint="default"/>
          <w:spacing w:val="-9"/>
        </w:rPr>
        <w:t> </w:t>
      </w:r>
      <w:r>
        <w:rPr/>
        <w:t>名调整为</w:t>
      </w:r>
      <w:r>
        <w:rPr>
          <w:spacing w:val="-46"/>
        </w:rPr>
        <w:t> </w:t>
      </w:r>
      <w:r>
        <w:rPr>
          <w:rFonts w:ascii="Times New Roman" w:hAnsi="Times New Roman" w:cs="Times New Roman" w:eastAsia="Times New Roman" w:hint="default"/>
        </w:rPr>
        <w:t>113</w:t>
      </w:r>
      <w:r>
        <w:rPr>
          <w:rFonts w:ascii="Times New Roman" w:hAnsi="Times New Roman" w:cs="Times New Roman" w:eastAsia="Times New Roman" w:hint="default"/>
          <w:spacing w:val="-9"/>
        </w:rPr>
        <w:t> </w:t>
      </w:r>
      <w:r>
        <w:rPr/>
        <w:t>名，并确定了</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日为授予日。上述限制性股票已于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日上 市。</w:t>
      </w:r>
    </w:p>
    <w:p>
      <w:pPr>
        <w:pStyle w:val="BodyText"/>
        <w:spacing w:line="240" w:lineRule="auto" w:before="114"/>
        <w:ind w:left="1134" w:right="0"/>
        <w:jc w:val="left"/>
      </w:pPr>
      <w:r>
        <w:rPr/>
        <w:t>股份变动的批准情况</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right="110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、公司首次公开发行</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股股票（简称</w:t>
      </w:r>
      <w:r>
        <w:rPr>
          <w:rFonts w:ascii="Times New Roman" w:hAnsi="Times New Roman" w:cs="Times New Roman" w:eastAsia="Times New Roman" w:hint="default"/>
        </w:rPr>
        <w:t>“</w:t>
      </w:r>
      <w:r>
        <w:rPr/>
        <w:t>本次发行</w:t>
      </w:r>
      <w:r>
        <w:rPr>
          <w:rFonts w:ascii="Times New Roman" w:hAnsi="Times New Roman" w:cs="Times New Roman" w:eastAsia="Times New Roman" w:hint="default"/>
        </w:rPr>
        <w:t>”</w:t>
      </w: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536</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文核准。本次发 行采用网下向询价对象配售与网上资金申购定价发行相结合的方式，向社会公开发行人民币普通股（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2,000.00</w:t>
      </w:r>
      <w:r>
        <w:rPr>
          <w:rFonts w:ascii="Times New Roman" w:hAnsi="Times New Roman" w:cs="Times New Roman" w:eastAsia="Times New Roman" w:hint="default"/>
          <w:spacing w:val="-19"/>
        </w:rPr>
        <w:t> </w:t>
      </w:r>
      <w:r>
        <w:rPr/>
        <w:t>万股， 发行价格为</w:t>
      </w:r>
      <w:r>
        <w:rPr>
          <w:spacing w:val="-47"/>
        </w:rPr>
        <w:t> </w:t>
      </w:r>
      <w:r>
        <w:rPr>
          <w:rFonts w:ascii="Times New Roman" w:hAnsi="Times New Roman" w:cs="Times New Roman" w:eastAsia="Times New Roman" w:hint="default"/>
        </w:rPr>
        <w:t>15.79</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w:t>
      </w:r>
      <w:r>
        <w:rPr/>
        <w:t>股。本次发行的</w:t>
      </w:r>
      <w:r>
        <w:rPr>
          <w:spacing w:val="-47"/>
        </w:rPr>
        <w:t> </w:t>
      </w:r>
      <w:r>
        <w:rPr>
          <w:rFonts w:ascii="Times New Roman" w:hAnsi="Times New Roman" w:cs="Times New Roman" w:eastAsia="Times New Roman" w:hint="default"/>
        </w:rPr>
        <w:t>2,000.00</w:t>
      </w:r>
      <w:r>
        <w:rPr>
          <w:rFonts w:ascii="Times New Roman" w:hAnsi="Times New Roman" w:cs="Times New Roman" w:eastAsia="Times New Roman" w:hint="default"/>
          <w:spacing w:val="-10"/>
        </w:rPr>
        <w:t> </w:t>
      </w:r>
      <w:r>
        <w:rPr/>
        <w:t>万股社会公众股于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日起上市交易。首次公开发行股票完成后</w:t>
      </w:r>
      <w:r>
        <w:rPr>
          <w:rFonts w:ascii="Times New Roman" w:hAnsi="Times New Roman" w:cs="Times New Roman" w:eastAsia="Times New Roman" w:hint="default"/>
        </w:rPr>
        <w:t>,</w:t>
      </w:r>
    </w:p>
    <w:p>
      <w:pPr>
        <w:pStyle w:val="BodyText"/>
        <w:spacing w:line="240" w:lineRule="auto" w:before="44"/>
        <w:ind w:left="1134" w:right="0"/>
        <w:jc w:val="left"/>
      </w:pPr>
      <w:r>
        <w:rPr/>
        <w:t>公司股本总额由</w:t>
      </w:r>
      <w:r>
        <w:rPr>
          <w:spacing w:val="-47"/>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10"/>
        </w:rPr>
        <w:t> </w:t>
      </w:r>
      <w:r>
        <w:rPr/>
        <w:t>万股变更为</w:t>
      </w:r>
      <w:r>
        <w:rPr>
          <w:spacing w:val="-47"/>
        </w:rPr>
        <w:t> </w:t>
      </w:r>
      <w:r>
        <w:rPr>
          <w:rFonts w:ascii="Times New Roman" w:hAnsi="Times New Roman" w:cs="Times New Roman" w:eastAsia="Times New Roman" w:hint="default"/>
        </w:rPr>
        <w:t>8,000.00</w:t>
      </w:r>
      <w:r>
        <w:rPr>
          <w:rFonts w:ascii="Times New Roman" w:hAnsi="Times New Roman" w:cs="Times New Roman" w:eastAsia="Times New Roman" w:hint="default"/>
          <w:spacing w:val="-10"/>
        </w:rPr>
        <w:t> </w:t>
      </w:r>
      <w:r>
        <w:rPr/>
        <w:t>万股。</w:t>
      </w:r>
    </w:p>
    <w:p>
      <w:pPr>
        <w:spacing w:line="240" w:lineRule="auto" w:before="9"/>
        <w:rPr>
          <w:rFonts w:ascii="宋体" w:hAnsi="宋体" w:cs="宋体" w:eastAsia="宋体" w:hint="default"/>
          <w:sz w:val="19"/>
          <w:szCs w:val="19"/>
        </w:rPr>
      </w:pPr>
    </w:p>
    <w:p>
      <w:pPr>
        <w:pStyle w:val="BodyText"/>
        <w:spacing w:line="451" w:lineRule="auto"/>
        <w:ind w:right="1123" w:firstLine="7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日，经公司第二届董事会第八次会议、第二届监事会第六次会议审议通过了《关于广州市浩云安防科技 股份有限公司</w:t>
      </w:r>
      <w:r>
        <w:rPr>
          <w:rFonts w:ascii="Times New Roman" w:hAnsi="Times New Roman" w:cs="Times New Roman" w:eastAsia="Times New Roman" w:hint="default"/>
        </w:rPr>
        <w:t>&lt;</w:t>
      </w:r>
      <w:r>
        <w:rPr/>
        <w:t>限制性股票激励计划（草案）</w:t>
      </w:r>
      <w:r>
        <w:rPr>
          <w:rFonts w:ascii="Times New Roman" w:hAnsi="Times New Roman" w:cs="Times New Roman" w:eastAsia="Times New Roman" w:hint="default"/>
        </w:rPr>
        <w:t>&gt;</w:t>
      </w:r>
      <w:r>
        <w:rPr/>
        <w:t>及其摘要的议案》，同意拟授予公司的中层管理人员、核心业务（技术）人 员共计</w:t>
      </w:r>
      <w:r>
        <w:rPr>
          <w:spacing w:val="-49"/>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1"/>
        </w:rPr>
        <w:t> </w:t>
      </w:r>
      <w:r>
        <w:rPr/>
        <w:t>万股限制性股票，其中首次授予</w:t>
      </w:r>
      <w:r>
        <w:rPr>
          <w:spacing w:val="-49"/>
        </w:rPr>
        <w:t> </w:t>
      </w:r>
      <w:r>
        <w:rPr>
          <w:rFonts w:ascii="Times New Roman" w:hAnsi="Times New Roman" w:cs="Times New Roman" w:eastAsia="Times New Roman" w:hint="default"/>
        </w:rPr>
        <w:t>72.00</w:t>
      </w:r>
      <w:r>
        <w:rPr>
          <w:rFonts w:ascii="Times New Roman" w:hAnsi="Times New Roman" w:cs="Times New Roman" w:eastAsia="Times New Roman" w:hint="default"/>
          <w:spacing w:val="-11"/>
        </w:rPr>
        <w:t> </w:t>
      </w:r>
      <w:r>
        <w:rPr/>
        <w:t>万股，预留</w:t>
      </w:r>
      <w:r>
        <w:rPr>
          <w:spacing w:val="-49"/>
        </w:rPr>
        <w:t> </w:t>
      </w:r>
      <w:r>
        <w:rPr>
          <w:rFonts w:ascii="Times New Roman" w:hAnsi="Times New Roman" w:cs="Times New Roman" w:eastAsia="Times New Roman" w:hint="default"/>
        </w:rPr>
        <w:t>8.00</w:t>
      </w:r>
      <w:r>
        <w:rPr>
          <w:rFonts w:ascii="Times New Roman" w:hAnsi="Times New Roman" w:cs="Times New Roman" w:eastAsia="Times New Roman" w:hint="default"/>
          <w:spacing w:val="-11"/>
        </w:rPr>
        <w:t> </w:t>
      </w:r>
      <w:r>
        <w:rPr/>
        <w:t>万股。公司独立董事对前述事项发表了独立意见，广东 信达律师事务所出具了法律意见书。</w:t>
      </w:r>
    </w:p>
    <w:p>
      <w:pPr>
        <w:pStyle w:val="BodyText"/>
        <w:spacing w:line="240" w:lineRule="auto" w:before="115"/>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日，公司召开的</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年第二次临时股东大会审议通过了前述相关议案并授权董事会办理相关事项。</w:t>
      </w:r>
    </w:p>
    <w:p>
      <w:pPr>
        <w:spacing w:line="240" w:lineRule="auto" w:before="9"/>
        <w:rPr>
          <w:rFonts w:ascii="宋体" w:hAnsi="宋体" w:cs="宋体" w:eastAsia="宋体" w:hint="default"/>
          <w:sz w:val="19"/>
          <w:szCs w:val="19"/>
        </w:rPr>
      </w:pPr>
    </w:p>
    <w:p>
      <w:pPr>
        <w:pStyle w:val="BodyText"/>
        <w:spacing w:line="463" w:lineRule="auto"/>
        <w:ind w:right="113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日，经公司第二届董事会第十次会议、第二届监事会第八次审议通过了《关于调整限制性股票激励计划相 </w:t>
      </w:r>
      <w:r>
        <w:rPr>
          <w:spacing w:val="-2"/>
        </w:rPr>
        <w:t>关事项的议案》和《关于向激励对象授予限制性股票的议案》，对限制性股票的授予数量、授予人数进行了调整，将计划授</w:t>
      </w:r>
      <w:r>
        <w:rPr>
          <w:spacing w:val="-70"/>
        </w:rPr>
        <w:t> </w:t>
      </w:r>
      <w:r>
        <w:rPr>
          <w:spacing w:val="-70"/>
        </w:rPr>
      </w:r>
      <w:r>
        <w:rPr/>
        <w:t>予数量由</w:t>
      </w:r>
      <w:r>
        <w:rPr>
          <w:spacing w:val="-4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8"/>
        </w:rPr>
        <w:t> </w:t>
      </w:r>
      <w:r>
        <w:rPr>
          <w:spacing w:val="-6"/>
        </w:rPr>
        <w:t>万股（预留</w:t>
      </w:r>
      <w:r>
        <w:rPr>
          <w:spacing w:val="-45"/>
        </w:rPr>
        <w:t> </w:t>
      </w:r>
      <w:r>
        <w:rPr>
          <w:rFonts w:ascii="Times New Roman" w:hAnsi="Times New Roman" w:cs="Times New Roman" w:eastAsia="Times New Roman" w:hint="default"/>
        </w:rPr>
        <w:t>8.00</w:t>
      </w:r>
      <w:r>
        <w:rPr>
          <w:rFonts w:ascii="Times New Roman" w:hAnsi="Times New Roman" w:cs="Times New Roman" w:eastAsia="Times New Roman" w:hint="default"/>
          <w:spacing w:val="-8"/>
        </w:rPr>
        <w:t> </w:t>
      </w:r>
      <w:r>
        <w:rPr>
          <w:spacing w:val="-5"/>
        </w:rPr>
        <w:t>万股）调整为</w:t>
      </w:r>
      <w:r>
        <w:rPr>
          <w:spacing w:val="-44"/>
        </w:rPr>
        <w:t> </w:t>
      </w:r>
      <w:r>
        <w:rPr>
          <w:rFonts w:ascii="Times New Roman" w:hAnsi="Times New Roman" w:cs="Times New Roman" w:eastAsia="Times New Roman" w:hint="default"/>
        </w:rPr>
        <w:t>76.85</w:t>
      </w:r>
      <w:r>
        <w:rPr>
          <w:rFonts w:ascii="Times New Roman" w:hAnsi="Times New Roman" w:cs="Times New Roman" w:eastAsia="Times New Roman" w:hint="default"/>
          <w:spacing w:val="-8"/>
        </w:rPr>
        <w:t> </w:t>
      </w:r>
      <w:r>
        <w:rPr>
          <w:spacing w:val="-6"/>
        </w:rPr>
        <w:t>万股（预留</w:t>
      </w:r>
      <w:r>
        <w:rPr>
          <w:spacing w:val="-45"/>
        </w:rPr>
        <w:t> </w:t>
      </w:r>
      <w:r>
        <w:rPr>
          <w:rFonts w:ascii="Times New Roman" w:hAnsi="Times New Roman" w:cs="Times New Roman" w:eastAsia="Times New Roman" w:hint="default"/>
        </w:rPr>
        <w:t>8.00</w:t>
      </w:r>
      <w:r>
        <w:rPr>
          <w:rFonts w:ascii="Times New Roman" w:hAnsi="Times New Roman" w:cs="Times New Roman" w:eastAsia="Times New Roman" w:hint="default"/>
          <w:spacing w:val="-8"/>
        </w:rPr>
        <w:t> </w:t>
      </w:r>
      <w:r>
        <w:rPr>
          <w:spacing w:val="-3"/>
        </w:rPr>
        <w:t>万股），首次授予的限制性股票的授予数量调整为</w:t>
      </w:r>
      <w:r>
        <w:rPr>
          <w:spacing w:val="-45"/>
        </w:rPr>
        <w:t> </w:t>
      </w:r>
      <w:r>
        <w:rPr>
          <w:rFonts w:ascii="Times New Roman" w:hAnsi="Times New Roman" w:cs="Times New Roman" w:eastAsia="Times New Roman" w:hint="default"/>
        </w:rPr>
        <w:t>68.85</w:t>
      </w:r>
    </w:p>
    <w:p>
      <w:pPr>
        <w:pStyle w:val="BodyText"/>
        <w:spacing w:line="240" w:lineRule="auto" w:before="33"/>
        <w:ind w:right="0"/>
        <w:jc w:val="left"/>
      </w:pPr>
      <w:r>
        <w:rPr/>
        <w:t>万股，激励对象由</w:t>
      </w:r>
      <w:r>
        <w:rPr>
          <w:spacing w:val="-46"/>
        </w:rPr>
        <w:t> </w:t>
      </w:r>
      <w:r>
        <w:rPr>
          <w:rFonts w:ascii="Times New Roman" w:hAnsi="Times New Roman" w:cs="Times New Roman" w:eastAsia="Times New Roman" w:hint="default"/>
        </w:rPr>
        <w:t>124</w:t>
      </w:r>
      <w:r>
        <w:rPr>
          <w:rFonts w:ascii="Times New Roman" w:hAnsi="Times New Roman" w:cs="Times New Roman" w:eastAsia="Times New Roman" w:hint="default"/>
          <w:spacing w:val="-9"/>
        </w:rPr>
        <w:t> </w:t>
      </w:r>
      <w:r>
        <w:rPr/>
        <w:t>名调整为</w:t>
      </w:r>
      <w:r>
        <w:rPr>
          <w:spacing w:val="-46"/>
        </w:rPr>
        <w:t> </w:t>
      </w:r>
      <w:r>
        <w:rPr>
          <w:rFonts w:ascii="Times New Roman" w:hAnsi="Times New Roman" w:cs="Times New Roman" w:eastAsia="Times New Roman" w:hint="default"/>
        </w:rPr>
        <w:t>113</w:t>
      </w:r>
      <w:r>
        <w:rPr>
          <w:rFonts w:ascii="Times New Roman" w:hAnsi="Times New Roman" w:cs="Times New Roman" w:eastAsia="Times New Roman" w:hint="default"/>
          <w:spacing w:val="-9"/>
        </w:rPr>
        <w:t> </w:t>
      </w:r>
      <w:r>
        <w:rPr/>
        <w:t>名，并确定了</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日为授予日。公司独立董事对前述事项发表了独立意见，</w:t>
      </w:r>
    </w:p>
    <w:p>
      <w:pPr>
        <w:spacing w:line="240" w:lineRule="auto" w:before="11"/>
        <w:rPr>
          <w:rFonts w:ascii="宋体" w:hAnsi="宋体" w:cs="宋体" w:eastAsia="宋体" w:hint="default"/>
          <w:sz w:val="16"/>
          <w:szCs w:val="16"/>
        </w:rPr>
      </w:pPr>
    </w:p>
    <w:p>
      <w:pPr>
        <w:pStyle w:val="BodyText"/>
        <w:spacing w:line="489" w:lineRule="auto"/>
        <w:ind w:left="1134" w:right="3850"/>
        <w:jc w:val="left"/>
      </w:pPr>
      <w:r>
        <w:rPr/>
        <w:t>广东信达律师事务所出具了法律意见书。前述限制性股票已于</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日上市。 股份变动的过户情况</w:t>
      </w:r>
    </w:p>
    <w:p>
      <w:pPr>
        <w:pStyle w:val="BodyText"/>
        <w:spacing w:line="489" w:lineRule="auto" w:before="86"/>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经公司申请，中国证券登记结算公司深圳分公司已于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日为公司办理完毕限制性股票股份登记工作。 股份变动对最近一年和最近一期基本每股收益和稀释每股收益、归属于公司普通股股东的每股净资产等财务指标的影响</w:t>
      </w:r>
    </w:p>
    <w:p>
      <w:pPr>
        <w:pStyle w:val="BodyText"/>
        <w:spacing w:line="48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本报告期内股份变动对公司最近一期的基本每股收益、稀释每股收益及归属于公司普通股股东的每股净资产等财务指标的影</w:t>
      </w:r>
      <w:r>
        <w:rPr>
          <w:spacing w:val="-64"/>
        </w:rPr>
        <w:t> </w:t>
      </w:r>
      <w:r>
        <w:rPr>
          <w:spacing w:val="-64"/>
        </w:rPr>
      </w:r>
      <w:r>
        <w:rPr>
          <w:spacing w:val="-2"/>
        </w:rPr>
        <w:t>响情况如下：报告期公司基本每股收益、稀释每股收益均为</w:t>
      </w:r>
      <w:r>
        <w:rPr>
          <w:rFonts w:ascii="宋体" w:hAnsi="宋体" w:cs="宋体" w:eastAsia="宋体" w:hint="default"/>
          <w:spacing w:val="-2"/>
        </w:rPr>
        <w:t>0.90</w:t>
      </w:r>
      <w:r>
        <w:rPr>
          <w:spacing w:val="-2"/>
        </w:rPr>
        <w:t>元</w:t>
      </w:r>
      <w:r>
        <w:rPr>
          <w:rFonts w:ascii="宋体" w:hAnsi="宋体" w:cs="宋体" w:eastAsia="宋体" w:hint="default"/>
          <w:spacing w:val="-2"/>
        </w:rPr>
        <w:t>/</w:t>
      </w:r>
      <w:r>
        <w:rPr>
          <w:spacing w:val="-2"/>
        </w:rPr>
        <w:t>股，比去年下降</w:t>
      </w:r>
      <w:r>
        <w:rPr>
          <w:rFonts w:ascii="宋体" w:hAnsi="宋体" w:cs="宋体" w:eastAsia="宋体" w:hint="default"/>
          <w:spacing w:val="-2"/>
        </w:rPr>
        <w:t>5.26%</w:t>
      </w:r>
      <w:r>
        <w:rPr>
          <w:spacing w:val="-2"/>
        </w:rPr>
        <w:t>；归属于公司普通股股东的每股净</w:t>
      </w:r>
      <w:r>
        <w:rPr>
          <w:spacing w:val="-57"/>
        </w:rPr>
        <w:t> </w:t>
      </w:r>
      <w:r>
        <w:rPr>
          <w:spacing w:val="-57"/>
        </w:rPr>
      </w:r>
      <w:r>
        <w:rPr/>
        <w:t>资产为</w:t>
      </w:r>
      <w:r>
        <w:rPr>
          <w:rFonts w:ascii="宋体" w:hAnsi="宋体" w:cs="宋体" w:eastAsia="宋体" w:hint="default"/>
        </w:rPr>
        <w:t>7.21</w:t>
      </w:r>
      <w:r>
        <w:rPr/>
        <w:t>元</w:t>
      </w:r>
      <w:r>
        <w:rPr>
          <w:rFonts w:ascii="宋体" w:hAnsi="宋体" w:cs="宋体" w:eastAsia="宋体" w:hint="default"/>
        </w:rPr>
        <w:t>/</w:t>
      </w:r>
      <w:r>
        <w:rPr/>
        <w:t>股，比去年增长</w:t>
      </w:r>
      <w:r>
        <w:rPr>
          <w:rFonts w:ascii="宋体" w:hAnsi="宋体" w:cs="宋体" w:eastAsia="宋体" w:hint="default"/>
        </w:rPr>
        <w:t>78.02%</w:t>
      </w:r>
      <w:r>
        <w:rPr/>
        <w:t>。</w:t>
      </w:r>
    </w:p>
    <w:p>
      <w:pPr>
        <w:pStyle w:val="BodyText"/>
        <w:spacing w:line="240" w:lineRule="auto" w:before="93"/>
        <w:ind w:right="0"/>
        <w:jc w:val="left"/>
      </w:pPr>
      <w:r>
        <w:rPr/>
        <w:t>公司认为必要或证券监管机构要求披露的其他内容</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79"/>
        <w:gridCol w:w="646"/>
        <w:gridCol w:w="703"/>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31,680,000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31,680,000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2018/4/24</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6,336,000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6,336,000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2016/4/24</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4,752,000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2016/4/24</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4,752,000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4,752,000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2016/4/24</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3,300,000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2016/4/24</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2,640,000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2016/4/24</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2,640,000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2018/4/24</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广州市常森投资 咨询有限责任公 司</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2,400,000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2018/4/24</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广州市碧天投资 咨询有限公司</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1,500,000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2018/4/24</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公司中层管理人 </w:t>
            </w:r>
            <w:r>
              <w:rPr>
                <w:rFonts w:ascii="宋体" w:hAnsi="宋体" w:cs="宋体" w:eastAsia="宋体" w:hint="default"/>
                <w:spacing w:val="-3"/>
                <w:sz w:val="18"/>
                <w:szCs w:val="18"/>
              </w:rPr>
              <w:t>员、核心技术（业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务）人员（</w:t>
            </w:r>
            <w:r>
              <w:rPr>
                <w:rFonts w:ascii="Times New Roman" w:hAnsi="Times New Roman" w:cs="Times New Roman" w:eastAsia="Times New Roman" w:hint="default"/>
                <w:spacing w:val="-8"/>
                <w:sz w:val="18"/>
                <w:szCs w:val="18"/>
              </w:rPr>
              <w:t>113</w:t>
            </w:r>
          </w:p>
        </w:tc>
        <w:tc>
          <w:tcPr>
            <w:tcW w:w="646" w:type="dxa"/>
            <w:tcBorders>
              <w:top w:val="single" w:sz="4" w:space="0" w:color="000000"/>
              <w:left w:val="single" w:sz="4" w:space="0" w:color="000000"/>
              <w:bottom w:val="single" w:sz="4" w:space="0" w:color="000000"/>
              <w:right w:val="nil" w:sz="6" w:space="0" w:color="auto"/>
            </w:tcBorders>
          </w:tcPr>
          <w:p>
            <w:pPr/>
          </w:p>
        </w:tc>
        <w:tc>
          <w:tcPr>
            <w:tcW w:w="70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688,500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根据公司《限制 性股票激励计 划》的相关规定 进行解锁</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60,000,000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60,688,500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4"/>
          <w:szCs w:val="24"/>
        </w:rPr>
      </w:pPr>
    </w:p>
    <w:p>
      <w:pPr>
        <w:pStyle w:val="Heading2"/>
        <w:spacing w:line="240" w:lineRule="auto" w:before="26"/>
        <w:ind w:left="1134" w:right="0"/>
        <w:jc w:val="left"/>
        <w:rPr>
          <w:b w:val="0"/>
          <w:bCs w:val="0"/>
        </w:rPr>
      </w:pPr>
      <w:r>
        <w:rPr/>
        <w:pict>
          <v:shape style="position:absolute;margin-left:115.699997pt;margin-top:-59.684372pt;width:82.15pt;height:23.4pt;mso-position-horizontal-relative:page;mso-position-vertical-relative:paragraph;z-index:-921736" type="#_x0000_t202" filled="false" stroked="false">
            <v:textbox inset="0,0,0,0">
              <w:txbxContent>
                <w:p>
                  <w:pPr>
                    <w:pStyle w:val="BodyText"/>
                    <w:spacing w:line="207" w:lineRule="exact"/>
                    <w:ind w:left="0" w:right="0"/>
                    <w:jc w:val="left"/>
                  </w:pPr>
                  <w:r>
                    <w:rPr/>
                    <w:t>人）</w:t>
                  </w:r>
                </w:p>
              </w:txbxContent>
            </v:textbox>
            <w10:wrap type="none"/>
          </v:shape>
        </w:pict>
      </w:r>
      <w:r>
        <w:rPr/>
        <w:pict>
          <v:group style="position:absolute;margin-left:130.880005pt;margin-top:-59.684372pt;width:67pt;height:23.4pt;mso-position-horizontal-relative:page;mso-position-vertical-relative:paragraph;z-index:-921712" coordorigin="2618,-1194" coordsize="1340,468">
            <v:shape style="position:absolute;left:2618;top:-1194;width:1340;height:468" coordorigin="2618,-1194" coordsize="1340,468" path="m2618,-726l3957,-726,3957,-1194,2618,-1194,2618,-726xe" filled="true" fillcolor="#ffffff" stroked="false">
              <v:path arrowok="t"/>
              <v:fill type="solid"/>
            </v:shape>
            <w10:wrap type="none"/>
          </v:group>
        </w:pict>
      </w:r>
      <w:bookmarkStart w:name="二、证券发行与上市情况" w:id="103"/>
      <w:bookmarkEnd w:id="103"/>
      <w:r>
        <w:rPr>
          <w:b w:val="0"/>
          <w:bCs w:val="0"/>
        </w:rPr>
      </w:r>
      <w:r>
        <w:rPr/>
        <w:t>二、证券发行与上市情况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浩云科技普通股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20,000,000</w:t>
            </w: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1026"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浩云科技首期限 制性股票激励计 划</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688,500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688,500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报告期内证券发行（不含优先股）情况的说明</w:t>
      </w:r>
    </w:p>
    <w:p>
      <w:pPr>
        <w:spacing w:line="240" w:lineRule="auto" w:before="10"/>
        <w:rPr>
          <w:rFonts w:ascii="宋体" w:hAnsi="宋体" w:cs="宋体" w:eastAsia="宋体" w:hint="default"/>
          <w:sz w:val="20"/>
          <w:szCs w:val="20"/>
        </w:rPr>
      </w:pPr>
    </w:p>
    <w:p>
      <w:pPr>
        <w:pStyle w:val="BodyText"/>
        <w:spacing w:line="451" w:lineRule="auto"/>
        <w:ind w:right="1130"/>
        <w:jc w:val="left"/>
      </w:pPr>
      <w:r>
        <w:rPr>
          <w:rFonts w:ascii="Times New Roman" w:hAnsi="Times New Roman" w:cs="Times New Roman" w:eastAsia="Times New Roman" w:hint="default"/>
        </w:rPr>
        <w:t>1</w:t>
      </w:r>
      <w:r>
        <w:rPr/>
        <w:t>、报告期内，公司经中国证券监督管理委员会证监许可</w:t>
      </w:r>
      <w:r>
        <w:rPr>
          <w:rFonts w:ascii="Times New Roman" w:hAnsi="Times New Roman" w:cs="Times New Roman" w:eastAsia="Times New Roman" w:hint="default"/>
        </w:rPr>
        <w:t>[2015]536</w:t>
      </w:r>
      <w:r>
        <w:rPr/>
        <w:t>号文核准，向社会首次公开发行人民币普通股</w:t>
      </w:r>
      <w:r>
        <w:rPr>
          <w:rFonts w:ascii="Times New Roman" w:hAnsi="Times New Roman" w:cs="Times New Roman" w:eastAsia="Times New Roman" w:hint="default"/>
        </w:rPr>
        <w:t>2,000.00</w:t>
      </w:r>
      <w:r>
        <w:rPr/>
        <w:t>万</w:t>
      </w:r>
      <w:r>
        <w:rPr>
          <w:spacing w:val="-30"/>
        </w:rPr>
        <w:t> </w:t>
      </w:r>
      <w:r>
        <w:rPr>
          <w:spacing w:val="-2"/>
        </w:rPr>
        <w:t>股，每股发行价格为人民币</w:t>
      </w:r>
      <w:r>
        <w:rPr>
          <w:rFonts w:ascii="Times New Roman" w:hAnsi="Times New Roman" w:cs="Times New Roman" w:eastAsia="Times New Roman" w:hint="default"/>
          <w:spacing w:val="-2"/>
        </w:rPr>
        <w:t>15.79</w:t>
      </w:r>
      <w:r>
        <w:rPr>
          <w:spacing w:val="-2"/>
        </w:rPr>
        <w:t>元，募集资金总额为人民币</w:t>
      </w:r>
      <w:r>
        <w:rPr>
          <w:rFonts w:ascii="Times New Roman" w:hAnsi="Times New Roman" w:cs="Times New Roman" w:eastAsia="Times New Roman" w:hint="default"/>
          <w:spacing w:val="-2"/>
        </w:rPr>
        <w:t>31,580.00</w:t>
      </w:r>
      <w:r>
        <w:rPr>
          <w:spacing w:val="-2"/>
        </w:rPr>
        <w:t>万元，扣除发行费用后募集资金净额为人民币</w:t>
      </w:r>
      <w:r>
        <w:rPr>
          <w:rFonts w:ascii="Times New Roman" w:hAnsi="Times New Roman" w:cs="Times New Roman" w:eastAsia="Times New Roman" w:hint="default"/>
          <w:spacing w:val="-2"/>
        </w:rPr>
        <w:t>28,398.04</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万元。天健会计师事务所（特殊普通合伙）已于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日对公司首次公开发行股票的募集资金到位情况进行了审验，</w:t>
      </w:r>
      <w:r>
        <w:rPr>
          <w:spacing w:val="-82"/>
        </w:rPr>
        <w:t> </w:t>
      </w:r>
      <w:r>
        <w:rPr>
          <w:spacing w:val="-82"/>
        </w:rPr>
      </w:r>
      <w:r>
        <w:rPr/>
        <w:t>并出具</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7-43</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验资报告。公司股票于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日在深圳证券交易所创业板挂牌上市。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日，经公司第二届董事会第八次会议、第二届监事会第六次会议审议通过了《关于广州市浩云安防科技股</w:t>
      </w:r>
      <w:r>
        <w:rPr>
          <w:spacing w:val="-73"/>
        </w:rPr>
        <w:t> </w:t>
      </w:r>
      <w:r>
        <w:rPr>
          <w:spacing w:val="-73"/>
        </w:rPr>
      </w:r>
      <w:r>
        <w:rPr/>
        <w:t>份有限公司</w:t>
      </w:r>
      <w:r>
        <w:rPr>
          <w:rFonts w:ascii="Times New Roman" w:hAnsi="Times New Roman" w:cs="Times New Roman" w:eastAsia="Times New Roman" w:hint="default"/>
        </w:rPr>
        <w:t>&lt;</w:t>
      </w:r>
      <w:r>
        <w:rPr/>
        <w:t>限制性股票激励计划（草案）</w:t>
      </w:r>
      <w:r>
        <w:rPr>
          <w:rFonts w:ascii="Times New Roman" w:hAnsi="Times New Roman" w:cs="Times New Roman" w:eastAsia="Times New Roman" w:hint="default"/>
        </w:rPr>
        <w:t>&gt;</w:t>
      </w:r>
      <w:r>
        <w:rPr/>
        <w:t>及其摘要的议案》，同意拟授予公司的中层管理人员、核心业务（技术）人员</w:t>
      </w:r>
      <w:r>
        <w:rPr>
          <w:spacing w:val="-29"/>
        </w:rPr>
        <w:t> </w:t>
      </w:r>
      <w:r>
        <w:rPr>
          <w:spacing w:val="-29"/>
        </w:rPr>
      </w:r>
      <w:r>
        <w:rPr/>
        <w:t>共计</w:t>
      </w:r>
      <w:r>
        <w:rPr>
          <w:rFonts w:ascii="Times New Roman" w:hAnsi="Times New Roman" w:cs="Times New Roman" w:eastAsia="Times New Roman" w:hint="default"/>
        </w:rPr>
        <w:t>80.00</w:t>
      </w:r>
      <w:r>
        <w:rPr/>
        <w:t>万股限制性股票，其中首次授予</w:t>
      </w:r>
      <w:r>
        <w:rPr>
          <w:rFonts w:ascii="Times New Roman" w:hAnsi="Times New Roman" w:cs="Times New Roman" w:eastAsia="Times New Roman" w:hint="default"/>
        </w:rPr>
        <w:t>72.00</w:t>
      </w:r>
      <w:r>
        <w:rPr/>
        <w:t>万股，预留</w:t>
      </w:r>
      <w:r>
        <w:rPr>
          <w:rFonts w:ascii="Times New Roman" w:hAnsi="Times New Roman" w:cs="Times New Roman" w:eastAsia="Times New Roman" w:hint="default"/>
        </w:rPr>
        <w:t>8.00</w:t>
      </w:r>
      <w:r>
        <w:rPr/>
        <w:t>万股。</w:t>
      </w:r>
    </w:p>
    <w:p>
      <w:pPr>
        <w:pStyle w:val="BodyText"/>
        <w:spacing w:line="451" w:lineRule="auto" w:before="43"/>
        <w:ind w:right="1129" w:firstLine="29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日，公司召开的</w:t>
      </w:r>
      <w:r>
        <w:rPr>
          <w:rFonts w:ascii="Times New Roman" w:hAnsi="Times New Roman" w:cs="Times New Roman" w:eastAsia="Times New Roman" w:hint="default"/>
        </w:rPr>
        <w:t>2015</w:t>
      </w:r>
      <w:r>
        <w:rPr/>
        <w:t>年第二次临时股东大会审议通过了《关于广州市浩云安防科技股份有限公司</w:t>
      </w:r>
      <w:r>
        <w:rPr>
          <w:rFonts w:ascii="Times New Roman" w:hAnsi="Times New Roman" w:cs="Times New Roman" w:eastAsia="Times New Roman" w:hint="default"/>
        </w:rPr>
        <w:t>&lt;</w:t>
      </w:r>
      <w:r>
        <w:rPr/>
        <w:t>限制性</w:t>
      </w:r>
      <w:r>
        <w:rPr>
          <w:spacing w:val="1"/>
        </w:rPr>
        <w:t> </w:t>
      </w:r>
      <w:r>
        <w:rPr/>
        <w:t>股票激励计划（草案）</w:t>
      </w:r>
      <w:r>
        <w:rPr>
          <w:rFonts w:ascii="Times New Roman" w:hAnsi="Times New Roman" w:cs="Times New Roman" w:eastAsia="Times New Roman" w:hint="default"/>
        </w:rPr>
        <w:t>&gt;</w:t>
      </w:r>
      <w:r>
        <w:rPr/>
        <w:t>及其摘要的议案》并授权董事会办理相关事项。</w:t>
      </w:r>
    </w:p>
    <w:p>
      <w:pPr>
        <w:pStyle w:val="BodyText"/>
        <w:spacing w:line="458" w:lineRule="auto" w:before="43"/>
        <w:ind w:right="1131" w:firstLine="29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日，经公司第二届董事会第十次会议、第二届监事会第八次会议审议通过了《关于调整限制性股票激励计</w:t>
      </w:r>
      <w:r>
        <w:rPr/>
        <w:t> </w:t>
      </w:r>
      <w:r>
        <w:rPr>
          <w:spacing w:val="-2"/>
        </w:rPr>
        <w:t>划相关事项的议案》和《关于向激励对象授予限制性股票的议案》，对限制性股票的授予数量、授予人数进行了调整，将计</w:t>
      </w:r>
      <w:r>
        <w:rPr>
          <w:spacing w:val="-69"/>
        </w:rPr>
        <w:t> </w:t>
      </w:r>
      <w:r>
        <w:rPr>
          <w:spacing w:val="-69"/>
        </w:rPr>
      </w:r>
      <w:r>
        <w:rPr>
          <w:spacing w:val="-3"/>
        </w:rPr>
        <w:t>划授予数量由</w:t>
      </w:r>
      <w:r>
        <w:rPr>
          <w:rFonts w:ascii="Times New Roman" w:hAnsi="Times New Roman" w:cs="Times New Roman" w:eastAsia="Times New Roman" w:hint="default"/>
          <w:spacing w:val="-3"/>
        </w:rPr>
        <w:t>80.00</w:t>
      </w:r>
      <w:r>
        <w:rPr>
          <w:spacing w:val="-3"/>
        </w:rPr>
        <w:t>万股（预留</w:t>
      </w:r>
      <w:r>
        <w:rPr>
          <w:rFonts w:ascii="Times New Roman" w:hAnsi="Times New Roman" w:cs="Times New Roman" w:eastAsia="Times New Roman" w:hint="default"/>
          <w:spacing w:val="-3"/>
        </w:rPr>
        <w:t>8.00</w:t>
      </w:r>
      <w:r>
        <w:rPr>
          <w:spacing w:val="-3"/>
        </w:rPr>
        <w:t>万股）调整为</w:t>
      </w:r>
      <w:r>
        <w:rPr>
          <w:rFonts w:ascii="Times New Roman" w:hAnsi="Times New Roman" w:cs="Times New Roman" w:eastAsia="Times New Roman" w:hint="default"/>
          <w:spacing w:val="-3"/>
        </w:rPr>
        <w:t>76.85</w:t>
      </w:r>
      <w:r>
        <w:rPr>
          <w:spacing w:val="-3"/>
        </w:rPr>
        <w:t>万股（预留</w:t>
      </w:r>
      <w:r>
        <w:rPr>
          <w:rFonts w:ascii="Times New Roman" w:hAnsi="Times New Roman" w:cs="Times New Roman" w:eastAsia="Times New Roman" w:hint="default"/>
          <w:spacing w:val="-3"/>
        </w:rPr>
        <w:t>8.00</w:t>
      </w:r>
      <w:r>
        <w:rPr>
          <w:spacing w:val="-3"/>
        </w:rPr>
        <w:t>万股），首次授予的限制性股票的授予数量调整为</w:t>
      </w:r>
      <w:r>
        <w:rPr>
          <w:rFonts w:ascii="Times New Roman" w:hAnsi="Times New Roman" w:cs="Times New Roman" w:eastAsia="Times New Roman" w:hint="default"/>
          <w:spacing w:val="-3"/>
        </w:rPr>
        <w:t>68.85</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万股，激励对象由</w:t>
      </w:r>
      <w:r>
        <w:rPr>
          <w:rFonts w:ascii="Times New Roman" w:hAnsi="Times New Roman" w:cs="Times New Roman" w:eastAsia="Times New Roman" w:hint="default"/>
        </w:rPr>
        <w:t>124</w:t>
      </w:r>
      <w:r>
        <w:rPr/>
        <w:t>名调整为</w:t>
      </w:r>
      <w:r>
        <w:rPr>
          <w:rFonts w:ascii="Times New Roman" w:hAnsi="Times New Roman" w:cs="Times New Roman" w:eastAsia="Times New Roman" w:hint="default"/>
        </w:rPr>
        <w:t>113</w:t>
      </w:r>
      <w:r>
        <w:rPr/>
        <w:t>名，并确定了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日为授予日。上述限制性股票已于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日上市。</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right="1118"/>
        <w:jc w:val="left"/>
      </w:pPr>
      <w:r>
        <w:rPr>
          <w:rFonts w:ascii="Times New Roman" w:hAnsi="Times New Roman" w:cs="Times New Roman" w:eastAsia="Times New Roman" w:hint="default"/>
          <w:spacing w:val="-2"/>
        </w:rPr>
        <w:t>1</w:t>
      </w:r>
      <w:r>
        <w:rPr>
          <w:spacing w:val="-2"/>
        </w:rPr>
        <w:t>、报告期内，公司首次公开发行股票</w:t>
      </w:r>
      <w:r>
        <w:rPr>
          <w:rFonts w:ascii="Times New Roman" w:hAnsi="Times New Roman" w:cs="Times New Roman" w:eastAsia="Times New Roman" w:hint="default"/>
          <w:spacing w:val="-2"/>
        </w:rPr>
        <w:t>2,000.00</w:t>
      </w:r>
      <w:r>
        <w:rPr>
          <w:spacing w:val="-2"/>
        </w:rPr>
        <w:t>万股，公司股本总额从</w:t>
      </w:r>
      <w:r>
        <w:rPr>
          <w:rFonts w:ascii="Times New Roman" w:hAnsi="Times New Roman" w:cs="Times New Roman" w:eastAsia="Times New Roman" w:hint="default"/>
          <w:spacing w:val="-2"/>
        </w:rPr>
        <w:t>6,000.00</w:t>
      </w:r>
      <w:r>
        <w:rPr>
          <w:spacing w:val="-2"/>
        </w:rPr>
        <w:t>万股增加至</w:t>
      </w:r>
      <w:r>
        <w:rPr>
          <w:rFonts w:ascii="Times New Roman" w:hAnsi="Times New Roman" w:cs="Times New Roman" w:eastAsia="Times New Roman" w:hint="default"/>
          <w:spacing w:val="-2"/>
        </w:rPr>
        <w:t>8,000.00</w:t>
      </w:r>
      <w:r>
        <w:rPr>
          <w:spacing w:val="-2"/>
        </w:rPr>
        <w:t>万股，公司股本结构由限售</w:t>
      </w:r>
      <w:r>
        <w:rPr>
          <w:spacing w:val="-44"/>
        </w:rPr>
        <w:t> </w:t>
      </w:r>
      <w:r>
        <w:rPr>
          <w:spacing w:val="-44"/>
        </w:rPr>
      </w:r>
      <w:r>
        <w:rPr/>
        <w:t>股股东占比</w:t>
      </w:r>
      <w:r>
        <w:rPr>
          <w:rFonts w:ascii="Times New Roman" w:hAnsi="Times New Roman" w:cs="Times New Roman" w:eastAsia="Times New Roman" w:hint="default"/>
        </w:rPr>
        <w:t>100%</w:t>
      </w:r>
      <w:r>
        <w:rPr/>
        <w:t>，变为限售股股东占比</w:t>
      </w:r>
      <w:r>
        <w:rPr>
          <w:rFonts w:ascii="Times New Roman" w:hAnsi="Times New Roman" w:cs="Times New Roman" w:eastAsia="Times New Roman" w:hint="default"/>
        </w:rPr>
        <w:t>75%,</w:t>
      </w:r>
      <w:r>
        <w:rPr/>
        <w:t>无限售条件流通股股东占比</w:t>
      </w:r>
      <w:r>
        <w:rPr>
          <w:rFonts w:ascii="Times New Roman" w:hAnsi="Times New Roman" w:cs="Times New Roman" w:eastAsia="Times New Roman" w:hint="default"/>
        </w:rPr>
        <w:t>25%</w:t>
      </w:r>
      <w:r>
        <w:rPr/>
        <w:t>。 首次公开发行股票募集资金净额为</w:t>
      </w:r>
      <w:r>
        <w:rPr>
          <w:rFonts w:ascii="Times New Roman" w:hAnsi="Times New Roman" w:cs="Times New Roman" w:eastAsia="Times New Roman" w:hint="default"/>
        </w:rPr>
        <w:t>28,398.04</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因股本溢价增加资本公积</w:t>
      </w:r>
      <w:r>
        <w:rPr>
          <w:rFonts w:ascii="Times New Roman" w:hAnsi="Times New Roman" w:cs="Times New Roman" w:eastAsia="Times New Roman" w:hint="default"/>
        </w:rPr>
        <w:t>26,398.04</w:t>
      </w:r>
      <w:r>
        <w:rPr/>
        <w:t>万元。 </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6</w:t>
      </w:r>
      <w:r>
        <w:rPr>
          <w:spacing w:val="-1"/>
        </w:rPr>
        <w:t>日，公司向</w:t>
      </w:r>
      <w:r>
        <w:rPr>
          <w:rFonts w:ascii="Times New Roman" w:hAnsi="Times New Roman" w:cs="Times New Roman" w:eastAsia="Times New Roman" w:hint="default"/>
          <w:spacing w:val="-1"/>
        </w:rPr>
        <w:t>113</w:t>
      </w:r>
      <w:r>
        <w:rPr>
          <w:spacing w:val="-1"/>
        </w:rPr>
        <w:t>名激励对象授予限制性股票</w:t>
      </w:r>
      <w:r>
        <w:rPr>
          <w:rFonts w:ascii="Times New Roman" w:hAnsi="Times New Roman" w:cs="Times New Roman" w:eastAsia="Times New Roman" w:hint="default"/>
          <w:spacing w:val="-1"/>
        </w:rPr>
        <w:t>68.85</w:t>
      </w:r>
      <w:r>
        <w:rPr>
          <w:spacing w:val="-1"/>
        </w:rPr>
        <w:t>万股，公司股本总额从</w:t>
      </w:r>
      <w:r>
        <w:rPr>
          <w:rFonts w:ascii="Times New Roman" w:hAnsi="Times New Roman" w:cs="Times New Roman" w:eastAsia="Times New Roman" w:hint="default"/>
          <w:spacing w:val="-1"/>
        </w:rPr>
        <w:t>8,000.00</w:t>
      </w:r>
      <w:r>
        <w:rPr>
          <w:spacing w:val="-1"/>
        </w:rPr>
        <w:t>万股增加至</w:t>
      </w:r>
      <w:r>
        <w:rPr>
          <w:rFonts w:ascii="Times New Roman" w:hAnsi="Times New Roman" w:cs="Times New Roman" w:eastAsia="Times New Roman" w:hint="default"/>
          <w:spacing w:val="-1"/>
        </w:rPr>
        <w:t>8,068.85</w:t>
      </w:r>
      <w:r>
        <w:rPr>
          <w:spacing w:val="-1"/>
        </w:rPr>
        <w:t>万股，公</w:t>
      </w:r>
      <w:r>
        <w:rPr>
          <w:spacing w:val="-64"/>
        </w:rPr>
        <w:t> </w:t>
      </w:r>
      <w:r>
        <w:rPr>
          <w:spacing w:val="-64"/>
        </w:rPr>
      </w:r>
      <w:r>
        <w:rPr>
          <w:spacing w:val="-2"/>
        </w:rPr>
        <w:t>司股本结构由限售股股东占比</w:t>
      </w:r>
      <w:r>
        <w:rPr>
          <w:rFonts w:ascii="Times New Roman" w:hAnsi="Times New Roman" w:cs="Times New Roman" w:eastAsia="Times New Roman" w:hint="default"/>
          <w:spacing w:val="-2"/>
        </w:rPr>
        <w:t>75%</w:t>
      </w:r>
      <w:r>
        <w:rPr>
          <w:spacing w:val="-2"/>
        </w:rPr>
        <w:t>，无限售条件流通股股东占比</w:t>
      </w:r>
      <w:r>
        <w:rPr>
          <w:rFonts w:ascii="Times New Roman" w:hAnsi="Times New Roman" w:cs="Times New Roman" w:eastAsia="Times New Roman" w:hint="default"/>
          <w:spacing w:val="-2"/>
        </w:rPr>
        <w:t>25%</w:t>
      </w:r>
      <w:r>
        <w:rPr>
          <w:spacing w:val="-2"/>
        </w:rPr>
        <w:t>，变为限售股股东占比</w:t>
      </w:r>
      <w:r>
        <w:rPr>
          <w:rFonts w:ascii="Times New Roman" w:hAnsi="Times New Roman" w:cs="Times New Roman" w:eastAsia="Times New Roman" w:hint="default"/>
          <w:spacing w:val="-2"/>
        </w:rPr>
        <w:t>75.21%,</w:t>
      </w:r>
      <w:r>
        <w:rPr>
          <w:spacing w:val="-2"/>
        </w:rPr>
        <w:t>无限售条件流通股股东占</w:t>
      </w:r>
      <w:r>
        <w:rPr>
          <w:spacing w:val="-54"/>
        </w:rPr>
        <w:t> </w:t>
      </w:r>
      <w:r>
        <w:rPr>
          <w:spacing w:val="-54"/>
        </w:rPr>
      </w:r>
      <w:r>
        <w:rPr/>
        <w:t>比</w:t>
      </w:r>
      <w:r>
        <w:rPr>
          <w:rFonts w:ascii="Times New Roman" w:hAnsi="Times New Roman" w:cs="Times New Roman" w:eastAsia="Times New Roman" w:hint="default"/>
        </w:rPr>
        <w:t>24.79%</w:t>
      </w:r>
      <w:r>
        <w:rPr/>
        <w:t>。</w:t>
      </w:r>
    </w:p>
    <w:p>
      <w:pPr>
        <w:pStyle w:val="BodyText"/>
        <w:spacing w:line="240" w:lineRule="auto" w:before="44"/>
        <w:ind w:right="0"/>
        <w:jc w:val="left"/>
      </w:pPr>
      <w:r>
        <w:rPr>
          <w:rFonts w:ascii="Times New Roman" w:hAnsi="Times New Roman" w:cs="Times New Roman" w:eastAsia="Times New Roman" w:hint="default"/>
          <w:spacing w:val="2"/>
        </w:rPr>
        <w:t>3</w:t>
      </w:r>
      <w:r>
        <w:rPr>
          <w:spacing w:val="2"/>
        </w:rPr>
        <w:t>、公司发行新股和授予限制性股票后，所有者权益增加，资产负债率明显降低，由上年末的</w:t>
      </w:r>
      <w:r>
        <w:rPr>
          <w:rFonts w:ascii="Times New Roman" w:hAnsi="Times New Roman" w:cs="Times New Roman" w:eastAsia="Times New Roman" w:hint="default"/>
          <w:spacing w:val="2"/>
        </w:rPr>
        <w:t>34.88%</w:t>
      </w:r>
      <w:r>
        <w:rPr>
          <w:spacing w:val="2"/>
        </w:rPr>
        <w:t>下降至本报告期末的</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14.42%</w:t>
      </w:r>
      <w:r>
        <w:rPr/>
        <w:t>。</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本次向激励对象发行股票募集资金净额为</w:t>
      </w:r>
      <w:r>
        <w:rPr>
          <w:rFonts w:ascii="Times New Roman" w:hAnsi="Times New Roman" w:cs="Times New Roman" w:eastAsia="Times New Roman" w:hint="default"/>
        </w:rPr>
        <w:t>1,917.161</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因股本溢价增加资本公积</w:t>
      </w:r>
      <w:r>
        <w:rPr>
          <w:rFonts w:ascii="Times New Roman" w:hAnsi="Times New Roman" w:cs="Times New Roman" w:eastAsia="Times New Roman" w:hint="default"/>
        </w:rPr>
        <w:t>1,848.311</w:t>
      </w:r>
      <w:r>
        <w:rPr/>
        <w:t>万元。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240" w:lineRule="auto"/>
        <w:ind w:left="0" w:right="1130"/>
        <w:jc w:val="right"/>
      </w:pPr>
      <w:r>
        <w:rPr/>
        <w:pict>
          <v:shape style="position:absolute;margin-left:449.277008pt;margin-top:68.311729pt;width:85.6pt;height:31.2pt;mso-position-horizontal-relative:page;mso-position-vertical-relative:paragraph;z-index:-921688"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68.311729pt;width:52.45pt;height:31.2pt;mso-position-horizontal-relative:page;mso-position-vertical-relative:paragraph;z-index:-921664"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13,601</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12,526</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FFFFFF"/>
            </w:tcBorders>
            <w:shd w:val="clear" w:color="auto" w:fill="D2D2D2"/>
          </w:tcPr>
          <w:p>
            <w:pPr/>
          </w:p>
        </w:tc>
        <w:tc>
          <w:tcPr>
            <w:tcW w:w="831" w:type="dxa"/>
            <w:tcBorders>
              <w:top w:val="single" w:sz="4" w:space="0" w:color="000000"/>
              <w:left w:val="single" w:sz="4" w:space="0" w:color="FFFFFF"/>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1"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1"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FFFFFF"/>
            </w:tcBorders>
            <w:shd w:val="clear" w:color="auto" w:fill="D2D2D2"/>
          </w:tcPr>
          <w:p>
            <w:pPr/>
          </w:p>
        </w:tc>
        <w:tc>
          <w:tcPr>
            <w:tcW w:w="831" w:type="dxa"/>
            <w:vMerge/>
            <w:tcBorders>
              <w:left w:val="single" w:sz="4" w:space="0" w:color="FFFFFF"/>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FFFFFF"/>
            </w:tcBorders>
            <w:shd w:val="clear" w:color="auto" w:fill="D2D2D2"/>
          </w:tcPr>
          <w:p>
            <w:pPr/>
          </w:p>
        </w:tc>
        <w:tc>
          <w:tcPr>
            <w:tcW w:w="831" w:type="dxa"/>
            <w:tcBorders>
              <w:top w:val="nil" w:sz="6" w:space="0" w:color="auto"/>
              <w:left w:val="single" w:sz="4" w:space="0" w:color="FFFFFF"/>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39.26%</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31,680,00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31,680,00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1,400,000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7.85%</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6,336,000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6,336,000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2,850,000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5.89%</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4,752,000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4,752,000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5.89%</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4,752,000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4,752,000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4.09%</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3,300,000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6" w:right="0"/>
              <w:jc w:val="left"/>
              <w:rPr>
                <w:rFonts w:ascii="Times New Roman" w:hAnsi="Times New Roman" w:cs="Times New Roman" w:eastAsia="Times New Roman" w:hint="default"/>
                <w:sz w:val="18"/>
                <w:szCs w:val="18"/>
              </w:rPr>
            </w:pPr>
            <w:r>
              <w:rPr>
                <w:rFonts w:ascii="Times New Roman"/>
                <w:sz w:val="18"/>
              </w:rPr>
              <w:t>2,300,000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3.27%</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2,640,000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2" w:right="0"/>
              <w:jc w:val="left"/>
              <w:rPr>
                <w:rFonts w:ascii="Times New Roman" w:hAnsi="Times New Roman" w:cs="Times New Roman" w:eastAsia="Times New Roman" w:hint="default"/>
                <w:sz w:val="18"/>
                <w:szCs w:val="18"/>
              </w:rPr>
            </w:pPr>
            <w:r>
              <w:rPr>
                <w:rFonts w:ascii="Times New Roman"/>
                <w:sz w:val="18"/>
              </w:rPr>
              <w:t>700,000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3.27%</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2,640,000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2" w:right="0"/>
              <w:jc w:val="left"/>
              <w:rPr>
                <w:rFonts w:ascii="Times New Roman" w:hAnsi="Times New Roman" w:cs="Times New Roman" w:eastAsia="Times New Roman" w:hint="default"/>
                <w:sz w:val="18"/>
                <w:szCs w:val="18"/>
              </w:rPr>
            </w:pPr>
            <w:r>
              <w:rPr>
                <w:rFonts w:ascii="Times New Roman"/>
                <w:sz w:val="18"/>
              </w:rPr>
              <w:t>700,000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4"/>
              <w:jc w:val="both"/>
              <w:rPr>
                <w:rFonts w:ascii="宋体" w:hAnsi="宋体" w:cs="宋体" w:eastAsia="宋体" w:hint="default"/>
                <w:sz w:val="18"/>
                <w:szCs w:val="18"/>
              </w:rPr>
            </w:pPr>
            <w:r>
              <w:rPr>
                <w:rFonts w:ascii="宋体" w:hAnsi="宋体" w:cs="宋体" w:eastAsia="宋体" w:hint="default"/>
                <w:sz w:val="18"/>
                <w:szCs w:val="18"/>
              </w:rPr>
              <w:t>广州市常森投资 咨询有限责任公 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2.97%</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2,400,000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广州市碧天投资</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1.86%</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1,500,000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05"/>
        <w:gridCol w:w="794"/>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咨询有限公司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0.58%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470,400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470,400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470,400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4"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pacing w:val="-1"/>
                <w:sz w:val="18"/>
                <w:szCs w:val="18"/>
              </w:rPr>
              <w:t>股东茅屏萍与股东茅庆江系姐弟关系，除此以外，公司未知其他股东是否存在关联关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系或是否属一致行动人。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5" w:type="dxa"/>
            <w:gridSpan w:val="2"/>
            <w:vMerge/>
            <w:tcBorders>
              <w:left w:val="single" w:sz="4" w:space="0" w:color="000000"/>
              <w:bottom w:val="nil" w:sz="6" w:space="0" w:color="auto"/>
              <w:right w:val="single" w:sz="4" w:space="0" w:color="000000"/>
            </w:tcBorders>
            <w:shd w:val="clear" w:color="auto" w:fill="D2D2D2"/>
          </w:tcPr>
          <w:p>
            <w:pPr/>
          </w:p>
        </w:tc>
        <w:tc>
          <w:tcPr>
            <w:tcW w:w="3995"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470,400</w:t>
            </w:r>
          </w:p>
        </w:tc>
      </w:tr>
      <w:tr>
        <w:trPr>
          <w:trHeight w:val="714"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中国建设银行股份有限公司－华宝 兴业服务优选混合型证券投资基金</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354,344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354,344</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全国社保基金六零三组合</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346,763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346,763</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任思琦</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121,485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121,485</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王珺</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谢湘菊</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姚玉珍</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谢征昊</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92,200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王瑶</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78,810</w:t>
            </w:r>
          </w:p>
        </w:tc>
      </w:tr>
      <w:tr>
        <w:trPr>
          <w:trHeight w:val="402" w:hRule="exact"/>
        </w:trPr>
        <w:tc>
          <w:tcPr>
            <w:tcW w:w="2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袁桂芳</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78,600</w:t>
            </w:r>
          </w:p>
        </w:tc>
      </w:tr>
      <w:tr>
        <w:trPr>
          <w:trHeight w:val="1338"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8" w:right="84"/>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间是否存在关联关系，也未知是否属一致行动人。</w:t>
            </w:r>
          </w:p>
        </w:tc>
      </w:tr>
      <w:tr>
        <w:trPr>
          <w:trHeight w:val="3954" w:hRule="exact"/>
        </w:trPr>
        <w:tc>
          <w:tcPr>
            <w:tcW w:w="2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2" w:right="16"/>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、股东谢湘菊通过普通证券账户持有公司股票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股，通过兴业证券股份有</w:t>
            </w:r>
          </w:p>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38,000 </w:t>
            </w:r>
            <w:r>
              <w:rPr>
                <w:rFonts w:ascii="宋体" w:hAnsi="宋体" w:cs="宋体" w:eastAsia="宋体" w:hint="default"/>
                <w:sz w:val="18"/>
                <w:szCs w:val="18"/>
              </w:rPr>
              <w:t>股，实际合计持有公司股票</w:t>
            </w:r>
          </w:p>
          <w:p>
            <w:pPr>
              <w:pStyle w:val="TableParagraph"/>
              <w:spacing w:line="240" w:lineRule="auto" w:before="6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2"/>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、股东姚玉珍通过普通证券账户持有公司股票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股，通过国信证券股份有限公</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司客户信用交易担保证券账户持有公司股票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4"/>
                <w:sz w:val="18"/>
                <w:szCs w:val="18"/>
              </w:rPr>
              <w:t>，</w:t>
            </w:r>
            <w:r>
              <w:rPr>
                <w:rFonts w:ascii="宋体" w:hAnsi="宋体" w:cs="宋体" w:eastAsia="宋体" w:hint="default"/>
                <w:sz w:val="18"/>
                <w:szCs w:val="18"/>
              </w:rPr>
              <w:t>实际合计持有公司股票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93,000</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115"/>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、股东谢征昊通过普通证券账户持有公司股票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股，通过财富证券有限责</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任公司客户信用交易担保证券账户持有公司股票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68,200 </w:t>
            </w:r>
            <w:r>
              <w:rPr>
                <w:rFonts w:ascii="宋体" w:hAnsi="宋体" w:cs="宋体" w:eastAsia="宋体" w:hint="default"/>
                <w:sz w:val="18"/>
                <w:szCs w:val="18"/>
              </w:rPr>
              <w:t>股，实际合计持有公司股票</w:t>
            </w:r>
          </w:p>
          <w:p>
            <w:pPr>
              <w:pStyle w:val="TableParagraph"/>
              <w:spacing w:line="240" w:lineRule="auto" w:before="6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、股东王瑶通过普通证券账户持有公司股票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30,410 </w:t>
            </w:r>
            <w:r>
              <w:rPr>
                <w:rFonts w:ascii="宋体" w:hAnsi="宋体" w:cs="宋体" w:eastAsia="宋体" w:hint="default"/>
                <w:sz w:val="18"/>
                <w:szCs w:val="18"/>
              </w:rPr>
              <w:t>股，通过国泰君安证券股份</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有限公司客户信用交易担保证券账户持有公司股票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48,400 </w:t>
            </w:r>
            <w:r>
              <w:rPr>
                <w:rFonts w:ascii="宋体" w:hAnsi="宋体" w:cs="宋体" w:eastAsia="宋体" w:hint="default"/>
                <w:sz w:val="18"/>
                <w:szCs w:val="18"/>
              </w:rPr>
              <w:t>股</w:t>
            </w:r>
            <w:r>
              <w:rPr>
                <w:rFonts w:ascii="宋体" w:hAnsi="宋体" w:cs="宋体" w:eastAsia="宋体" w:hint="default"/>
                <w:spacing w:val="-75"/>
                <w:sz w:val="18"/>
                <w:szCs w:val="18"/>
              </w:rPr>
              <w:t>，</w:t>
            </w:r>
            <w:r>
              <w:rPr>
                <w:rFonts w:ascii="宋体" w:hAnsi="宋体" w:cs="宋体" w:eastAsia="宋体" w:hint="default"/>
                <w:sz w:val="18"/>
                <w:szCs w:val="18"/>
              </w:rPr>
              <w:t>实际合</w:t>
            </w:r>
            <w:r>
              <w:rPr>
                <w:rFonts w:ascii="宋体" w:hAnsi="宋体" w:cs="宋体" w:eastAsia="宋体" w:hint="default"/>
                <w:spacing w:val="1"/>
                <w:sz w:val="18"/>
                <w:szCs w:val="18"/>
              </w:rPr>
              <w:t>计</w:t>
            </w:r>
            <w:r>
              <w:rPr>
                <w:rFonts w:ascii="宋体" w:hAnsi="宋体" w:cs="宋体" w:eastAsia="宋体" w:hint="default"/>
                <w:sz w:val="18"/>
                <w:szCs w:val="18"/>
              </w:rPr>
              <w:t>持有公司股票</w:t>
            </w:r>
          </w:p>
          <w:p>
            <w:pPr>
              <w:pStyle w:val="TableParagraph"/>
              <w:spacing w:line="240" w:lineRule="auto" w:before="6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78,810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line="240" w:lineRule="auto" w:before="1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19"/>
          <w:szCs w:val="19"/>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right="8593"/>
        <w:jc w:val="left"/>
      </w:pPr>
      <w:r>
        <w:rPr/>
        <w:pict>
          <v:shape style="position:absolute;margin-left:56.459999pt;margin-top:46.301746pt;width:479.2pt;height:96.5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担任本公司董事长</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1134" w:right="0"/>
        <w:jc w:val="left"/>
      </w:pPr>
      <w:r>
        <w:rPr/>
        <w:t>控股股东报告期内变更</w:t>
      </w:r>
    </w:p>
    <w:p>
      <w:pPr>
        <w:spacing w:line="240" w:lineRule="auto" w:before="10"/>
        <w:rPr>
          <w:rFonts w:ascii="宋体" w:hAnsi="宋体" w:cs="宋体" w:eastAsia="宋体" w:hint="default"/>
          <w:sz w:val="20"/>
          <w:szCs w:val="20"/>
        </w:rPr>
      </w:pPr>
    </w:p>
    <w:p>
      <w:pPr>
        <w:pStyle w:val="BodyText"/>
        <w:spacing w:line="489"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right="8413"/>
        <w:jc w:val="left"/>
      </w:pPr>
      <w:r>
        <w:rPr/>
        <w:pict>
          <v:shape style="position:absolute;margin-left:56.459999pt;margin-top:46.301704pt;width:479.2pt;height:80.9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8"/>
                    <w:gridCol w:w="2121"/>
                    <w:gridCol w:w="4120"/>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担任本公司董事长</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44"/>
        <w:ind w:left="1134" w:right="0"/>
        <w:jc w:val="left"/>
      </w:pPr>
      <w:r>
        <w:rPr/>
        <w:t>实际控制人报告期内变更</w:t>
      </w:r>
    </w:p>
    <w:p>
      <w:pPr>
        <w:spacing w:line="240" w:lineRule="auto" w:before="10"/>
        <w:rPr>
          <w:rFonts w:ascii="宋体" w:hAnsi="宋体" w:cs="宋体" w:eastAsia="宋体" w:hint="default"/>
          <w:sz w:val="20"/>
          <w:szCs w:val="20"/>
        </w:rPr>
      </w:pPr>
    </w:p>
    <w:p>
      <w:pPr>
        <w:pStyle w:val="BodyText"/>
        <w:spacing w:line="504"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504"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3223" w:lineRule="exact"/>
        <w:ind w:left="3132"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3580035" cy="2046731"/>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580035" cy="2046731"/>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12"/>
        <w:rPr>
          <w:rFonts w:ascii="宋体" w:hAnsi="宋体" w:cs="宋体" w:eastAsia="宋体" w:hint="default"/>
          <w:sz w:val="26"/>
          <w:szCs w:val="26"/>
        </w:rPr>
      </w:pPr>
    </w:p>
    <w:p>
      <w:pPr>
        <w:pStyle w:val="BodyText"/>
        <w:spacing w:line="240" w:lineRule="auto" w:before="44"/>
        <w:ind w:left="1134" w:right="0"/>
        <w:jc w:val="left"/>
      </w:pPr>
      <w:r>
        <w:rPr/>
        <w:t>实际控制人通过信托或其他资产管理方式控制公司</w:t>
      </w:r>
    </w:p>
    <w:p>
      <w:pPr>
        <w:spacing w:line="240" w:lineRule="auto" w:before="10"/>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2660" w:right="0"/>
        <w:jc w:val="left"/>
        <w:rPr>
          <w:b w:val="0"/>
          <w:bCs w:val="0"/>
        </w:rPr>
      </w:pPr>
      <w:bookmarkStart w:name="第七节 董事、监事、高级管理人员和员工情况" w:id="113"/>
      <w:bookmarkEnd w:id="113"/>
      <w:r>
        <w:rPr>
          <w:b w:val="0"/>
          <w:bCs w:val="0"/>
        </w:rPr>
      </w:r>
      <w:bookmarkStart w:name="_bookmark6" w:id="114"/>
      <w:bookmarkEnd w:id="114"/>
      <w:r>
        <w:rPr>
          <w:b w:val="0"/>
          <w:bCs w:val="0"/>
        </w:rPr>
      </w:r>
      <w:r>
        <w:rPr/>
        <w:t>第七节</w:t>
      </w:r>
      <w:r>
        <w:rPr>
          <w:spacing w:val="-16"/>
        </w:rPr>
        <w:t> </w:t>
      </w:r>
      <w:r>
        <w:rPr/>
        <w:t>董事、监事、高级管理人员和员工情况</w:t>
      </w:r>
      <w:r>
        <w:rPr>
          <w:b w:val="0"/>
          <w:bCs w:val="0"/>
        </w:rPr>
      </w:r>
    </w:p>
    <w:p>
      <w:pPr>
        <w:spacing w:line="240" w:lineRule="auto" w:before="0"/>
        <w:rPr>
          <w:rFonts w:ascii="宋体" w:hAnsi="宋体" w:cs="宋体" w:eastAsia="宋体" w:hint="default"/>
          <w:b/>
          <w:bCs/>
          <w:sz w:val="40"/>
          <w:szCs w:val="40"/>
        </w:rPr>
      </w:pPr>
    </w:p>
    <w:p>
      <w:pPr>
        <w:pStyle w:val="Heading2"/>
        <w:spacing w:line="240" w:lineRule="auto"/>
        <w:ind w:right="0"/>
        <w:jc w:val="left"/>
        <w:rPr>
          <w:b w:val="0"/>
          <w:bCs w:val="0"/>
        </w:rPr>
      </w:pPr>
      <w:bookmarkStart w:name="一、董事、监事和高级管理人员持股变动" w:id="115"/>
      <w:bookmarkEnd w:id="115"/>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3"/>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hAnsi="宋体" w:cs="宋体" w:eastAsia="宋体" w:hint="default"/>
                <w:sz w:val="18"/>
                <w:szCs w:val="18"/>
              </w:rPr>
              <w:t>茅庆江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31,680,00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31,680,00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hAnsi="宋体" w:cs="宋体" w:eastAsia="宋体" w:hint="default"/>
                <w:sz w:val="18"/>
                <w:szCs w:val="18"/>
              </w:rPr>
              <w:t>雷洪文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6,336,000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hAnsi="宋体" w:cs="宋体" w:eastAsia="宋体" w:hint="default"/>
                <w:sz w:val="18"/>
                <w:szCs w:val="18"/>
              </w:rPr>
              <w:t>张  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hAnsi="宋体" w:cs="宋体" w:eastAsia="宋体" w:hint="default"/>
                <w:sz w:val="18"/>
                <w:szCs w:val="18"/>
              </w:rPr>
              <w:t>王朝曦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hAnsi="宋体" w:cs="宋体" w:eastAsia="宋体" w:hint="default"/>
                <w:sz w:val="18"/>
                <w:szCs w:val="18"/>
              </w:rPr>
              <w:t>秦家银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hAnsi="宋体" w:cs="宋体" w:eastAsia="宋体" w:hint="default"/>
                <w:sz w:val="18"/>
                <w:szCs w:val="18"/>
              </w:rPr>
              <w:t>高传江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hAnsi="宋体" w:cs="宋体" w:eastAsia="宋体" w:hint="default"/>
                <w:sz w:val="18"/>
                <w:szCs w:val="18"/>
              </w:rPr>
              <w:t>郑盛泰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hAnsi="宋体" w:cs="宋体" w:eastAsia="宋体" w:hint="default"/>
                <w:sz w:val="18"/>
                <w:szCs w:val="18"/>
              </w:rPr>
              <w:t>龙  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hAnsi="宋体" w:cs="宋体" w:eastAsia="宋体" w:hint="default"/>
                <w:sz w:val="18"/>
                <w:szCs w:val="18"/>
              </w:rPr>
              <w:t>袁小康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4,752,000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5"/>
              <w:jc w:val="right"/>
              <w:rPr>
                <w:rFonts w:ascii="宋体" w:hAnsi="宋体" w:cs="宋体" w:eastAsia="宋体" w:hint="default"/>
                <w:sz w:val="18"/>
                <w:szCs w:val="18"/>
              </w:rPr>
            </w:pPr>
            <w:r>
              <w:rPr>
                <w:rFonts w:ascii="宋体" w:hAnsi="宋体" w:cs="宋体" w:eastAsia="宋体" w:hint="default"/>
                <w:sz w:val="18"/>
                <w:szCs w:val="18"/>
              </w:rPr>
              <w:t>徐  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4,752,000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5"/>
              <w:jc w:val="right"/>
              <w:rPr>
                <w:rFonts w:ascii="宋体" w:hAnsi="宋体" w:cs="宋体" w:eastAsia="宋体" w:hint="default"/>
                <w:sz w:val="18"/>
                <w:szCs w:val="18"/>
              </w:rPr>
            </w:pPr>
            <w:r>
              <w:rPr>
                <w:rFonts w:ascii="宋体" w:hAnsi="宋体" w:cs="宋体" w:eastAsia="宋体" w:hint="default"/>
                <w:sz w:val="18"/>
                <w:szCs w:val="18"/>
              </w:rPr>
              <w:t>龙中胜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段汉文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  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劳仲秀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b/>
          <w:bCs/>
          <w:sz w:val="24"/>
          <w:szCs w:val="24"/>
        </w:rPr>
      </w:pPr>
    </w:p>
    <w:p>
      <w:pPr>
        <w:pStyle w:val="Heading2"/>
        <w:spacing w:line="240" w:lineRule="auto" w:before="26"/>
        <w:ind w:left="1134" w:right="0"/>
        <w:jc w:val="left"/>
        <w:rPr>
          <w:b w:val="0"/>
          <w:bCs w:val="0"/>
        </w:rPr>
      </w:pPr>
      <w:bookmarkStart w:name="二、公司董事、监事、高级管理人员变动情况" w:id="116"/>
      <w:bookmarkEnd w:id="116"/>
      <w:r>
        <w:rPr>
          <w:b w:val="0"/>
          <w:bCs w:val="0"/>
        </w:rPr>
      </w:r>
      <w:r>
        <w:rPr/>
        <w:t>二、公司董事、监事、高级管理人员变动情况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工作原因，但仍担任公司董事会秘书</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劳仲秀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公司经营管理需要</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公司经营管理需要</w:t>
            </w:r>
          </w:p>
        </w:tc>
      </w:tr>
    </w:tbl>
    <w:p>
      <w:pPr>
        <w:spacing w:line="240" w:lineRule="auto" w:before="0"/>
        <w:rPr>
          <w:rFonts w:ascii="宋体" w:hAnsi="宋体" w:cs="宋体" w:eastAsia="宋体" w:hint="default"/>
          <w:b/>
          <w:bCs/>
          <w:sz w:val="24"/>
          <w:szCs w:val="24"/>
        </w:rPr>
      </w:pPr>
    </w:p>
    <w:p>
      <w:pPr>
        <w:pStyle w:val="Heading2"/>
        <w:spacing w:line="240" w:lineRule="auto" w:before="26"/>
        <w:ind w:left="1134" w:right="0"/>
        <w:jc w:val="left"/>
        <w:rPr>
          <w:b w:val="0"/>
          <w:bCs w:val="0"/>
        </w:rPr>
      </w:pPr>
      <w:bookmarkStart w:name="三、任职情况" w:id="117"/>
      <w:bookmarkEnd w:id="117"/>
      <w:r>
        <w:rPr>
          <w:b w:val="0"/>
          <w:bCs w:val="0"/>
        </w:rPr>
      </w:r>
      <w:r>
        <w:rPr/>
        <w:t>三、任职情况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公司现任董事、监事、高级管理人员专业背景、主要工作经历以及目前在公司的主要职责</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、董事会成员</w:t>
      </w:r>
      <w:r>
        <w:rPr>
          <w:b w:val="0"/>
          <w:bCs w:val="0"/>
        </w:rPr>
      </w:r>
    </w:p>
    <w:p>
      <w:pPr>
        <w:spacing w:line="240" w:lineRule="auto" w:before="7"/>
        <w:rPr>
          <w:rFonts w:ascii="宋体" w:hAnsi="宋体" w:cs="宋体" w:eastAsia="宋体" w:hint="default"/>
          <w:b/>
          <w:bCs/>
          <w:sz w:val="18"/>
          <w:szCs w:val="18"/>
        </w:rPr>
      </w:pPr>
    </w:p>
    <w:p>
      <w:pPr>
        <w:pStyle w:val="BodyText"/>
        <w:spacing w:line="451" w:lineRule="auto"/>
        <w:ind w:left="1134" w:right="1029"/>
        <w:jc w:val="left"/>
      </w:pPr>
      <w:r>
        <w:rPr>
          <w:spacing w:val="-2"/>
        </w:rPr>
        <w:t>（</w:t>
      </w:r>
      <w:r>
        <w:rPr>
          <w:rFonts w:ascii="Times New Roman" w:hAnsi="Times New Roman" w:cs="Times New Roman" w:eastAsia="Times New Roman" w:hint="default"/>
          <w:spacing w:val="-2"/>
        </w:rPr>
        <w:t>1</w:t>
      </w:r>
      <w:r>
        <w:rPr>
          <w:spacing w:val="-2"/>
        </w:rPr>
        <w:t>）茅庆江先生，中国国籍，拥有新西兰永久居留权，</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7</w:t>
      </w:r>
      <w:r>
        <w:rPr>
          <w:spacing w:val="-2"/>
        </w:rPr>
        <w:t>月出生，硕士学历，工程师资格。</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1989</w:t>
      </w:r>
      <w:r>
        <w:rPr>
          <w:spacing w:val="-2"/>
        </w:rPr>
        <w:t>年，任中国</w:t>
      </w:r>
      <w:r>
        <w:rPr>
          <w:spacing w:val="-52"/>
        </w:rPr>
        <w:t> </w:t>
      </w:r>
      <w:r>
        <w:rPr>
          <w:spacing w:val="-52"/>
        </w:rPr>
      </w:r>
      <w:r>
        <w:rPr>
          <w:spacing w:val="-3"/>
        </w:rPr>
        <w:t>纺织大学自动化系老师、实习研究员；</w:t>
      </w:r>
      <w:r>
        <w:rPr>
          <w:rFonts w:ascii="Times New Roman" w:hAnsi="Times New Roman" w:cs="Times New Roman" w:eastAsia="Times New Roman" w:hint="default"/>
          <w:spacing w:val="-3"/>
        </w:rPr>
        <w:t>1992</w:t>
      </w:r>
      <w:r>
        <w:rPr>
          <w:spacing w:val="-3"/>
        </w:rPr>
        <w:t>年至</w:t>
      </w:r>
      <w:r>
        <w:rPr>
          <w:rFonts w:ascii="Times New Roman" w:hAnsi="Times New Roman" w:cs="Times New Roman" w:eastAsia="Times New Roman" w:hint="default"/>
          <w:spacing w:val="-3"/>
        </w:rPr>
        <w:t>2001</w:t>
      </w:r>
      <w:r>
        <w:rPr>
          <w:spacing w:val="-3"/>
        </w:rPr>
        <w:t>年担任番禺市电子工业总公司副总经理兼番禺市保安器材工程公司经理；</w:t>
      </w:r>
      <w:r>
        <w:rPr>
          <w:spacing w:val="-86"/>
        </w:rPr>
        <w:t> </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年在浩云有限任技术总监、董事长等职务；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月至今，担任本公司董事长。</w:t>
      </w:r>
    </w:p>
    <w:p>
      <w:pPr>
        <w:pStyle w:val="BodyText"/>
        <w:spacing w:line="448" w:lineRule="auto" w:before="84"/>
        <w:ind w:right="0" w:firstLine="73"/>
        <w:jc w:val="left"/>
      </w:pPr>
      <w:r>
        <w:rPr/>
        <w:t>（</w:t>
      </w:r>
      <w:r>
        <w:rPr>
          <w:rFonts w:ascii="Times New Roman" w:hAnsi="Times New Roman" w:cs="Times New Roman" w:eastAsia="Times New Roman" w:hint="default"/>
        </w:rPr>
        <w:t>2</w:t>
      </w:r>
      <w:r>
        <w:rPr/>
        <w:t>）雷洪文先生，中国国籍，无永久境外居留权，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8</w:t>
      </w:r>
      <w:r>
        <w:rPr/>
        <w:t>月出生，大学本科学历，电子工程师资格。</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1993</w:t>
      </w:r>
      <w:r>
        <w:rPr/>
        <w:t>年在 </w:t>
      </w:r>
      <w:r>
        <w:rPr>
          <w:spacing w:val="-2"/>
        </w:rPr>
        <w:t>广东宏达家用电器厂任技术员；</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2001</w:t>
      </w:r>
      <w:r>
        <w:rPr>
          <w:spacing w:val="-2"/>
        </w:rPr>
        <w:t>年任职于番禺市保安器材工程公司；</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2011</w:t>
      </w:r>
      <w:r>
        <w:rPr>
          <w:spacing w:val="-2"/>
        </w:rPr>
        <w:t>年担任浩云有限董事长、执</w:t>
      </w:r>
    </w:p>
    <w:p>
      <w:pPr>
        <w:spacing w:after="0" w:line="44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both"/>
      </w:pPr>
      <w:r>
        <w:rPr/>
        <w:t>行董事等职务；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月至今，担任本公司董事、总经理。</w:t>
      </w:r>
    </w:p>
    <w:p>
      <w:pPr>
        <w:spacing w:line="240" w:lineRule="auto" w:before="9"/>
        <w:rPr>
          <w:rFonts w:ascii="宋体" w:hAnsi="宋体" w:cs="宋体" w:eastAsia="宋体" w:hint="default"/>
          <w:sz w:val="19"/>
          <w:szCs w:val="19"/>
        </w:rPr>
      </w:pPr>
    </w:p>
    <w:p>
      <w:pPr>
        <w:pStyle w:val="BodyText"/>
        <w:spacing w:line="451" w:lineRule="auto"/>
        <w:ind w:right="1129"/>
        <w:jc w:val="both"/>
      </w:pPr>
      <w:r>
        <w:rPr>
          <w:spacing w:val="-2"/>
        </w:rPr>
        <w:t>（</w:t>
      </w:r>
      <w:r>
        <w:rPr>
          <w:rFonts w:ascii="Times New Roman" w:hAnsi="Times New Roman" w:cs="Times New Roman" w:eastAsia="Times New Roman" w:hint="default"/>
          <w:spacing w:val="-2"/>
        </w:rPr>
        <w:t>3</w:t>
      </w:r>
      <w:r>
        <w:rPr>
          <w:spacing w:val="-2"/>
        </w:rPr>
        <w:t>）张勇先生，中国国籍，无永久境外居留权，</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2</w:t>
      </w:r>
      <w:r>
        <w:rPr>
          <w:spacing w:val="-2"/>
        </w:rPr>
        <w:t>月出生，博士学历。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月先后担任芜湖飞尚实业</w:t>
      </w:r>
      <w:r>
        <w:rPr>
          <w:spacing w:val="-50"/>
        </w:rPr>
        <w:t> </w:t>
      </w:r>
      <w:r>
        <w:rPr/>
        <w:t>发展有限公司总裁办主任、鑫科材料股份有限公司人力资源总监、总部企业管理部总经理助理等职务；</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2006</w:t>
      </w:r>
      <w:r>
        <w:rPr/>
        <w:t>年</w:t>
      </w:r>
      <w:r>
        <w:rPr>
          <w:spacing w:val="-81"/>
        </w:rPr>
        <w:t> </w:t>
      </w:r>
      <w:r>
        <w:rPr>
          <w:rFonts w:ascii="Times New Roman" w:hAnsi="Times New Roman" w:cs="Times New Roman" w:eastAsia="Times New Roman" w:hint="default"/>
        </w:rPr>
        <w:t>12</w:t>
      </w:r>
      <w:r>
        <w:rPr/>
        <w:t>月在深圳盈信创投股份有限公司任投资经理；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月在深圳市卓宝科技股份有限公司任董事、副总裁、</w:t>
      </w:r>
      <w:r>
        <w:rPr>
          <w:spacing w:val="-82"/>
        </w:rPr>
        <w:t> </w:t>
      </w:r>
      <w:r>
        <w:rPr>
          <w:spacing w:val="-82"/>
        </w:rPr>
      </w:r>
      <w:r>
        <w:rPr>
          <w:spacing w:val="-2"/>
        </w:rPr>
        <w:t>董事会秘书；</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月在广东康妮雅商贸发展有限公司任董事、总经理；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月至今，在江苏凯伦建材股份</w:t>
      </w:r>
      <w:r>
        <w:rPr>
          <w:spacing w:val="-49"/>
        </w:rPr>
        <w:t> </w:t>
      </w:r>
      <w:r>
        <w:rPr>
          <w:spacing w:val="-49"/>
        </w:rPr>
      </w:r>
      <w:r>
        <w:rPr/>
        <w:t>有限公司担任董事、副总经理、董事会秘书；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月至今，担任本公司董事。</w:t>
      </w:r>
    </w:p>
    <w:p>
      <w:pPr>
        <w:pStyle w:val="BodyText"/>
        <w:spacing w:line="451" w:lineRule="auto" w:before="83"/>
        <w:ind w:right="1033"/>
        <w:jc w:val="left"/>
      </w:pPr>
      <w:r>
        <w:rPr/>
        <w:t>（</w:t>
      </w:r>
      <w:r>
        <w:rPr>
          <w:rFonts w:ascii="Times New Roman" w:hAnsi="Times New Roman" w:cs="Times New Roman" w:eastAsia="Times New Roman" w:hint="default"/>
        </w:rPr>
        <w:t>4</w:t>
      </w:r>
      <w:r>
        <w:rPr/>
        <w:t>）王朝曦先生，中国国籍，无永久境外居留权，</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7</w:t>
      </w:r>
      <w:r>
        <w:rPr/>
        <w:t>月出生，硕士学历，会计师、中国注册会计师及中国律师资格。 </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1997</w:t>
      </w:r>
      <w:r>
        <w:rPr>
          <w:spacing w:val="-2"/>
        </w:rPr>
        <w:t>年湖南商学院会计系教师；</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2001</w:t>
      </w:r>
      <w:r>
        <w:rPr>
          <w:spacing w:val="-2"/>
        </w:rPr>
        <w:t>年任职于广东省白马广告有限公司；</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2002</w:t>
      </w:r>
      <w:r>
        <w:rPr>
          <w:spacing w:val="-2"/>
        </w:rPr>
        <w:t>年中讯群通科技股</w:t>
      </w:r>
      <w:r>
        <w:rPr>
          <w:spacing w:val="-40"/>
        </w:rPr>
        <w:t> </w:t>
      </w:r>
      <w:r>
        <w:rPr>
          <w:spacing w:val="-2"/>
        </w:rPr>
        <w:t>份有限公司财务总监兼中讯华亿（集团）有限公司财务副总监；</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2004</w:t>
      </w:r>
      <w:r>
        <w:rPr>
          <w:spacing w:val="-2"/>
        </w:rPr>
        <w:t>年香港白马控股有限公司董事、财务总监兼白</w:t>
      </w:r>
      <w:r>
        <w:rPr>
          <w:spacing w:val="-57"/>
        </w:rPr>
        <w:t> </w:t>
      </w:r>
      <w:r>
        <w:rPr>
          <w:spacing w:val="-57"/>
        </w:rPr>
      </w:r>
      <w:r>
        <w:rPr/>
        <w:t>马控股下属文德广运出版发行集团财务总监；</w:t>
      </w:r>
      <w:r>
        <w:rPr>
          <w:rFonts w:ascii="Times New Roman" w:hAnsi="Times New Roman" w:cs="Times New Roman" w:eastAsia="Times New Roman" w:hint="default"/>
        </w:rPr>
        <w:t>2004</w:t>
      </w:r>
      <w:r>
        <w:rPr/>
        <w:t>年至今广州市天高集团有限公司副总裁兼财务总监；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w:t>
      </w:r>
      <w:r>
        <w:rPr>
          <w:spacing w:val="-83"/>
        </w:rPr>
        <w:t> </w:t>
      </w:r>
      <w:r>
        <w:rPr/>
        <w:t>任本公司独立董事。</w:t>
      </w:r>
    </w:p>
    <w:p>
      <w:pPr>
        <w:pStyle w:val="BodyText"/>
        <w:spacing w:line="451" w:lineRule="auto" w:before="123"/>
        <w:ind w:right="1129"/>
        <w:jc w:val="both"/>
      </w:pPr>
      <w:r>
        <w:rPr>
          <w:spacing w:val="-2"/>
        </w:rPr>
        <w:t>（</w:t>
      </w:r>
      <w:r>
        <w:rPr>
          <w:rFonts w:ascii="Times New Roman" w:hAnsi="Times New Roman" w:cs="Times New Roman" w:eastAsia="Times New Roman" w:hint="default"/>
          <w:spacing w:val="-2"/>
        </w:rPr>
        <w:t>5</w:t>
      </w:r>
      <w:r>
        <w:rPr>
          <w:spacing w:val="-2"/>
        </w:rPr>
        <w:t>）秦家银先生，中国国籍，无永久境外居留权，</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9</w:t>
      </w:r>
      <w:r>
        <w:rPr>
          <w:spacing w:val="-2"/>
        </w:rPr>
        <w:t>月出生，博士学历，教授职称。</w:t>
      </w:r>
      <w:r>
        <w:rPr>
          <w:rFonts w:ascii="Times New Roman" w:hAnsi="Times New Roman" w:cs="Times New Roman" w:eastAsia="Times New Roman" w:hint="default"/>
          <w:spacing w:val="-2"/>
        </w:rPr>
        <w:t>1998</w:t>
      </w:r>
      <w:r>
        <w:rPr>
          <w:spacing w:val="-2"/>
        </w:rPr>
        <w:t>年在中山大学信息科学与技</w:t>
      </w:r>
      <w:r>
        <w:rPr>
          <w:spacing w:val="-60"/>
        </w:rPr>
        <w:t> </w:t>
      </w:r>
      <w:r>
        <w:rPr>
          <w:spacing w:val="-60"/>
        </w:rPr>
      </w:r>
      <w:r>
        <w:rPr/>
        <w:t>术学院电子与通信工程系任副教授；</w:t>
      </w:r>
      <w:r>
        <w:rPr>
          <w:rFonts w:ascii="Times New Roman" w:hAnsi="Times New Roman" w:cs="Times New Roman" w:eastAsia="Times New Roman" w:hint="default"/>
        </w:rPr>
        <w:t>1999</w:t>
      </w:r>
      <w:r>
        <w:rPr/>
        <w:t>年至今在中山大学信息科学与技术学院任教授，</w:t>
      </w:r>
      <w:r>
        <w:rPr>
          <w:rFonts w:ascii="Times New Roman" w:hAnsi="Times New Roman" w:cs="Times New Roman" w:eastAsia="Times New Roman" w:hint="default"/>
        </w:rPr>
        <w:t>2000</w:t>
      </w:r>
      <w:r>
        <w:rPr/>
        <w:t>年至今任博士生导师；</w:t>
      </w:r>
      <w:r>
        <w:rPr>
          <w:rFonts w:ascii="Times New Roman" w:hAnsi="Times New Roman" w:cs="Times New Roman" w:eastAsia="Times New Roman" w:hint="default"/>
        </w:rPr>
        <w:t>2003 </w:t>
      </w:r>
      <w:r>
        <w:rPr/>
        <w:t>至</w:t>
      </w:r>
      <w:r>
        <w:rPr>
          <w:rFonts w:ascii="Times New Roman" w:hAnsi="Times New Roman" w:cs="Times New Roman" w:eastAsia="Times New Roman" w:hint="default"/>
        </w:rPr>
        <w:t>2008</w:t>
      </w:r>
      <w:r>
        <w:rPr/>
        <w:t>年任中山大学信息科学与技术学院副院长；</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2004</w:t>
      </w:r>
      <w:r>
        <w:rPr/>
        <w:t>年任中山大学信息科学与技术学院电子与通信工程系系主</w:t>
      </w:r>
      <w:r>
        <w:rPr>
          <w:spacing w:val="-4"/>
        </w:rPr>
        <w:t> </w:t>
      </w:r>
      <w:r>
        <w:rPr>
          <w:spacing w:val="-4"/>
        </w:rPr>
      </w:r>
      <w:r>
        <w:rPr/>
        <w:t>任；</w:t>
      </w:r>
      <w:r>
        <w:rPr>
          <w:rFonts w:ascii="Times New Roman" w:hAnsi="Times New Roman" w:cs="Times New Roman" w:eastAsia="Times New Roman" w:hint="default"/>
        </w:rPr>
        <w:t>2002</w:t>
      </w:r>
      <w:r>
        <w:rPr/>
        <w:t>年至今兼任广东省通信学会副理事长；</w:t>
      </w:r>
      <w:r>
        <w:rPr>
          <w:rFonts w:ascii="Times New Roman" w:hAnsi="Times New Roman" w:cs="Times New Roman" w:eastAsia="Times New Roman" w:hint="default"/>
        </w:rPr>
        <w:t>2010</w:t>
      </w:r>
      <w:r>
        <w:rPr/>
        <w:t>年至今兼任广东省电子学会常务理事；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月至今，担任本公司独</w:t>
      </w:r>
      <w:r>
        <w:rPr>
          <w:spacing w:val="-83"/>
        </w:rPr>
        <w:t> </w:t>
      </w:r>
      <w:r>
        <w:rPr>
          <w:spacing w:val="-83"/>
        </w:rPr>
      </w:r>
      <w:r>
        <w:rPr/>
        <w:t>立董事。</w:t>
      </w:r>
    </w:p>
    <w:p>
      <w:pPr>
        <w:spacing w:line="240" w:lineRule="auto" w:before="13"/>
        <w:rPr>
          <w:rFonts w:ascii="宋体" w:hAnsi="宋体" w:cs="宋体" w:eastAsia="宋体" w:hint="default"/>
          <w:sz w:val="12"/>
          <w:szCs w:val="12"/>
        </w:rPr>
      </w:pPr>
    </w:p>
    <w:p>
      <w:pPr>
        <w:pStyle w:val="Heading3"/>
        <w:spacing w:line="240" w:lineRule="auto"/>
        <w:ind w:right="0"/>
        <w:jc w:val="both"/>
        <w:rPr>
          <w:b w:val="0"/>
          <w:bCs w:val="0"/>
        </w:rPr>
      </w:pPr>
      <w:r>
        <w:rPr>
          <w:rFonts w:ascii="Times New Roman" w:hAnsi="Times New Roman" w:cs="Times New Roman" w:eastAsia="Times New Roman" w:hint="default"/>
        </w:rPr>
        <w:t>2</w:t>
      </w:r>
      <w:r>
        <w:rPr/>
        <w:t>、监事会成员</w:t>
      </w:r>
      <w:r>
        <w:rPr>
          <w:b w:val="0"/>
          <w:bCs w:val="0"/>
        </w:rPr>
      </w:r>
    </w:p>
    <w:p>
      <w:pPr>
        <w:spacing w:line="240" w:lineRule="auto" w:before="7"/>
        <w:rPr>
          <w:rFonts w:ascii="宋体" w:hAnsi="宋体" w:cs="宋体" w:eastAsia="宋体" w:hint="default"/>
          <w:b/>
          <w:bCs/>
          <w:sz w:val="18"/>
          <w:szCs w:val="18"/>
        </w:rPr>
      </w:pPr>
    </w:p>
    <w:p>
      <w:pPr>
        <w:pStyle w:val="BodyText"/>
        <w:spacing w:line="451" w:lineRule="auto"/>
        <w:ind w:right="1130"/>
        <w:jc w:val="both"/>
      </w:pPr>
      <w:r>
        <w:rPr/>
        <w:t>（</w:t>
      </w:r>
      <w:r>
        <w:rPr>
          <w:rFonts w:ascii="Times New Roman" w:hAnsi="Times New Roman" w:cs="Times New Roman" w:eastAsia="Times New Roman" w:hint="default"/>
        </w:rPr>
        <w:t>1</w:t>
      </w:r>
      <w:r>
        <w:rPr/>
        <w:t>）高传江先生，中国国籍，无永久境外居留权，</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10</w:t>
      </w:r>
      <w:r>
        <w:rPr/>
        <w:t>月出生，大学本科学历。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年在浩云有限工作，历</w:t>
      </w:r>
      <w:r>
        <w:rPr>
          <w:spacing w:val="-83"/>
        </w:rPr>
        <w:t> </w:t>
      </w:r>
      <w:r>
        <w:rPr>
          <w:spacing w:val="-83"/>
        </w:rPr>
      </w:r>
      <w:r>
        <w:rPr>
          <w:spacing w:val="-2"/>
        </w:rPr>
        <w:t>任技术员、技术经理、采购部经理、售后服务部经理、运维中心经理。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月至今，担任本公司职工监事；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月至</w:t>
      </w:r>
      <w:r>
        <w:rPr>
          <w:spacing w:val="-58"/>
        </w:rPr>
        <w:t> </w:t>
      </w:r>
      <w:r>
        <w:rPr/>
        <w:t>今，担任本公司监事会主席。</w:t>
      </w:r>
    </w:p>
    <w:p>
      <w:pPr>
        <w:spacing w:line="240" w:lineRule="auto" w:before="11"/>
        <w:rPr>
          <w:rFonts w:ascii="宋体" w:hAnsi="宋体" w:cs="宋体" w:eastAsia="宋体" w:hint="default"/>
          <w:sz w:val="14"/>
          <w:szCs w:val="14"/>
        </w:rPr>
      </w:pPr>
    </w:p>
    <w:p>
      <w:pPr>
        <w:pStyle w:val="BodyText"/>
        <w:spacing w:line="451" w:lineRule="auto"/>
        <w:ind w:right="1132"/>
        <w:jc w:val="both"/>
      </w:pPr>
      <w:r>
        <w:rPr>
          <w:spacing w:val="-2"/>
        </w:rPr>
        <w:t>（</w:t>
      </w:r>
      <w:r>
        <w:rPr>
          <w:rFonts w:ascii="Times New Roman" w:hAnsi="Times New Roman" w:cs="Times New Roman" w:eastAsia="Times New Roman" w:hint="default"/>
          <w:spacing w:val="-2"/>
        </w:rPr>
        <w:t>2</w:t>
      </w:r>
      <w:r>
        <w:rPr>
          <w:spacing w:val="-2"/>
        </w:rPr>
        <w:t>）郑盛泰先生，中国国籍，无永久境外居留权，</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w:t>
      </w:r>
      <w:r>
        <w:rPr>
          <w:spacing w:val="-2"/>
        </w:rPr>
        <w:t>月出生，大学本科学历，工程师。</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1994</w:t>
      </w:r>
      <w:r>
        <w:rPr>
          <w:spacing w:val="-2"/>
        </w:rPr>
        <w:t>年任职于江西南</w:t>
      </w:r>
      <w:r>
        <w:rPr>
          <w:spacing w:val="-56"/>
        </w:rPr>
        <w:t> </w:t>
      </w:r>
      <w:r>
        <w:rPr>
          <w:spacing w:val="-56"/>
        </w:rPr>
      </w:r>
      <w:r>
        <w:rPr>
          <w:spacing w:val="-2"/>
        </w:rPr>
        <w:t>昌自动化仪表厂；</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1997</w:t>
      </w:r>
      <w:r>
        <w:rPr>
          <w:spacing w:val="-2"/>
        </w:rPr>
        <w:t>年在番禺市电子工业总公司任职；</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年任职于番禺保安器材工程公司；</w:t>
      </w:r>
      <w:r>
        <w:rPr>
          <w:rFonts w:ascii="Times New Roman" w:hAnsi="Times New Roman" w:cs="Times New Roman" w:eastAsia="Times New Roman" w:hint="default"/>
          <w:spacing w:val="-2"/>
        </w:rPr>
        <w:t>2001</w:t>
      </w:r>
      <w:r>
        <w:rPr>
          <w:spacing w:val="-2"/>
        </w:rPr>
        <w:t>年至</w:t>
      </w:r>
      <w:r>
        <w:rPr>
          <w:spacing w:val="-46"/>
        </w:rPr>
        <w:t> </w:t>
      </w:r>
      <w:r>
        <w:rPr>
          <w:rFonts w:ascii="Times New Roman" w:hAnsi="Times New Roman" w:cs="Times New Roman" w:eastAsia="Times New Roman" w:hint="default"/>
        </w:rPr>
        <w:t>2007</w:t>
      </w:r>
      <w:r>
        <w:rPr/>
        <w:t>年，任职于浩云有限，</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月至今，担任本公司监事、证券部经理。</w:t>
      </w:r>
    </w:p>
    <w:p>
      <w:pPr>
        <w:spacing w:line="240" w:lineRule="auto" w:before="6"/>
        <w:rPr>
          <w:rFonts w:ascii="宋体" w:hAnsi="宋体" w:cs="宋体" w:eastAsia="宋体" w:hint="default"/>
          <w:sz w:val="12"/>
          <w:szCs w:val="12"/>
        </w:rPr>
      </w:pPr>
    </w:p>
    <w:p>
      <w:pPr>
        <w:pStyle w:val="BodyText"/>
        <w:spacing w:line="451" w:lineRule="auto"/>
        <w:ind w:right="1129"/>
        <w:jc w:val="both"/>
      </w:pPr>
      <w:r>
        <w:rPr/>
        <w:t>（</w:t>
      </w:r>
      <w:r>
        <w:rPr>
          <w:rFonts w:ascii="Times New Roman" w:hAnsi="Times New Roman" w:cs="Times New Roman" w:eastAsia="Times New Roman" w:hint="default"/>
        </w:rPr>
        <w:t>3</w:t>
      </w:r>
      <w:r>
        <w:rPr/>
        <w:t>）龙罡先生，中国国籍，无永久境外居留权，</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11</w:t>
      </w:r>
      <w:r>
        <w:rPr/>
        <w:t>月出生，大学本科学历，工程师。</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2004</w:t>
      </w:r>
      <w:r>
        <w:rPr/>
        <w:t>年任职于广东高</w:t>
      </w:r>
      <w:r>
        <w:rPr>
          <w:spacing w:val="-82"/>
        </w:rPr>
        <w:t> </w:t>
      </w:r>
      <w:r>
        <w:rPr>
          <w:spacing w:val="-82"/>
        </w:rPr>
      </w:r>
      <w:r>
        <w:rPr/>
        <w:t>新兴通信设备有限公司；</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2011</w:t>
      </w:r>
      <w:r>
        <w:rPr/>
        <w:t>年在浩云有限任职，历任开发工程师、硬件开发部经理等职；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w:t>
      </w:r>
      <w:r>
        <w:rPr>
          <w:spacing w:val="-82"/>
        </w:rPr>
        <w:t> </w:t>
      </w:r>
      <w:r>
        <w:rPr>
          <w:spacing w:val="-82"/>
        </w:rPr>
      </w:r>
      <w:r>
        <w:rPr/>
        <w:t>公司研发中心副经理；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月至今，担任本公司监事。</w:t>
      </w:r>
    </w:p>
    <w:p>
      <w:pPr>
        <w:pStyle w:val="Heading3"/>
        <w:spacing w:line="240" w:lineRule="auto" w:before="137"/>
        <w:ind w:left="1134" w:right="0"/>
        <w:jc w:val="both"/>
        <w:rPr>
          <w:b w:val="0"/>
          <w:bCs w:val="0"/>
        </w:rPr>
      </w:pPr>
      <w:r>
        <w:rPr>
          <w:rFonts w:ascii="Times New Roman" w:hAnsi="Times New Roman" w:cs="Times New Roman" w:eastAsia="Times New Roman" w:hint="default"/>
        </w:rPr>
        <w:t>3</w:t>
      </w:r>
      <w:r>
        <w:rPr/>
        <w:t>、高级管理人员</w:t>
      </w:r>
      <w:r>
        <w:rPr>
          <w:b w:val="0"/>
          <w:bCs w:val="0"/>
        </w:rPr>
      </w:r>
    </w:p>
    <w:p>
      <w:pPr>
        <w:spacing w:line="240" w:lineRule="auto" w:before="3"/>
        <w:rPr>
          <w:rFonts w:ascii="宋体" w:hAnsi="宋体" w:cs="宋体" w:eastAsia="宋体" w:hint="default"/>
          <w:b/>
          <w:bCs/>
          <w:sz w:val="19"/>
          <w:szCs w:val="19"/>
        </w:rPr>
      </w:pPr>
    </w:p>
    <w:p>
      <w:pPr>
        <w:pStyle w:val="BodyText"/>
        <w:spacing w:line="240" w:lineRule="auto"/>
        <w:ind w:left="1134" w:right="0"/>
        <w:jc w:val="both"/>
      </w:pPr>
      <w:r>
        <w:rPr/>
        <w:t>（</w:t>
      </w:r>
      <w:r>
        <w:rPr>
          <w:rFonts w:ascii="Times New Roman" w:hAnsi="Times New Roman" w:cs="Times New Roman" w:eastAsia="Times New Roman" w:hint="default"/>
        </w:rPr>
        <w:t>1</w:t>
      </w:r>
      <w:r>
        <w:rPr/>
        <w:t>）雷洪文先生，简历见上。</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0"/>
        <w:jc w:val="left"/>
      </w:pPr>
      <w:r>
        <w:rPr>
          <w:spacing w:val="-2"/>
        </w:rPr>
        <w:t>（</w:t>
      </w:r>
      <w:r>
        <w:rPr>
          <w:rFonts w:ascii="Times New Roman" w:hAnsi="Times New Roman" w:cs="Times New Roman" w:eastAsia="Times New Roman" w:hint="default"/>
          <w:spacing w:val="-2"/>
        </w:rPr>
        <w:t>2</w:t>
      </w:r>
      <w:r>
        <w:rPr>
          <w:spacing w:val="-2"/>
        </w:rPr>
        <w:t>）袁小康先生，中国国籍，无永久境外居留权，</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6</w:t>
      </w:r>
      <w:r>
        <w:rPr>
          <w:spacing w:val="-2"/>
        </w:rPr>
        <w:t>月出生，大学本科学历，计算机工程师。</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1992</w:t>
      </w:r>
      <w:r>
        <w:rPr>
          <w:spacing w:val="-2"/>
        </w:rPr>
        <w:t>年在广州</w:t>
      </w:r>
      <w:r>
        <w:rPr>
          <w:spacing w:val="-56"/>
        </w:rPr>
        <w:t> </w:t>
      </w:r>
      <w:r>
        <w:rPr>
          <w:spacing w:val="-56"/>
        </w:rPr>
      </w:r>
      <w:r>
        <w:rPr>
          <w:spacing w:val="-3"/>
        </w:rPr>
        <w:t>市外国语学院附中任教；</w:t>
      </w:r>
      <w:r>
        <w:rPr>
          <w:rFonts w:ascii="Times New Roman" w:hAnsi="Times New Roman" w:cs="Times New Roman" w:eastAsia="Times New Roman" w:hint="default"/>
          <w:spacing w:val="-3"/>
        </w:rPr>
        <w:t>1992</w:t>
      </w:r>
      <w:r>
        <w:rPr>
          <w:spacing w:val="-3"/>
        </w:rPr>
        <w:t>年至</w:t>
      </w:r>
      <w:r>
        <w:rPr>
          <w:rFonts w:ascii="Times New Roman" w:hAnsi="Times New Roman" w:cs="Times New Roman" w:eastAsia="Times New Roman" w:hint="default"/>
          <w:spacing w:val="-3"/>
        </w:rPr>
        <w:t>1996</w:t>
      </w:r>
      <w:r>
        <w:rPr>
          <w:spacing w:val="-3"/>
        </w:rPr>
        <w:t>年任职于广州市番禺江南电脑公司；</w:t>
      </w:r>
      <w:r>
        <w:rPr>
          <w:rFonts w:ascii="Times New Roman" w:hAnsi="Times New Roman" w:cs="Times New Roman" w:eastAsia="Times New Roman" w:hint="default"/>
          <w:spacing w:val="-3"/>
        </w:rPr>
        <w:t>1996</w:t>
      </w:r>
      <w:r>
        <w:rPr>
          <w:spacing w:val="-3"/>
        </w:rPr>
        <w:t>年至</w:t>
      </w:r>
      <w:r>
        <w:rPr>
          <w:rFonts w:ascii="Times New Roman" w:hAnsi="Times New Roman" w:cs="Times New Roman" w:eastAsia="Times New Roman" w:hint="default"/>
          <w:spacing w:val="-3"/>
        </w:rPr>
        <w:t>2001</w:t>
      </w:r>
      <w:r>
        <w:rPr>
          <w:spacing w:val="-3"/>
        </w:rPr>
        <w:t>年任职于番禺市保安器材工程公司；</w:t>
      </w:r>
      <w:r>
        <w:rPr>
          <w:spacing w:val="-73"/>
        </w:rPr>
        <w:t> </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年担任浩云有限副董事长；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月至今，担任本公司副总经理。</w:t>
      </w:r>
    </w:p>
    <w:p>
      <w:pPr>
        <w:pStyle w:val="BodyText"/>
        <w:spacing w:line="451" w:lineRule="auto" w:before="94"/>
        <w:ind w:right="0"/>
        <w:jc w:val="left"/>
      </w:pPr>
      <w:r>
        <w:rPr>
          <w:spacing w:val="-2"/>
        </w:rPr>
        <w:t>（</w:t>
      </w:r>
      <w:r>
        <w:rPr>
          <w:rFonts w:ascii="Times New Roman" w:hAnsi="Times New Roman" w:cs="Times New Roman" w:eastAsia="Times New Roman" w:hint="default"/>
          <w:spacing w:val="-2"/>
        </w:rPr>
        <w:t>3</w:t>
      </w:r>
      <w:r>
        <w:rPr>
          <w:spacing w:val="-2"/>
        </w:rPr>
        <w:t>）徐彪先生，中国国籍，无永久境外居留权，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2</w:t>
      </w:r>
      <w:r>
        <w:rPr>
          <w:spacing w:val="-2"/>
        </w:rPr>
        <w:t>月出生，大专学历，助理经济师资格。</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2001</w:t>
      </w:r>
      <w:r>
        <w:rPr>
          <w:spacing w:val="-2"/>
        </w:rPr>
        <w:t>年任职于番禺</w:t>
      </w:r>
      <w:r>
        <w:rPr>
          <w:spacing w:val="-57"/>
        </w:rPr>
        <w:t> </w:t>
      </w:r>
      <w:r>
        <w:rPr>
          <w:spacing w:val="-57"/>
        </w:rPr>
      </w:r>
      <w:r>
        <w:rPr/>
        <w:t>市电子工业总公司；</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年担任浩云有限监事、总经理等职务；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月至今，担任本公司副总经理。</w:t>
      </w:r>
    </w:p>
    <w:p>
      <w:pPr>
        <w:pStyle w:val="BodyText"/>
        <w:spacing w:line="451" w:lineRule="auto" w:before="92"/>
        <w:ind w:right="0"/>
        <w:jc w:val="left"/>
      </w:pPr>
      <w:r>
        <w:rPr>
          <w:spacing w:val="-2"/>
        </w:rPr>
        <w:t>（</w:t>
      </w:r>
      <w:r>
        <w:rPr>
          <w:rFonts w:ascii="Times New Roman" w:hAnsi="Times New Roman" w:cs="Times New Roman" w:eastAsia="Times New Roman" w:hint="default"/>
          <w:spacing w:val="-2"/>
        </w:rPr>
        <w:t>4</w:t>
      </w:r>
      <w:r>
        <w:rPr>
          <w:spacing w:val="-2"/>
        </w:rPr>
        <w:t>）龙中胜先生，中国国籍，无永久境外居留权，</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9</w:t>
      </w:r>
      <w:r>
        <w:rPr>
          <w:spacing w:val="-2"/>
        </w:rPr>
        <w:t>月出生，硕士学历，高级工程师。</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1999</w:t>
      </w:r>
      <w:r>
        <w:rPr>
          <w:spacing w:val="-2"/>
        </w:rPr>
        <w:t>年任职于湖北沙</w:t>
      </w:r>
      <w:r>
        <w:rPr>
          <w:spacing w:val="-56"/>
        </w:rPr>
        <w:t> </w:t>
      </w:r>
      <w:r>
        <w:rPr>
          <w:spacing w:val="-56"/>
        </w:rPr>
      </w:r>
      <w:r>
        <w:rPr>
          <w:spacing w:val="-3"/>
        </w:rPr>
        <w:t>市自动化研究所；</w:t>
      </w:r>
      <w:r>
        <w:rPr>
          <w:rFonts w:ascii="Times New Roman" w:hAnsi="Times New Roman" w:cs="Times New Roman" w:eastAsia="Times New Roman" w:hint="default"/>
          <w:spacing w:val="-3"/>
        </w:rPr>
        <w:t>1999</w:t>
      </w:r>
      <w:r>
        <w:rPr>
          <w:spacing w:val="-3"/>
        </w:rPr>
        <w:t>年至</w:t>
      </w:r>
      <w:r>
        <w:rPr>
          <w:rFonts w:ascii="Times New Roman" w:hAnsi="Times New Roman" w:cs="Times New Roman" w:eastAsia="Times New Roman" w:hint="default"/>
          <w:spacing w:val="-3"/>
        </w:rPr>
        <w:t>2001</w:t>
      </w:r>
      <w:r>
        <w:rPr>
          <w:spacing w:val="-3"/>
        </w:rPr>
        <w:t>年在番禺市保安器材工程公司担任总工程师；</w:t>
      </w:r>
      <w:r>
        <w:rPr>
          <w:rFonts w:ascii="Times New Roman" w:hAnsi="Times New Roman" w:cs="Times New Roman" w:eastAsia="Times New Roman" w:hint="default"/>
          <w:spacing w:val="-3"/>
        </w:rPr>
        <w:t>2001</w:t>
      </w:r>
      <w:r>
        <w:rPr>
          <w:spacing w:val="-3"/>
        </w:rPr>
        <w:t>年至</w:t>
      </w:r>
      <w:r>
        <w:rPr>
          <w:rFonts w:ascii="Times New Roman" w:hAnsi="Times New Roman" w:cs="Times New Roman" w:eastAsia="Times New Roman" w:hint="default"/>
          <w:spacing w:val="-3"/>
        </w:rPr>
        <w:t>2011</w:t>
      </w:r>
      <w:r>
        <w:rPr>
          <w:spacing w:val="-3"/>
        </w:rPr>
        <w:t>年担任浩云有限总工程师、监事。</w:t>
      </w:r>
      <w:r>
        <w:rPr>
          <w:spacing w:val="-75"/>
        </w:rPr>
        <w:t> </w:t>
      </w:r>
      <w:r>
        <w:rPr>
          <w:spacing w:val="-75"/>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月至今，担任本公司副总经理。</w:t>
      </w:r>
    </w:p>
    <w:p>
      <w:pPr>
        <w:pStyle w:val="BodyText"/>
        <w:spacing w:line="451" w:lineRule="auto" w:before="94"/>
        <w:ind w:right="1130"/>
        <w:jc w:val="both"/>
      </w:pPr>
      <w:r>
        <w:rPr>
          <w:spacing w:val="-2"/>
        </w:rPr>
        <w:t>（</w:t>
      </w:r>
      <w:r>
        <w:rPr>
          <w:rFonts w:ascii="Times New Roman" w:hAnsi="Times New Roman" w:cs="Times New Roman" w:eastAsia="Times New Roman" w:hint="default"/>
          <w:spacing w:val="-2"/>
        </w:rPr>
        <w:t>5</w:t>
      </w:r>
      <w:r>
        <w:rPr>
          <w:spacing w:val="-2"/>
        </w:rPr>
        <w:t>）茅屏萍女士，中国国籍，无永久境外居留权，</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1</w:t>
      </w:r>
      <w:r>
        <w:rPr>
          <w:spacing w:val="-2"/>
        </w:rPr>
        <w:t>月出生，大专学历，会计师。</w:t>
      </w:r>
      <w:r>
        <w:rPr>
          <w:rFonts w:ascii="Times New Roman" w:hAnsi="Times New Roman" w:cs="Times New Roman" w:eastAsia="Times New Roman" w:hint="default"/>
          <w:spacing w:val="-2"/>
        </w:rPr>
        <w:t>1983</w:t>
      </w:r>
      <w:r>
        <w:rPr>
          <w:spacing w:val="-2"/>
        </w:rPr>
        <w:t>年至</w:t>
      </w:r>
      <w:r>
        <w:rPr>
          <w:rFonts w:ascii="Times New Roman" w:hAnsi="Times New Roman" w:cs="Times New Roman" w:eastAsia="Times New Roman" w:hint="default"/>
          <w:spacing w:val="-2"/>
        </w:rPr>
        <w:t>1998</w:t>
      </w:r>
      <w:r>
        <w:rPr>
          <w:spacing w:val="-2"/>
        </w:rPr>
        <w:t>年就职于扬州市印刷</w:t>
      </w:r>
      <w:r>
        <w:rPr>
          <w:spacing w:val="-56"/>
        </w:rPr>
        <w:t> </w:t>
      </w:r>
      <w:r>
        <w:rPr>
          <w:spacing w:val="-56"/>
        </w:rPr>
      </w:r>
      <w:r>
        <w:rPr/>
        <w:t>总厂；</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2001</w:t>
      </w:r>
      <w:r>
        <w:rPr/>
        <w:t>年就职于广州市嘉视达电子有限公司，担任财务主管；</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年担任浩云有限财务总监；</w:t>
      </w:r>
      <w:r>
        <w:rPr>
          <w:rFonts w:ascii="Times New Roman" w:hAnsi="Times New Roman" w:cs="Times New Roman" w:eastAsia="Times New Roman" w:hint="default"/>
        </w:rPr>
        <w:t>2011</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9</w:t>
      </w:r>
      <w:r>
        <w:rPr/>
        <w:t>月至今，担任本公司副总经理。</w:t>
      </w:r>
    </w:p>
    <w:p>
      <w:pPr>
        <w:pStyle w:val="BodyText"/>
        <w:spacing w:line="451" w:lineRule="auto" w:before="94"/>
        <w:ind w:right="1132"/>
        <w:jc w:val="both"/>
      </w:pPr>
      <w:r>
        <w:rPr>
          <w:spacing w:val="-2"/>
        </w:rPr>
        <w:t>（</w:t>
      </w:r>
      <w:r>
        <w:rPr>
          <w:rFonts w:ascii="Times New Roman" w:hAnsi="Times New Roman" w:cs="Times New Roman" w:eastAsia="Times New Roman" w:hint="default"/>
          <w:spacing w:val="-2"/>
        </w:rPr>
        <w:t>6</w:t>
      </w:r>
      <w:r>
        <w:rPr>
          <w:spacing w:val="-2"/>
        </w:rPr>
        <w:t>）段汉文先生，中国国籍，无永久境外居留权，</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w:t>
      </w:r>
      <w:r>
        <w:rPr>
          <w:spacing w:val="-2"/>
        </w:rPr>
        <w:t>月出生，硕士学历。</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2006</w:t>
      </w:r>
      <w:r>
        <w:rPr>
          <w:spacing w:val="-2"/>
        </w:rPr>
        <w:t>年，任广州市天河弱电电子系</w:t>
      </w:r>
      <w:r>
        <w:rPr>
          <w:spacing w:val="-56"/>
        </w:rPr>
        <w:t> </w:t>
      </w:r>
      <w:r>
        <w:rPr>
          <w:spacing w:val="-56"/>
        </w:rPr>
      </w:r>
      <w:r>
        <w:rPr>
          <w:spacing w:val="-2"/>
        </w:rPr>
        <w:t>统工程有限公司副总经理兼研发总监；</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2007</w:t>
      </w:r>
      <w:r>
        <w:rPr>
          <w:spacing w:val="-2"/>
        </w:rPr>
        <w:t>年，任北京黄金视讯科技有限公司副总经理兼研发总监；</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5"/>
        </w:rPr>
        <w:t> </w:t>
      </w:r>
      <w:r>
        <w:rPr>
          <w:spacing w:val="-2"/>
        </w:rPr>
        <w:t>年，任广东高新兴通信股份有限公司安防部经理；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2011</w:t>
      </w:r>
      <w:r>
        <w:rPr>
          <w:spacing w:val="-2"/>
        </w:rPr>
        <w:t>年，任浩云有限研发中心经理；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月至今，任本公</w:t>
      </w:r>
      <w:r>
        <w:rPr>
          <w:spacing w:val="-52"/>
        </w:rPr>
        <w:t> </w:t>
      </w:r>
      <w:r>
        <w:rPr>
          <w:spacing w:val="-52"/>
        </w:rPr>
      </w:r>
      <w:r>
        <w:rPr/>
        <w:t>司副总经理兼研发中心经理。</w:t>
      </w:r>
    </w:p>
    <w:p>
      <w:pPr>
        <w:pStyle w:val="BodyText"/>
        <w:spacing w:line="240" w:lineRule="auto" w:before="123"/>
        <w:ind w:right="0"/>
        <w:jc w:val="both"/>
      </w:pPr>
      <w:r>
        <w:rPr/>
        <w:t>（</w:t>
      </w:r>
      <w:r>
        <w:rPr>
          <w:rFonts w:ascii="Times New Roman" w:hAnsi="Times New Roman" w:cs="Times New Roman" w:eastAsia="Times New Roman" w:hint="default"/>
        </w:rPr>
        <w:t>7</w:t>
      </w:r>
      <w:r>
        <w:rPr/>
        <w:t>）陈翩女士，中国国籍，无永久境外居留权，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9</w:t>
      </w:r>
      <w:r>
        <w:rPr/>
        <w:t>月出生，大学本科学历，中国注册会计师、英国特许公认会计师</w:t>
      </w:r>
    </w:p>
    <w:p>
      <w:pPr>
        <w:spacing w:line="240" w:lineRule="auto" w:before="9"/>
        <w:rPr>
          <w:rFonts w:ascii="宋体" w:hAnsi="宋体" w:cs="宋体" w:eastAsia="宋体" w:hint="default"/>
          <w:sz w:val="16"/>
          <w:szCs w:val="16"/>
        </w:rPr>
      </w:pPr>
    </w:p>
    <w:p>
      <w:pPr>
        <w:pStyle w:val="BodyText"/>
        <w:spacing w:line="451" w:lineRule="auto"/>
        <w:ind w:left="1134" w:right="0"/>
        <w:jc w:val="left"/>
      </w:pPr>
      <w:r>
        <w:rPr>
          <w:spacing w:val="-1"/>
        </w:rPr>
        <w:t>（</w:t>
      </w:r>
      <w:r>
        <w:rPr>
          <w:rFonts w:ascii="Times New Roman" w:hAnsi="Times New Roman" w:cs="Times New Roman" w:eastAsia="Times New Roman" w:hint="default"/>
          <w:spacing w:val="-1"/>
        </w:rPr>
        <w:t>ACCA</w:t>
      </w:r>
      <w:r>
        <w:rPr>
          <w:spacing w:val="-1"/>
        </w:rPr>
        <w:t>）。历任安永华明会计师事务所审计部经理、毕马威华振会计师事务所审计部经理。</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月，担任</w:t>
      </w:r>
      <w:r>
        <w:rPr>
          <w:spacing w:val="-74"/>
        </w:rPr>
        <w:t> </w:t>
      </w:r>
      <w:r>
        <w:rPr>
          <w:spacing w:val="-74"/>
        </w:rPr>
      </w:r>
      <w:r>
        <w:rPr/>
        <w:t>本公司财务总监；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月至今，担任本公司董事会秘书；</w:t>
      </w:r>
      <w:r>
        <w:rPr>
          <w:spacing w:val="-20"/>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月至今，担任本公司副总经理。</w:t>
      </w:r>
    </w:p>
    <w:p>
      <w:pPr>
        <w:pStyle w:val="BodyText"/>
        <w:spacing w:line="451" w:lineRule="auto" w:before="94"/>
        <w:ind w:right="1129"/>
        <w:jc w:val="both"/>
      </w:pPr>
      <w:r>
        <w:rPr>
          <w:spacing w:val="-2"/>
        </w:rPr>
        <w:t>（</w:t>
      </w:r>
      <w:r>
        <w:rPr>
          <w:rFonts w:ascii="Times New Roman" w:hAnsi="Times New Roman" w:cs="Times New Roman" w:eastAsia="Times New Roman" w:hint="default"/>
          <w:spacing w:val="-2"/>
        </w:rPr>
        <w:t>8</w:t>
      </w:r>
      <w:r>
        <w:rPr>
          <w:spacing w:val="-2"/>
        </w:rPr>
        <w:t>）劳仲秀女士，中国国籍，无永久境外居留权，</w:t>
      </w:r>
      <w:r>
        <w:rPr>
          <w:rFonts w:ascii="Times New Roman" w:hAnsi="Times New Roman" w:cs="Times New Roman" w:eastAsia="Times New Roman" w:hint="default"/>
          <w:spacing w:val="-2"/>
        </w:rPr>
        <w:t>1983</w:t>
      </w:r>
      <w:r>
        <w:rPr>
          <w:spacing w:val="-2"/>
        </w:rPr>
        <w:t>年</w:t>
      </w:r>
      <w:r>
        <w:rPr>
          <w:rFonts w:ascii="Times New Roman" w:hAnsi="Times New Roman" w:cs="Times New Roman" w:eastAsia="Times New Roman" w:hint="default"/>
          <w:spacing w:val="-2"/>
        </w:rPr>
        <w:t>6</w:t>
      </w:r>
      <w:r>
        <w:rPr>
          <w:spacing w:val="-2"/>
        </w:rPr>
        <w:t>月出生，大学本科学历，双学士，中国注册会计师。历任深圳市</w:t>
      </w:r>
      <w:r>
        <w:rPr>
          <w:spacing w:val="-60"/>
        </w:rPr>
        <w:t> </w:t>
      </w:r>
      <w:r>
        <w:rPr>
          <w:spacing w:val="-60"/>
        </w:rPr>
      </w:r>
      <w:r>
        <w:rPr/>
        <w:t>鹏城会计师事务所有限公司广州分公司项目经理、天健会计师事务所（特殊普通合伙）广东分所高级项目经理；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spacing w:val="-81"/>
        </w:rPr>
        <w:t> </w:t>
      </w:r>
      <w:r>
        <w:rPr/>
        <w:t>至今，担任本公司财务总监。</w:t>
      </w:r>
    </w:p>
    <w:p>
      <w:pPr>
        <w:pStyle w:val="BodyText"/>
        <w:spacing w:line="240" w:lineRule="auto" w:before="125"/>
        <w:ind w:right="0"/>
        <w:jc w:val="both"/>
      </w:pPr>
      <w:r>
        <w:rPr/>
        <w:t>在股东单位任职情况</w:t>
      </w:r>
    </w:p>
    <w:p>
      <w:pPr>
        <w:spacing w:line="240" w:lineRule="auto" w:before="10"/>
        <w:rPr>
          <w:rFonts w:ascii="宋体" w:hAnsi="宋体" w:cs="宋体" w:eastAsia="宋体" w:hint="default"/>
          <w:sz w:val="20"/>
          <w:szCs w:val="20"/>
        </w:rPr>
      </w:pPr>
    </w:p>
    <w:p>
      <w:pPr>
        <w:pStyle w:val="BodyText"/>
        <w:spacing w:line="489"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8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91"/>
              <w:jc w:val="right"/>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3"/>
              <w:jc w:val="right"/>
              <w:rPr>
                <w:rFonts w:ascii="宋体" w:hAnsi="宋体" w:cs="宋体" w:eastAsia="宋体" w:hint="default"/>
                <w:sz w:val="18"/>
                <w:szCs w:val="18"/>
              </w:rPr>
            </w:pPr>
            <w:r>
              <w:rPr>
                <w:rFonts w:ascii="宋体" w:hAnsi="宋体" w:cs="宋体" w:eastAsia="宋体" w:hint="default"/>
                <w:sz w:val="18"/>
                <w:szCs w:val="18"/>
              </w:rPr>
              <w:t>江苏凯伦建材股份有限公司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理、董事会秘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书</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广州市天高集团有限公司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副总裁、财务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广东天高矿业股份有限公司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河源市紫金天鸥矿业有限公司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赣州市峰山投资开发有限公司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南昌天高新材料股份有限公司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广州航天海特系统工程有限公司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广州市宝山贸易有限公司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会昌龙威锡业有限公司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吉水县谊达物资有限责任公司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中山大学信息科技学院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海博伦（苏州）环境科技股份有限公司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公司现任及报告期内离任董事、监事和高级管理人员近三年证券监管机构处罚的情况</w:t>
      </w:r>
    </w:p>
    <w:p>
      <w:pPr>
        <w:spacing w:line="240" w:lineRule="auto" w:before="12"/>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四、董事、监事、高级管理人员报酬情况" w:id="118"/>
      <w:bookmarkEnd w:id="118"/>
      <w:r>
        <w:rPr>
          <w:b w:val="0"/>
          <w:bCs w:val="0"/>
        </w:rPr>
      </w:r>
      <w:r>
        <w:rPr/>
        <w:t>四、董事、监事、高级管理人员报酬情况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董事、监事、高级管理人员报酬的决策程序、确定依据、实际支付情况</w:t>
      </w:r>
    </w:p>
    <w:p>
      <w:pPr>
        <w:spacing w:line="240" w:lineRule="auto" w:before="12"/>
        <w:rPr>
          <w:rFonts w:ascii="宋体" w:hAnsi="宋体" w:cs="宋体" w:eastAsia="宋体" w:hint="default"/>
          <w:sz w:val="24"/>
          <w:szCs w:val="24"/>
        </w:rPr>
      </w:pPr>
    </w:p>
    <w:p>
      <w:pPr>
        <w:spacing w:line="446" w:lineRule="auto"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、董事、监事、高级管理人员报酬的决策程序和确定依据：</w:t>
      </w:r>
      <w:r>
        <w:rPr>
          <w:rFonts w:ascii="宋体" w:hAnsi="宋体" w:cs="宋体" w:eastAsia="宋体" w:hint="default"/>
          <w:b/>
          <w:bCs/>
          <w:w w:val="99"/>
          <w:sz w:val="21"/>
          <w:szCs w:val="21"/>
        </w:rPr>
        <w:t> </w:t>
      </w:r>
      <w:r>
        <w:rPr>
          <w:rFonts w:ascii="宋体" w:hAnsi="宋体" w:cs="宋体" w:eastAsia="宋体" w:hint="default"/>
          <w:spacing w:val="-2"/>
          <w:sz w:val="18"/>
          <w:szCs w:val="18"/>
        </w:rPr>
        <w:t>公司董事、监事的薪酬政策由</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年第七次临时股东大会审议通过并执行；高级管理人员及其他核心人员的薪酬政策由第二</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届董事会第一次会议审议通过并执行。</w:t>
      </w:r>
    </w:p>
    <w:p>
      <w:pPr>
        <w:pStyle w:val="BodyText"/>
        <w:spacing w:line="477" w:lineRule="auto" w:before="116"/>
        <w:ind w:left="1134" w:right="0"/>
        <w:jc w:val="left"/>
      </w:pPr>
      <w:r>
        <w:rPr>
          <w:spacing w:val="-2"/>
        </w:rPr>
        <w:t>公司董事张勇先生不在公司领取薪酬。公司独立董事除领取独立董事津贴外，不享有其他福利待遇。其他在公司领取薪酬的</w:t>
      </w:r>
      <w:r>
        <w:rPr>
          <w:spacing w:val="-66"/>
        </w:rPr>
        <w:t> </w:t>
      </w:r>
      <w:r>
        <w:rPr>
          <w:spacing w:val="-66"/>
        </w:rPr>
      </w:r>
      <w:r>
        <w:rPr>
          <w:spacing w:val="-4"/>
        </w:rPr>
        <w:t>董事、监事、高级管理人员与其他核心人员的薪酬主要由基本工资和年终奖金两部分组成。基本工资根据其所任职位的价值、</w:t>
      </w:r>
      <w:r>
        <w:rPr>
          <w:spacing w:val="-44"/>
        </w:rPr>
        <w:t> </w:t>
      </w:r>
      <w:r>
        <w:rPr>
          <w:spacing w:val="-44"/>
        </w:rPr>
      </w:r>
      <w:r>
        <w:rPr>
          <w:spacing w:val="-2"/>
        </w:rPr>
        <w:t>责任、能力、市场薪资行情等因素确定，并考虑其在公司的任职年限及股份分红等其他收入综合平衡确定；年终奖金根据公</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司年度目标绩效奖金为基础，与公司年度经营绩效相挂钩，年终根据当年考核结果统算兑付。</w:t>
      </w:r>
    </w:p>
    <w:p>
      <w:pPr>
        <w:spacing w:line="240" w:lineRule="auto" w:before="12"/>
        <w:rPr>
          <w:rFonts w:ascii="宋体" w:hAnsi="宋体" w:cs="宋体" w:eastAsia="宋体" w:hint="default"/>
          <w:sz w:val="24"/>
          <w:szCs w:val="24"/>
        </w:rPr>
      </w:pPr>
    </w:p>
    <w:p>
      <w:pPr>
        <w:pStyle w:val="Heading3"/>
        <w:spacing w:line="388" w:lineRule="auto"/>
        <w:ind w:right="0"/>
        <w:jc w:val="left"/>
        <w:rPr>
          <w:b w:val="0"/>
          <w:bCs w:val="0"/>
        </w:rPr>
      </w:pPr>
      <w:r>
        <w:rPr>
          <w:rFonts w:ascii="Times New Roman" w:hAnsi="Times New Roman" w:cs="Times New Roman" w:eastAsia="Times New Roman" w:hint="default"/>
        </w:rPr>
        <w:t>2</w:t>
      </w:r>
      <w:r>
        <w:rPr/>
        <w:t>、在本公司领取报酬的现任董事、监事和高级管理人员的年度报酬（包括基本工资、各项奖金、福利、</w:t>
      </w:r>
      <w:r>
        <w:rPr>
          <w:spacing w:val="-74"/>
        </w:rPr>
        <w:t> </w:t>
      </w:r>
      <w:r>
        <w:rPr>
          <w:spacing w:val="-74"/>
        </w:rPr>
      </w:r>
      <w:r>
        <w:rPr/>
        <w:t>补贴及其他津贴等）总额合计为</w:t>
      </w:r>
      <w:r>
        <w:rPr>
          <w:rFonts w:ascii="Times New Roman" w:hAnsi="Times New Roman" w:cs="Times New Roman" w:eastAsia="Times New Roman" w:hint="default"/>
        </w:rPr>
        <w:t>387.57</w:t>
      </w:r>
      <w:r>
        <w:rPr/>
        <w:t>万元。</w:t>
      </w:r>
      <w:r>
        <w:rPr>
          <w:b w:val="0"/>
          <w:bCs w:val="0"/>
        </w:rPr>
      </w:r>
    </w:p>
    <w:p>
      <w:pPr>
        <w:pStyle w:val="BodyText"/>
        <w:spacing w:line="240" w:lineRule="auto" w:before="98"/>
        <w:ind w:right="0"/>
        <w:jc w:val="left"/>
      </w:pPr>
      <w:r>
        <w:rPr/>
        <w:t>公司报告期内董事、监事和高级管理人员报酬情况</w:t>
      </w:r>
    </w:p>
    <w:p>
      <w:pPr>
        <w:spacing w:line="240" w:lineRule="auto" w:before="12"/>
        <w:rPr>
          <w:rFonts w:ascii="宋体" w:hAnsi="宋体" w:cs="宋体" w:eastAsia="宋体" w:hint="default"/>
          <w:sz w:val="14"/>
          <w:szCs w:val="14"/>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高传江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郑盛泰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  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  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段汉文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  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劳仲秀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387.57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公司董事、监事、高级管理人员报告期内被授予的股权激励情况</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bookmarkStart w:name="五、公司员工情况" w:id="119"/>
      <w:bookmarkEnd w:id="11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0"/>
      <w:bookmarkEnd w:id="12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w:t>
            </w:r>
          </w:p>
        </w:tc>
      </w:tr>
    </w:tbl>
    <w:p>
      <w:pPr>
        <w:spacing w:line="240" w:lineRule="auto" w:before="1"/>
        <w:rPr>
          <w:rFonts w:ascii="宋体" w:hAnsi="宋体" w:cs="宋体" w:eastAsia="宋体" w:hint="default"/>
          <w:b/>
          <w:bCs/>
          <w:sz w:val="25"/>
          <w:szCs w:val="25"/>
        </w:rPr>
      </w:pPr>
    </w:p>
    <w:p>
      <w:pPr>
        <w:pStyle w:val="Heading3"/>
        <w:spacing w:line="240" w:lineRule="auto" w:before="35"/>
        <w:ind w:left="1134" w:right="0"/>
        <w:jc w:val="left"/>
        <w:rPr>
          <w:b w:val="0"/>
          <w:bCs w:val="0"/>
        </w:rPr>
      </w:pPr>
      <w:bookmarkStart w:name="2、薪酬政策" w:id="121"/>
      <w:bookmarkEnd w:id="12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0"/>
        <w:jc w:val="left"/>
      </w:pPr>
      <w:r>
        <w:rPr/>
        <w:t>公司遵循按劳分配、以岗定薪、效率优先、兼顾公平的原则，制定并实施符合公司实际的薪酬分配方案。 </w:t>
      </w:r>
      <w:r>
        <w:rPr>
          <w:spacing w:val="-2"/>
        </w:rPr>
        <w:t>薪酬分配的主要依据是：岗位价值、个人能力素质和业绩贡献。薪酬分配标准参照公司所在地区社会平均工资水平、行业平</w:t>
      </w:r>
      <w:r>
        <w:rPr>
          <w:spacing w:val="-66"/>
        </w:rPr>
        <w:t> </w:t>
      </w:r>
      <w:r>
        <w:rPr>
          <w:spacing w:val="-66"/>
        </w:rPr>
      </w:r>
      <w:r>
        <w:rPr/>
        <w:t>均水平、劳动力市场的供求状况、生活费用和物价水平等确定。</w:t>
      </w:r>
    </w:p>
    <w:p>
      <w:pPr>
        <w:spacing w:line="240" w:lineRule="auto" w:before="2"/>
        <w:rPr>
          <w:rFonts w:ascii="宋体" w:hAnsi="宋体" w:cs="宋体" w:eastAsia="宋体" w:hint="default"/>
          <w:sz w:val="25"/>
          <w:szCs w:val="25"/>
        </w:rPr>
      </w:pPr>
    </w:p>
    <w:p>
      <w:pPr>
        <w:pStyle w:val="Heading3"/>
        <w:spacing w:line="240" w:lineRule="auto"/>
        <w:ind w:left="1134" w:right="0"/>
        <w:jc w:val="left"/>
        <w:rPr>
          <w:b w:val="0"/>
          <w:bCs w:val="0"/>
        </w:rPr>
      </w:pPr>
      <w:bookmarkStart w:name="3、培训计划" w:id="122"/>
      <w:bookmarkEnd w:id="12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4" w:right="0"/>
        <w:jc w:val="left"/>
      </w:pPr>
      <w:r>
        <w:rPr>
          <w:spacing w:val="-2"/>
        </w:rPr>
        <w:t>为了提高员工在目前和将来工作岗位上的工作效率和业绩，公司向所有员工提供平等的学习和发展机会。公司将根据企业发</w:t>
      </w:r>
      <w:r>
        <w:rPr>
          <w:spacing w:val="-64"/>
        </w:rPr>
        <w:t> </w:t>
      </w:r>
      <w:r>
        <w:rPr>
          <w:spacing w:val="-64"/>
        </w:rPr>
      </w:r>
      <w:r>
        <w:rPr/>
        <w:t>展战略，同时结合员工个人需求制定全方位的培训计划，内容包括知识技能以及专业素养等方面的培训。</w:t>
      </w:r>
    </w:p>
    <w:p>
      <w:pPr>
        <w:spacing w:line="240" w:lineRule="auto" w:before="2"/>
        <w:rPr>
          <w:rFonts w:ascii="宋体" w:hAnsi="宋体" w:cs="宋体" w:eastAsia="宋体" w:hint="default"/>
          <w:sz w:val="25"/>
          <w:szCs w:val="25"/>
        </w:rPr>
      </w:pPr>
    </w:p>
    <w:p>
      <w:pPr>
        <w:pStyle w:val="Heading3"/>
        <w:spacing w:line="240" w:lineRule="auto"/>
        <w:ind w:left="1134" w:right="0"/>
        <w:jc w:val="left"/>
        <w:rPr>
          <w:b w:val="0"/>
          <w:bCs w:val="0"/>
        </w:rPr>
      </w:pPr>
      <w:bookmarkStart w:name="4、劳务外包情况" w:id="123"/>
      <w:bookmarkEnd w:id="12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1"/>
        <w:ind w:left="3222" w:right="3222" w:firstLine="0"/>
        <w:jc w:val="center"/>
        <w:rPr>
          <w:rFonts w:ascii="宋体" w:hAnsi="宋体" w:cs="宋体" w:eastAsia="宋体" w:hint="default"/>
          <w:sz w:val="32"/>
          <w:szCs w:val="32"/>
        </w:rPr>
      </w:pPr>
      <w:bookmarkStart w:name="第八节 公司治理" w:id="124"/>
      <w:bookmarkEnd w:id="124"/>
      <w:r>
        <w:rPr/>
      </w:r>
      <w:bookmarkStart w:name="_bookmark7" w:id="125"/>
      <w:bookmarkEnd w:id="125"/>
      <w:r>
        <w:rPr/>
      </w:r>
      <w:r>
        <w:rPr>
          <w:rFonts w:ascii="宋体" w:hAnsi="宋体" w:cs="宋体" w:eastAsia="宋体" w:hint="default"/>
          <w:b/>
          <w:bCs/>
          <w:sz w:val="32"/>
          <w:szCs w:val="32"/>
        </w:rPr>
        <w:t>第八节</w:t>
      </w:r>
      <w:r>
        <w:rPr>
          <w:rFonts w:ascii="宋体" w:hAnsi="宋体" w:cs="宋体" w:eastAsia="宋体" w:hint="default"/>
          <w:b/>
          <w:bCs/>
          <w:spacing w:val="-5"/>
          <w:sz w:val="32"/>
          <w:szCs w:val="32"/>
        </w:rPr>
        <w:t> </w:t>
      </w:r>
      <w:r>
        <w:rPr>
          <w:rFonts w:ascii="宋体" w:hAnsi="宋体" w:cs="宋体" w:eastAsia="宋体" w:hint="default"/>
          <w:b/>
          <w:bCs/>
          <w:sz w:val="32"/>
          <w:szCs w:val="32"/>
        </w:rPr>
        <w:t>公司治理</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left"/>
        <w:rPr>
          <w:b w:val="0"/>
          <w:bCs w:val="0"/>
        </w:rPr>
      </w:pPr>
      <w:bookmarkStart w:name="一、公司治理的基本状况" w:id="126"/>
      <w:bookmarkEnd w:id="126"/>
      <w:r>
        <w:rPr>
          <w:b w:val="0"/>
          <w:bCs w:val="0"/>
        </w:rPr>
      </w:r>
      <w:r>
        <w:rPr/>
        <w:t>一、公司治理的基本状况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8"/>
        <w:ind w:left="1494" w:right="0"/>
        <w:jc w:val="left"/>
      </w:pPr>
      <w:r>
        <w:rPr>
          <w:spacing w:val="-4"/>
        </w:rPr>
        <w:t>报告期内，公司严格按照《公司法》、《证券法》、《上市公司治理准则》、《深圳证券交易所创业板股票上市规则》、</w:t>
      </w:r>
    </w:p>
    <w:p>
      <w:pPr>
        <w:spacing w:line="240" w:lineRule="auto" w:before="10"/>
        <w:rPr>
          <w:rFonts w:ascii="宋体" w:hAnsi="宋体" w:cs="宋体" w:eastAsia="宋体" w:hint="default"/>
          <w:sz w:val="17"/>
          <w:szCs w:val="17"/>
        </w:rPr>
      </w:pPr>
    </w:p>
    <w:p>
      <w:pPr>
        <w:pStyle w:val="BodyText"/>
        <w:spacing w:line="477" w:lineRule="auto"/>
        <w:ind w:left="1134" w:right="0"/>
        <w:jc w:val="left"/>
      </w:pPr>
      <w:r>
        <w:rPr>
          <w:spacing w:val="-2"/>
        </w:rPr>
        <w:t>《深圳证券交易所创业板上市公司规范运作指引》等法律、法规的要求，不断完善法人治理结构，建立健全公司内部控制制</w:t>
      </w:r>
      <w:r>
        <w:rPr>
          <w:spacing w:val="-66"/>
        </w:rPr>
        <w:t> </w:t>
      </w:r>
      <w:r>
        <w:rPr>
          <w:spacing w:val="-66"/>
        </w:rPr>
      </w:r>
      <w:r>
        <w:rPr/>
        <w:t>度，进一步规范公司运作，提高公司治理水平，有效维护了公司和投资者的利益。</w:t>
      </w:r>
    </w:p>
    <w:p>
      <w:pPr>
        <w:pStyle w:val="BodyText"/>
        <w:spacing w:line="240" w:lineRule="auto" w:before="54"/>
        <w:ind w:left="1494" w:right="0"/>
        <w:jc w:val="left"/>
      </w:pPr>
      <w:r>
        <w:rPr/>
        <w:t>根据监管部门的最新要求和公司实际情况</w:t>
      </w:r>
      <w:r>
        <w:rPr>
          <w:spacing w:val="-21"/>
        </w:rPr>
        <w:t>，</w:t>
      </w:r>
      <w:r>
        <w:rPr/>
        <w:t>报告期内</w:t>
      </w:r>
      <w:r>
        <w:rPr>
          <w:spacing w:val="-21"/>
        </w:rPr>
        <w:t>，</w:t>
      </w:r>
      <w:r>
        <w:rPr/>
        <w:t>公司修订或制定</w:t>
      </w:r>
      <w:r>
        <w:rPr>
          <w:spacing w:val="-21"/>
        </w:rPr>
        <w:t>了</w:t>
      </w:r>
      <w:r>
        <w:rPr/>
        <w:t>《公司章程</w:t>
      </w:r>
      <w:r>
        <w:rPr>
          <w:spacing w:val="-90"/>
        </w:rPr>
        <w:t>》</w:t>
      </w:r>
      <w:r>
        <w:rPr>
          <w:spacing w:val="-111"/>
        </w:rPr>
        <w:t>、</w:t>
      </w:r>
      <w:r>
        <w:rPr/>
        <w:t>《股东大会网络投票实施细则</w:t>
      </w:r>
      <w:r>
        <w:rPr>
          <w:spacing w:val="-90"/>
        </w:rPr>
        <w:t>》</w:t>
      </w:r>
      <w:r>
        <w:rPr/>
        <w:t>、</w:t>
      </w:r>
    </w:p>
    <w:p>
      <w:pPr>
        <w:spacing w:line="240" w:lineRule="auto" w:before="10"/>
        <w:rPr>
          <w:rFonts w:ascii="宋体" w:hAnsi="宋体" w:cs="宋体" w:eastAsia="宋体" w:hint="default"/>
          <w:sz w:val="17"/>
          <w:szCs w:val="17"/>
        </w:rPr>
      </w:pPr>
    </w:p>
    <w:p>
      <w:pPr>
        <w:pStyle w:val="BodyText"/>
        <w:spacing w:line="240" w:lineRule="auto"/>
        <w:ind w:left="1134" w:right="0"/>
        <w:jc w:val="left"/>
      </w:pPr>
      <w:r>
        <w:rPr/>
        <w:t>《募集资金管理制度</w:t>
      </w:r>
      <w:r>
        <w:rPr>
          <w:spacing w:val="-90"/>
        </w:rPr>
        <w:t>》、</w:t>
      </w:r>
      <w:r>
        <w:rPr/>
        <w:t>《内幕信息知情人登记制度</w:t>
      </w:r>
      <w:r>
        <w:rPr>
          <w:spacing w:val="-90"/>
        </w:rPr>
        <w:t>》、</w:t>
      </w:r>
      <w:r>
        <w:rPr/>
        <w:t>《重大信息内部报告制度</w:t>
      </w:r>
      <w:r>
        <w:rPr>
          <w:spacing w:val="-90"/>
        </w:rPr>
        <w:t>》、</w:t>
      </w:r>
      <w:r>
        <w:rPr/>
        <w:t>《年报信息披露重大差错责任追究制度</w:t>
      </w:r>
      <w:r>
        <w:rPr>
          <w:spacing w:val="-90"/>
        </w:rPr>
        <w:t>》</w:t>
      </w:r>
      <w:r>
        <w:rPr/>
        <w:t>、</w:t>
      </w:r>
    </w:p>
    <w:p>
      <w:pPr>
        <w:spacing w:line="240" w:lineRule="auto" w:before="10"/>
        <w:rPr>
          <w:rFonts w:ascii="宋体" w:hAnsi="宋体" w:cs="宋体" w:eastAsia="宋体" w:hint="default"/>
          <w:sz w:val="17"/>
          <w:szCs w:val="17"/>
        </w:rPr>
      </w:pPr>
    </w:p>
    <w:p>
      <w:pPr>
        <w:pStyle w:val="BodyText"/>
        <w:spacing w:line="477" w:lineRule="auto"/>
        <w:ind w:right="1033"/>
        <w:jc w:val="left"/>
      </w:pPr>
      <w:r>
        <w:rPr/>
        <w:t>《特定对象调研来访接待工作管理制度》等制度，通过一系列的制度修订和建设工作，搭建公司法人治理结构的制度平台， 为公司的规范运作提供了更加完善的制度保障。</w:t>
      </w:r>
    </w:p>
    <w:p>
      <w:pPr>
        <w:pStyle w:val="BodyText"/>
        <w:spacing w:line="477" w:lineRule="auto" w:before="54"/>
        <w:ind w:left="1494" w:right="1042" w:hanging="35"/>
        <w:jc w:val="left"/>
      </w:pPr>
      <w:r>
        <w:rPr/>
        <w:t>（一）关于股东与股东大会 </w:t>
      </w:r>
      <w:r>
        <w:rPr>
          <w:spacing w:val="-10"/>
        </w:rPr>
        <w:t>公司严格按照《公司法》、《上市公司股东大会规则》、《公司章程》和《股东大会议事规则》等规定和要求，规范地召集、</w:t>
      </w:r>
    </w:p>
    <w:p>
      <w:pPr>
        <w:pStyle w:val="BodyText"/>
        <w:spacing w:line="477" w:lineRule="auto" w:before="54"/>
        <w:ind w:right="0"/>
        <w:jc w:val="left"/>
      </w:pPr>
      <w:r>
        <w:rPr>
          <w:spacing w:val="-3"/>
        </w:rPr>
        <w:t>召开股东大会，并聘请律师对股东大会的合法合规性出具法律意见书，能够确保全体股东特别是中小股东享有平等地位，</w:t>
      </w:r>
      <w:r>
        <w:rPr>
          <w:spacing w:val="-47"/>
        </w:rPr>
        <w:t> </w:t>
      </w:r>
      <w:r>
        <w:rPr/>
        <w:t>充</w:t>
      </w:r>
      <w:r>
        <w:rPr>
          <w:spacing w:val="-58"/>
        </w:rPr>
        <w:t> </w:t>
      </w:r>
      <w:r>
        <w:rPr>
          <w:spacing w:val="-58"/>
        </w:rPr>
      </w:r>
      <w:r>
        <w:rPr>
          <w:spacing w:val="-4"/>
        </w:rPr>
        <w:t>分行使自己的权力。报告期内的股东大会均由董事会召集召开，出席股东大会的人员资格及股东大会的召开和表决程序合法。</w:t>
      </w:r>
    </w:p>
    <w:p>
      <w:pPr>
        <w:pStyle w:val="BodyText"/>
        <w:spacing w:line="477" w:lineRule="auto" w:before="54"/>
        <w:ind w:left="1494" w:right="0" w:hanging="70"/>
        <w:jc w:val="left"/>
      </w:pPr>
      <w:r>
        <w:rPr/>
        <w:t>（二）关于公司与控股股东 </w:t>
      </w:r>
      <w:r>
        <w:rPr>
          <w:spacing w:val="-9"/>
        </w:rPr>
        <w:t>公司控股股东严格按照《上市公司治理准则》、《深圳证券交易所创业板股票上市规则》、《深圳证券交易所创业板上市公</w:t>
      </w:r>
    </w:p>
    <w:p>
      <w:pPr>
        <w:pStyle w:val="BodyText"/>
        <w:spacing w:line="477" w:lineRule="auto" w:before="54"/>
        <w:ind w:left="1134" w:right="0"/>
        <w:jc w:val="left"/>
      </w:pPr>
      <w:r>
        <w:rPr>
          <w:spacing w:val="-7"/>
        </w:rPr>
        <w:t>司规范运作指引》、《公司章程》等规定和要求，规范自身行为，不存在超越股东大会直接或间接干预公司的决策和经营活动，</w:t>
      </w:r>
      <w:r>
        <w:rPr>
          <w:spacing w:val="-54"/>
        </w:rPr>
        <w:t> </w:t>
      </w:r>
      <w:r>
        <w:rPr>
          <w:spacing w:val="-54"/>
        </w:rPr>
      </w:r>
      <w:r>
        <w:rPr>
          <w:spacing w:val="-2"/>
        </w:rPr>
        <w:t>不存在利用其控制地位损害公司和公司其他股东利益的行为，不存在控股股东占用公司资金的现象，公司亦无为控股股东提</w:t>
      </w:r>
      <w:r>
        <w:rPr>
          <w:spacing w:val="-64"/>
        </w:rPr>
        <w:t> </w:t>
      </w:r>
      <w:r>
        <w:rPr>
          <w:spacing w:val="-64"/>
        </w:rPr>
      </w:r>
      <w:r>
        <w:rPr>
          <w:spacing w:val="-2"/>
        </w:rPr>
        <w:t>供担保的情形。公司拥有独立完整的业务和自主经营能力，在业务、资产、人员、机构、财务上独立于控股股东，公司董事</w:t>
      </w:r>
      <w:r>
        <w:rPr>
          <w:spacing w:val="-72"/>
        </w:rPr>
        <w:t> </w:t>
      </w:r>
      <w:r>
        <w:rPr>
          <w:spacing w:val="-72"/>
        </w:rPr>
      </w:r>
      <w:r>
        <w:rPr/>
        <w:t>会、监事会和内部机构独立运行。</w:t>
      </w:r>
    </w:p>
    <w:p>
      <w:pPr>
        <w:pStyle w:val="BodyText"/>
        <w:spacing w:line="477" w:lineRule="auto" w:before="54"/>
        <w:ind w:left="1459" w:right="1157" w:hanging="35"/>
        <w:jc w:val="left"/>
      </w:pPr>
      <w:r>
        <w:rPr/>
        <w:t>（三）关于董事与董事会 公司根据《公司章程》及《董事会议事规则》规定的程序选举董事，组建董事会。公司第二届董事会由</w:t>
      </w:r>
      <w:r>
        <w:rPr>
          <w:rFonts w:ascii="Times New Roman" w:hAnsi="Times New Roman" w:cs="Times New Roman" w:eastAsia="Times New Roman" w:hint="default"/>
        </w:rPr>
        <w:t>5</w:t>
      </w:r>
      <w:r>
        <w:rPr/>
        <w:t>名董事组成，</w:t>
      </w:r>
    </w:p>
    <w:p>
      <w:pPr>
        <w:pStyle w:val="BodyText"/>
        <w:spacing w:line="470" w:lineRule="auto" w:before="21"/>
        <w:ind w:right="0"/>
        <w:jc w:val="left"/>
      </w:pPr>
      <w:r>
        <w:rPr/>
        <w:t>其中独立董事</w:t>
      </w:r>
      <w:r>
        <w:rPr>
          <w:rFonts w:ascii="Times New Roman" w:hAnsi="Times New Roman" w:cs="Times New Roman" w:eastAsia="Times New Roman" w:hint="default"/>
        </w:rPr>
        <w:t>2</w:t>
      </w:r>
      <w:r>
        <w:rPr/>
        <w:t>名，符合相关要求。董事会均严格按照《公司章程》及《董事会议事规则》的程序召集、召开。各位董事能 </w:t>
      </w:r>
      <w:r>
        <w:rPr>
          <w:spacing w:val="-8"/>
        </w:rPr>
        <w:t>够依据《董事会议事规则》、《独立董事工作制度》、《深圳证券交易所创业板上市公司规范运作指引》等规定开展工作，出席</w:t>
      </w:r>
      <w:r>
        <w:rPr>
          <w:spacing w:val="-86"/>
        </w:rPr>
        <w:t> </w:t>
      </w:r>
      <w:r>
        <w:rPr>
          <w:spacing w:val="-86"/>
        </w:rPr>
      </w:r>
      <w:r>
        <w:rPr>
          <w:spacing w:val="-2"/>
        </w:rPr>
        <w:t>董事会和股东大会，勤勉尽责的履行职责和义务，同时积极参加相关培训，熟悉相关法律法规。公司按照《深圳证券交易所</w:t>
      </w:r>
      <w:r>
        <w:rPr>
          <w:spacing w:val="-66"/>
        </w:rPr>
        <w:t> </w:t>
      </w:r>
      <w:r>
        <w:rPr>
          <w:spacing w:val="-66"/>
        </w:rPr>
      </w:r>
      <w:r>
        <w:rPr>
          <w:spacing w:val="-4"/>
        </w:rPr>
        <w:t>创业板上市公司规范运作指引》的要求，下设有战略委员会、薪酬与考核委员会、审计委员会和提名委员会四个专门委员会，</w:t>
      </w:r>
      <w:r>
        <w:rPr>
          <w:spacing w:val="-46"/>
        </w:rPr>
        <w:t> </w:t>
      </w:r>
      <w:r>
        <w:rPr>
          <w:spacing w:val="-46"/>
        </w:rPr>
      </w:r>
      <w:r>
        <w:rPr/>
        <w:t>各委员会中独立董事占比均超</w:t>
      </w:r>
      <w:r>
        <w:rPr>
          <w:rFonts w:ascii="Times New Roman" w:hAnsi="Times New Roman" w:cs="Times New Roman" w:eastAsia="Times New Roman" w:hint="default"/>
        </w:rPr>
        <w:t>1/2</w:t>
      </w:r>
      <w:r>
        <w:rPr/>
        <w:t>，提高了董事会履职能力和专业化程度，保障了董事会决策的科学性和规范性。</w:t>
      </w:r>
    </w:p>
    <w:p>
      <w:pPr>
        <w:pStyle w:val="BodyText"/>
        <w:spacing w:line="240" w:lineRule="auto" w:before="27"/>
        <w:ind w:left="1424" w:right="0"/>
        <w:jc w:val="left"/>
      </w:pPr>
      <w:r>
        <w:rPr/>
        <w:t>（四）关于监事与监事会</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3" w:lineRule="auto"/>
        <w:ind w:right="1131" w:firstLine="307"/>
        <w:jc w:val="both"/>
      </w:pPr>
      <w:r>
        <w:rPr/>
        <w:t>公司根据《公司章程》及《监事会议事规则》规定的程序选举监事，组建监事会。公司第二届监事会由</w:t>
      </w:r>
      <w:r>
        <w:rPr>
          <w:rFonts w:ascii="Times New Roman" w:hAnsi="Times New Roman" w:cs="Times New Roman" w:eastAsia="Times New Roman" w:hint="default"/>
        </w:rPr>
        <w:t>3</w:t>
      </w:r>
      <w:r>
        <w:rPr/>
        <w:t>名监事组成， 其中有</w:t>
      </w:r>
      <w:r>
        <w:rPr>
          <w:rFonts w:ascii="Times New Roman" w:hAnsi="Times New Roman" w:cs="Times New Roman" w:eastAsia="Times New Roman" w:hint="default"/>
        </w:rPr>
        <w:t>1</w:t>
      </w:r>
      <w:r>
        <w:rPr/>
        <w:t>名职工监事，符合相关要求。公司监事及监事会严格执行《公司章程》和《监事会议事规则》等制度的有关规定， </w:t>
      </w:r>
      <w:r>
        <w:rPr>
          <w:spacing w:val="-2"/>
        </w:rPr>
        <w:t>认真履行自己的职责，能够本着对股东负责的精神，出席监事会会议、列席董事会会议、股东大会；审核董事会编制的定期</w:t>
      </w:r>
      <w:r>
        <w:rPr>
          <w:spacing w:val="-66"/>
        </w:rPr>
        <w:t> </w:t>
      </w:r>
      <w:r>
        <w:rPr>
          <w:spacing w:val="-66"/>
        </w:rPr>
      </w:r>
      <w:r>
        <w:rPr>
          <w:spacing w:val="-2"/>
        </w:rPr>
        <w:t>报告并提出书面的核查意见，对公司的重大事项、财务状况以及公司董事、高级管理人员履行职责情况的合法性、合规性进</w:t>
      </w:r>
      <w:r>
        <w:rPr>
          <w:spacing w:val="-66"/>
        </w:rPr>
        <w:t> </w:t>
      </w:r>
      <w:r>
        <w:rPr>
          <w:spacing w:val="-66"/>
        </w:rPr>
      </w:r>
      <w:r>
        <w:rPr/>
        <w:t>行有效监督，切实维护全体股东的合法权益。</w:t>
      </w:r>
    </w:p>
    <w:p>
      <w:pPr>
        <w:pStyle w:val="BodyText"/>
        <w:spacing w:line="477" w:lineRule="auto" w:before="65"/>
        <w:ind w:left="1494" w:right="0" w:hanging="70"/>
        <w:jc w:val="left"/>
      </w:pPr>
      <w:r>
        <w:rPr/>
        <w:t>（五）关于信息披露与透明度 </w:t>
      </w:r>
      <w:r>
        <w:rPr>
          <w:spacing w:val="-4"/>
        </w:rPr>
        <w:t>公司严格按照有关法律法规以及《信息披露管理制度》、《投资者关系管理制度》等的要求，真实、准确、及时、公平、</w:t>
      </w:r>
    </w:p>
    <w:p>
      <w:pPr>
        <w:pStyle w:val="BodyText"/>
        <w:spacing w:line="477" w:lineRule="auto" w:before="54"/>
        <w:ind w:left="1134" w:right="0"/>
        <w:jc w:val="left"/>
      </w:pPr>
      <w:r>
        <w:rPr>
          <w:spacing w:val="-2"/>
        </w:rPr>
        <w:t>完整地披露有关信息；并指定公司董事会秘书负责信息披露工作，协调公司与投资者的关系，接待投资者来访，回答投资者</w:t>
      </w:r>
      <w:r>
        <w:rPr>
          <w:spacing w:val="-66"/>
        </w:rPr>
        <w:t> </w:t>
      </w:r>
      <w:r>
        <w:rPr>
          <w:spacing w:val="-66"/>
        </w:rPr>
      </w:r>
      <w:r>
        <w:rPr>
          <w:spacing w:val="-4"/>
          <w:w w:val="99"/>
        </w:rPr>
        <w:t>咨询，向投资者提供公司已披露的资料；并指定巨潮资讯（</w:t>
      </w:r>
      <w:hyperlink r:id="rId11">
        <w:r>
          <w:rPr>
            <w:rFonts w:ascii="Times New Roman" w:hAnsi="Times New Roman" w:cs="Times New Roman" w:eastAsia="Times New Roman" w:hint="default"/>
            <w:spacing w:val="-4"/>
            <w:w w:val="99"/>
          </w:rPr>
          <w:t>www.cninfo.com.cn</w:t>
        </w:r>
      </w:hyperlink>
      <w:r>
        <w:rPr>
          <w:spacing w:val="-4"/>
          <w:w w:val="99"/>
        </w:rPr>
        <w:t>）为公司信息披露的指定网站，《证券时报》、</w:t>
      </w:r>
    </w:p>
    <w:p>
      <w:pPr>
        <w:pStyle w:val="BodyText"/>
        <w:spacing w:line="477" w:lineRule="auto" w:before="21"/>
        <w:ind w:left="1134" w:right="1127"/>
        <w:jc w:val="left"/>
      </w:pPr>
      <w:r>
        <w:rPr>
          <w:spacing w:val="-5"/>
        </w:rPr>
        <w:t>《中国证券报》、《证券日报》和《上海证券报》为公司定期报告披露的指定报刊，确保公司所有股东能够以平等的机会获得</w:t>
      </w:r>
      <w:r>
        <w:rPr>
          <w:spacing w:val="-79"/>
        </w:rPr>
        <w:t> </w:t>
      </w:r>
      <w:r>
        <w:rPr>
          <w:spacing w:val="-79"/>
        </w:rPr>
      </w:r>
      <w:r>
        <w:rPr/>
        <w:t>信息。</w:t>
      </w:r>
    </w:p>
    <w:p>
      <w:pPr>
        <w:pStyle w:val="BodyText"/>
        <w:spacing w:line="477" w:lineRule="auto" w:before="54"/>
        <w:ind w:left="1459" w:right="1119" w:hanging="35"/>
        <w:jc w:val="left"/>
      </w:pPr>
      <w:r>
        <w:rPr/>
        <w:t>（六）关于相关利益者 </w:t>
      </w:r>
      <w:r>
        <w:rPr>
          <w:spacing w:val="-1"/>
        </w:rPr>
        <w:t>公司充分尊重和维护相关利益者的合法权益，积极与相关利益者合作，加强与各方的沟通和交流，实现社会、股东、公</w:t>
      </w:r>
    </w:p>
    <w:p>
      <w:pPr>
        <w:pStyle w:val="BodyText"/>
        <w:spacing w:line="240" w:lineRule="auto" w:before="54"/>
        <w:ind w:right="0"/>
        <w:jc w:val="both"/>
      </w:pPr>
      <w:r>
        <w:rPr/>
        <w:t>司、员工等各方面利益的协调平衡，共同推动公司持续、稳健发展。</w:t>
      </w:r>
    </w:p>
    <w:p>
      <w:pPr>
        <w:spacing w:line="240" w:lineRule="auto" w:before="10"/>
        <w:rPr>
          <w:rFonts w:ascii="宋体" w:hAnsi="宋体" w:cs="宋体" w:eastAsia="宋体" w:hint="default"/>
          <w:sz w:val="17"/>
          <w:szCs w:val="17"/>
        </w:rPr>
      </w:pPr>
    </w:p>
    <w:p>
      <w:pPr>
        <w:pStyle w:val="BodyText"/>
        <w:spacing w:line="477" w:lineRule="auto"/>
        <w:ind w:left="1424" w:right="1028"/>
        <w:jc w:val="left"/>
      </w:pPr>
      <w:r>
        <w:rPr/>
        <w:t>（七）关于投资者关系管理 </w:t>
      </w:r>
      <w:r>
        <w:rPr>
          <w:spacing w:val="-2"/>
        </w:rPr>
        <w:t>公司能够充分尊重和维护相关利益者的合法权益，实现投资者、员工、社会等各方利益的协调平衡，共同推动公司持续、</w:t>
      </w:r>
    </w:p>
    <w:p>
      <w:pPr>
        <w:pStyle w:val="BodyText"/>
        <w:spacing w:line="477" w:lineRule="auto" w:before="54"/>
        <w:ind w:left="1134" w:right="1130"/>
        <w:jc w:val="both"/>
      </w:pPr>
      <w:r>
        <w:rPr>
          <w:spacing w:val="-2"/>
        </w:rPr>
        <w:t>健康的发展。公司在接待特定对象调研前要求来访的特定对象签署承诺书，安排专人做好投资者来访接待工作。同时，公司</w:t>
      </w:r>
      <w:r>
        <w:rPr>
          <w:spacing w:val="-66"/>
        </w:rPr>
        <w:t> </w:t>
      </w:r>
      <w:r>
        <w:rPr>
          <w:spacing w:val="-66"/>
        </w:rPr>
      </w:r>
      <w:r>
        <w:rPr>
          <w:spacing w:val="-2"/>
        </w:rPr>
        <w:t>通过公告、电话、咨询、投资者互动平台、股东大会质询、电子邮件等多种方式与投资者沟通交流，增进投资者对公司经营</w:t>
      </w:r>
      <w:r>
        <w:rPr>
          <w:spacing w:val="-68"/>
        </w:rPr>
        <w:t> </w:t>
      </w:r>
      <w:r>
        <w:rPr>
          <w:spacing w:val="-68"/>
        </w:rPr>
      </w:r>
      <w:r>
        <w:rPr/>
        <w:t>情况、发展前景的了解，维护与投资者的良好关系。</w:t>
      </w:r>
    </w:p>
    <w:p>
      <w:pPr>
        <w:pStyle w:val="BodyText"/>
        <w:spacing w:line="240" w:lineRule="auto" w:before="95"/>
        <w:ind w:left="1134" w:right="0"/>
        <w:jc w:val="both"/>
      </w:pPr>
      <w:r>
        <w:rPr/>
        <w:t>公司治理的实际状况与中国证监会发布的有关上市公司治理的规范性文件是否存在重大差异</w:t>
      </w:r>
    </w:p>
    <w:p>
      <w:pPr>
        <w:spacing w:line="240" w:lineRule="auto" w:before="12"/>
        <w:rPr>
          <w:rFonts w:ascii="宋体" w:hAnsi="宋体" w:cs="宋体" w:eastAsia="宋体" w:hint="default"/>
          <w:sz w:val="20"/>
          <w:szCs w:val="20"/>
        </w:rPr>
      </w:pPr>
    </w:p>
    <w:p>
      <w:pPr>
        <w:pStyle w:val="BodyText"/>
        <w:spacing w:line="489" w:lineRule="auto"/>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22"/>
          <w:szCs w:val="22"/>
        </w:rPr>
      </w:pPr>
    </w:p>
    <w:p>
      <w:pPr>
        <w:pStyle w:val="Heading2"/>
        <w:spacing w:line="240" w:lineRule="auto"/>
        <w:ind w:right="0"/>
        <w:jc w:val="both"/>
        <w:rPr>
          <w:b w:val="0"/>
          <w:bCs w:val="0"/>
        </w:rPr>
      </w:pPr>
      <w:bookmarkStart w:name="二、公司相对于控股股东在业务、人员、资产、机构、财务等方面的独立情况" w:id="127"/>
      <w:bookmarkEnd w:id="127"/>
      <w:r>
        <w:rPr>
          <w:b w:val="0"/>
          <w:bCs w:val="0"/>
        </w:rPr>
      </w:r>
      <w:r>
        <w:rPr/>
        <w:t>二、公司相对于控股股东在业务、人员、资产、机构、财务等方面的独立情况</w:t>
      </w:r>
      <w:r>
        <w:rPr>
          <w:b w:val="0"/>
          <w:bCs w:val="0"/>
        </w:rPr>
      </w:r>
    </w:p>
    <w:p>
      <w:pPr>
        <w:spacing w:line="240" w:lineRule="auto" w:before="0"/>
        <w:rPr>
          <w:rFonts w:ascii="宋体" w:hAnsi="宋体" w:cs="宋体" w:eastAsia="宋体" w:hint="default"/>
          <w:b/>
          <w:bCs/>
          <w:sz w:val="24"/>
          <w:szCs w:val="24"/>
        </w:rPr>
      </w:pPr>
    </w:p>
    <w:p>
      <w:pPr>
        <w:pStyle w:val="BodyText"/>
        <w:spacing w:line="470" w:lineRule="auto" w:before="188"/>
        <w:ind w:left="1134" w:right="1032" w:firstLine="290"/>
        <w:jc w:val="left"/>
      </w:pPr>
      <w:r>
        <w:rPr/>
        <w:t>公司与控股股东在业务、人员、资产、机构和财务等方面严格实行</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，各自独立核算，独立承担责任和风险。公 </w:t>
      </w:r>
      <w:r>
        <w:rPr>
          <w:spacing w:val="-4"/>
        </w:rPr>
        <w:t>司具有独立完整的业务及自主的经营能力；与控股股东在人员方面完全独立，公司董事长、总经理、副总经理、董事会秘书、</w:t>
      </w:r>
      <w:r>
        <w:rPr>
          <w:spacing w:val="-44"/>
        </w:rPr>
        <w:t> </w:t>
      </w:r>
      <w:r>
        <w:rPr>
          <w:spacing w:val="-44"/>
        </w:rPr>
      </w:r>
      <w:r>
        <w:rPr/>
        <w:t>财务负责人等高级管理人员均未在股东单位任职，均在公司领取薪酬；公司资产独立完整，与控股股东之间产权关系明确； </w:t>
      </w:r>
      <w:r>
        <w:rPr>
          <w:spacing w:val="-2"/>
        </w:rPr>
        <w:t>公司办公机构、生产经营场所与控股股东完全独立，建立了健全的法人治理结构、独立完整的生产经营体系；公司建立了独</w:t>
      </w:r>
      <w:r>
        <w:rPr>
          <w:spacing w:val="-66"/>
        </w:rPr>
        <w:t> </w:t>
      </w:r>
      <w:r>
        <w:rPr>
          <w:spacing w:val="-66"/>
        </w:rPr>
      </w:r>
      <w:r>
        <w:rPr>
          <w:spacing w:val="-2"/>
        </w:rPr>
        <w:t>立的财务部门和财务核算体系，独立在银行开设账户，能够作出独立的财务决策，公司财务人员不在股东单位兼职和领取报</w:t>
      </w:r>
    </w:p>
    <w:p>
      <w:pPr>
        <w:spacing w:after="0" w:line="47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酬，依法独立进行纳税申报和缴纳。</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三、同业竞争情况" w:id="128"/>
      <w:bookmarkEnd w:id="128"/>
      <w:r>
        <w:rPr>
          <w:b w:val="0"/>
          <w:bCs w:val="0"/>
        </w:rPr>
      </w:r>
      <w:r>
        <w:rPr/>
        <w:t>三、同业竞争情况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9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四、报告期内召开的年度股东大会和临时股东大会的有关情况" w:id="129"/>
      <w:bookmarkEnd w:id="129"/>
      <w:r>
        <w:rPr>
          <w:b w:val="0"/>
          <w:bCs w:val="0"/>
        </w:rPr>
      </w:r>
      <w:r>
        <w:rPr/>
        <w:t>四、报告期内召开的年度股东大会和临时股东大会的有关情况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本报告期股东大会情况" w:id="130"/>
      <w:bookmarkEnd w:id="13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巨潮资讯网上披露</w:t>
            </w:r>
          </w:p>
          <w:p>
            <w:pPr>
              <w:pStyle w:val="TableParagraph"/>
              <w:spacing w:line="312" w:lineRule="auto" w:before="7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时股东大会会议决 </w:t>
            </w:r>
            <w:r>
              <w:rPr>
                <w:rFonts w:ascii="宋体" w:hAnsi="宋体" w:cs="宋体" w:eastAsia="宋体" w:hint="default"/>
                <w:spacing w:val="-12"/>
                <w:sz w:val="18"/>
                <w:szCs w:val="18"/>
              </w:rPr>
              <w:t>议公告》（编号：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2015-026</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巨潮资讯网上披露</w:t>
            </w:r>
          </w:p>
          <w:p>
            <w:pPr>
              <w:pStyle w:val="TableParagraph"/>
              <w:spacing w:line="312" w:lineRule="auto" w:before="7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时股东大会会议决 </w:t>
            </w:r>
            <w:r>
              <w:rPr>
                <w:rFonts w:ascii="宋体" w:hAnsi="宋体" w:cs="宋体" w:eastAsia="宋体" w:hint="default"/>
                <w:spacing w:val="-12"/>
                <w:sz w:val="18"/>
                <w:szCs w:val="18"/>
              </w:rPr>
              <w:t>议公告》（编号：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2015-038</w:t>
            </w:r>
            <w:r>
              <w:rPr>
                <w:rFonts w:ascii="宋体" w:hAnsi="宋体" w:cs="宋体" w:eastAsia="宋体" w:hint="default"/>
                <w:sz w:val="18"/>
                <w:szCs w:val="18"/>
              </w:rPr>
              <w:t>）</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巨潮资讯网上披露</w:t>
            </w:r>
          </w:p>
          <w:p>
            <w:pPr>
              <w:pStyle w:val="TableParagraph"/>
              <w:spacing w:line="312" w:lineRule="auto" w:before="7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时股东大会会议决 </w:t>
            </w:r>
            <w:r>
              <w:rPr>
                <w:rFonts w:ascii="宋体" w:hAnsi="宋体" w:cs="宋体" w:eastAsia="宋体" w:hint="default"/>
                <w:spacing w:val="-12"/>
                <w:sz w:val="18"/>
                <w:szCs w:val="18"/>
              </w:rPr>
              <w:t>议公告》（编号：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2015-047</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25"/>
          <w:szCs w:val="25"/>
        </w:rPr>
      </w:pPr>
    </w:p>
    <w:p>
      <w:pPr>
        <w:pStyle w:val="Heading3"/>
        <w:spacing w:line="240" w:lineRule="auto" w:before="35"/>
        <w:ind w:left="1134" w:right="0"/>
        <w:jc w:val="left"/>
        <w:rPr>
          <w:b w:val="0"/>
          <w:bCs w:val="0"/>
        </w:rPr>
      </w:pPr>
      <w:bookmarkStart w:name="2、表决权恢复的优先股股东请求召开临时股东大会" w:id="131"/>
      <w:bookmarkEnd w:id="13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五、报告期内独立董事履行职责的情况" w:id="132"/>
      <w:bookmarkEnd w:id="132"/>
      <w:r>
        <w:rPr>
          <w:b w:val="0"/>
          <w:bCs w:val="0"/>
        </w:rPr>
      </w:r>
      <w:r>
        <w:rPr/>
        <w:t>五、报告期内独立董事履行职责的情况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right="0"/>
        <w:jc w:val="left"/>
        <w:rPr>
          <w:b w:val="0"/>
          <w:bCs w:val="0"/>
        </w:rPr>
      </w:pPr>
      <w:bookmarkStart w:name="1、独立董事出席董事会及股东大会的情况" w:id="133"/>
      <w:bookmarkEnd w:id="13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王朝曦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秦家银</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1"/>
        <w:rPr>
          <w:rFonts w:ascii="宋体" w:hAnsi="宋体" w:cs="宋体" w:eastAsia="宋体" w:hint="default"/>
          <w:b/>
          <w:bCs/>
          <w:sz w:val="25"/>
          <w:szCs w:val="25"/>
        </w:rPr>
      </w:pPr>
    </w:p>
    <w:p>
      <w:pPr>
        <w:pStyle w:val="Heading3"/>
        <w:spacing w:line="240" w:lineRule="auto" w:before="35"/>
        <w:ind w:left="1134" w:right="0"/>
        <w:jc w:val="left"/>
        <w:rPr>
          <w:b w:val="0"/>
          <w:bCs w:val="0"/>
        </w:rPr>
      </w:pPr>
      <w:bookmarkStart w:name="2、独立董事对公司有关事项提出异议的情况" w:id="134"/>
      <w:bookmarkEnd w:id="13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t>独立董事对公司有关事项是否提出异议</w:t>
      </w:r>
    </w:p>
    <w:p>
      <w:pPr>
        <w:spacing w:line="240" w:lineRule="auto" w:before="12"/>
        <w:rPr>
          <w:rFonts w:ascii="宋体" w:hAnsi="宋体" w:cs="宋体" w:eastAsia="宋体" w:hint="default"/>
          <w:sz w:val="20"/>
          <w:szCs w:val="20"/>
        </w:rPr>
      </w:pPr>
    </w:p>
    <w:p>
      <w:pPr>
        <w:pStyle w:val="BodyText"/>
        <w:spacing w:line="489" w:lineRule="auto"/>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3、独立董事履行职责的其他说明" w:id="135"/>
      <w:bookmarkEnd w:id="13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独立董事对公司有关建议是否被采纳</w:t>
      </w:r>
    </w:p>
    <w:p>
      <w:pPr>
        <w:spacing w:line="240" w:lineRule="auto" w:before="10"/>
        <w:rPr>
          <w:rFonts w:ascii="宋体" w:hAnsi="宋体" w:cs="宋体" w:eastAsia="宋体" w:hint="default"/>
          <w:sz w:val="20"/>
          <w:szCs w:val="20"/>
        </w:rPr>
      </w:pPr>
    </w:p>
    <w:p>
      <w:pPr>
        <w:pStyle w:val="BodyText"/>
        <w:spacing w:line="489" w:lineRule="auto"/>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77" w:lineRule="auto" w:before="83"/>
        <w:ind w:left="1134" w:right="0" w:firstLine="360"/>
        <w:jc w:val="left"/>
      </w:pPr>
      <w:r>
        <w:rPr>
          <w:spacing w:val="-2"/>
        </w:rPr>
        <w:t>公司独立董事在任职期间能够按照《公司法》、《上市公司治理准则》、《公司章程》及《独立董事工作制度》等有关</w:t>
      </w:r>
      <w:r>
        <w:rPr/>
        <w:t> </w:t>
      </w:r>
      <w:r>
        <w:rPr>
          <w:spacing w:val="-4"/>
        </w:rPr>
        <w:t>规定，恪尽职守、勤勉尽责，在工作中保持独立性，积极出席相关会议，深入了解公司的生产经营状况和重大事项进展情况，</w:t>
      </w:r>
      <w:r>
        <w:rPr>
          <w:spacing w:val="-44"/>
        </w:rPr>
        <w:t> </w:t>
      </w:r>
      <w:r>
        <w:rPr>
          <w:spacing w:val="-44"/>
        </w:rPr>
      </w:r>
      <w:r>
        <w:rPr>
          <w:spacing w:val="-2"/>
        </w:rPr>
        <w:t>为公司的经营发展从各自专业角度提出合理的意见和建议，对公司股权激励、购买理财产品、聘任高级管理人员、定期报告</w:t>
      </w:r>
      <w:r>
        <w:rPr>
          <w:spacing w:val="-66"/>
        </w:rPr>
        <w:t> </w:t>
      </w:r>
      <w:r>
        <w:rPr>
          <w:spacing w:val="-66"/>
        </w:rPr>
      </w:r>
      <w:r>
        <w:rPr>
          <w:spacing w:val="-4"/>
        </w:rPr>
        <w:t>等相关事项发表独立意见，对董事会的科学决策、公司的发展起了积极的作用，切实地维护了公司及广大公众投资者的利益。</w:t>
      </w:r>
    </w:p>
    <w:p>
      <w:pPr>
        <w:spacing w:line="240" w:lineRule="auto" w:before="4"/>
        <w:rPr>
          <w:rFonts w:ascii="宋体" w:hAnsi="宋体" w:cs="宋体" w:eastAsia="宋体" w:hint="default"/>
          <w:sz w:val="23"/>
          <w:szCs w:val="23"/>
        </w:rPr>
      </w:pPr>
    </w:p>
    <w:p>
      <w:pPr>
        <w:pStyle w:val="Heading2"/>
        <w:spacing w:line="240" w:lineRule="auto"/>
        <w:ind w:left="1134" w:right="0"/>
        <w:jc w:val="left"/>
        <w:rPr>
          <w:b w:val="0"/>
          <w:bCs w:val="0"/>
        </w:rPr>
      </w:pPr>
      <w:bookmarkStart w:name="六、董事会下设专门委员会在报告期内履行职责情况" w:id="136"/>
      <w:bookmarkEnd w:id="136"/>
      <w:r>
        <w:rPr>
          <w:b w:val="0"/>
          <w:bCs w:val="0"/>
        </w:rPr>
      </w:r>
      <w:r>
        <w:rPr/>
        <w:t>六、董事会下设专门委员会在报告期内履行职责情况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4" w:right="0"/>
        <w:jc w:val="left"/>
        <w:rPr>
          <w:b w:val="0"/>
          <w:bCs w:val="0"/>
        </w:rPr>
      </w:pPr>
      <w:r>
        <w:rPr>
          <w:rFonts w:ascii="Times New Roman" w:hAnsi="Times New Roman" w:cs="Times New Roman" w:eastAsia="Times New Roman" w:hint="default"/>
        </w:rPr>
        <w:t>1</w:t>
      </w:r>
      <w:r>
        <w:rPr/>
        <w:t>、审计委员会</w:t>
      </w:r>
      <w:r>
        <w:rPr>
          <w:b w:val="0"/>
          <w:bCs w:val="0"/>
        </w:rPr>
      </w:r>
    </w:p>
    <w:p>
      <w:pPr>
        <w:spacing w:line="240" w:lineRule="auto" w:before="6"/>
        <w:rPr>
          <w:rFonts w:ascii="宋体" w:hAnsi="宋体" w:cs="宋体" w:eastAsia="宋体" w:hint="default"/>
          <w:b/>
          <w:bCs/>
          <w:sz w:val="15"/>
          <w:szCs w:val="15"/>
        </w:rPr>
      </w:pPr>
    </w:p>
    <w:p>
      <w:pPr>
        <w:pStyle w:val="BodyText"/>
        <w:spacing w:line="451" w:lineRule="auto"/>
        <w:ind w:right="1123" w:firstLine="360"/>
        <w:jc w:val="left"/>
      </w:pPr>
      <w:r>
        <w:rPr/>
        <w:t>报告期内，公司董事会审计委员会本着勤勉尽责的原则，认真履行职责，共召开</w:t>
      </w:r>
      <w:r>
        <w:rPr>
          <w:rFonts w:ascii="Times New Roman" w:hAnsi="Times New Roman" w:cs="Times New Roman" w:eastAsia="Times New Roman" w:hint="default"/>
        </w:rPr>
        <w:t>6</w:t>
      </w:r>
      <w:r>
        <w:rPr/>
        <w:t>次会议，对定期报告、聘任会计师事 务所、募集资金管理、购买理财产品等方面进行了重点关注。</w:t>
      </w:r>
    </w:p>
    <w:p>
      <w:pPr>
        <w:pStyle w:val="Heading3"/>
        <w:spacing w:line="240" w:lineRule="auto" w:before="48"/>
        <w:ind w:left="1134" w:right="0"/>
        <w:jc w:val="left"/>
        <w:rPr>
          <w:b w:val="0"/>
          <w:bCs w:val="0"/>
        </w:rPr>
      </w:pPr>
      <w:r>
        <w:rPr>
          <w:rFonts w:ascii="Times New Roman" w:hAnsi="Times New Roman" w:cs="Times New Roman" w:eastAsia="Times New Roman" w:hint="default"/>
        </w:rPr>
        <w:t>2</w:t>
      </w:r>
      <w:r>
        <w:rPr/>
        <w:t>、提名委员会</w:t>
      </w:r>
      <w:r>
        <w:rPr>
          <w:b w:val="0"/>
          <w:bCs w:val="0"/>
        </w:rPr>
      </w:r>
    </w:p>
    <w:p>
      <w:pPr>
        <w:spacing w:line="240" w:lineRule="auto" w:before="7"/>
        <w:rPr>
          <w:rFonts w:ascii="宋体" w:hAnsi="宋体" w:cs="宋体" w:eastAsia="宋体" w:hint="default"/>
          <w:b/>
          <w:bCs/>
          <w:sz w:val="15"/>
          <w:szCs w:val="15"/>
        </w:rPr>
      </w:pPr>
    </w:p>
    <w:p>
      <w:pPr>
        <w:pStyle w:val="BodyText"/>
        <w:spacing w:line="451" w:lineRule="auto"/>
        <w:ind w:right="1141" w:firstLine="342"/>
        <w:jc w:val="left"/>
      </w:pPr>
      <w:r>
        <w:rPr/>
        <w:t>报告期内，公司提名委员会共召开</w:t>
      </w:r>
      <w:r>
        <w:rPr>
          <w:rFonts w:ascii="Times New Roman" w:hAnsi="Times New Roman" w:cs="Times New Roman" w:eastAsia="Times New Roman" w:hint="default"/>
        </w:rPr>
        <w:t>2</w:t>
      </w:r>
      <w:r>
        <w:rPr/>
        <w:t>次会议，对公司副总经理、财务总监人选的任职条件进行认真审查，并提出专业意 见，对公司董事会聘任高管提供决策意见。</w:t>
      </w:r>
    </w:p>
    <w:p>
      <w:pPr>
        <w:pStyle w:val="Heading3"/>
        <w:spacing w:line="240" w:lineRule="auto" w:before="48"/>
        <w:ind w:right="0"/>
        <w:jc w:val="left"/>
        <w:rPr>
          <w:b w:val="0"/>
          <w:bCs w:val="0"/>
        </w:rPr>
      </w:pPr>
      <w:r>
        <w:rPr>
          <w:rFonts w:ascii="Times New Roman" w:hAnsi="Times New Roman" w:cs="Times New Roman" w:eastAsia="Times New Roman" w:hint="default"/>
        </w:rPr>
        <w:t>3</w:t>
      </w:r>
      <w:r>
        <w:rPr/>
        <w:t>、薪酬与考核委员会</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451" w:lineRule="auto"/>
        <w:ind w:right="1176" w:firstLine="307"/>
        <w:jc w:val="left"/>
        <w:rPr>
          <w:rFonts w:ascii="宋体" w:hAnsi="宋体" w:cs="宋体" w:eastAsia="宋体" w:hint="default"/>
          <w:sz w:val="21"/>
          <w:szCs w:val="21"/>
        </w:rPr>
      </w:pPr>
      <w:r>
        <w:rPr/>
        <w:t>报告期内，公司薪酬与考核委员会共召开</w:t>
      </w:r>
      <w:r>
        <w:rPr>
          <w:rFonts w:ascii="Times New Roman" w:hAnsi="Times New Roman" w:cs="Times New Roman" w:eastAsia="Times New Roman" w:hint="default"/>
        </w:rPr>
        <w:t>1</w:t>
      </w:r>
      <w:r>
        <w:rPr/>
        <w:t>次会议，对公司限制性股票激励计划（草案）、限制性股票激励计划实施考 核管理办法和限制性股票激励计划名单等事项进行认真审核，为公司董事会作出正确决策起到了积极作用。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、战略委员会</w:t>
      </w:r>
      <w:r>
        <w:rPr>
          <w:rFonts w:ascii="宋体" w:hAnsi="宋体" w:cs="宋体" w:eastAsia="宋体" w:hint="default"/>
          <w:sz w:val="21"/>
          <w:szCs w:val="21"/>
        </w:rPr>
      </w:r>
    </w:p>
    <w:p>
      <w:pPr>
        <w:pStyle w:val="BodyText"/>
        <w:spacing w:line="451" w:lineRule="auto"/>
        <w:ind w:right="1123" w:firstLine="360"/>
        <w:jc w:val="left"/>
      </w:pPr>
      <w:r>
        <w:rPr/>
        <w:t>根据公司《董事会战略委员会工作细则》等相关规定，报告期内，公司董事会战略委员会共召开了</w:t>
      </w:r>
      <w:r>
        <w:rPr>
          <w:rFonts w:ascii="Times New Roman" w:hAnsi="Times New Roman" w:cs="Times New Roman" w:eastAsia="Times New Roman" w:hint="default"/>
        </w:rPr>
        <w:t>1</w:t>
      </w:r>
      <w:r>
        <w:rPr/>
        <w:t>次会议，主要审议 了调整公司首次公开发行股票并在创业板上市方案以及调整公司首次公开发行股票募集资金金额的事项。</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七、监事会工作情况" w:id="137"/>
      <w:bookmarkEnd w:id="137"/>
      <w:r>
        <w:rPr>
          <w:b w:val="0"/>
          <w:bCs w:val="0"/>
        </w:rPr>
      </w:r>
      <w:r>
        <w:rPr/>
        <w:t>七、监事会工作情况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监事会在报告期内的监督活动是否发现公司存在风险</w:t>
      </w:r>
    </w:p>
    <w:p>
      <w:pPr>
        <w:spacing w:line="240" w:lineRule="auto" w:before="10"/>
        <w:rPr>
          <w:rFonts w:ascii="宋体" w:hAnsi="宋体" w:cs="宋体" w:eastAsia="宋体" w:hint="default"/>
          <w:sz w:val="20"/>
          <w:szCs w:val="20"/>
        </w:rPr>
      </w:pPr>
    </w:p>
    <w:p>
      <w:pPr>
        <w:pStyle w:val="BodyText"/>
        <w:spacing w:line="489" w:lineRule="auto"/>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八、高级管理人员的考评及激励情况" w:id="138"/>
      <w:bookmarkEnd w:id="138"/>
      <w:r>
        <w:rPr>
          <w:b w:val="0"/>
          <w:bCs w:val="0"/>
        </w:rPr>
      </w:r>
      <w:r>
        <w:rPr/>
        <w:t>八、高级管理人员的考评及激励情况</w:t>
      </w:r>
      <w:r>
        <w:rPr>
          <w:b w:val="0"/>
          <w:bCs w:val="0"/>
        </w:rPr>
      </w:r>
    </w:p>
    <w:p>
      <w:pPr>
        <w:spacing w:line="240" w:lineRule="auto" w:before="0"/>
        <w:rPr>
          <w:rFonts w:ascii="宋体" w:hAnsi="宋体" w:cs="宋体" w:eastAsia="宋体" w:hint="default"/>
          <w:b/>
          <w:bCs/>
          <w:sz w:val="24"/>
          <w:szCs w:val="24"/>
        </w:rPr>
      </w:pPr>
    </w:p>
    <w:p>
      <w:pPr>
        <w:pStyle w:val="BodyText"/>
        <w:spacing w:line="477" w:lineRule="auto" w:before="188"/>
        <w:ind w:right="1132" w:firstLine="290"/>
        <w:jc w:val="both"/>
      </w:pPr>
      <w:r>
        <w:rPr>
          <w:spacing w:val="-1"/>
        </w:rPr>
        <w:t>公司高管人员的薪酬与考核以公司经济效益及工作目标为出发点，根据公司年度经营计划和高级管理人员分管工作的职</w:t>
      </w:r>
      <w:r>
        <w:rPr/>
        <w:t> </w:t>
      </w:r>
      <w:r>
        <w:rPr>
          <w:spacing w:val="-2"/>
        </w:rPr>
        <w:t>责，初步建立了高级管理人员的薪酬与公司业绩挂钩的绩效考核与激励约束机制，公司高级管理人员实行固定薪酬和年终绩</w:t>
      </w:r>
      <w:r>
        <w:rPr>
          <w:spacing w:val="-64"/>
        </w:rPr>
        <w:t> </w:t>
      </w:r>
      <w:r>
        <w:rPr>
          <w:spacing w:val="-64"/>
        </w:rPr>
      </w:r>
      <w:r>
        <w:rPr>
          <w:spacing w:val="-2"/>
        </w:rPr>
        <w:t>效考核相结合的薪酬制度。每年年终由董事会薪酬与考核委员会进行综合考核，最终以考核结果确定高级管理人员的年度薪</w:t>
      </w:r>
      <w:r>
        <w:rPr>
          <w:spacing w:val="-64"/>
        </w:rPr>
        <w:t> </w:t>
      </w:r>
      <w:r>
        <w:rPr>
          <w:spacing w:val="-64"/>
        </w:rPr>
      </w:r>
      <w:r>
        <w:rPr>
          <w:spacing w:val="-2"/>
        </w:rPr>
        <w:t>酬水平。同时，公司未来将通过多层次的综合激励体制，有效调动管理人员的积极性，吸引和稳定优秀管理人才和技术、业</w:t>
      </w:r>
      <w:r>
        <w:rPr>
          <w:spacing w:val="-66"/>
        </w:rPr>
        <w:t> </w:t>
      </w:r>
      <w:r>
        <w:rPr>
          <w:spacing w:val="-66"/>
        </w:rPr>
      </w:r>
      <w:r>
        <w:rPr/>
        <w:t>务骨干。</w:t>
      </w:r>
    </w:p>
    <w:p>
      <w:pPr>
        <w:spacing w:line="240" w:lineRule="auto" w:before="5"/>
        <w:rPr>
          <w:rFonts w:ascii="宋体" w:hAnsi="宋体" w:cs="宋体" w:eastAsia="宋体" w:hint="default"/>
          <w:sz w:val="23"/>
          <w:szCs w:val="23"/>
        </w:rPr>
      </w:pPr>
    </w:p>
    <w:p>
      <w:pPr>
        <w:pStyle w:val="Heading2"/>
        <w:spacing w:line="240" w:lineRule="auto"/>
        <w:ind w:right="0"/>
        <w:jc w:val="left"/>
        <w:rPr>
          <w:b w:val="0"/>
          <w:bCs w:val="0"/>
        </w:rPr>
      </w:pPr>
      <w:bookmarkStart w:name="九、内部控制评价报告" w:id="139"/>
      <w:bookmarkEnd w:id="139"/>
      <w:r>
        <w:rPr>
          <w:b w:val="0"/>
          <w:bCs w:val="0"/>
        </w:rPr>
      </w:r>
      <w:r>
        <w:rPr/>
        <w:t>九、内部控制评价报告</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报告期内发现的内部控制重大缺陷的具体情况" w:id="140"/>
      <w:bookmarkEnd w:id="14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内控自我评价报告" w:id="141"/>
      <w:bookmarkEnd w:id="14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pt;height:687.7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35"/>
                    <w:gridCol w:w="3039"/>
                  </w:tblGrid>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274"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 w:right="0"/>
                          <w:jc w:val="both"/>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302" w:lineRule="auto" w:before="116"/>
                          <w:ind w:left="16"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）公司董事、监事或高级管理人员滥用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职权或舞弊，给公司造成损失的；</w:t>
                        </w:r>
                      </w:p>
                      <w:p>
                        <w:pPr>
                          <w:pStyle w:val="TableParagraph"/>
                          <w:spacing w:line="302" w:lineRule="auto" w:before="68"/>
                          <w:ind w:left="16"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）对已经披露的财务报告出现的重大差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错进行更正；</w:t>
                        </w:r>
                      </w:p>
                      <w:p>
                        <w:pPr>
                          <w:pStyle w:val="TableParagraph"/>
                          <w:spacing w:line="309" w:lineRule="auto" w:before="69"/>
                          <w:ind w:left="16" w:right="26"/>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）注册会计师发现当期财务报告存在重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大错报，而内部控制在运行过程中未能发 现该错报；</w:t>
                        </w:r>
                      </w:p>
                      <w:p>
                        <w:pPr>
                          <w:pStyle w:val="TableParagraph"/>
                          <w:spacing w:line="302" w:lineRule="auto" w:before="62"/>
                          <w:ind w:left="16"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）审计委员会以及内部审计部门对财务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报告内部控制监督无效；</w:t>
                        </w:r>
                      </w:p>
                      <w:p>
                        <w:pPr>
                          <w:pStyle w:val="TableParagraph"/>
                          <w:spacing w:line="302" w:lineRule="auto" w:before="68"/>
                          <w:ind w:left="16"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）会计师事务所对财务报告出具无法表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示意见或否定意见；</w:t>
                        </w:r>
                      </w:p>
                      <w:p>
                        <w:pPr>
                          <w:pStyle w:val="TableParagraph"/>
                          <w:spacing w:line="302" w:lineRule="auto" w:before="69"/>
                          <w:ind w:left="16"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）会计师事务所出具内部控制无法表示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意见的鉴证报告。</w:t>
                        </w:r>
                      </w:p>
                      <w:p>
                        <w:pPr>
                          <w:pStyle w:val="TableParagraph"/>
                          <w:spacing w:line="240" w:lineRule="auto" w:before="69"/>
                          <w:ind w:left="16" w:right="0"/>
                          <w:jc w:val="both"/>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302" w:lineRule="auto" w:before="115"/>
                          <w:ind w:left="16"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）公司董事、监事或高级管理人员滥用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职权或舞弊，未给公司造成损失的；</w:t>
                        </w:r>
                      </w:p>
                      <w:p>
                        <w:pPr>
                          <w:pStyle w:val="TableParagraph"/>
                          <w:spacing w:line="309" w:lineRule="auto" w:before="69"/>
                          <w:ind w:left="16" w:right="5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）会计政策的制定未结合公司实际情 况，直接照搬上市公司相关准则，实际操 作存在较大的人为因素；</w:t>
                        </w:r>
                      </w:p>
                      <w:p>
                        <w:pPr>
                          <w:pStyle w:val="TableParagraph"/>
                          <w:spacing w:line="300" w:lineRule="auto" w:before="62"/>
                          <w:ind w:left="16" w:right="-3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）未经授权进行担保、投资有价证券、 金融衍生品交易和处置产权</w:t>
                        </w:r>
                        <w:r>
                          <w:rPr>
                            <w:rFonts w:ascii="Times New Roman" w:hAnsi="Times New Roman" w:cs="Times New Roman" w:eastAsia="Times New Roman" w:hint="default"/>
                            <w:sz w:val="18"/>
                            <w:szCs w:val="18"/>
                          </w:rPr>
                          <w:t>/</w:t>
                        </w:r>
                        <w:r>
                          <w:rPr>
                            <w:rFonts w:ascii="宋体" w:hAnsi="宋体" w:cs="宋体" w:eastAsia="宋体" w:hint="default"/>
                            <w:sz w:val="18"/>
                            <w:szCs w:val="18"/>
                          </w:rPr>
                          <w:t>股权、关联交 易造成经济损失；</w:t>
                        </w:r>
                      </w:p>
                      <w:p>
                        <w:pPr>
                          <w:pStyle w:val="TableParagraph"/>
                          <w:spacing w:line="302" w:lineRule="auto" w:before="70"/>
                          <w:ind w:left="16" w:right="2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）现金收入不入账、公款私存或违反规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定设立</w:t>
                        </w:r>
                        <w:r>
                          <w:rPr>
                            <w:rFonts w:ascii="Times New Roman" w:hAnsi="Times New Roman" w:cs="Times New Roman" w:eastAsia="Times New Roman" w:hint="default"/>
                            <w:sz w:val="18"/>
                            <w:szCs w:val="18"/>
                          </w:rPr>
                          <w:t>“</w:t>
                        </w:r>
                        <w:r>
                          <w:rPr>
                            <w:rFonts w:ascii="宋体" w:hAnsi="宋体" w:cs="宋体" w:eastAsia="宋体" w:hint="default"/>
                            <w:sz w:val="18"/>
                            <w:szCs w:val="18"/>
                          </w:rPr>
                          <w:t>小金库</w:t>
                        </w:r>
                        <w:r>
                          <w:rPr>
                            <w:rFonts w:ascii="Times New Roman" w:hAnsi="Times New Roman" w:cs="Times New Roman" w:eastAsia="Times New Roman" w:hint="default"/>
                            <w:sz w:val="18"/>
                            <w:szCs w:val="18"/>
                          </w:rPr>
                          <w:t>”</w:t>
                        </w:r>
                        <w:r>
                          <w:rPr>
                            <w:rFonts w:ascii="宋体" w:hAnsi="宋体" w:cs="宋体" w:eastAsia="宋体" w:hint="default"/>
                            <w:sz w:val="18"/>
                            <w:szCs w:val="18"/>
                          </w:rPr>
                          <w:t>等情况；</w:t>
                        </w:r>
                      </w:p>
                      <w:p>
                        <w:pPr>
                          <w:pStyle w:val="TableParagraph"/>
                          <w:spacing w:line="309" w:lineRule="auto" w:before="50"/>
                          <w:ind w:left="16" w:right="2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）对于期末财务报告过程的控制存在一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项或多项缺陷且不能合理保证编制的财务 报表达到真实、准确的目标。</w:t>
                        </w:r>
                      </w:p>
                      <w:p>
                        <w:pPr>
                          <w:pStyle w:val="TableParagraph"/>
                          <w:spacing w:line="338" w:lineRule="auto" w:before="64"/>
                          <w:ind w:left="16" w:right="53"/>
                          <w:jc w:val="left"/>
                          <w:rPr>
                            <w:rFonts w:ascii="宋体" w:hAnsi="宋体" w:cs="宋体" w:eastAsia="宋体" w:hint="default"/>
                            <w:sz w:val="18"/>
                            <w:szCs w:val="18"/>
                          </w:rPr>
                        </w:pPr>
                        <w:r>
                          <w:rPr>
                            <w:rFonts w:ascii="宋体" w:hAnsi="宋体" w:cs="宋体" w:eastAsia="宋体" w:hint="default"/>
                            <w:sz w:val="18"/>
                            <w:szCs w:val="18"/>
                          </w:rPr>
                          <w:t>一般缺陷： 不构成重大缺陷或重要缺陷的其他内部控 制缺陷。</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309" w:lineRule="auto" w:before="116"/>
                          <w:ind w:left="4"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）严重违反国家法律、法规或规范 </w:t>
                        </w:r>
                        <w:r>
                          <w:rPr>
                            <w:rFonts w:ascii="宋体" w:hAnsi="宋体" w:cs="宋体" w:eastAsia="宋体" w:hint="default"/>
                            <w:spacing w:val="-4"/>
                            <w:sz w:val="18"/>
                            <w:szCs w:val="18"/>
                          </w:rPr>
                          <w:t>性文件，导致被行政法律部门、监管机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构判罚或处罚；</w:t>
                        </w:r>
                      </w:p>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）重大事项决策程序违规；</w:t>
                        </w:r>
                      </w:p>
                      <w:p>
                        <w:pPr>
                          <w:pStyle w:val="TableParagraph"/>
                          <w:spacing w:line="309" w:lineRule="auto" w:before="102"/>
                          <w:ind w:left="4"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）被主流媒体曝光负面新闻，涉及 </w:t>
                        </w:r>
                        <w:r>
                          <w:rPr>
                            <w:rFonts w:ascii="宋体" w:hAnsi="宋体" w:cs="宋体" w:eastAsia="宋体" w:hint="default"/>
                            <w:spacing w:val="-4"/>
                            <w:sz w:val="18"/>
                            <w:szCs w:val="18"/>
                          </w:rPr>
                          <w:t>面较广且未能及时消除影响，导致公司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生产经营、企业形象受损；</w:t>
                        </w:r>
                      </w:p>
                      <w:p>
                        <w:pPr>
                          <w:pStyle w:val="TableParagraph"/>
                          <w:spacing w:line="302" w:lineRule="auto" w:before="62"/>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）出现产品质量方面的重大事故， 导致严重后果；</w:t>
                        </w:r>
                      </w:p>
                      <w:p>
                        <w:pPr>
                          <w:pStyle w:val="TableParagraph"/>
                          <w:spacing w:line="302" w:lineRule="auto" w:before="68"/>
                          <w:ind w:left="4"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）高风险业务未有相关制度规范， 重要业务缺乏制度控制；</w:t>
                        </w:r>
                      </w:p>
                      <w:p>
                        <w:pPr>
                          <w:pStyle w:val="TableParagraph"/>
                          <w:spacing w:line="307" w:lineRule="auto" w:before="69"/>
                          <w:ind w:left="4"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）董事、监事、高级管理人员或核 </w:t>
                        </w:r>
                        <w:r>
                          <w:rPr>
                            <w:rFonts w:ascii="宋体" w:hAnsi="宋体" w:cs="宋体" w:eastAsia="宋体" w:hint="default"/>
                            <w:spacing w:val="-5"/>
                            <w:sz w:val="18"/>
                            <w:szCs w:val="18"/>
                          </w:rPr>
                          <w:t>心技术人员发生非正常重大变化；（</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w:t>
                        </w:r>
                        <w:r>
                          <w:rPr>
                            <w:rFonts w:ascii="宋体" w:hAnsi="宋体" w:cs="宋体" w:eastAsia="宋体" w:hint="default"/>
                            <w:sz w:val="18"/>
                            <w:szCs w:val="18"/>
                          </w:rPr>
                          <w:t> 其他对公司影响重大的情形。重要缺 陷：</w:t>
                        </w:r>
                      </w:p>
                      <w:p>
                        <w:pPr>
                          <w:pStyle w:val="TableParagraph"/>
                          <w:spacing w:line="302" w:lineRule="auto" w:before="64"/>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）公司违反国家法律、法规或规范 </w:t>
                        </w:r>
                        <w:r>
                          <w:rPr>
                            <w:rFonts w:ascii="宋体" w:hAnsi="宋体" w:cs="宋体" w:eastAsia="宋体" w:hint="default"/>
                            <w:spacing w:val="-14"/>
                            <w:sz w:val="18"/>
                            <w:szCs w:val="18"/>
                          </w:rPr>
                          <w:t>性文件，并受到相关机关轻微处罚；（</w:t>
                        </w:r>
                        <w:r>
                          <w:rPr>
                            <w:rFonts w:ascii="Times New Roman" w:hAnsi="Times New Roman" w:cs="Times New Roman" w:eastAsia="Times New Roman" w:hint="default"/>
                            <w:spacing w:val="-14"/>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重大事项决策程序不完善；</w:t>
                        </w:r>
                      </w:p>
                      <w:p>
                        <w:pPr>
                          <w:pStyle w:val="TableParagraph"/>
                          <w:spacing w:line="302" w:lineRule="auto" w:before="68"/>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）媒体出现负面新闻，波及局部区 域，影响较大但未造成股价异动；</w:t>
                        </w:r>
                      </w:p>
                      <w:p>
                        <w:pPr>
                          <w:pStyle w:val="TableParagraph"/>
                          <w:spacing w:line="302" w:lineRule="auto" w:before="69"/>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）公司重要业务制度或系统存在缺 陷；</w:t>
                        </w:r>
                      </w:p>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）公司关键岗位业务人员流失严重</w:t>
                        </w:r>
                      </w:p>
                      <w:p>
                        <w:pPr>
                          <w:pStyle w:val="TableParagraph"/>
                          <w:spacing w:line="302" w:lineRule="auto" w:before="63"/>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）公司内部控制重要缺陷未得到整 改。</w:t>
                        </w:r>
                      </w:p>
                      <w:p>
                        <w:pPr>
                          <w:pStyle w:val="TableParagraph"/>
                          <w:spacing w:line="240" w:lineRule="auto" w:before="69"/>
                          <w:ind w:left="4" w:right="0"/>
                          <w:jc w:val="left"/>
                          <w:rPr>
                            <w:rFonts w:ascii="宋体" w:hAnsi="宋体" w:cs="宋体" w:eastAsia="宋体" w:hint="default"/>
                            <w:sz w:val="18"/>
                            <w:szCs w:val="18"/>
                          </w:rPr>
                        </w:pPr>
                        <w:r>
                          <w:rPr>
                            <w:rFonts w:ascii="宋体" w:hAnsi="宋体" w:cs="宋体" w:eastAsia="宋体" w:hint="default"/>
                            <w:sz w:val="18"/>
                            <w:szCs w:val="18"/>
                          </w:rPr>
                          <w:t>一般缺陷：</w:t>
                        </w:r>
                      </w:p>
                      <w:p>
                        <w:pPr>
                          <w:pStyle w:val="TableParagraph"/>
                          <w:spacing w:line="302" w:lineRule="auto" w:before="116"/>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）违反企业内部规章制度，但未造 成损失；</w:t>
                        </w:r>
                      </w:p>
                      <w:p>
                        <w:pPr>
                          <w:pStyle w:val="TableParagraph"/>
                          <w:spacing w:line="240" w:lineRule="auto" w:before="69"/>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）公司决策程序效率不高；</w:t>
                        </w:r>
                      </w:p>
                      <w:p>
                        <w:pPr>
                          <w:pStyle w:val="TableParagraph"/>
                          <w:spacing w:line="302" w:lineRule="auto" w:before="101"/>
                          <w:ind w:left="4" w:right="11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）媒体出现负面新闻，但影响不大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未造成股价异动；</w:t>
                        </w:r>
                      </w:p>
                      <w:p>
                        <w:pPr>
                          <w:pStyle w:val="TableParagraph"/>
                          <w:spacing w:line="302" w:lineRule="auto" w:before="69"/>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）公司一般业务制度或系统存在缺 陷；</w:t>
                        </w:r>
                      </w:p>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）公司一般岗位业务人员流失严重</w:t>
                        </w:r>
                      </w:p>
                      <w:p>
                        <w:pPr>
                          <w:pStyle w:val="TableParagraph"/>
                          <w:spacing w:line="302" w:lineRule="auto" w:before="63"/>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）公司内部控制一般缺陷未得到整 改；</w:t>
                        </w:r>
                      </w:p>
                      <w:p>
                        <w:pPr>
                          <w:pStyle w:val="TableParagraph"/>
                          <w:spacing w:line="302" w:lineRule="auto" w:before="68"/>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）公司内部控制存在以上以外的其 他缺陷。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6274"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63"/>
        <w:ind w:left="0" w:right="1139"/>
        <w:jc w:val="right"/>
      </w:pP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278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重大缺陷：利润总额潜在错报</w:t>
            </w:r>
          </w:p>
          <w:p>
            <w:pPr>
              <w:pStyle w:val="TableParagraph"/>
              <w:spacing w:line="319" w:lineRule="auto" w:before="116"/>
              <w:ind w:left="23" w:right="25"/>
              <w:jc w:val="left"/>
              <w:rPr>
                <w:rFonts w:ascii="宋体" w:hAnsi="宋体" w:cs="宋体" w:eastAsia="宋体" w:hint="default"/>
                <w:sz w:val="18"/>
                <w:szCs w:val="18"/>
              </w:rPr>
            </w:pP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 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 重要缺陷：利润总额潜在错报</w:t>
            </w:r>
          </w:p>
          <w:p>
            <w:pPr>
              <w:pStyle w:val="TableParagraph"/>
              <w:spacing w:line="319" w:lineRule="auto" w:before="57"/>
              <w:ind w:left="23" w:right="25"/>
              <w:jc w:val="left"/>
              <w:rPr>
                <w:rFonts w:ascii="宋体" w:hAnsi="宋体" w:cs="宋体" w:eastAsia="宋体" w:hint="default"/>
                <w:sz w:val="18"/>
                <w:szCs w:val="18"/>
              </w:rPr>
            </w:pPr>
            <w:r>
              <w:rPr>
                <w:rFonts w:ascii="宋体" w:hAnsi="宋体" w:cs="宋体" w:eastAsia="宋体" w:hint="default"/>
                <w:sz w:val="18"/>
                <w:szCs w:val="18"/>
              </w:rPr>
              <w:t>合并报表利润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错报金额﹤合并报表利 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一般缺陷：利润总额潜在错报</w:t>
            </w:r>
          </w:p>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错报金额﹤合并报表利润总额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重大缺陷：直接损失金额</w:t>
            </w:r>
          </w:p>
          <w:p>
            <w:pPr>
              <w:pStyle w:val="TableParagraph"/>
              <w:spacing w:line="319" w:lineRule="auto" w:before="116"/>
              <w:ind w:left="22" w:right="21"/>
              <w:jc w:val="left"/>
              <w:rPr>
                <w:rFonts w:ascii="宋体" w:hAnsi="宋体" w:cs="宋体" w:eastAsia="宋体" w:hint="default"/>
                <w:sz w:val="18"/>
                <w:szCs w:val="18"/>
              </w:rPr>
            </w:pPr>
            <w:r>
              <w:rPr>
                <w:rFonts w:ascii="宋体" w:hAnsi="宋体" w:cs="宋体" w:eastAsia="宋体" w:hint="default"/>
                <w:spacing w:val="-1"/>
                <w:w w:val="100"/>
                <w:sz w:val="18"/>
                <w:szCs w:val="18"/>
              </w:rPr>
              <w:t>直接损失金额</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净资产额</w:t>
            </w:r>
            <w:r>
              <w:rPr>
                <w:rFonts w:ascii="宋体" w:hAnsi="宋体" w:cs="宋体" w:eastAsia="宋体" w:hint="default"/>
                <w:spacing w:val="-38"/>
                <w:w w:val="100"/>
                <w:sz w:val="18"/>
                <w:szCs w:val="18"/>
              </w:rPr>
              <w:t> </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，且绝对金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重要缺陷：直接损失金额</w:t>
            </w:r>
          </w:p>
          <w:p>
            <w:pPr>
              <w:pStyle w:val="TableParagraph"/>
              <w:spacing w:line="319" w:lineRule="auto" w:before="57"/>
              <w:ind w:left="22" w:right="113"/>
              <w:jc w:val="left"/>
              <w:rPr>
                <w:rFonts w:ascii="宋体" w:hAnsi="宋体" w:cs="宋体" w:eastAsia="宋体" w:hint="default"/>
                <w:sz w:val="18"/>
                <w:szCs w:val="18"/>
              </w:rPr>
            </w:pPr>
            <w:r>
              <w:rPr>
                <w:rFonts w:ascii="宋体" w:hAnsi="宋体" w:cs="宋体" w:eastAsia="宋体" w:hint="default"/>
                <w:sz w:val="18"/>
                <w:szCs w:val="18"/>
              </w:rPr>
              <w:t>净资产额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直接损失金额﹤净资产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 一般缺陷：直接损失金额</w:t>
            </w:r>
          </w:p>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错报金额﹤净资产额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4"/>
          <w:szCs w:val="24"/>
        </w:rPr>
      </w:pPr>
    </w:p>
    <w:p>
      <w:pPr>
        <w:pStyle w:val="Heading2"/>
        <w:spacing w:line="240" w:lineRule="auto" w:before="26"/>
        <w:ind w:left="1134" w:right="0"/>
        <w:jc w:val="left"/>
        <w:rPr>
          <w:b w:val="0"/>
          <w:bCs w:val="0"/>
        </w:rPr>
      </w:pPr>
      <w:bookmarkStart w:name="十、内部控制审计报告或鉴证报告" w:id="142"/>
      <w:bookmarkEnd w:id="142"/>
      <w:r>
        <w:rPr>
          <w:b w:val="0"/>
          <w:bCs w:val="0"/>
        </w:rPr>
      </w:r>
      <w:r>
        <w:rPr/>
        <w:t>十、内部控制审计报告或鉴证报告</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内部控制鉴证报告</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我们认为，浩云公司按照《企业内部控制基本规范》及相关规定于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日在所有重大方面保持了有效的内部 控制。本结论是在受到鉴证报告中指出的固有限制的条件下形成的。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会计师事务所是否出具非标准意见的内部控制鉴证报告</w:t>
      </w:r>
    </w:p>
    <w:p>
      <w:pPr>
        <w:spacing w:line="240" w:lineRule="auto" w:before="10"/>
        <w:rPr>
          <w:rFonts w:ascii="宋体" w:hAnsi="宋体" w:cs="宋体" w:eastAsia="宋体" w:hint="default"/>
          <w:sz w:val="20"/>
          <w:szCs w:val="20"/>
        </w:rPr>
      </w:pPr>
    </w:p>
    <w:p>
      <w:pPr>
        <w:pStyle w:val="BodyText"/>
        <w:spacing w:line="489" w:lineRule="auto"/>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8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1"/>
        <w:ind w:left="3222" w:right="3222" w:firstLine="0"/>
        <w:jc w:val="center"/>
        <w:rPr>
          <w:rFonts w:ascii="宋体" w:hAnsi="宋体" w:cs="宋体" w:eastAsia="宋体" w:hint="default"/>
          <w:sz w:val="32"/>
          <w:szCs w:val="32"/>
        </w:rPr>
      </w:pPr>
      <w:bookmarkStart w:name="第九节 财务报告" w:id="143"/>
      <w:bookmarkEnd w:id="143"/>
      <w:r>
        <w:rPr/>
      </w:r>
      <w:bookmarkStart w:name="_bookmark8" w:id="144"/>
      <w:bookmarkEnd w:id="144"/>
      <w:r>
        <w:rPr/>
      </w:r>
      <w:r>
        <w:rPr>
          <w:rFonts w:ascii="宋体" w:hAnsi="宋体" w:cs="宋体" w:eastAsia="宋体" w:hint="default"/>
          <w:b/>
          <w:bCs/>
          <w:sz w:val="32"/>
          <w:szCs w:val="32"/>
        </w:rPr>
        <w:t>第九节</w:t>
      </w:r>
      <w:r>
        <w:rPr>
          <w:rFonts w:ascii="宋体" w:hAnsi="宋体" w:cs="宋体" w:eastAsia="宋体" w:hint="default"/>
          <w:b/>
          <w:bCs/>
          <w:spacing w:val="-5"/>
          <w:sz w:val="32"/>
          <w:szCs w:val="32"/>
        </w:rPr>
        <w:t> </w:t>
      </w:r>
      <w:r>
        <w:rPr>
          <w:rFonts w:ascii="宋体" w:hAnsi="宋体" w:cs="宋体" w:eastAsia="宋体" w:hint="default"/>
          <w:b/>
          <w:bCs/>
          <w:sz w:val="32"/>
          <w:szCs w:val="32"/>
        </w:rPr>
        <w:t>财务报告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5"/>
      <w:bookmarkEnd w:id="14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7-260</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魏标文、卢玲玉</w:t>
            </w:r>
          </w:p>
        </w:tc>
      </w:tr>
    </w:tbl>
    <w:p>
      <w:pPr>
        <w:spacing w:line="240" w:lineRule="auto" w:before="6"/>
        <w:rPr>
          <w:rFonts w:ascii="宋体" w:hAnsi="宋体" w:cs="宋体" w:eastAsia="宋体" w:hint="default"/>
          <w:b/>
          <w:bCs/>
          <w:sz w:val="6"/>
          <w:szCs w:val="6"/>
        </w:rPr>
      </w:pPr>
    </w:p>
    <w:p>
      <w:pPr>
        <w:pStyle w:val="BodyText"/>
        <w:spacing w:line="240" w:lineRule="auto" w:before="44"/>
        <w:ind w:left="5414" w:right="0"/>
        <w:jc w:val="left"/>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line="516" w:lineRule="auto" w:before="0"/>
        <w:ind w:left="4972" w:right="4968" w:hanging="2"/>
        <w:jc w:val="center"/>
        <w:rPr>
          <w:rFonts w:ascii="宋体" w:hAnsi="宋体" w:cs="宋体" w:eastAsia="宋体" w:hint="default"/>
          <w:sz w:val="18"/>
          <w:szCs w:val="18"/>
        </w:rPr>
      </w:pPr>
      <w:r>
        <w:rPr>
          <w:rFonts w:ascii="宋体" w:hAnsi="宋体" w:cs="宋体" w:eastAsia="宋体" w:hint="default"/>
          <w:b/>
          <w:bCs/>
          <w:sz w:val="18"/>
          <w:szCs w:val="18"/>
        </w:rPr>
        <w:t>审 计 报</w:t>
      </w:r>
      <w:r>
        <w:rPr>
          <w:rFonts w:ascii="宋体" w:hAnsi="宋体" w:cs="宋体" w:eastAsia="宋体" w:hint="default"/>
          <w:b/>
          <w:bCs/>
          <w:spacing w:val="87"/>
          <w:sz w:val="18"/>
          <w:szCs w:val="18"/>
        </w:rPr>
        <w:t> </w:t>
      </w:r>
      <w:r>
        <w:rPr>
          <w:rFonts w:ascii="宋体" w:hAnsi="宋体" w:cs="宋体" w:eastAsia="宋体" w:hint="default"/>
          <w:b/>
          <w:bCs/>
          <w:sz w:val="18"/>
          <w:szCs w:val="18"/>
        </w:rPr>
        <w:t>告</w:t>
      </w:r>
      <w:r>
        <w:rPr>
          <w:rFonts w:ascii="宋体" w:hAnsi="宋体" w:cs="宋体" w:eastAsia="宋体" w:hint="default"/>
          <w:b/>
          <w:bCs/>
          <w:w w:val="99"/>
          <w:sz w:val="18"/>
          <w:szCs w:val="18"/>
        </w:rPr>
        <w:t> </w:t>
      </w: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7-260</w:t>
      </w:r>
      <w:r>
        <w:rPr>
          <w:rFonts w:ascii="宋体" w:hAnsi="宋体" w:cs="宋体" w:eastAsia="宋体" w:hint="default"/>
          <w:spacing w:val="-17"/>
          <w:sz w:val="18"/>
          <w:szCs w:val="18"/>
        </w:rPr>
        <w:t> </w:t>
      </w:r>
      <w:r>
        <w:rPr>
          <w:rFonts w:ascii="宋体" w:hAnsi="宋体" w:cs="宋体" w:eastAsia="宋体" w:hint="default"/>
          <w:sz w:val="18"/>
          <w:szCs w:val="18"/>
        </w:rPr>
        <w:t>号</w:t>
      </w:r>
    </w:p>
    <w:p>
      <w:pPr>
        <w:pStyle w:val="BodyText"/>
        <w:spacing w:line="477" w:lineRule="auto"/>
        <w:ind w:left="1494" w:right="0" w:hanging="360"/>
        <w:jc w:val="left"/>
      </w:pPr>
      <w:r>
        <w:rPr/>
        <w:t>广州市浩云安防科技股份有限公司全体股东： </w:t>
      </w:r>
      <w:r>
        <w:rPr>
          <w:spacing w:val="-2"/>
        </w:rPr>
        <w:t>我们审计了后附的广州市浩云安防科技股份有限公司（以下简称浩云公司）财务报表，包括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w:t>
      </w:r>
    </w:p>
    <w:p>
      <w:pPr>
        <w:pStyle w:val="BodyText"/>
        <w:spacing w:line="451" w:lineRule="auto" w:before="22"/>
        <w:ind w:right="1118"/>
        <w:jc w:val="left"/>
      </w:pPr>
      <w:r>
        <w:rPr>
          <w:spacing w:val="-2"/>
        </w:rPr>
        <w:t>公司资产负债表，</w:t>
      </w:r>
      <w:r>
        <w:rPr>
          <w:rFonts w:ascii="Times New Roman" w:hAnsi="Times New Roman" w:cs="Times New Roman" w:eastAsia="Times New Roman" w:hint="default"/>
          <w:spacing w:val="-2"/>
        </w:rPr>
        <w:t>2015</w:t>
      </w:r>
      <w:r>
        <w:rPr>
          <w:spacing w:val="-2"/>
        </w:rPr>
        <w:t>年度的合并及母公司利润表、合并及母公司现金流量表、合并及母公司所有者权益变动表，以及财务</w:t>
      </w:r>
      <w:r>
        <w:rPr>
          <w:spacing w:val="-61"/>
        </w:rPr>
        <w:t> </w:t>
      </w:r>
      <w:r>
        <w:rPr>
          <w:spacing w:val="-61"/>
        </w:rPr>
      </w:r>
      <w:r>
        <w:rPr/>
        <w:t>报表附注。</w:t>
      </w:r>
    </w:p>
    <w:p>
      <w:pPr>
        <w:spacing w:line="477" w:lineRule="auto" w:before="74"/>
        <w:ind w:left="1494" w:right="1122" w:hanging="36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编制和公允列报财务报表是浩云公司管理层的责任，这种责任包括：（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）按照企业会计准则的规定编制财务报表，并</w:t>
      </w:r>
    </w:p>
    <w:p>
      <w:pPr>
        <w:pStyle w:val="BodyText"/>
        <w:spacing w:line="451" w:lineRule="auto" w:before="21"/>
        <w:ind w:right="1483"/>
        <w:jc w:val="left"/>
        <w:rPr>
          <w:rFonts w:ascii="宋体" w:hAnsi="宋体" w:cs="宋体" w:eastAsia="宋体" w:hint="default"/>
        </w:rPr>
      </w:pPr>
      <w:r>
        <w:rPr/>
        <w:t>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477" w:lineRule="auto" w:before="74"/>
        <w:ind w:right="1130"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477" w:lineRule="auto" w:before="54"/>
        <w:ind w:left="1134" w:right="1032"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477" w:lineRule="auto" w:before="54"/>
        <w:ind w:right="4093" w:firstLine="360"/>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spacing w:after="0" w:line="477" w:lineRule="auto"/>
        <w:jc w:val="left"/>
        <w:rPr>
          <w:rFonts w:ascii="宋体" w:hAnsi="宋体" w:cs="宋体" w:eastAsia="宋体" w:hint="default"/>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451" w:lineRule="auto"/>
        <w:ind w:right="1123" w:firstLine="450"/>
        <w:jc w:val="left"/>
      </w:pPr>
      <w:r>
        <w:rPr/>
        <w:t>我们认为，浩云公司财务报表在所有重大方面按照企业会计准则的规定编制，公允反映了浩云公司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r>
        <w:rPr>
          <w:spacing w:val="-2"/>
        </w:rPr>
        <w:t> </w:t>
      </w:r>
      <w:r>
        <w:rPr/>
        <w:t>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tabs>
          <w:tab w:pos="6204" w:val="left" w:leader="none"/>
        </w:tabs>
        <w:spacing w:line="477" w:lineRule="auto"/>
        <w:ind w:left="1553" w:right="3689" w:hanging="420"/>
        <w:jc w:val="left"/>
      </w:pPr>
      <w:r>
        <w:rPr/>
        <w:t>天健会计师事务所（特殊普通合伙）</w:t>
        <w:tab/>
        <w:t>中国注册会计师：魏标文 中国·杭州</w:t>
        <w:tab/>
        <w:t>中国注册会计师：卢玲玉</w:t>
      </w:r>
    </w:p>
    <w:p>
      <w:pPr>
        <w:pStyle w:val="BodyText"/>
        <w:spacing w:line="240" w:lineRule="auto" w:before="54"/>
        <w:ind w:left="6294" w:right="0"/>
        <w:jc w:val="left"/>
      </w:pPr>
      <w:r>
        <w:rPr/>
        <w:t>二〇一六年四月十四日</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二、财务报表" w:id="146"/>
      <w:bookmarkEnd w:id="146"/>
      <w:r>
        <w:rPr>
          <w:b w:val="0"/>
          <w:bCs w:val="0"/>
        </w:rPr>
      </w:r>
      <w:r>
        <w:rPr/>
        <w:t>二、财务报表</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9"/>
        <w:ind w:right="0"/>
        <w:jc w:val="left"/>
      </w:pPr>
      <w:r>
        <w:rPr/>
        <w:t>财务附注中报表的单位为：人民币元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1、合并资产负债表" w:id="147"/>
      <w:bookmarkEnd w:id="14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编制单位：广州市浩云安防科技股份有限公司</w:t>
      </w:r>
    </w:p>
    <w:p>
      <w:pPr>
        <w:spacing w:line="240" w:lineRule="auto" w:before="10"/>
        <w:rPr>
          <w:rFonts w:ascii="宋体" w:hAnsi="宋体" w:cs="宋体" w:eastAsia="宋体" w:hint="default"/>
          <w:sz w:val="20"/>
          <w:szCs w:val="20"/>
        </w:rPr>
      </w:pPr>
    </w:p>
    <w:p>
      <w:pPr>
        <w:pStyle w:val="BodyText"/>
        <w:spacing w:line="240" w:lineRule="auto"/>
        <w:ind w:left="3222" w:right="3222"/>
        <w:jc w:val="center"/>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12"/>
        <w:rPr>
          <w:rFonts w:ascii="宋体" w:hAnsi="宋体" w:cs="宋体" w:eastAsia="宋体" w:hint="default"/>
          <w:sz w:val="13"/>
          <w:szCs w:val="1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411,485,890.67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135,718,815.19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122,928,430.14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87,439,965.92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4,240,881.68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4,281,608.63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4,435,899.29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6,842,233.73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74,946,482.51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76,241,271.26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660,154.07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1,010,570.89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618,697,738.36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311,534,465.62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54,480,608.78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54,336,472.45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621,019.28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878,124.56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2,250,984.95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2,941,171.55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2,385,182.44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2,934,047.41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61,271,795.45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61,789,815.97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679,969,533.81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373,324,281.59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10,179,970.00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6,478,446.00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7,876,996.35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10,022,547.20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22,127,164.25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48,882,297.91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12,682,324.49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9,485,939.17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17,892,090.20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12,449,995.95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20,172,092.88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941,673.15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2,842,784.27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2,488,181.25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93,773,422.44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124,249,080.63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1,478,370.12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4,504,066.40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263,033.28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338,668.61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4,281,403.40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5,982,735.01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98,054,825.84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130,231,815.64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80,688,500.00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309,424,886.78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25,993,476.78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19,181,610.00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24,656,240.12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18,191,402.41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186,326,691.07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138,907,586.76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581,914,707.97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243,092,465.95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581,914,707.97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243,092,465.95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679,969,533.81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373,324,281.59</w:t>
            </w:r>
          </w:p>
        </w:tc>
      </w:tr>
    </w:tbl>
    <w:p>
      <w:pPr>
        <w:spacing w:line="240" w:lineRule="auto" w:before="0"/>
        <w:rPr>
          <w:rFonts w:ascii="Times New Roman" w:hAnsi="Times New Roman" w:cs="Times New Roman" w:eastAsia="Times New Roman" w:hint="default"/>
          <w:sz w:val="20"/>
          <w:szCs w:val="20"/>
        </w:rPr>
      </w:pPr>
    </w:p>
    <w:p>
      <w:pPr>
        <w:pStyle w:val="BodyText"/>
        <w:tabs>
          <w:tab w:pos="4554" w:val="left" w:leader="none"/>
          <w:tab w:pos="8695" w:val="left" w:leader="none"/>
        </w:tabs>
        <w:spacing w:line="240" w:lineRule="auto" w:before="159"/>
        <w:ind w:left="1134" w:right="0"/>
        <w:jc w:val="left"/>
      </w:pPr>
      <w:r>
        <w:rPr/>
        <w:t>法定代表人：雷洪文</w:t>
        <w:tab/>
        <w:t>主管会计工作负责人：劳仲秀</w:t>
        <w:tab/>
        <w:t>会计机构负责人：简玉琴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母公司资产负债表" w:id="148"/>
      <w:bookmarkEnd w:id="14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403,038,654.19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121,650,913.57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124,584,901.26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83,837,457.67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4,240,881.68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4,053,933.63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4,229,701.26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11,307,073.77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78,235,985.78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78,164,923.10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660,154.07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1,010,570.89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614,990,278.24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300,024,872.63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10,678,242.75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11,237,071.87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51,590,670.74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51,189,078.48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621,019.28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878,124.56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2,250,984.95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2,941,171.55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2,595,142.69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3,084,047.41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69,270,060.41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70,029,493.87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684,260,338.65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370,054,366.50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10,179,970.00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6,478,446.00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9,598,396.35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10,143,547.20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22,127,164.25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48,775,354.32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11,466,496.48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8,925,375.95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17,168,269.55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12,086,354.86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28,276,478.52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941,673.15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2,842,784.27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2,488,181.25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101,659,559.42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123,338,932.73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1,478,370.12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4,504,066.40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263,033.28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338,668.61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4,281,403.40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5,982,735.01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105,940,962.82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129,321,667.74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80,688,500.00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309,424,886.78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25,993,476.78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19,181,610.00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24,756,381.45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18,291,543.74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182,631,217.60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136,447,678.24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578,319,375.83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240,732,698.76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684,260,338.65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370,054,366.50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r>
        <w:rPr/>
        <w:pict>
          <v:group style="position:absolute;margin-left:212.119995pt;margin-top:629.919983pt;width:157.7pt;height:19.6pt;mso-position-horizontal-relative:page;mso-position-vertical-relative:page;z-index:-921568"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pStyle w:val="Heading3"/>
        <w:spacing w:line="240" w:lineRule="auto" w:before="35"/>
        <w:ind w:right="0"/>
        <w:jc w:val="left"/>
        <w:rPr>
          <w:b w:val="0"/>
          <w:bCs w:val="0"/>
        </w:rPr>
      </w:pPr>
      <w:bookmarkStart w:name="3、合并利润表" w:id="149"/>
      <w:bookmarkEnd w:id="14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465,691,390.41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386,269,441.65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465,691,390.41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386,269,441.65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391,385,010.37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323,771,621.10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264,023,854.90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219,998,622.37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15,591,370.46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13,270,140.28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44,838,970.12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38,190,211.60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62,474,245.96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45,221,661.14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1,064,522.90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3,112,107.93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3,392,046.03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3,978,877.78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463,808.22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74,770,188.26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62,497,820.55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2,661,203.65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2,597,955.83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45,129.88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127,644.80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44,431.73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25,425.00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921544"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1117"/>
        <w:gridCol w:w="2106"/>
        <w:gridCol w:w="3278"/>
      </w:tblGrid>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77,386,262.03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64,968,131.58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11,502,320.01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7,913,594.56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65,883,942.02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57,054,537.02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65,883,942.02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57,054,537.02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65,883,942.02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57,054,537.02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65,883,942.02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57,054,537.02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BodyText"/>
        <w:spacing w:line="240" w:lineRule="auto" w:before="44"/>
        <w:ind w:right="0"/>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tabs>
          <w:tab w:pos="4554" w:val="left" w:leader="none"/>
          <w:tab w:pos="8695" w:val="left" w:leader="none"/>
        </w:tabs>
        <w:spacing w:line="240" w:lineRule="auto"/>
        <w:ind w:right="0"/>
        <w:jc w:val="left"/>
      </w:pPr>
      <w:r>
        <w:rPr/>
        <w:t>法定代表人：雷洪文</w:t>
        <w:tab/>
        <w:t>主管会计工作负责人：劳仲秀</w:t>
        <w:tab/>
        <w:t>会计机构负责人：简玉琴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4、母公司利润表" w:id="150"/>
      <w:bookmarkEnd w:id="15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465,368,372.49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383,897,965.79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273,434,723.70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226,724,124.79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15,372,528.66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13,053,554.52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44,106,997.19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37,479,818.76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53,467,595.41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40,509,697.12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1,098,709.46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3,124,872.34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3,953,650.78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3,982,261.94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463,808.22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74,397,975.51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59,023,636.32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1,730,000.22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1,525,010.43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37,307.70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127,644.80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25,425.00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76,090,668.03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60,421,001.95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11,442,290.96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7,913,326.60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64,648,377.07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52,507,675.35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64,648,377.07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52,507,675.35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合并现金流量表" w:id="151"/>
      <w:bookmarkEnd w:id="15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427,033,157.70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388,085,410.82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931,203.43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1,072,275.50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3,961,945.83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1,680,367.49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431,926,306.96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390,838,053.81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228,703,749.85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212,755,969.32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109,627,716.51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83,955,207.90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34,505,414.98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30,785,162.21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33,410,430.55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29,910,034.86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406,247,311.89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357,406,374.29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25,678,995.07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33,431,679.52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463,808.22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62,468,159.22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6,745,583.65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5,826,403.55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68,745,583.65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5,826,403.55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-6,277,424.43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-5,825,203.55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303,152,010.00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303,152,010.00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36,171,093.26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34,472,552.44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13,810,625.18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15,301,531.82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49,981,718.44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49,774,084.26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253,170,291.56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-16,274,084.26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272,571,862.20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11,332,391.71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133,077,195.93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121,744,804.22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405,649,058.13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133,077,195.93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52"/>
      <w:bookmarkEnd w:id="15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419,645,569.33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385,315,622.49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16,658,326.39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1,661,411.25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436,303,895.72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386,977,033.74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238,025,464.83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220,715,246.12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102,258,742.27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79,701,862.39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32,739,899.02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28,839,763.68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32,123,291.78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30,455,993.12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405,147,397.90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359,712,865.31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31,156,497.82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27,264,168.43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463,808.22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62,468,159.22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6,602,421.26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5,767,207.82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68,602,421.26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5,767,207.82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-6,134,262.04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-5,766,007.82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303,152,010.00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303,152,010.00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36,171,093.26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34,472,552.44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13,810,625.18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15,301,531.82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49,981,718.44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49,774,084.26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253,170,291.56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-16,274,084.26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278,192,527.34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5,224,076.35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119,009,294.31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113,785,217.96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397,201,821.65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119,009,294.31</w:t>
            </w:r>
          </w:p>
        </w:tc>
      </w:tr>
    </w:tbl>
    <w:p>
      <w:pPr>
        <w:spacing w:after="0" w:line="240" w:lineRule="auto"/>
        <w:jc w:val="right"/>
        <w:rPr>
          <w:rFonts w:ascii="Times New Roman" w:hAnsi="Times New Roman" w:cs="Times New Roman" w:eastAsia="Times New Roman" w:hint="default"/>
          <w:sz w:val="18"/>
          <w:szCs w:val="18"/>
        </w:rPr>
        <w:sectPr>
          <w:footerReference w:type="default" r:id="rId13"/>
          <w:pgSz w:w="11910" w:h="16840"/>
          <w:pgMar w:footer="979" w:header="747"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7、合并所有者权益变动表" w:id="153"/>
      <w:bookmarkEnd w:id="15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25,993,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476.78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402.41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138,907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,586.76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243,092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,465.95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25,993,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476.78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402.41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138,907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,586.76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243,092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,465.95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20,688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283,431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6,464,8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37.71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47,419,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104.31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338,822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,242.02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65,883,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942.02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65,883,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942.02</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20,688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282,463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283,970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,400.00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263,980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283,980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,400.00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688,50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18,483,</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110.00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9" w:header="747" w:top="1060" w:bottom="1160" w:left="0" w:right="0"/>
          <w:pgNumType w:start="101"/>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6,464,8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37.71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-18,464,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6,464,8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37.71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-6,464,8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967,900</w:t>
            </w:r>
          </w:p>
          <w:p>
            <w:pPr>
              <w:pStyle w:val="TableParagraph"/>
              <w:spacing w:line="240" w:lineRule="auto" w:before="106"/>
              <w:ind w:left="407"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967,900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309,424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,886.78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24,656,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240.12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186,326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,691.07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581,914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,707.97</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25,993,</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476.78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12,940,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634.87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99,103,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817.28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198,037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,928.93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25,993,</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476.78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12,940,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634.87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99,103,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817.28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198,037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,928.93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5,250,7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39,803,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769.48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45,054,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537.02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57,054,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537.02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57,054,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537.02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5,250,7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-17,250,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767.54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5,250,7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-5,250,7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67.54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25,993,</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476.78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402.41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138,907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,586.76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243,092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,465.95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8、母公司所有者权益变动表" w:id="154"/>
      <w:bookmarkEnd w:id="15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25,993,47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18,291,54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136,447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,678.24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240,732,6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98.76</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25,993,47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18,291,54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136,447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,678.24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240,732,6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98.76</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20,688,5</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283,431,4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19,181,61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6,464,837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46,183,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539.36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337,586,6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77.07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64,648,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377.07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64,648,37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7.07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20,688,5</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282,463,5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19,181,61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283,970,4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263,980,4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283,980,4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18,483,11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19,181,61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6,464,837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-18,464,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837.71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6,464,837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-6,464,8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37.71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967,900.0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967,900.0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80,688,5</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309,424,8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19,181,61</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24,756,38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182,631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,217.60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578,319,3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75.83</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25,993,47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13,040,77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101,190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,770.43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200,225,0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23.41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25,993,47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13,040,77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101,190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,770.43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200,225,0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23.41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5,250,767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35,256,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907.81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40,507,67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52,507,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675.35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52,507,67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5,250,767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-17,250,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767.54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5,250,767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-5,250,7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67.54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25,993,47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18,291,54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136,447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,678.24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240,732,6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98.76</w:t>
            </w:r>
          </w:p>
        </w:tc>
      </w:tr>
    </w:tbl>
    <w:p>
      <w:pPr>
        <w:spacing w:line="240" w:lineRule="auto" w:before="4"/>
        <w:rPr>
          <w:rFonts w:ascii="Times New Roman" w:hAnsi="Times New Roman" w:cs="Times New Roman" w:eastAsia="Times New Roman" w:hint="default"/>
          <w:sz w:val="27"/>
          <w:szCs w:val="27"/>
        </w:rPr>
      </w:pPr>
    </w:p>
    <w:p>
      <w:pPr>
        <w:pStyle w:val="Heading2"/>
        <w:spacing w:line="240" w:lineRule="auto" w:before="26"/>
        <w:ind w:left="1134" w:right="0"/>
        <w:jc w:val="left"/>
        <w:rPr>
          <w:b w:val="0"/>
          <w:bCs w:val="0"/>
        </w:rPr>
      </w:pPr>
      <w:bookmarkStart w:name="三、公司基本情况" w:id="155"/>
      <w:bookmarkEnd w:id="155"/>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r>
        <w:rPr>
          <w:rFonts w:ascii="Times New Roman" w:hAnsi="Times New Roman" w:cs="Times New Roman" w:eastAsia="Times New Roman" w:hint="default"/>
        </w:rPr>
        <w:t>1</w:t>
      </w:r>
      <w:r>
        <w:rPr/>
        <w:t>、公司概况</w:t>
      </w:r>
      <w:r>
        <w:rPr>
          <w:b w:val="0"/>
          <w:bCs w:val="0"/>
        </w:rPr>
      </w:r>
    </w:p>
    <w:p>
      <w:pPr>
        <w:spacing w:line="240" w:lineRule="auto" w:before="6"/>
        <w:rPr>
          <w:rFonts w:ascii="宋体" w:hAnsi="宋体" w:cs="宋体" w:eastAsia="宋体" w:hint="default"/>
          <w:b/>
          <w:bCs/>
          <w:sz w:val="15"/>
          <w:szCs w:val="15"/>
        </w:rPr>
      </w:pPr>
    </w:p>
    <w:p>
      <w:pPr>
        <w:pStyle w:val="BodyText"/>
        <w:spacing w:line="477" w:lineRule="auto"/>
        <w:ind w:left="1549" w:right="4579" w:firstLine="7"/>
        <w:jc w:val="left"/>
      </w:pPr>
      <w:r>
        <w:rPr/>
        <w:t>公司注册中文名称：广州市浩云安防科技股份有限公司 公司注册英文名称：</w:t>
      </w:r>
      <w:r>
        <w:rPr>
          <w:rFonts w:ascii="宋体" w:hAnsi="宋体" w:cs="宋体" w:eastAsia="宋体" w:hint="default"/>
        </w:rPr>
        <w:t>Guangzhou Haoyun Security Technologies</w:t>
      </w:r>
      <w:r>
        <w:rPr>
          <w:rFonts w:ascii="宋体" w:hAnsi="宋体" w:cs="宋体" w:eastAsia="宋体" w:hint="default"/>
          <w:spacing w:val="-2"/>
        </w:rPr>
        <w:t> </w:t>
      </w:r>
      <w:r>
        <w:rPr>
          <w:rFonts w:ascii="宋体" w:hAnsi="宋体" w:cs="宋体" w:eastAsia="宋体" w:hint="default"/>
        </w:rPr>
        <w:t>Co.,Ltd </w:t>
      </w:r>
      <w:r>
        <w:rPr/>
        <w:t>公司简称：浩云科技</w:t>
      </w:r>
    </w:p>
    <w:p>
      <w:pPr>
        <w:pStyle w:val="BodyText"/>
        <w:spacing w:line="477" w:lineRule="auto" w:before="54"/>
        <w:ind w:left="1584" w:right="6882"/>
        <w:jc w:val="left"/>
      </w:pPr>
      <w:r>
        <w:rPr/>
        <w:t>股票代码：</w:t>
      </w:r>
      <w:r>
        <w:rPr>
          <w:rFonts w:ascii="宋体" w:hAnsi="宋体" w:cs="宋体" w:eastAsia="宋体" w:hint="default"/>
        </w:rPr>
        <w:t>300448 </w:t>
      </w:r>
      <w:r>
        <w:rPr/>
        <w:t>注册资本与实收资本：人民币</w:t>
      </w:r>
      <w:r>
        <w:rPr>
          <w:rFonts w:ascii="宋体" w:hAnsi="宋体" w:cs="宋体" w:eastAsia="宋体" w:hint="default"/>
        </w:rPr>
        <w:t>8,068.85</w:t>
      </w:r>
      <w:r>
        <w:rPr/>
        <w:t>万元 法定代表人：雷洪文</w:t>
      </w:r>
    </w:p>
    <w:p>
      <w:pPr>
        <w:pStyle w:val="BodyText"/>
        <w:spacing w:line="477" w:lineRule="auto" w:before="54"/>
        <w:ind w:left="1584" w:right="3462"/>
        <w:jc w:val="left"/>
      </w:pPr>
      <w:r>
        <w:rPr/>
        <w:t>注册地址（总部地址）：广州市番禺区东环街番禺大道北</w:t>
      </w:r>
      <w:r>
        <w:rPr>
          <w:rFonts w:ascii="宋体" w:hAnsi="宋体" w:cs="宋体" w:eastAsia="宋体" w:hint="default"/>
        </w:rPr>
        <w:t>555</w:t>
      </w:r>
      <w:r>
        <w:rPr/>
        <w:t>号天安总部中心</w:t>
      </w:r>
      <w:r>
        <w:rPr>
          <w:rFonts w:ascii="宋体" w:hAnsi="宋体" w:cs="宋体" w:eastAsia="宋体" w:hint="default"/>
        </w:rPr>
        <w:t>2</w:t>
      </w:r>
      <w:r>
        <w:rPr/>
        <w:t>号楼</w:t>
      </w:r>
      <w:r>
        <w:rPr>
          <w:rFonts w:ascii="宋体" w:hAnsi="宋体" w:cs="宋体" w:eastAsia="宋体" w:hint="default"/>
        </w:rPr>
        <w:t>2201 </w:t>
      </w:r>
      <w:r>
        <w:rPr/>
        <w:t>公司类型：股份有限公司（上市、自然人投资或控股）</w:t>
      </w:r>
    </w:p>
    <w:p>
      <w:pPr>
        <w:pStyle w:val="Heading3"/>
        <w:spacing w:line="240" w:lineRule="auto" w:before="29"/>
        <w:ind w:left="1134" w:right="0"/>
        <w:jc w:val="left"/>
        <w:rPr>
          <w:b w:val="0"/>
          <w:bCs w:val="0"/>
        </w:rPr>
      </w:pPr>
      <w:r>
        <w:rPr>
          <w:rFonts w:ascii="Times New Roman" w:hAnsi="Times New Roman" w:cs="Times New Roman" w:eastAsia="Times New Roman" w:hint="default"/>
        </w:rPr>
        <w:t>2</w:t>
      </w:r>
      <w:r>
        <w:rPr/>
        <w:t>、公司历史沿革</w:t>
      </w:r>
      <w:r>
        <w:rPr>
          <w:b w:val="0"/>
          <w:bCs w:val="0"/>
        </w:rPr>
      </w:r>
    </w:p>
    <w:p>
      <w:pPr>
        <w:spacing w:line="240" w:lineRule="auto" w:before="7"/>
        <w:rPr>
          <w:rFonts w:ascii="宋体" w:hAnsi="宋体" w:cs="宋体" w:eastAsia="宋体" w:hint="default"/>
          <w:b/>
          <w:bCs/>
          <w:sz w:val="15"/>
          <w:szCs w:val="15"/>
        </w:rPr>
      </w:pPr>
    </w:p>
    <w:p>
      <w:pPr>
        <w:pStyle w:val="BodyText"/>
        <w:spacing w:line="451" w:lineRule="auto"/>
        <w:ind w:right="1129" w:firstLine="362"/>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月，茅庆江、黄颂凡、李志坚、雷洪文、袁小康五位自然人以货币资金出资设立浩云有限。浩云有限注册资本 为人民币</w:t>
      </w:r>
      <w:r>
        <w:rPr>
          <w:rFonts w:ascii="Times New Roman" w:hAnsi="Times New Roman" w:cs="Times New Roman" w:eastAsia="Times New Roman" w:hint="default"/>
        </w:rPr>
        <w:t>100</w:t>
      </w:r>
      <w:r>
        <w:rPr/>
        <w:t>万元，其中茅庆江出资</w:t>
      </w:r>
      <w:r>
        <w:rPr>
          <w:rFonts w:ascii="Times New Roman" w:hAnsi="Times New Roman" w:cs="Times New Roman" w:eastAsia="Times New Roman" w:hint="default"/>
        </w:rPr>
        <w:t>40</w:t>
      </w:r>
      <w:r>
        <w:rPr/>
        <w:t>万元，黄颂凡出资</w:t>
      </w:r>
      <w:r>
        <w:rPr>
          <w:rFonts w:ascii="Times New Roman" w:hAnsi="Times New Roman" w:cs="Times New Roman" w:eastAsia="Times New Roman" w:hint="default"/>
        </w:rPr>
        <w:t>30</w:t>
      </w:r>
      <w:r>
        <w:rPr/>
        <w:t>万元，李志坚出资</w:t>
      </w:r>
      <w:r>
        <w:rPr>
          <w:rFonts w:ascii="Times New Roman" w:hAnsi="Times New Roman" w:cs="Times New Roman" w:eastAsia="Times New Roman" w:hint="default"/>
        </w:rPr>
        <w:t>10</w:t>
      </w:r>
      <w:r>
        <w:rPr/>
        <w:t>万元，雷洪文出资</w:t>
      </w:r>
      <w:r>
        <w:rPr>
          <w:rFonts w:ascii="Times New Roman" w:hAnsi="Times New Roman" w:cs="Times New Roman" w:eastAsia="Times New Roman" w:hint="default"/>
        </w:rPr>
        <w:t>10</w:t>
      </w:r>
      <w:r>
        <w:rPr/>
        <w:t>万元，袁小康出资</w:t>
      </w:r>
      <w:r>
        <w:rPr>
          <w:rFonts w:ascii="Times New Roman" w:hAnsi="Times New Roman" w:cs="Times New Roman" w:eastAsia="Times New Roman" w:hint="default"/>
        </w:rPr>
        <w:t>10</w:t>
      </w:r>
      <w:r>
        <w:rPr/>
        <w:t>万</w:t>
      </w:r>
      <w:r>
        <w:rPr>
          <w:spacing w:val="-83"/>
        </w:rPr>
        <w:t> </w:t>
      </w:r>
      <w:r>
        <w:rPr>
          <w:spacing w:val="-2"/>
        </w:rPr>
        <w:t>元，共计人民币</w:t>
      </w:r>
      <w:r>
        <w:rPr>
          <w:rFonts w:ascii="Times New Roman" w:hAnsi="Times New Roman" w:cs="Times New Roman" w:eastAsia="Times New Roman" w:hint="default"/>
          <w:spacing w:val="-2"/>
        </w:rPr>
        <w:t>100</w:t>
      </w:r>
      <w:r>
        <w:rPr>
          <w:spacing w:val="-2"/>
        </w:rPr>
        <w:t>万元。</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日，浩云有限取得广州市工商行政管理局番禺分局核发的</w:t>
      </w:r>
      <w:r>
        <w:rPr>
          <w:rFonts w:ascii="Times New Roman" w:hAnsi="Times New Roman" w:cs="Times New Roman" w:eastAsia="Times New Roman" w:hint="default"/>
          <w:spacing w:val="-2"/>
        </w:rPr>
        <w:t>4401262002046</w:t>
      </w:r>
      <w:r>
        <w:rPr>
          <w:spacing w:val="-2"/>
        </w:rPr>
        <w:t>号《企业法人</w:t>
      </w:r>
      <w:r>
        <w:rPr>
          <w:spacing w:val="-44"/>
        </w:rPr>
        <w:t> </w:t>
      </w:r>
      <w:r>
        <w:rPr>
          <w:spacing w:val="-44"/>
        </w:rPr>
      </w:r>
      <w:r>
        <w:rPr/>
        <w:t>营业执照》。</w:t>
      </w:r>
    </w:p>
    <w:p>
      <w:pPr>
        <w:pStyle w:val="BodyText"/>
        <w:spacing w:line="451" w:lineRule="auto" w:before="74"/>
        <w:ind w:right="1121" w:firstLine="362"/>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日，浩云有限召开股东会并形成如下决议：一致同意公司注册资本由</w:t>
      </w:r>
      <w:r>
        <w:rPr>
          <w:rFonts w:ascii="Times New Roman" w:hAnsi="Times New Roman" w:cs="Times New Roman" w:eastAsia="Times New Roman" w:hint="default"/>
        </w:rPr>
        <w:t>100</w:t>
      </w:r>
      <w:r>
        <w:rPr/>
        <w:t>万元增加至</w:t>
      </w:r>
      <w:r>
        <w:rPr>
          <w:rFonts w:ascii="Times New Roman" w:hAnsi="Times New Roman" w:cs="Times New Roman" w:eastAsia="Times New Roman" w:hint="default"/>
        </w:rPr>
        <w:t>220</w:t>
      </w:r>
      <w:r>
        <w:rPr/>
        <w:t>万元，由各股东按 原出资比例增资。</w:t>
      </w:r>
    </w:p>
    <w:p>
      <w:pPr>
        <w:pStyle w:val="BodyText"/>
        <w:spacing w:line="240" w:lineRule="auto" w:before="74"/>
        <w:ind w:left="1568" w:right="0"/>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日，浩云有限全体股东一致同意：黄颂凡将其所持有的公司</w:t>
      </w:r>
      <w:r>
        <w:rPr>
          <w:rFonts w:ascii="Times New Roman" w:hAnsi="Times New Roman" w:cs="Times New Roman" w:eastAsia="Times New Roman" w:hint="default"/>
        </w:rPr>
        <w:t>30%</w:t>
      </w:r>
      <w:r>
        <w:rPr/>
        <w:t>的股权转让予茅庆江。</w:t>
      </w:r>
    </w:p>
    <w:p>
      <w:pPr>
        <w:spacing w:line="240" w:lineRule="auto" w:before="9"/>
        <w:rPr>
          <w:rFonts w:ascii="宋体" w:hAnsi="宋体" w:cs="宋体" w:eastAsia="宋体" w:hint="default"/>
          <w:sz w:val="16"/>
          <w:szCs w:val="16"/>
        </w:rPr>
      </w:pPr>
    </w:p>
    <w:p>
      <w:pPr>
        <w:pStyle w:val="BodyText"/>
        <w:spacing w:line="451" w:lineRule="auto"/>
        <w:ind w:right="0" w:firstLine="434"/>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日和</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日，经浩云有限召开股东会并形成决议，股东之间进行了股权转让，并于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 经全体股东一致同意：公司注册资本由</w:t>
      </w:r>
      <w:r>
        <w:rPr>
          <w:rFonts w:ascii="Times New Roman" w:hAnsi="Times New Roman" w:cs="Times New Roman" w:eastAsia="Times New Roman" w:hint="default"/>
        </w:rPr>
        <w:t>220</w:t>
      </w:r>
      <w:r>
        <w:rPr/>
        <w:t>万元增加至</w:t>
      </w:r>
      <w:r>
        <w:rPr>
          <w:rFonts w:ascii="Times New Roman" w:hAnsi="Times New Roman" w:cs="Times New Roman" w:eastAsia="Times New Roman" w:hint="default"/>
        </w:rPr>
        <w:t>380</w:t>
      </w:r>
      <w:r>
        <w:rPr/>
        <w:t>万元。</w:t>
      </w:r>
    </w:p>
    <w:p>
      <w:pPr>
        <w:pStyle w:val="BodyText"/>
        <w:spacing w:line="240" w:lineRule="auto" w:before="43"/>
        <w:ind w:left="1568" w:right="0"/>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日，公司注册资本由</w:t>
      </w:r>
      <w:r>
        <w:rPr>
          <w:rFonts w:ascii="Times New Roman" w:hAnsi="Times New Roman" w:cs="Times New Roman" w:eastAsia="Times New Roman" w:hint="default"/>
        </w:rPr>
        <w:t>380</w:t>
      </w:r>
      <w:r>
        <w:rPr/>
        <w:t>万元增加至</w:t>
      </w:r>
      <w:r>
        <w:rPr>
          <w:rFonts w:ascii="Times New Roman" w:hAnsi="Times New Roman" w:cs="Times New Roman" w:eastAsia="Times New Roman" w:hint="default"/>
        </w:rPr>
        <w:t>500</w:t>
      </w:r>
      <w:r>
        <w:rPr/>
        <w:t>万元，由各股东按原出资比例增资。</w:t>
      </w:r>
    </w:p>
    <w:p>
      <w:pPr>
        <w:spacing w:line="240" w:lineRule="auto" w:before="9"/>
        <w:rPr>
          <w:rFonts w:ascii="宋体" w:hAnsi="宋体" w:cs="宋体" w:eastAsia="宋体" w:hint="default"/>
          <w:sz w:val="16"/>
          <w:szCs w:val="16"/>
        </w:rPr>
      </w:pPr>
    </w:p>
    <w:p>
      <w:pPr>
        <w:pStyle w:val="BodyText"/>
        <w:spacing w:line="240" w:lineRule="auto"/>
        <w:ind w:left="1568" w:right="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日，公司注册资本由</w:t>
      </w:r>
      <w:r>
        <w:rPr>
          <w:rFonts w:ascii="Times New Roman" w:hAnsi="Times New Roman" w:cs="Times New Roman" w:eastAsia="Times New Roman" w:hint="default"/>
        </w:rPr>
        <w:t>500</w:t>
      </w:r>
      <w:r>
        <w:rPr/>
        <w:t>万元增加至</w:t>
      </w:r>
      <w:r>
        <w:rPr>
          <w:rFonts w:ascii="Times New Roman" w:hAnsi="Times New Roman" w:cs="Times New Roman" w:eastAsia="Times New Roman" w:hint="default"/>
        </w:rPr>
        <w:t>580</w:t>
      </w:r>
      <w:r>
        <w:rPr/>
        <w:t>万元，由各股东按原出资比例增资。</w:t>
      </w:r>
    </w:p>
    <w:p>
      <w:pPr>
        <w:spacing w:line="240" w:lineRule="auto" w:before="9"/>
        <w:rPr>
          <w:rFonts w:ascii="宋体" w:hAnsi="宋体" w:cs="宋体" w:eastAsia="宋体" w:hint="default"/>
          <w:sz w:val="16"/>
          <w:szCs w:val="16"/>
        </w:rPr>
      </w:pPr>
    </w:p>
    <w:p>
      <w:pPr>
        <w:pStyle w:val="BodyText"/>
        <w:spacing w:line="240" w:lineRule="auto"/>
        <w:ind w:left="1568" w:right="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日，公司注册资本由</w:t>
      </w:r>
      <w:r>
        <w:rPr>
          <w:rFonts w:ascii="Times New Roman" w:hAnsi="Times New Roman" w:cs="Times New Roman" w:eastAsia="Times New Roman" w:hint="default"/>
        </w:rPr>
        <w:t>580</w:t>
      </w:r>
      <w:r>
        <w:rPr/>
        <w:t>万元增加至</w:t>
      </w:r>
      <w:r>
        <w:rPr>
          <w:rFonts w:ascii="Times New Roman" w:hAnsi="Times New Roman" w:cs="Times New Roman" w:eastAsia="Times New Roman" w:hint="default"/>
        </w:rPr>
        <w:t>1,018</w:t>
      </w:r>
      <w:r>
        <w:rPr/>
        <w:t>万元，由各股东按原出资比例增资。</w:t>
      </w:r>
    </w:p>
    <w:p>
      <w:pPr>
        <w:spacing w:line="240" w:lineRule="auto" w:before="10"/>
        <w:rPr>
          <w:rFonts w:ascii="宋体" w:hAnsi="宋体" w:cs="宋体" w:eastAsia="宋体" w:hint="default"/>
          <w:sz w:val="16"/>
          <w:szCs w:val="16"/>
        </w:rPr>
      </w:pPr>
    </w:p>
    <w:p>
      <w:pPr>
        <w:pStyle w:val="BodyText"/>
        <w:spacing w:line="240" w:lineRule="auto"/>
        <w:ind w:left="1568" w:right="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日，浩特贸易以</w:t>
      </w:r>
      <w:r>
        <w:rPr>
          <w:rFonts w:ascii="Times New Roman" w:hAnsi="Times New Roman" w:cs="Times New Roman" w:eastAsia="Times New Roman" w:hint="default"/>
        </w:rPr>
        <w:t>18</w:t>
      </w:r>
      <w:r>
        <w:rPr/>
        <w:t>套房产以增资形式入股浩云有限，浩云有限注册资本增加到</w:t>
      </w:r>
      <w:r>
        <w:rPr>
          <w:rFonts w:ascii="Times New Roman" w:hAnsi="Times New Roman" w:cs="Times New Roman" w:eastAsia="Times New Roman" w:hint="default"/>
        </w:rPr>
        <w:t>2,118</w:t>
      </w:r>
      <w:r>
        <w:rPr/>
        <w:t>万元。</w:t>
      </w:r>
    </w:p>
    <w:p>
      <w:pPr>
        <w:spacing w:line="240" w:lineRule="auto" w:before="9"/>
        <w:rPr>
          <w:rFonts w:ascii="宋体" w:hAnsi="宋体" w:cs="宋体" w:eastAsia="宋体" w:hint="default"/>
          <w:sz w:val="16"/>
          <w:szCs w:val="16"/>
        </w:rPr>
      </w:pPr>
    </w:p>
    <w:p>
      <w:pPr>
        <w:pStyle w:val="BodyText"/>
        <w:spacing w:line="240" w:lineRule="auto"/>
        <w:ind w:left="1568" w:right="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日，浩特贸易将其所持有的浩云有限</w:t>
      </w:r>
      <w:r>
        <w:rPr>
          <w:rFonts w:ascii="Times New Roman" w:hAnsi="Times New Roman" w:cs="Times New Roman" w:eastAsia="Times New Roman" w:hint="default"/>
        </w:rPr>
        <w:t>51.94%</w:t>
      </w:r>
      <w:r>
        <w:rPr/>
        <w:t>股权分别转让给其他股东。</w:t>
      </w:r>
    </w:p>
    <w:p>
      <w:pPr>
        <w:spacing w:line="240" w:lineRule="auto" w:before="9"/>
        <w:rPr>
          <w:rFonts w:ascii="宋体" w:hAnsi="宋体" w:cs="宋体" w:eastAsia="宋体" w:hint="default"/>
          <w:sz w:val="16"/>
          <w:szCs w:val="16"/>
        </w:rPr>
      </w:pPr>
    </w:p>
    <w:p>
      <w:pPr>
        <w:pStyle w:val="BodyText"/>
        <w:spacing w:line="240" w:lineRule="auto"/>
        <w:ind w:left="1568"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日，冷昌斌转让</w:t>
      </w:r>
      <w:r>
        <w:rPr>
          <w:rFonts w:ascii="Times New Roman" w:hAnsi="Times New Roman" w:cs="Times New Roman" w:eastAsia="Times New Roman" w:hint="default"/>
        </w:rPr>
        <w:t>3%</w:t>
      </w:r>
      <w:r>
        <w:rPr/>
        <w:t>股权给徐彪、转让</w:t>
      </w:r>
      <w:r>
        <w:rPr>
          <w:rFonts w:ascii="Times New Roman" w:hAnsi="Times New Roman" w:cs="Times New Roman" w:eastAsia="Times New Roman" w:hint="default"/>
        </w:rPr>
        <w:t>2%</w:t>
      </w:r>
      <w:r>
        <w:rPr/>
        <w:t>股权给雷洪文，茅庆江转让</w:t>
      </w:r>
      <w:r>
        <w:rPr>
          <w:rFonts w:ascii="Times New Roman" w:hAnsi="Times New Roman" w:cs="Times New Roman" w:eastAsia="Times New Roman" w:hint="default"/>
        </w:rPr>
        <w:t>1%</w:t>
      </w:r>
      <w:r>
        <w:rPr/>
        <w:t>股权给袁小康、转让</w:t>
      </w:r>
      <w:r>
        <w:rPr>
          <w:rFonts w:ascii="Times New Roman" w:hAnsi="Times New Roman" w:cs="Times New Roman" w:eastAsia="Times New Roman" w:hint="default"/>
        </w:rPr>
        <w:t>5%</w:t>
      </w:r>
      <w:r>
        <w:rPr/>
        <w:t>股权给茅</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屏萍。</w:t>
      </w:r>
    </w:p>
    <w:p>
      <w:pPr>
        <w:spacing w:line="240" w:lineRule="auto" w:before="10"/>
        <w:rPr>
          <w:rFonts w:ascii="宋体" w:hAnsi="宋体" w:cs="宋体" w:eastAsia="宋体" w:hint="default"/>
          <w:sz w:val="17"/>
          <w:szCs w:val="17"/>
        </w:rPr>
      </w:pPr>
    </w:p>
    <w:p>
      <w:pPr>
        <w:pStyle w:val="BodyText"/>
        <w:spacing w:line="451" w:lineRule="auto"/>
        <w:ind w:right="1131" w:firstLine="434"/>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w:t>
      </w:r>
      <w:r>
        <w:rPr>
          <w:spacing w:val="-1"/>
        </w:rPr>
        <w:t>日，将浩云有限的注册资本由</w:t>
      </w:r>
      <w:r>
        <w:rPr>
          <w:rFonts w:ascii="Times New Roman" w:hAnsi="Times New Roman" w:cs="Times New Roman" w:eastAsia="Times New Roman" w:hint="default"/>
          <w:spacing w:val="-1"/>
        </w:rPr>
        <w:t>2,118</w:t>
      </w:r>
      <w:r>
        <w:rPr>
          <w:spacing w:val="-1"/>
        </w:rPr>
        <w:t>万元增加至</w:t>
      </w:r>
      <w:r>
        <w:rPr>
          <w:rFonts w:ascii="Times New Roman" w:hAnsi="Times New Roman" w:cs="Times New Roman" w:eastAsia="Times New Roman" w:hint="default"/>
          <w:spacing w:val="-1"/>
        </w:rPr>
        <w:t>2,406.8182</w:t>
      </w:r>
      <w:r>
        <w:rPr>
          <w:spacing w:val="-1"/>
        </w:rPr>
        <w:t>万元，本次增资由张忠民、常森投资、碧天投资</w:t>
      </w:r>
      <w:r>
        <w:rPr/>
        <w:t> 以现金方式缴足。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日，浩云有限完成了本次增资的工商变更登记，并领取了广州市工商行政管理局番禺分局颁</w:t>
      </w:r>
      <w:r>
        <w:rPr>
          <w:spacing w:val="-83"/>
        </w:rPr>
        <w:t> </w:t>
      </w:r>
      <w:r>
        <w:rPr>
          <w:spacing w:val="-83"/>
        </w:rPr>
      </w:r>
      <w:r>
        <w:rPr/>
        <w:t>发的</w:t>
      </w:r>
      <w:r>
        <w:rPr>
          <w:rFonts w:ascii="Times New Roman" w:hAnsi="Times New Roman" w:cs="Times New Roman" w:eastAsia="Times New Roman" w:hint="default"/>
        </w:rPr>
        <w:t>440126000005733</w:t>
      </w:r>
      <w:r>
        <w:rPr/>
        <w:t>号《企业法人营业执照》。</w:t>
      </w:r>
    </w:p>
    <w:p>
      <w:pPr>
        <w:pStyle w:val="BodyText"/>
        <w:spacing w:line="451" w:lineRule="auto" w:before="43"/>
        <w:ind w:right="1130" w:firstLine="434"/>
        <w:jc w:val="both"/>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8</w:t>
      </w:r>
      <w:r>
        <w:rPr>
          <w:spacing w:val="-1"/>
        </w:rPr>
        <w:t>日，经浩云有限股东会决议通过，公司以截至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日经审计的净资产</w:t>
      </w:r>
      <w:r>
        <w:rPr>
          <w:rFonts w:ascii="Times New Roman" w:hAnsi="Times New Roman" w:cs="Times New Roman" w:eastAsia="Times New Roman" w:hint="default"/>
          <w:spacing w:val="-1"/>
        </w:rPr>
        <w:t>8,599.3476.78</w:t>
      </w:r>
      <w:r>
        <w:rPr>
          <w:spacing w:val="-1"/>
        </w:rPr>
        <w:t>万元折合成股份</w:t>
      </w:r>
      <w:r>
        <w:rPr/>
        <w:t> 总额</w:t>
      </w:r>
      <w:r>
        <w:rPr>
          <w:rFonts w:ascii="Times New Roman" w:hAnsi="Times New Roman" w:cs="Times New Roman" w:eastAsia="Times New Roman" w:hint="default"/>
        </w:rPr>
        <w:t>6,000</w:t>
      </w:r>
      <w:r>
        <w:rPr/>
        <w:t>万股，整体变更设立为股份公司。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日，公司召开创立大会。</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日，公司取得了广州市工商</w:t>
      </w:r>
      <w:r>
        <w:rPr>
          <w:spacing w:val="-47"/>
        </w:rPr>
        <w:t> </w:t>
      </w:r>
      <w:r>
        <w:rPr>
          <w:spacing w:val="-47"/>
        </w:rPr>
      </w:r>
      <w:r>
        <w:rPr>
          <w:spacing w:val="-2"/>
        </w:rPr>
        <w:t>行政管理局颁发的《企业法人营业执照》（注册号为</w:t>
      </w:r>
      <w:r>
        <w:rPr>
          <w:rFonts w:ascii="Times New Roman" w:hAnsi="Times New Roman" w:cs="Times New Roman" w:eastAsia="Times New Roman" w:hint="default"/>
          <w:spacing w:val="-2"/>
        </w:rPr>
        <w:t>440126000005733</w:t>
      </w:r>
      <w:r>
        <w:rPr>
          <w:spacing w:val="-2"/>
        </w:rPr>
        <w:t>）。公司名称变更为</w:t>
      </w:r>
      <w:r>
        <w:rPr>
          <w:rFonts w:ascii="Times New Roman" w:hAnsi="Times New Roman" w:cs="Times New Roman" w:eastAsia="Times New Roman" w:hint="default"/>
          <w:spacing w:val="-2"/>
        </w:rPr>
        <w:t>“</w:t>
      </w:r>
      <w:r>
        <w:rPr>
          <w:spacing w:val="-2"/>
        </w:rPr>
        <w:t>广州市浩云安防科技股份有限公</w:t>
      </w:r>
      <w:r>
        <w:rPr>
          <w:spacing w:val="-40"/>
        </w:rPr>
        <w:t> </w:t>
      </w:r>
      <w:r>
        <w:rPr>
          <w:spacing w:val="-40"/>
        </w:rPr>
      </w:r>
      <w:r>
        <w:rPr/>
        <w:t>司</w:t>
      </w:r>
      <w:r>
        <w:rPr>
          <w:rFonts w:ascii="Times New Roman" w:hAnsi="Times New Roman" w:cs="Times New Roman" w:eastAsia="Times New Roman" w:hint="default"/>
        </w:rPr>
        <w:t>”</w:t>
      </w:r>
      <w:r>
        <w:rPr/>
        <w:t>，注册资本为人民币</w:t>
      </w:r>
      <w:r>
        <w:rPr>
          <w:rFonts w:ascii="Times New Roman" w:hAnsi="Times New Roman" w:cs="Times New Roman" w:eastAsia="Times New Roman" w:hint="default"/>
        </w:rPr>
        <w:t>6,000.00</w:t>
      </w:r>
      <w:r>
        <w:rPr/>
        <w:t>万元。</w:t>
      </w:r>
    </w:p>
    <w:p>
      <w:pPr>
        <w:pStyle w:val="BodyText"/>
        <w:spacing w:line="240" w:lineRule="auto" w:before="43"/>
        <w:ind w:left="1568"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[2015]536</w:t>
      </w:r>
      <w:r>
        <w:rPr/>
        <w:t>号</w:t>
      </w:r>
      <w:r>
        <w:rPr>
          <w:rFonts w:ascii="Times New Roman" w:hAnsi="Times New Roman" w:cs="Times New Roman" w:eastAsia="Times New Roman" w:hint="default"/>
        </w:rPr>
        <w:t>]</w:t>
      </w:r>
      <w:r>
        <w:rPr/>
        <w:t>文核准公司向社会公开发售的人民币普通股股票。</w:t>
      </w:r>
    </w:p>
    <w:p>
      <w:pPr>
        <w:spacing w:line="240" w:lineRule="auto" w:before="9"/>
        <w:rPr>
          <w:rFonts w:ascii="宋体" w:hAnsi="宋体" w:cs="宋体" w:eastAsia="宋体" w:hint="default"/>
          <w:sz w:val="16"/>
          <w:szCs w:val="16"/>
        </w:rPr>
      </w:pPr>
    </w:p>
    <w:p>
      <w:pPr>
        <w:pStyle w:val="BodyText"/>
        <w:spacing w:line="451" w:lineRule="auto"/>
        <w:ind w:right="1040" w:firstLine="434"/>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日，公司向社会公开发售的人民币普通股股票，发行股份总量</w:t>
      </w:r>
      <w:r>
        <w:rPr>
          <w:rFonts w:ascii="Times New Roman" w:hAnsi="Times New Roman" w:cs="Times New Roman" w:eastAsia="Times New Roman" w:hint="default"/>
          <w:spacing w:val="-2"/>
        </w:rPr>
        <w:t>2,000</w:t>
      </w:r>
      <w:r>
        <w:rPr>
          <w:spacing w:val="-2"/>
        </w:rPr>
        <w:t>万股，每股发行价格为人民币</w:t>
      </w:r>
      <w:r>
        <w:rPr>
          <w:rFonts w:ascii="Times New Roman" w:hAnsi="Times New Roman" w:cs="Times New Roman" w:eastAsia="Times New Roman" w:hint="default"/>
          <w:spacing w:val="-2"/>
        </w:rPr>
        <w:t>15.79</w:t>
      </w:r>
      <w:r>
        <w:rPr>
          <w:spacing w:val="-2"/>
        </w:rPr>
        <w:t>元，</w:t>
      </w:r>
      <w:r>
        <w:rPr/>
        <w:t> </w:t>
      </w:r>
      <w:r>
        <w:rPr>
          <w:spacing w:val="-2"/>
        </w:rPr>
        <w:t>募集资金总额为人民币</w:t>
      </w:r>
      <w:r>
        <w:rPr>
          <w:rFonts w:ascii="Times New Roman" w:hAnsi="Times New Roman" w:cs="Times New Roman" w:eastAsia="Times New Roman" w:hint="default"/>
          <w:spacing w:val="-2"/>
        </w:rPr>
        <w:t>31,580.00</w:t>
      </w:r>
      <w:r>
        <w:rPr>
          <w:spacing w:val="-2"/>
        </w:rPr>
        <w:t>万元，扣除发行费用后募集资金净额为人民币</w:t>
      </w:r>
      <w:r>
        <w:rPr>
          <w:rFonts w:ascii="Times New Roman" w:hAnsi="Times New Roman" w:cs="Times New Roman" w:eastAsia="Times New Roman" w:hint="default"/>
          <w:spacing w:val="-2"/>
        </w:rPr>
        <w:t>28,398.04</w:t>
      </w:r>
      <w:r>
        <w:rPr>
          <w:spacing w:val="-2"/>
        </w:rPr>
        <w:t>万元。天健会计师事务所（特殊普通</w:t>
      </w:r>
      <w:r>
        <w:rPr>
          <w:spacing w:val="-50"/>
        </w:rPr>
        <w:t> </w:t>
      </w:r>
      <w:r>
        <w:rPr>
          <w:spacing w:val="-50"/>
        </w:rPr>
      </w:r>
      <w:r>
        <w:rPr/>
        <w:t>合伙）已于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日对公司首次公开发行股票的募集资金到位情况进行了审验，并出具</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7-43</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验资 报告。股票发行后注册资本变更为人民币</w:t>
      </w:r>
      <w:r>
        <w:rPr>
          <w:rFonts w:ascii="Times New Roman" w:hAnsi="Times New Roman" w:cs="Times New Roman" w:eastAsia="Times New Roman" w:hint="default"/>
        </w:rPr>
        <w:t>8,000</w:t>
      </w:r>
      <w:r>
        <w:rPr/>
        <w:t>万元。</w:t>
      </w:r>
    </w:p>
    <w:p>
      <w:pPr>
        <w:pStyle w:val="BodyText"/>
        <w:spacing w:line="240" w:lineRule="auto" w:before="43"/>
        <w:ind w:left="1568"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日，公司于深圳证券交易所挂牌上市，股票代码：</w:t>
      </w:r>
      <w:r>
        <w:rPr>
          <w:rFonts w:ascii="Times New Roman" w:hAnsi="Times New Roman" w:cs="Times New Roman" w:eastAsia="Times New Roman" w:hint="default"/>
        </w:rPr>
        <w:t>300448</w:t>
      </w:r>
      <w:r>
        <w:rPr/>
        <w:t>，股票简称</w:t>
      </w:r>
      <w:r>
        <w:rPr>
          <w:spacing w:val="-23"/>
        </w:rPr>
        <w:t> </w:t>
      </w:r>
      <w:r>
        <w:rPr>
          <w:rFonts w:ascii="Times New Roman" w:hAnsi="Times New Roman" w:cs="Times New Roman" w:eastAsia="Times New Roman" w:hint="default"/>
        </w:rPr>
        <w:t>“</w:t>
      </w:r>
      <w:r>
        <w:rPr/>
        <w:t>浩云科技</w:t>
      </w:r>
      <w:r>
        <w:rPr>
          <w:rFonts w:ascii="Times New Roman" w:hAnsi="Times New Roman" w:cs="Times New Roman" w:eastAsia="Times New Roman" w:hint="default"/>
        </w:rPr>
        <w:t>”</w:t>
      </w:r>
      <w:r>
        <w:rPr/>
        <w:t>，总股本为</w:t>
      </w:r>
      <w:r>
        <w:rPr>
          <w:rFonts w:ascii="Times New Roman" w:hAnsi="Times New Roman" w:cs="Times New Roman" w:eastAsia="Times New Roman" w:hint="default"/>
        </w:rPr>
        <w:t>8,000</w:t>
      </w:r>
      <w:r>
        <w:rPr/>
        <w:t>万股。</w:t>
      </w:r>
    </w:p>
    <w:p>
      <w:pPr>
        <w:spacing w:line="240" w:lineRule="auto" w:before="9"/>
        <w:rPr>
          <w:rFonts w:ascii="宋体" w:hAnsi="宋体" w:cs="宋体" w:eastAsia="宋体" w:hint="default"/>
          <w:sz w:val="16"/>
          <w:szCs w:val="16"/>
        </w:rPr>
      </w:pPr>
    </w:p>
    <w:p>
      <w:pPr>
        <w:pStyle w:val="BodyText"/>
        <w:spacing w:line="240" w:lineRule="auto"/>
        <w:ind w:left="1531"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日，公司授予的限制性股票上市，总股本变更为</w:t>
      </w:r>
      <w:r>
        <w:rPr>
          <w:rFonts w:ascii="Times New Roman" w:hAnsi="Times New Roman" w:cs="Times New Roman" w:eastAsia="Times New Roman" w:hint="default"/>
        </w:rPr>
        <w:t>8,068.85</w:t>
      </w:r>
      <w:r>
        <w:rPr/>
        <w:t>万股。</w:t>
      </w:r>
    </w:p>
    <w:p>
      <w:pPr>
        <w:spacing w:line="240" w:lineRule="auto" w:before="0"/>
        <w:rPr>
          <w:rFonts w:ascii="宋体" w:hAnsi="宋体" w:cs="宋体" w:eastAsia="宋体" w:hint="default"/>
          <w:sz w:val="18"/>
          <w:szCs w:val="18"/>
        </w:rPr>
      </w:pPr>
    </w:p>
    <w:p>
      <w:pPr>
        <w:pStyle w:val="Heading3"/>
        <w:spacing w:line="240" w:lineRule="auto"/>
        <w:ind w:left="1134" w:right="0"/>
        <w:jc w:val="left"/>
        <w:rPr>
          <w:b w:val="0"/>
          <w:bCs w:val="0"/>
        </w:rPr>
      </w:pPr>
      <w:r>
        <w:rPr>
          <w:rFonts w:ascii="Times New Roman" w:hAnsi="Times New Roman" w:cs="Times New Roman" w:eastAsia="Times New Roman" w:hint="default"/>
        </w:rPr>
        <w:t>3</w:t>
      </w:r>
      <w:r>
        <w:rPr/>
        <w:t>、公司经营范围</w:t>
      </w:r>
      <w:r>
        <w:rPr>
          <w:b w:val="0"/>
          <w:bCs w:val="0"/>
        </w:rPr>
      </w:r>
    </w:p>
    <w:p>
      <w:pPr>
        <w:spacing w:line="240" w:lineRule="auto" w:before="9"/>
        <w:rPr>
          <w:rFonts w:ascii="宋体" w:hAnsi="宋体" w:cs="宋体" w:eastAsia="宋体" w:hint="default"/>
          <w:b/>
          <w:bCs/>
          <w:sz w:val="18"/>
          <w:szCs w:val="18"/>
        </w:rPr>
      </w:pPr>
    </w:p>
    <w:p>
      <w:pPr>
        <w:pStyle w:val="BodyText"/>
        <w:spacing w:line="477" w:lineRule="auto"/>
        <w:ind w:left="1134" w:right="1032" w:firstLine="360"/>
        <w:jc w:val="left"/>
      </w:pPr>
      <w:r>
        <w:rPr/>
        <w:t>计算机技术开发、技术服务；安全技术防范系统设计、施工、维修；安全技术防范产品批发；安全技术防范产品零售； 信息系统集成服务；计算机网络系统工程服务；电子产品批发；电子产品零售；安全技术防范产品制造；网络技术的研究、 </w:t>
      </w:r>
      <w:r>
        <w:rPr>
          <w:spacing w:val="-2"/>
        </w:rPr>
        <w:t>开发；智能化安装工程服务；场地租赁（不含仓储）；机械设备租赁；房屋租赁；计算机及通讯设备租赁；机电设备安装服</w:t>
      </w:r>
      <w:r>
        <w:rPr>
          <w:spacing w:val="-67"/>
        </w:rPr>
        <w:t> </w:t>
      </w:r>
      <w:r>
        <w:rPr>
          <w:spacing w:val="-67"/>
        </w:rPr>
      </w:r>
      <w:r>
        <w:rPr>
          <w:spacing w:val="-2"/>
        </w:rPr>
        <w:t>务；机电设备安装工程专业承包；防雷工程专业施工；防雷工程专业设计服务；电子设备工程安装服务；受金融机构委托从</w:t>
      </w:r>
      <w:r>
        <w:rPr>
          <w:spacing w:val="-66"/>
        </w:rPr>
        <w:t> </w:t>
      </w:r>
      <w:r>
        <w:rPr>
          <w:spacing w:val="-66"/>
        </w:rPr>
      </w:r>
      <w:r>
        <w:rPr/>
        <w:t>事金融信息技术外包服务。</w:t>
      </w:r>
    </w:p>
    <w:p>
      <w:pPr>
        <w:pStyle w:val="Heading3"/>
        <w:spacing w:line="240" w:lineRule="auto" w:before="71"/>
        <w:ind w:left="1134" w:right="0"/>
        <w:jc w:val="left"/>
        <w:rPr>
          <w:b w:val="0"/>
          <w:bCs w:val="0"/>
        </w:rPr>
      </w:pPr>
      <w:r>
        <w:rPr>
          <w:rFonts w:ascii="Times New Roman" w:hAnsi="Times New Roman" w:cs="Times New Roman" w:eastAsia="Times New Roman" w:hint="default"/>
        </w:rPr>
        <w:t>4</w:t>
      </w:r>
      <w:r>
        <w:rPr/>
        <w:t>、公司主营业务</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1494" w:right="0"/>
        <w:jc w:val="left"/>
      </w:pPr>
      <w:r>
        <w:rPr/>
        <w:t>金融安防系统设计、集成和运维服务，以及相关软、硬件设备的研发、生产和销售。</w:t>
      </w:r>
    </w:p>
    <w:p>
      <w:pPr>
        <w:spacing w:line="240" w:lineRule="auto" w:before="0"/>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、本财务报表经公司董事会于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日批准报出。</w:t>
      </w:r>
      <w:r>
        <w:rPr>
          <w:b w:val="0"/>
          <w:bCs w:val="0"/>
        </w:rPr>
      </w:r>
    </w:p>
    <w:p>
      <w:pPr>
        <w:spacing w:line="240" w:lineRule="auto" w:before="10"/>
        <w:rPr>
          <w:rFonts w:ascii="宋体" w:hAnsi="宋体" w:cs="宋体" w:eastAsia="宋体" w:hint="default"/>
          <w:b/>
          <w:bCs/>
          <w:sz w:val="16"/>
          <w:szCs w:val="16"/>
        </w:rPr>
      </w:pPr>
    </w:p>
    <w:p>
      <w:pPr>
        <w:pStyle w:val="Heading3"/>
        <w:spacing w:line="386" w:lineRule="auto"/>
        <w:ind w:left="1134" w:right="0"/>
        <w:jc w:val="left"/>
        <w:rPr>
          <w:b w:val="0"/>
          <w:bCs w:val="0"/>
        </w:rPr>
      </w:pPr>
      <w:r>
        <w:rPr>
          <w:rFonts w:ascii="Times New Roman" w:hAnsi="Times New Roman" w:cs="Times New Roman" w:eastAsia="Times New Roman" w:hint="default"/>
        </w:rPr>
        <w:t>6</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日，公司合并范围内的子公司包括：广州市浩云安防设备有限公司、广州市苏瑞计</w:t>
      </w:r>
      <w:r>
        <w:rPr>
          <w:spacing w:val="-73"/>
        </w:rPr>
        <w:t> </w:t>
      </w:r>
      <w:r>
        <w:rPr>
          <w:spacing w:val="-73"/>
        </w:rPr>
      </w:r>
      <w:r>
        <w:rPr/>
        <w:t>算机科技有限公司、广州市万欣计算机科技有限公司共</w:t>
      </w:r>
      <w:r>
        <w:rPr>
          <w:rFonts w:ascii="Times New Roman" w:hAnsi="Times New Roman" w:cs="Times New Roman" w:eastAsia="Times New Roman" w:hint="default"/>
        </w:rPr>
        <w:t>3</w:t>
      </w:r>
      <w:r>
        <w:rPr/>
        <w:t>家公司。</w:t>
      </w:r>
      <w:r>
        <w:rPr>
          <w:b w:val="0"/>
          <w:bCs w:val="0"/>
        </w:rPr>
      </w:r>
    </w:p>
    <w:p>
      <w:pPr>
        <w:spacing w:after="0" w:line="386" w:lineRule="auto"/>
        <w:jc w:val="left"/>
        <w:sectPr>
          <w:pgSz w:w="11910" w:h="16840"/>
          <w:pgMar w:header="747" w:footer="979" w:top="1060" w:bottom="1160" w:left="0" w:right="0"/>
        </w:sectPr>
      </w:pPr>
    </w:p>
    <w:p>
      <w:pPr>
        <w:spacing w:line="240" w:lineRule="auto" w:before="7"/>
        <w:rPr>
          <w:rFonts w:ascii="宋体" w:hAnsi="宋体" w:cs="宋体" w:eastAsia="宋体" w:hint="default"/>
          <w:b/>
          <w:bCs/>
          <w:sz w:val="29"/>
          <w:szCs w:val="29"/>
        </w:rPr>
      </w:pPr>
    </w:p>
    <w:p>
      <w:pPr>
        <w:pStyle w:val="Heading2"/>
        <w:spacing w:line="240" w:lineRule="auto" w:before="26"/>
        <w:ind w:right="0"/>
        <w:jc w:val="left"/>
        <w:rPr>
          <w:b w:val="0"/>
          <w:bCs w:val="0"/>
        </w:rPr>
      </w:pPr>
      <w:bookmarkStart w:name="四、财务报表的编制基础" w:id="156"/>
      <w:bookmarkEnd w:id="156"/>
      <w:r>
        <w:rPr>
          <w:b w:val="0"/>
          <w:bCs w:val="0"/>
        </w:rPr>
      </w:r>
      <w:r>
        <w:rPr/>
        <w:t>四、财务报表的编制基础</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编制基础" w:id="157"/>
      <w:bookmarkEnd w:id="15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right="0"/>
        <w:jc w:val="left"/>
      </w:pPr>
      <w:r>
        <w:rPr/>
        <w:t>本公司财务报表以持续经营为编制基础。</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持续经营" w:id="158"/>
      <w:bookmarkEnd w:id="15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五、重要会计政策及会计估计" w:id="159"/>
      <w:bookmarkEnd w:id="159"/>
      <w:r>
        <w:rPr>
          <w:b w:val="0"/>
          <w:bCs w:val="0"/>
        </w:rPr>
      </w:r>
      <w:r>
        <w:rPr/>
        <w:t>五、重要会计政策及会计估计</w:t>
      </w:r>
      <w:r>
        <w:rPr>
          <w:b w:val="0"/>
          <w:bCs w:val="0"/>
        </w:rPr>
      </w:r>
    </w:p>
    <w:p>
      <w:pPr>
        <w:spacing w:line="240" w:lineRule="auto" w:before="0"/>
        <w:rPr>
          <w:rFonts w:ascii="宋体" w:hAnsi="宋体" w:cs="宋体" w:eastAsia="宋体" w:hint="default"/>
          <w:b/>
          <w:bCs/>
          <w:sz w:val="24"/>
          <w:szCs w:val="24"/>
        </w:rPr>
      </w:pPr>
    </w:p>
    <w:p>
      <w:pPr>
        <w:pStyle w:val="BodyText"/>
        <w:spacing w:line="496" w:lineRule="auto" w:before="189"/>
        <w:ind w:right="0"/>
        <w:jc w:val="left"/>
      </w:pPr>
      <w:r>
        <w:rPr/>
        <w:t>具体会计政策和会计估计提示： </w:t>
      </w:r>
      <w:r>
        <w:rPr>
          <w:spacing w:val="-2"/>
        </w:rPr>
        <w:t>本公司根据实际生产经营特点针对应收款项坏账准备计提、固定资产折旧、无形资产摊销、收入确认等交易或事项制定了具</w:t>
      </w:r>
      <w:r>
        <w:rPr>
          <w:spacing w:val="-66"/>
        </w:rPr>
        <w:t> </w:t>
      </w:r>
      <w:r>
        <w:rPr>
          <w:spacing w:val="-66"/>
        </w:rPr>
      </w:r>
      <w:r>
        <w:rPr/>
        <w:t>体会计政策和会计估计。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5"/>
        <w:ind w:right="0"/>
        <w:jc w:val="left"/>
        <w:rPr>
          <w:b w:val="0"/>
          <w:bCs w:val="0"/>
        </w:rPr>
      </w:pPr>
      <w:bookmarkStart w:name="1、遵循企业会计准则的声明" w:id="160"/>
      <w:bookmarkEnd w:id="16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spacing w:val="-4"/>
        </w:rPr>
        <w:t>本公司所编制的财务报表符合企业会计准则的要求，真实、完整地反映了公司的财务状况、经营成果和现金流量等有关信息。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会计期间" w:id="161"/>
      <w:bookmarkEnd w:id="16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3、营业周期" w:id="162"/>
      <w:bookmarkEnd w:id="16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公司经营业务的营业周期较短，以</w:t>
      </w:r>
      <w:r>
        <w:rPr>
          <w:rFonts w:ascii="宋体" w:hAnsi="宋体" w:cs="宋体" w:eastAsia="宋体" w:hint="default"/>
        </w:rPr>
        <w:t>12</w:t>
      </w:r>
      <w:r>
        <w:rPr/>
        <w:t>个月作为资产和负债的流动性划分标准。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4、记账本位币" w:id="163"/>
      <w:bookmarkEnd w:id="16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采用人民币为记账本位币。</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5、同一控制下和非同一控制下企业合并的会计处理方法" w:id="164"/>
      <w:bookmarkEnd w:id="16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w:t>
      </w:r>
      <w:r>
        <w:rPr>
          <w:spacing w:val="-5"/>
        </w:rPr>
        <w:t> </w:t>
      </w:r>
      <w:r>
        <w:rPr/>
        <w:t>同一控制下企业合并的会计处理方法</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477" w:lineRule="auto"/>
        <w:ind w:left="1134" w:right="1131" w:firstLine="360"/>
        <w:jc w:val="both"/>
      </w:pPr>
      <w:r>
        <w:rPr>
          <w:spacing w:val="-2"/>
        </w:rPr>
        <w:t>公司在企业合并中取得的资产和负债，按照合并日被合并方在最终控制方合并财务报表中的账面价值计量。公司按照被</w:t>
      </w:r>
      <w:r>
        <w:rPr/>
        <w:t> </w:t>
      </w:r>
      <w:r>
        <w:rPr>
          <w:spacing w:val="-2"/>
        </w:rPr>
        <w:t>合并方所有者权益在最终控制方合并财务报表中的账面价值份额与支付的合并对价账面价值或发行股份面值总额的差额，调</w:t>
      </w:r>
      <w:r>
        <w:rPr>
          <w:spacing w:val="-64"/>
        </w:rPr>
        <w:t> </w:t>
      </w:r>
      <w:r>
        <w:rPr>
          <w:spacing w:val="-64"/>
        </w:rPr>
      </w:r>
      <w:r>
        <w:rPr/>
        <w:t>整资本公积；资本公积不足冲减的，调整留存收益。</w:t>
      </w:r>
    </w:p>
    <w:p>
      <w:pPr>
        <w:spacing w:line="451" w:lineRule="auto" w:before="54"/>
        <w:ind w:left="149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14"/>
          <w:sz w:val="18"/>
          <w:szCs w:val="18"/>
        </w:rPr>
        <w:t> </w:t>
      </w:r>
      <w:r>
        <w:rPr>
          <w:rFonts w:ascii="宋体" w:hAnsi="宋体" w:cs="宋体" w:eastAsia="宋体" w:hint="default"/>
          <w:b/>
          <w:bCs/>
          <w:sz w:val="18"/>
          <w:szCs w:val="18"/>
        </w:rPr>
        <w:t>非同一控制下企业合并的会计处理方法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公司在购买日对合并成本大于合并中取得的被购买方可辨认净资产公允价值份额的差额，确认为商誉；如果合并成本小</w:t>
      </w:r>
    </w:p>
    <w:p>
      <w:pPr>
        <w:pStyle w:val="BodyText"/>
        <w:spacing w:line="477" w:lineRule="auto" w:before="74"/>
        <w:ind w:left="1134" w:right="1132"/>
        <w:jc w:val="both"/>
      </w:pPr>
      <w:r>
        <w:rPr>
          <w:spacing w:val="-2"/>
        </w:rPr>
        <w:t>于合并中取得的被购买方可辨认净资产公允价值份额，首先对取得的被购买方各项可辨认资产、负债及或有负债的公允价值</w:t>
      </w:r>
      <w:r>
        <w:rPr>
          <w:spacing w:val="-64"/>
        </w:rPr>
        <w:t> </w:t>
      </w:r>
      <w:r>
        <w:rPr>
          <w:spacing w:val="-64"/>
        </w:rPr>
      </w:r>
      <w:r>
        <w:rPr>
          <w:spacing w:val="-2"/>
        </w:rPr>
        <w:t>以及合并成本的计量进行复核，经复核后合并成本仍小于合并中取得的被购买方可辨认净资产公允价值份额的，其差额计入</w:t>
      </w:r>
      <w:r>
        <w:rPr>
          <w:spacing w:val="-64"/>
        </w:rPr>
        <w:t> </w:t>
      </w:r>
      <w:r>
        <w:rPr>
          <w:spacing w:val="-64"/>
        </w:rPr>
      </w:r>
      <w:r>
        <w:rPr/>
        <w:t>当期损益。</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6、合并财务报表的编制方法" w:id="165"/>
      <w:bookmarkEnd w:id="16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Heading4"/>
        <w:spacing w:line="451" w:lineRule="auto"/>
        <w:ind w:left="1134" w:right="0"/>
        <w:jc w:val="left"/>
        <w:rPr>
          <w:b w:val="0"/>
          <w:bCs w:val="0"/>
        </w:rPr>
      </w:pPr>
      <w:r>
        <w:rPr>
          <w:w w:val="95"/>
        </w:rPr>
        <w:t>（</w:t>
      </w:r>
      <w:r>
        <w:rPr>
          <w:rFonts w:ascii="Times New Roman" w:hAnsi="Times New Roman" w:cs="Times New Roman" w:eastAsia="Times New Roman" w:hint="default"/>
          <w:w w:val="95"/>
        </w:rPr>
        <w:t>1</w:t>
      </w:r>
      <w:r>
        <w:rPr>
          <w:w w:val="95"/>
        </w:rPr>
        <w:t>）母公司将其控制的所有子公司纳入合并财务报表的合并范围。合并财务报表以母公司及其子公司的财务报表为基础，</w:t>
      </w:r>
      <w:r>
        <w:rPr>
          <w:spacing w:val="45"/>
          <w:w w:val="95"/>
        </w:rPr>
        <w:t> </w:t>
      </w:r>
      <w:r>
        <w:rPr>
          <w:spacing w:val="45"/>
          <w:w w:val="95"/>
        </w:rPr>
      </w:r>
      <w:r>
        <w:rPr/>
        <w:t>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r>
        <w:rPr>
          <w:b w:val="0"/>
          <w:bCs w:val="0"/>
        </w:rPr>
      </w:r>
    </w:p>
    <w:p>
      <w:pPr>
        <w:pStyle w:val="Heading4"/>
        <w:spacing w:line="240" w:lineRule="auto" w:before="43"/>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）对同一子公司的股权在连续两个会计年度买入再卖出，或卖出再买入的相关会计处理方法。</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pStyle w:val="Heading3"/>
        <w:spacing w:line="240" w:lineRule="auto"/>
        <w:ind w:right="0"/>
        <w:jc w:val="left"/>
        <w:rPr>
          <w:b w:val="0"/>
          <w:bCs w:val="0"/>
        </w:rPr>
      </w:pPr>
      <w:bookmarkStart w:name="7、合营安排分类及共同经营会计处理方法" w:id="166"/>
      <w:bookmarkEnd w:id="16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4" w:right="0"/>
        <w:jc w:val="left"/>
        <w:rPr>
          <w:b w:val="0"/>
          <w:bCs w:val="0"/>
        </w:rPr>
      </w:pPr>
      <w:bookmarkStart w:name="8、现金及现金等价物的确定标准" w:id="167"/>
      <w:bookmarkEnd w:id="16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4"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4" w:right="0"/>
        <w:jc w:val="left"/>
        <w:rPr>
          <w:b w:val="0"/>
          <w:bCs w:val="0"/>
        </w:rPr>
      </w:pPr>
      <w:bookmarkStart w:name="9、外币业务和外币报表折算" w:id="168"/>
      <w:bookmarkEnd w:id="16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4"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4" w:right="0"/>
        <w:jc w:val="left"/>
        <w:rPr>
          <w:b w:val="0"/>
          <w:bCs w:val="0"/>
        </w:rPr>
      </w:pPr>
      <w:bookmarkStart w:name="10、金融工具" w:id="169"/>
      <w:bookmarkEnd w:id="16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spacing w:line="451" w:lineRule="auto" w:before="0"/>
        <w:ind w:left="149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1"/>
          <w:sz w:val="18"/>
          <w:szCs w:val="18"/>
        </w:rPr>
        <w:t> </w:t>
      </w:r>
      <w:r>
        <w:rPr>
          <w:rFonts w:ascii="宋体" w:hAnsi="宋体" w:cs="宋体" w:eastAsia="宋体" w:hint="default"/>
          <w:b/>
          <w:bCs/>
          <w:sz w:val="18"/>
          <w:szCs w:val="18"/>
        </w:rPr>
        <w:t>金融资产和金融负债的分类</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金融资产在初始确认时划分为以下四类：以公允价值计量且其变动计入当期损益的金融资产（包括交易性金融资产和在</w:t>
      </w:r>
    </w:p>
    <w:p>
      <w:pPr>
        <w:pStyle w:val="BodyText"/>
        <w:spacing w:line="240" w:lineRule="auto" w:before="74"/>
        <w:ind w:left="1134" w:right="0"/>
        <w:jc w:val="left"/>
      </w:pPr>
      <w:r>
        <w:rPr/>
        <w:t>初始确认时指定为以公允价值计量且其变动计入当期损益的金融资产）、持有至到期投资、贷款和应收款项、可供出售金融</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134" w:right="0"/>
        <w:jc w:val="left"/>
      </w:pPr>
      <w:r>
        <w:rPr/>
        <w:t>资产。</w:t>
      </w:r>
    </w:p>
    <w:p>
      <w:pPr>
        <w:spacing w:line="240" w:lineRule="auto" w:before="10"/>
        <w:rPr>
          <w:rFonts w:ascii="宋体" w:hAnsi="宋体" w:cs="宋体" w:eastAsia="宋体" w:hint="default"/>
          <w:sz w:val="17"/>
          <w:szCs w:val="17"/>
        </w:rPr>
      </w:pPr>
    </w:p>
    <w:p>
      <w:pPr>
        <w:pStyle w:val="BodyText"/>
        <w:spacing w:line="477" w:lineRule="auto"/>
        <w:ind w:left="1134" w:right="0" w:firstLine="360"/>
        <w:jc w:val="left"/>
      </w:pPr>
      <w:r>
        <w:rPr>
          <w:spacing w:val="-2"/>
        </w:rPr>
        <w:t>金融负债在初始确认时划分为以下两类：以公允价值计量且其变动计入当期损益的金融负债（包括交易性金融负债和在</w:t>
      </w:r>
      <w:r>
        <w:rPr/>
        <w:t> 初始确认时指定为以公允价值计量且其变动计入当期损益的金融负债）、其他金融负债。</w:t>
      </w:r>
    </w:p>
    <w:p>
      <w:pPr>
        <w:spacing w:line="451" w:lineRule="auto" w:before="54"/>
        <w:ind w:left="149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）金融资产和金融负债的确认依据、计量方法和终止确认条件</w:t>
      </w:r>
      <w:r>
        <w:rPr>
          <w:rFonts w:ascii="宋体" w:hAnsi="宋体" w:cs="宋体" w:eastAsia="宋体" w:hint="default"/>
          <w:b/>
          <w:bCs/>
          <w:w w:val="99"/>
          <w:sz w:val="18"/>
          <w:szCs w:val="18"/>
        </w:rPr>
        <w:t> </w:t>
      </w:r>
      <w:r>
        <w:rPr>
          <w:rFonts w:ascii="宋体" w:hAnsi="宋体" w:cs="宋体" w:eastAsia="宋体" w:hint="default"/>
          <w:spacing w:val="-4"/>
          <w:sz w:val="18"/>
          <w:szCs w:val="18"/>
        </w:rPr>
        <w:t>公司成为金融工具合同的一方时，确认一项金融资产或金融负债。初始确认金融资产或金融负债时，按照公允价值计量；</w:t>
      </w:r>
    </w:p>
    <w:p>
      <w:pPr>
        <w:pStyle w:val="BodyText"/>
        <w:spacing w:line="477" w:lineRule="auto" w:before="74"/>
        <w:ind w:left="1134" w:right="1132"/>
        <w:jc w:val="both"/>
      </w:pPr>
      <w:r>
        <w:rPr>
          <w:spacing w:val="-2"/>
        </w:rPr>
        <w:t>对于以公允价值计量且其变动计入当期损益的金融资产和金融负债，相关交易费用直接计入当期损益；对于其他类别的金融</w:t>
      </w:r>
      <w:r>
        <w:rPr>
          <w:spacing w:val="-64"/>
        </w:rPr>
        <w:t> </w:t>
      </w:r>
      <w:r>
        <w:rPr>
          <w:spacing w:val="-64"/>
        </w:rPr>
      </w:r>
      <w:r>
        <w:rPr/>
        <w:t>资产或金融负债，相关交易费用计入初始确认金额。</w:t>
      </w:r>
    </w:p>
    <w:p>
      <w:pPr>
        <w:pStyle w:val="BodyText"/>
        <w:spacing w:line="240" w:lineRule="auto" w:before="54"/>
        <w:ind w:left="0" w:right="1050"/>
        <w:jc w:val="right"/>
      </w:pPr>
      <w:r>
        <w:rPr/>
        <w:t>公司按照公允价值对金融资产进行后续计量，且不扣除将来处置该金融资产时可能发生的交易费用，但下列情况除外：</w:t>
      </w:r>
    </w:p>
    <w:p>
      <w:pPr>
        <w:spacing w:line="240" w:lineRule="auto" w:before="10"/>
        <w:rPr>
          <w:rFonts w:ascii="宋体" w:hAnsi="宋体" w:cs="宋体" w:eastAsia="宋体" w:hint="default"/>
          <w:sz w:val="17"/>
          <w:szCs w:val="17"/>
        </w:rPr>
      </w:pPr>
    </w:p>
    <w:p>
      <w:pPr>
        <w:pStyle w:val="BodyText"/>
        <w:spacing w:line="477" w:lineRule="auto"/>
        <w:ind w:left="1134" w:right="1132"/>
        <w:jc w:val="both"/>
      </w:pPr>
      <w:r>
        <w:rPr>
          <w:spacing w:val="-2"/>
        </w:rPr>
        <w:t>①持有至到期投资以及贷款和应收款项采用实际利率法，按摊余成本计量；②在活跃市场中没有报价且其公允价值不能可靠</w:t>
      </w:r>
      <w:r>
        <w:rPr>
          <w:spacing w:val="-64"/>
        </w:rPr>
        <w:t> </w:t>
      </w:r>
      <w:r>
        <w:rPr>
          <w:spacing w:val="-64"/>
        </w:rPr>
      </w:r>
      <w:r>
        <w:rPr/>
        <w:t>计量的权益工具投资，以及与该权益工具挂钩并须通过交付该权益工具结算的衍生金融资产，按照成本计量。</w:t>
      </w:r>
    </w:p>
    <w:p>
      <w:pPr>
        <w:pStyle w:val="BodyText"/>
        <w:spacing w:line="472" w:lineRule="auto" w:before="54"/>
        <w:ind w:right="1109" w:firstLine="360"/>
        <w:jc w:val="right"/>
      </w:pPr>
      <w:r>
        <w:rPr>
          <w:spacing w:val="-2"/>
        </w:rPr>
        <w:t>公司采用实际利率法，按摊余成本对金融负债进行后续计量，但下列情况除外：①以公允价值计量且其变动计入当期损</w:t>
      </w:r>
      <w:r>
        <w:rPr/>
        <w:t> </w:t>
      </w:r>
      <w:r>
        <w:rPr>
          <w:spacing w:val="-2"/>
        </w:rPr>
        <w:t>益的金融负债，按照公允价值计量，且不扣除将来结清金融负债时可能发生的交易费用；②与在活跃市场中没有报价、公允</w:t>
      </w:r>
      <w:r>
        <w:rPr/>
        <w:t> </w:t>
      </w:r>
      <w:r>
        <w:rPr>
          <w:spacing w:val="-2"/>
        </w:rPr>
        <w:t>价值不能可靠计量的权益工具挂钩并须通过交付该权益工具结算的衍生金融负债，按照成本计量；③不属于指定为以公允价</w:t>
      </w:r>
      <w:r>
        <w:rPr/>
        <w:t> </w:t>
      </w:r>
      <w:r>
        <w:rPr>
          <w:spacing w:val="-2"/>
        </w:rPr>
        <w:t>值计量且其变动计入当期损益的金融负债的财务担保合同，或没有指定为以公允价值计量且其变动计入当期损益并将以低于</w:t>
      </w:r>
      <w:r>
        <w:rPr/>
        <w:t> </w:t>
      </w:r>
      <w:r>
        <w:rPr>
          <w:spacing w:val="-4"/>
        </w:rPr>
        <w:t>市场利率贷款的贷款承诺，在初始确认后按照下列两项金额之中的较高者进行后续计量：</w:t>
      </w:r>
      <w:r>
        <w:rPr>
          <w:rFonts w:ascii="Times New Roman" w:hAnsi="Times New Roman" w:cs="Times New Roman" w:eastAsia="Times New Roman" w:hint="default"/>
          <w:spacing w:val="-4"/>
        </w:rPr>
        <w:t>A</w:t>
      </w:r>
      <w:r>
        <w:rPr>
          <w:spacing w:val="-4"/>
        </w:rPr>
        <w:t>、按照《企业会计准则第</w:t>
      </w:r>
      <w:r>
        <w:rPr>
          <w:rFonts w:ascii="Times New Roman" w:hAnsi="Times New Roman" w:cs="Times New Roman" w:eastAsia="Times New Roman" w:hint="default"/>
          <w:spacing w:val="-4"/>
        </w:rPr>
        <w:t>13</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t>或有事项》确定的金额；</w:t>
      </w:r>
      <w:r>
        <w:rPr>
          <w:rFonts w:ascii="Times New Roman" w:hAnsi="Times New Roman" w:cs="Times New Roman" w:eastAsia="Times New Roman" w:hint="default"/>
        </w:rPr>
        <w:t>B</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收入》的原则确定的累积摊销额后的余额。 </w:t>
      </w:r>
      <w:r>
        <w:rPr>
          <w:spacing w:val="-2"/>
        </w:rPr>
        <w:t>金融资产或金融负债公允价值变动形成的利得或损失，除与套期保值有关外，按照如下方法处理：①以公允价值计量且</w:t>
      </w:r>
      <w:r>
        <w:rPr/>
        <w:t> </w:t>
      </w:r>
      <w:r>
        <w:rPr>
          <w:spacing w:val="-2"/>
        </w:rPr>
        <w:t>其变动计入当期损益的金融资产或金融负债公允价值变动形成的利得或损失，计入公允价值变动收益；在资产持有期间所取</w:t>
      </w:r>
      <w:r>
        <w:rPr/>
        <w:t> </w:t>
      </w:r>
      <w:r>
        <w:rPr>
          <w:spacing w:val="-2"/>
        </w:rPr>
        <w:t>得的利息或现金股利，确认为投资收益；处置时，将实际收到的金额与初始入账金额之间的差额确认为投资收益，同时调整</w:t>
      </w:r>
      <w:r>
        <w:rPr/>
        <w:t> </w:t>
      </w:r>
      <w:r>
        <w:rPr>
          <w:spacing w:val="-2"/>
        </w:rPr>
        <w:t>公允价值变动收益。②可供出售金融资产的公允价值变动计入其他综合收益；持有期间按实际利率法计算的利息，计入投资</w:t>
      </w:r>
      <w:r>
        <w:rPr/>
        <w:t> </w:t>
      </w:r>
      <w:r>
        <w:rPr>
          <w:spacing w:val="-2"/>
        </w:rPr>
        <w:t>收益；可供出售权益工具投资的现金股利，于被投资单位宣告发放股利时计入投资收益；处置时，将实际收到的金额与账面</w:t>
      </w:r>
    </w:p>
    <w:p>
      <w:pPr>
        <w:pStyle w:val="BodyText"/>
        <w:spacing w:line="477" w:lineRule="auto" w:before="58"/>
        <w:ind w:left="1494" w:right="0" w:hanging="360"/>
        <w:jc w:val="left"/>
      </w:pPr>
      <w:r>
        <w:rPr/>
        <w:t>价值扣除原直接计入其他综合收益的公允价值变动累计额之后的差额确认为投资收益。 </w:t>
      </w:r>
      <w:r>
        <w:rPr>
          <w:spacing w:val="-2"/>
        </w:rPr>
        <w:t>当收取某项金融资产现金流量的合同权利已终止或该金融资产所有权上几乎所有的风险和报酬已转移时，终止确认该金</w:t>
      </w:r>
    </w:p>
    <w:p>
      <w:pPr>
        <w:pStyle w:val="BodyText"/>
        <w:spacing w:line="240" w:lineRule="auto" w:before="54"/>
        <w:ind w:left="1134" w:right="0"/>
        <w:jc w:val="left"/>
      </w:pPr>
      <w:r>
        <w:rPr/>
        <w:t>融资产；当金融负债的现时义务全部或部分解除时，相应终止确认该金融负债或其一部分。</w:t>
      </w:r>
    </w:p>
    <w:p>
      <w:pPr>
        <w:spacing w:line="240" w:lineRule="auto" w:before="10"/>
        <w:rPr>
          <w:rFonts w:ascii="宋体" w:hAnsi="宋体" w:cs="宋体" w:eastAsia="宋体" w:hint="default"/>
          <w:sz w:val="17"/>
          <w:szCs w:val="17"/>
        </w:rPr>
      </w:pPr>
    </w:p>
    <w:p>
      <w:pPr>
        <w:spacing w:line="451" w:lineRule="auto" w:before="0"/>
        <w:ind w:left="149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1"/>
          <w:sz w:val="18"/>
          <w:szCs w:val="18"/>
        </w:rPr>
        <w:t> </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公司已将金融资产所有权上几乎所有的风险和报酬转移给了转入方的，终止确认该金融资产；保留了金融资产所有权上</w:t>
      </w:r>
    </w:p>
    <w:p>
      <w:pPr>
        <w:pStyle w:val="BodyText"/>
        <w:spacing w:line="477" w:lineRule="auto" w:before="74"/>
        <w:ind w:left="1134" w:right="1131"/>
        <w:jc w:val="both"/>
      </w:pPr>
      <w:r>
        <w:rPr>
          <w:spacing w:val="-2"/>
        </w:rPr>
        <w:t>几乎所有的风险和报酬的，继续确认所转移的金融资产，并将收到的对价确认为一项金融负债。公司既没有转移也没有保留</w:t>
      </w:r>
      <w:r>
        <w:rPr>
          <w:spacing w:val="-66"/>
        </w:rPr>
        <w:t> </w:t>
      </w:r>
      <w:r>
        <w:rPr>
          <w:spacing w:val="-66"/>
        </w:rPr>
      </w:r>
      <w:r>
        <w:rPr>
          <w:spacing w:val="-2"/>
        </w:rPr>
        <w:t>金融资产所有权上几乎所有的风险和报酬的，分别下列情况处理：①放弃了对该金融资产控制的，终止确认该金融资产；②</w:t>
      </w:r>
      <w:r>
        <w:rPr>
          <w:spacing w:val="-66"/>
        </w:rPr>
        <w:t> </w:t>
      </w:r>
      <w:r>
        <w:rPr>
          <w:spacing w:val="-66"/>
        </w:rPr>
      </w:r>
      <w:r>
        <w:rPr/>
        <w:t>未放弃对该金融资产控制的，按照继续涉入所转移金融资产的程度确认有关金融资产，并相应确认有关负债。</w:t>
      </w:r>
    </w:p>
    <w:p>
      <w:pPr>
        <w:pStyle w:val="BodyText"/>
        <w:spacing w:line="240" w:lineRule="auto" w:before="54"/>
        <w:ind w:left="0" w:right="1133"/>
        <w:jc w:val="right"/>
      </w:pPr>
      <w:r>
        <w:rPr>
          <w:spacing w:val="-2"/>
        </w:rPr>
        <w:t>金融资产整体转移满足终止确认条件的，将下列两项金额的差额计入当期损益：①所转移金融资产的账面价值；②因转</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2"/>
        <w:jc w:val="both"/>
      </w:pPr>
      <w:r>
        <w:rPr>
          <w:spacing w:val="-2"/>
        </w:rPr>
        <w:t>移而收到的对价，与原直接计入所有者权益的公允价值变动累计额之和。金融资产部分转移满足终止确认条件的，将所转移</w:t>
      </w:r>
      <w:r>
        <w:rPr>
          <w:spacing w:val="-66"/>
        </w:rPr>
        <w:t> </w:t>
      </w:r>
      <w:r>
        <w:rPr>
          <w:spacing w:val="-66"/>
        </w:rPr>
      </w:r>
      <w:r>
        <w:rPr>
          <w:spacing w:val="-2"/>
        </w:rPr>
        <w:t>金融资产整体的账面价值，在终止确认部分和未终止确认部分之间，按照各自的相对公允价值进行分摊，并将下列两项金额</w:t>
      </w:r>
      <w:r>
        <w:rPr>
          <w:spacing w:val="-66"/>
        </w:rPr>
        <w:t> </w:t>
      </w:r>
      <w:r>
        <w:rPr>
          <w:spacing w:val="-66"/>
        </w:rPr>
      </w:r>
      <w:r>
        <w:rPr>
          <w:spacing w:val="-2"/>
        </w:rPr>
        <w:t>的差额计入当期损益：①终止确认部分的账面价值；②终止确认部分的对价，与原直接计入所有者权益的公允价值变动累计</w:t>
      </w:r>
      <w:r>
        <w:rPr>
          <w:spacing w:val="-66"/>
        </w:rPr>
        <w:t> </w:t>
      </w:r>
      <w:r>
        <w:rPr>
          <w:spacing w:val="-66"/>
        </w:rPr>
      </w:r>
      <w:r>
        <w:rPr/>
        <w:t>额中对应终止确认部分的金额之和。</w:t>
      </w:r>
    </w:p>
    <w:p>
      <w:pPr>
        <w:spacing w:line="451" w:lineRule="auto" w:before="54"/>
        <w:ind w:left="1494"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）金融资产和金融负债的公允价值确定方法</w:t>
      </w:r>
      <w:r>
        <w:rPr>
          <w:rFonts w:ascii="宋体" w:hAnsi="宋体" w:cs="宋体" w:eastAsia="宋体" w:hint="default"/>
          <w:b/>
          <w:bCs/>
          <w:w w:val="99"/>
          <w:sz w:val="18"/>
          <w:szCs w:val="18"/>
        </w:rPr>
        <w:t> </w:t>
      </w:r>
      <w:r>
        <w:rPr>
          <w:rFonts w:ascii="宋体" w:hAnsi="宋体" w:cs="宋体" w:eastAsia="宋体" w:hint="default"/>
          <w:sz w:val="18"/>
          <w:szCs w:val="18"/>
        </w:rPr>
        <w:t>公司采用在当前情况下适用并且有足够可利用数据和其他信息支持的估值技术确定相关金融资产和金融负债的公允价</w:t>
      </w:r>
    </w:p>
    <w:p>
      <w:pPr>
        <w:pStyle w:val="BodyText"/>
        <w:spacing w:line="240" w:lineRule="auto" w:before="74"/>
        <w:ind w:left="1134" w:right="0"/>
        <w:jc w:val="both"/>
      </w:pPr>
      <w:r>
        <w:rPr/>
        <w:t>值。公司将估值技术使用的输入值分以下层级，并依次使用：</w:t>
      </w:r>
    </w:p>
    <w:p>
      <w:pPr>
        <w:spacing w:line="240" w:lineRule="auto" w:before="10"/>
        <w:rPr>
          <w:rFonts w:ascii="宋体" w:hAnsi="宋体" w:cs="宋体" w:eastAsia="宋体" w:hint="default"/>
          <w:sz w:val="17"/>
          <w:szCs w:val="17"/>
        </w:rPr>
      </w:pPr>
    </w:p>
    <w:p>
      <w:pPr>
        <w:pStyle w:val="BodyText"/>
        <w:spacing w:line="240" w:lineRule="auto"/>
        <w:ind w:left="1494" w:right="0"/>
        <w:jc w:val="left"/>
      </w:pPr>
      <w:r>
        <w:rPr/>
        <w:t>①第一层次输入值是在计量日能够取得的相同资产或负债在活跃市场上未经调整的报价；</w:t>
      </w:r>
    </w:p>
    <w:p>
      <w:pPr>
        <w:spacing w:line="240" w:lineRule="auto" w:before="10"/>
        <w:rPr>
          <w:rFonts w:ascii="宋体" w:hAnsi="宋体" w:cs="宋体" w:eastAsia="宋体" w:hint="default"/>
          <w:sz w:val="17"/>
          <w:szCs w:val="17"/>
        </w:rPr>
      </w:pPr>
    </w:p>
    <w:p>
      <w:pPr>
        <w:pStyle w:val="BodyText"/>
        <w:spacing w:line="477" w:lineRule="auto"/>
        <w:ind w:left="1134" w:right="1131" w:firstLine="360"/>
        <w:jc w:val="both"/>
      </w:pPr>
      <w:r>
        <w:rPr>
          <w:spacing w:val="-2"/>
        </w:rPr>
        <w:t>②第二层次输入值是除第一层次输入值外相关资产或负债直接或间接可观察的输入值，包括：活跃市场中类似资产或负</w:t>
      </w:r>
      <w:r>
        <w:rPr/>
        <w:t> </w:t>
      </w:r>
      <w:r>
        <w:rPr>
          <w:spacing w:val="-2"/>
        </w:rPr>
        <w:t>债的报价；非活跃市场中相同或类似资产或负债的报价；除报价以外的其他可观察输入值，如在正常报价间隔期间可观察的</w:t>
      </w:r>
      <w:r>
        <w:rPr>
          <w:spacing w:val="-66"/>
        </w:rPr>
        <w:t> </w:t>
      </w:r>
      <w:r>
        <w:rPr>
          <w:spacing w:val="-66"/>
        </w:rPr>
      </w:r>
      <w:r>
        <w:rPr/>
        <w:t>利率和收益率曲线等；市场验证的输入值等；</w:t>
      </w:r>
    </w:p>
    <w:p>
      <w:pPr>
        <w:pStyle w:val="BodyText"/>
        <w:spacing w:line="477" w:lineRule="auto" w:before="54"/>
        <w:ind w:left="1134" w:right="1132" w:firstLine="360"/>
        <w:jc w:val="both"/>
      </w:pPr>
      <w:r>
        <w:rPr>
          <w:spacing w:val="-2"/>
        </w:rPr>
        <w:t>③第三层次输入值是相关资产或负债的不可观察输入值，包括不能直接观察或无法由可观察市场数据验证的利率、股票</w:t>
      </w:r>
      <w:r>
        <w:rPr/>
        <w:t> 波动率、企业合并中承担的弃置义务的未来现金流量、使用自身数据作出的财务预测等。</w:t>
      </w:r>
    </w:p>
    <w:p>
      <w:pPr>
        <w:pStyle w:val="Heading4"/>
        <w:spacing w:line="240" w:lineRule="auto" w:before="54"/>
        <w:ind w:right="0"/>
        <w:jc w:val="both"/>
        <w:rPr>
          <w:b w:val="0"/>
          <w:bCs w:val="0"/>
        </w:rPr>
      </w:pPr>
      <w:r>
        <w:rPr/>
        <w:t>（</w:t>
      </w:r>
      <w:r>
        <w:rPr>
          <w:rFonts w:ascii="Times New Roman" w:hAnsi="Times New Roman" w:cs="Times New Roman" w:eastAsia="Times New Roman" w:hint="default"/>
        </w:rPr>
        <w:t>5</w:t>
      </w:r>
      <w:r>
        <w:rPr/>
        <w:t>）</w:t>
      </w:r>
      <w:r>
        <w:rPr>
          <w:spacing w:val="-5"/>
        </w:rPr>
        <w:t> </w:t>
      </w:r>
      <w:r>
        <w:rPr/>
        <w:t>金融资产的减值测试和减值准备计提方法</w:t>
      </w:r>
      <w:r>
        <w:rPr>
          <w:b w:val="0"/>
          <w:bCs w:val="0"/>
        </w:rPr>
      </w:r>
    </w:p>
    <w:p>
      <w:pPr>
        <w:spacing w:line="240" w:lineRule="auto" w:before="9"/>
        <w:rPr>
          <w:rFonts w:ascii="宋体" w:hAnsi="宋体" w:cs="宋体" w:eastAsia="宋体" w:hint="default"/>
          <w:b/>
          <w:bCs/>
          <w:sz w:val="16"/>
          <w:szCs w:val="16"/>
        </w:rPr>
      </w:pPr>
    </w:p>
    <w:p>
      <w:pPr>
        <w:pStyle w:val="BodyText"/>
        <w:spacing w:line="477" w:lineRule="auto"/>
        <w:ind w:left="1134" w:right="1131" w:firstLine="360"/>
        <w:jc w:val="both"/>
      </w:pPr>
      <w:r>
        <w:rPr>
          <w:spacing w:val="-2"/>
        </w:rPr>
        <w:t>①资产负债表日对以公允价值计量且其变动计入当期损益的金融资产以外的金融资产的账面价值进行检查，如有客观证</w:t>
      </w:r>
      <w:r>
        <w:rPr/>
        <w:t> 据表明该金融资产发生减值的，计提减值准备。</w:t>
      </w:r>
    </w:p>
    <w:p>
      <w:pPr>
        <w:pStyle w:val="BodyText"/>
        <w:spacing w:line="477" w:lineRule="auto" w:before="54"/>
        <w:ind w:left="1134" w:right="1131" w:firstLine="360"/>
        <w:jc w:val="both"/>
      </w:pPr>
      <w:r>
        <w:rPr>
          <w:spacing w:val="-2"/>
        </w:rPr>
        <w:t>②对于持有至到期投资、贷款和应收款，先将单项金额重大的金融资产区分开来，单独进行减值测试；对单项金额不重</w:t>
      </w:r>
      <w:r>
        <w:rPr/>
        <w:t> </w:t>
      </w:r>
      <w:r>
        <w:rPr>
          <w:spacing w:val="-2"/>
        </w:rPr>
        <w:t>大的金融资产，可以单独进行减值测试，或包括在具有类似信用风险特征的金融资产组合中进行减值测试；单独测试未发生</w:t>
      </w:r>
      <w:r>
        <w:rPr>
          <w:spacing w:val="-66"/>
        </w:rPr>
        <w:t> </w:t>
      </w:r>
      <w:r>
        <w:rPr>
          <w:spacing w:val="-66"/>
        </w:rPr>
      </w:r>
      <w:r>
        <w:rPr>
          <w:spacing w:val="-2"/>
        </w:rPr>
        <w:t>减值的金融资产（包括单项金额重大和不重大的金融资产），包括在具有类似信用风险特征的金融资产组合中再进行减值测</w:t>
      </w:r>
      <w:r>
        <w:rPr>
          <w:spacing w:val="-66"/>
        </w:rPr>
        <w:t> </w:t>
      </w:r>
      <w:r>
        <w:rPr>
          <w:spacing w:val="-66"/>
        </w:rPr>
      </w:r>
      <w:r>
        <w:rPr/>
        <w:t>试。测试结果表明其发生了减值的，根据其账面价值高于预计未来现金流量现值的差额确认减值损失。</w:t>
      </w:r>
    </w:p>
    <w:p>
      <w:pPr>
        <w:pStyle w:val="BodyText"/>
        <w:spacing w:line="463" w:lineRule="auto" w:before="54"/>
        <w:ind w:left="1494" w:right="5762"/>
        <w:jc w:val="left"/>
      </w:pPr>
      <w:r>
        <w:rPr/>
        <w:t>③可供出售金融资产 </w:t>
      </w:r>
      <w:r>
        <w:rPr>
          <w:rFonts w:ascii="Times New Roman" w:hAnsi="Times New Roman" w:cs="Times New Roman" w:eastAsia="Times New Roman" w:hint="default"/>
        </w:rPr>
        <w:t>A</w:t>
      </w:r>
      <w:r>
        <w:rPr/>
        <w:t>、表明可供出售债务工具投资发生减值的客观证据包括： </w:t>
      </w:r>
      <w:r>
        <w:rPr>
          <w:rFonts w:ascii="Times New Roman" w:hAnsi="Times New Roman" w:cs="Times New Roman" w:eastAsia="Times New Roman" w:hint="default"/>
        </w:rPr>
        <w:t>a</w:t>
      </w:r>
      <w:r>
        <w:rPr/>
        <w:t>、债务人发生严重财务困难；</w:t>
      </w:r>
    </w:p>
    <w:p>
      <w:pPr>
        <w:pStyle w:val="BodyText"/>
        <w:spacing w:line="240" w:lineRule="auto" w:before="33"/>
        <w:ind w:left="1494" w:right="0"/>
        <w:jc w:val="left"/>
      </w:pPr>
      <w:r>
        <w:rPr>
          <w:rFonts w:ascii="Times New Roman" w:hAnsi="Times New Roman" w:cs="Times New Roman" w:eastAsia="Times New Roman" w:hint="default"/>
        </w:rPr>
        <w:t>b</w:t>
      </w:r>
      <w:r>
        <w:rPr/>
        <w:t>、 债务人违反了合同条款，如偿付利息或本金发生违约或逾期；</w:t>
      </w:r>
    </w:p>
    <w:p>
      <w:pPr>
        <w:spacing w:line="240" w:lineRule="auto" w:before="9"/>
        <w:rPr>
          <w:rFonts w:ascii="宋体" w:hAnsi="宋体" w:cs="宋体" w:eastAsia="宋体" w:hint="default"/>
          <w:sz w:val="16"/>
          <w:szCs w:val="16"/>
        </w:rPr>
      </w:pPr>
    </w:p>
    <w:p>
      <w:pPr>
        <w:pStyle w:val="BodyText"/>
        <w:spacing w:line="451" w:lineRule="auto"/>
        <w:ind w:left="1494" w:right="3917"/>
        <w:jc w:val="left"/>
      </w:pPr>
      <w:r>
        <w:rPr>
          <w:rFonts w:ascii="Times New Roman" w:hAnsi="Times New Roman" w:cs="Times New Roman" w:eastAsia="Times New Roman" w:hint="default"/>
        </w:rPr>
        <w:t>c </w:t>
      </w:r>
      <w:r>
        <w:rPr/>
        <w:t>、公司出于经济或法律等方面因素的考虑，对发生财务困难的债务人作出让步； </w:t>
      </w:r>
      <w:r>
        <w:rPr>
          <w:rFonts w:ascii="Times New Roman" w:hAnsi="Times New Roman" w:cs="Times New Roman" w:eastAsia="Times New Roman" w:hint="default"/>
        </w:rPr>
        <w:t>d </w:t>
      </w:r>
      <w:r>
        <w:rPr/>
        <w:t>、债务人很可能倒闭或进行其他财务重组； </w:t>
      </w:r>
      <w:r>
        <w:rPr>
          <w:rFonts w:ascii="Times New Roman" w:hAnsi="Times New Roman" w:cs="Times New Roman" w:eastAsia="Times New Roman" w:hint="default"/>
        </w:rPr>
        <w:t>e</w:t>
      </w:r>
      <w:r>
        <w:rPr/>
        <w:t>、因债务人发生重大财务困难，该债务工具无法在活跃市场继续交易；</w:t>
      </w:r>
    </w:p>
    <w:p>
      <w:pPr>
        <w:pStyle w:val="BodyText"/>
        <w:spacing w:line="240" w:lineRule="auto" w:before="44"/>
        <w:ind w:left="1494" w:right="0"/>
        <w:jc w:val="left"/>
      </w:pPr>
      <w:r>
        <w:rPr>
          <w:rFonts w:ascii="Times New Roman" w:hAnsi="Times New Roman" w:cs="Times New Roman" w:eastAsia="Times New Roman" w:hint="default"/>
        </w:rPr>
        <w:t>f</w:t>
      </w:r>
      <w:r>
        <w:rPr/>
        <w:t>、</w:t>
      </w:r>
      <w:r>
        <w:rPr>
          <w:spacing w:val="-1"/>
        </w:rPr>
        <w:t> </w:t>
      </w:r>
      <w:r>
        <w:rPr/>
        <w:t>其他表明可供出售债务工具已经发生减值的情况。</w:t>
      </w:r>
    </w:p>
    <w:p>
      <w:pPr>
        <w:spacing w:line="240" w:lineRule="auto" w:before="9"/>
        <w:rPr>
          <w:rFonts w:ascii="宋体" w:hAnsi="宋体" w:cs="宋体" w:eastAsia="宋体" w:hint="default"/>
          <w:sz w:val="16"/>
          <w:szCs w:val="16"/>
        </w:rPr>
      </w:pPr>
    </w:p>
    <w:p>
      <w:pPr>
        <w:pStyle w:val="BodyText"/>
        <w:spacing w:line="451" w:lineRule="auto"/>
        <w:ind w:left="1134" w:right="1131" w:firstLine="360"/>
        <w:jc w:val="both"/>
      </w:pPr>
      <w:r>
        <w:rPr>
          <w:rFonts w:ascii="Times New Roman" w:hAnsi="Times New Roman" w:cs="Times New Roman" w:eastAsia="Times New Roman" w:hint="default"/>
        </w:rPr>
        <w:t>B</w:t>
      </w:r>
      <w:r>
        <w:rPr/>
        <w:t>、</w:t>
      </w:r>
      <w:r>
        <w:rPr>
          <w:spacing w:val="49"/>
        </w:rPr>
        <w:t> </w:t>
      </w:r>
      <w:r>
        <w:rPr/>
        <w:t>表明可供出售权益工具投资发生减值的客观证据包括权益工具投资的公允价值发生严重或非暂时性下跌，以及被</w:t>
      </w:r>
      <w:r>
        <w:rPr/>
        <w:t> 投资单位经营所处的技术、市场、经济或法律环境等发生重大不利变化使公司可能无法收回投资成本。</w:t>
      </w:r>
    </w:p>
    <w:p>
      <w:pPr>
        <w:spacing w:after="0" w:line="451"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60" w:lineRule="auto"/>
        <w:ind w:right="1031" w:firstLine="360"/>
        <w:jc w:val="left"/>
      </w:pPr>
      <w:r>
        <w:rPr>
          <w:spacing w:val="-2"/>
        </w:rPr>
        <w:t>本公司于资产负债表日对各项可供出售权益工具投资单独进行检查。对于以公允价值计量的权益工具投资，若其于资产</w:t>
      </w:r>
      <w:r>
        <w:rPr/>
        <w:t> </w:t>
      </w:r>
      <w:r>
        <w:rPr>
          <w:spacing w:val="-2"/>
        </w:rPr>
        <w:t>负债表日的公允价值低于其成本超过</w:t>
      </w:r>
      <w:r>
        <w:rPr>
          <w:rFonts w:ascii="Times New Roman" w:hAnsi="Times New Roman" w:cs="Times New Roman" w:eastAsia="Times New Roman" w:hint="default"/>
          <w:spacing w:val="-2"/>
        </w:rPr>
        <w:t>50%</w:t>
      </w:r>
      <w:r>
        <w:rPr>
          <w:spacing w:val="-2"/>
        </w:rPr>
        <w:t>（含</w:t>
      </w:r>
      <w:r>
        <w:rPr>
          <w:rFonts w:ascii="Times New Roman" w:hAnsi="Times New Roman" w:cs="Times New Roman" w:eastAsia="Times New Roman" w:hint="default"/>
          <w:spacing w:val="-2"/>
        </w:rPr>
        <w:t>50%</w:t>
      </w:r>
      <w:r>
        <w:rPr>
          <w:spacing w:val="-2"/>
        </w:rPr>
        <w:t>）或低于其成本持续时间超过</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个月）的，则表明其发生减值；</w:t>
      </w:r>
      <w:r>
        <w:rPr>
          <w:spacing w:val="-86"/>
        </w:rPr>
        <w:t> </w:t>
      </w:r>
      <w:r>
        <w:rPr>
          <w:spacing w:val="-86"/>
        </w:rPr>
      </w:r>
      <w:r>
        <w:rPr/>
        <w:t>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spacing w:val="-2"/>
        </w:rPr>
        <w:t>个月）但未超过</w:t>
      </w:r>
      <w:r>
        <w:rPr>
          <w:rFonts w:ascii="Times New Roman" w:hAnsi="Times New Roman" w:cs="Times New Roman" w:eastAsia="Times New Roman" w:hint="default"/>
          <w:spacing w:val="-2"/>
        </w:rPr>
        <w:t>12</w:t>
      </w:r>
      <w:r>
        <w:rPr>
          <w:spacing w:val="-2"/>
        </w:rPr>
        <w:t>个月的，本公司会综合考虑其他相关因素，诸如价格波动率等，判断该权益工具投资是否发生减值。对于</w:t>
      </w:r>
      <w:r>
        <w:rPr>
          <w:spacing w:val="-64"/>
        </w:rPr>
        <w:t> </w:t>
      </w:r>
      <w:r>
        <w:rPr>
          <w:spacing w:val="-64"/>
        </w:rPr>
      </w:r>
      <w:r>
        <w:rPr/>
        <w:t>以成本计量的权益工具投资，公司综合考虑被投资单位经营所处的技术、市场、经济或法律环境等是否发生重大不利变化， 判断该权益工具是否发生减值。</w:t>
      </w:r>
    </w:p>
    <w:p>
      <w:pPr>
        <w:pStyle w:val="BodyText"/>
        <w:spacing w:line="477" w:lineRule="auto" w:before="67"/>
        <w:ind w:left="1134" w:right="1131" w:firstLine="360"/>
        <w:jc w:val="both"/>
      </w:pPr>
      <w:r>
        <w:rPr>
          <w:spacing w:val="-2"/>
        </w:rPr>
        <w:t>以公允价值计量的可供出售金融资产发生减值时，原直接计入其他综合收益的因公允价值下降形成的累计损失予以转出</w:t>
      </w:r>
      <w:r>
        <w:rPr/>
        <w:t> </w:t>
      </w: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6"/>
        </w:rPr>
        <w:t> </w:t>
      </w:r>
      <w:r>
        <w:rPr>
          <w:spacing w:val="-66"/>
        </w:rPr>
      </w:r>
      <w:r>
        <w:rPr/>
        <w:t>接计入其他综合收益。</w:t>
      </w:r>
    </w:p>
    <w:p>
      <w:pPr>
        <w:pStyle w:val="BodyText"/>
        <w:spacing w:line="477" w:lineRule="auto" w:before="54"/>
        <w:ind w:right="0" w:firstLine="360"/>
        <w:jc w:val="left"/>
      </w:pPr>
      <w:r>
        <w:rPr>
          <w:spacing w:val="-2"/>
        </w:rPr>
        <w:t>以成本计量的可供出售权益工具发生减值时，将该权益工具投资的账面价值，与按照类似金融资产当时市场收益率对未</w:t>
      </w:r>
      <w:r>
        <w:rPr/>
        <w:t> 来现金流量折现确定的现值之间的差额，确认为减值损失，计入当期损益，发生的减值损失一经确认，不予转回。</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11、应收款项" w:id="170"/>
      <w:bookmarkEnd w:id="17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left="1134" w:right="0"/>
        <w:jc w:val="left"/>
        <w:rPr>
          <w:b w:val="0"/>
          <w:bCs w:val="0"/>
        </w:rPr>
      </w:pPr>
      <w:bookmarkStart w:name="（1）单项金额重大并单独计提坏账准备的应收款项" w:id="171"/>
      <w:bookmarkEnd w:id="17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应收账款期末余额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元</w:t>
            </w:r>
            <w:r>
              <w:rPr>
                <w:rFonts w:ascii="宋体" w:hAnsi="宋体" w:cs="宋体" w:eastAsia="宋体" w:hint="default"/>
                <w:sz w:val="18"/>
                <w:szCs w:val="18"/>
              </w:rPr>
              <w:t>以</w:t>
            </w:r>
            <w:r>
              <w:rPr>
                <w:rFonts w:ascii="宋体" w:hAnsi="宋体" w:cs="宋体" w:eastAsia="宋体" w:hint="default"/>
                <w:spacing w:val="-22"/>
                <w:sz w:val="18"/>
                <w:szCs w:val="18"/>
              </w:rPr>
              <w:t>上</w:t>
            </w:r>
            <w:r>
              <w:rPr>
                <w:rFonts w:ascii="宋体" w:hAnsi="宋体" w:cs="宋体" w:eastAsia="宋体" w:hint="default"/>
                <w:sz w:val="18"/>
                <w:szCs w:val="18"/>
              </w:rPr>
              <w:t>（含</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pacing w:val="1"/>
                <w:sz w:val="18"/>
                <w:szCs w:val="18"/>
              </w:rPr>
              <w:t>其</w:t>
            </w:r>
            <w:r>
              <w:rPr>
                <w:rFonts w:ascii="宋体" w:hAnsi="宋体" w:cs="宋体" w:eastAsia="宋体" w:hint="default"/>
                <w:sz w:val="18"/>
                <w:szCs w:val="18"/>
              </w:rPr>
              <w:t>他应收款期末余额</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1"/>
        <w:rPr>
          <w:rFonts w:ascii="宋体" w:hAnsi="宋体" w:cs="宋体" w:eastAsia="宋体" w:hint="default"/>
          <w:b/>
          <w:bCs/>
          <w:sz w:val="25"/>
          <w:szCs w:val="25"/>
        </w:rPr>
      </w:pPr>
    </w:p>
    <w:p>
      <w:pPr>
        <w:pStyle w:val="Heading3"/>
        <w:spacing w:line="240" w:lineRule="auto" w:before="35"/>
        <w:ind w:left="1134" w:right="0"/>
        <w:jc w:val="left"/>
        <w:rPr>
          <w:b w:val="0"/>
          <w:bCs w:val="0"/>
        </w:rPr>
      </w:pPr>
      <w:bookmarkStart w:name="（2）按信用风险特征组合计提坏账准备的应收款项" w:id="172"/>
      <w:bookmarkEnd w:id="17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55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55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559"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7"/>
        <w:rPr>
          <w:rFonts w:ascii="宋体" w:hAnsi="宋体" w:cs="宋体" w:eastAsia="宋体" w:hint="default"/>
          <w:b/>
          <w:bCs/>
          <w:sz w:val="6"/>
          <w:szCs w:val="6"/>
        </w:rPr>
      </w:pPr>
    </w:p>
    <w:p>
      <w:pPr>
        <w:pStyle w:val="BodyText"/>
        <w:spacing w:line="240" w:lineRule="auto" w:before="44"/>
        <w:ind w:left="1134" w:right="0"/>
        <w:jc w:val="left"/>
      </w:pPr>
      <w:r>
        <w:rPr/>
        <w:t>组合中，采用账龄分析法计提坏账准备的：</w:t>
      </w:r>
    </w:p>
    <w:p>
      <w:pPr>
        <w:spacing w:line="240" w:lineRule="auto" w:before="10"/>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组合中，采用余额百分比法计提坏账准备的：</w:t>
      </w:r>
    </w:p>
    <w:p>
      <w:pPr>
        <w:spacing w:line="240" w:lineRule="auto" w:before="12"/>
        <w:rPr>
          <w:rFonts w:ascii="宋体" w:hAnsi="宋体" w:cs="宋体" w:eastAsia="宋体" w:hint="default"/>
          <w:sz w:val="20"/>
          <w:szCs w:val="20"/>
        </w:rPr>
      </w:pPr>
    </w:p>
    <w:p>
      <w:pPr>
        <w:pStyle w:val="BodyText"/>
        <w:spacing w:line="489" w:lineRule="auto"/>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229"/>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75"/>
              <w:jc w:val="righ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单项金额不重大但单独计提坏账准备的应收款项" w:id="173"/>
      <w:bookmarkEnd w:id="17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49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3" w:right="69"/>
              <w:jc w:val="both"/>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收款项组合及合并范围内关联方往来的未来现金流量现值存 在显著差异。</w:t>
            </w:r>
          </w:p>
        </w:tc>
      </w:tr>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1"/>
        <w:rPr>
          <w:rFonts w:ascii="宋体" w:hAnsi="宋体" w:cs="宋体" w:eastAsia="宋体" w:hint="default"/>
          <w:b/>
          <w:bCs/>
          <w:sz w:val="25"/>
          <w:szCs w:val="25"/>
        </w:rPr>
      </w:pPr>
    </w:p>
    <w:p>
      <w:pPr>
        <w:pStyle w:val="Heading3"/>
        <w:spacing w:line="240" w:lineRule="auto" w:before="35"/>
        <w:ind w:left="1134" w:right="0"/>
        <w:jc w:val="left"/>
        <w:rPr>
          <w:b w:val="0"/>
          <w:bCs w:val="0"/>
        </w:rPr>
      </w:pPr>
      <w:bookmarkStart w:name="12、存货" w:id="174"/>
      <w:bookmarkEnd w:id="174"/>
      <w:r>
        <w:rPr>
          <w:b w:val="0"/>
          <w:bCs w:val="0"/>
        </w:rPr>
      </w: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51" w:lineRule="auto"/>
        <w:ind w:left="1494" w:right="1118" w:hanging="36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存货包括在日常活动中持有以备出售的产成品或商品、处在生产过程中的在产品、在生产过程或提供劳务过程中耗用的</w:t>
      </w:r>
    </w:p>
    <w:p>
      <w:pPr>
        <w:pStyle w:val="BodyText"/>
        <w:spacing w:line="240" w:lineRule="auto" w:before="74"/>
        <w:ind w:left="1134" w:right="0"/>
        <w:jc w:val="left"/>
      </w:pPr>
      <w:r>
        <w:rPr/>
        <w:t>材料和物料等。</w:t>
      </w:r>
    </w:p>
    <w:p>
      <w:pPr>
        <w:spacing w:line="240" w:lineRule="auto" w:before="10"/>
        <w:rPr>
          <w:rFonts w:ascii="宋体" w:hAnsi="宋体" w:cs="宋体" w:eastAsia="宋体" w:hint="default"/>
          <w:sz w:val="17"/>
          <w:szCs w:val="17"/>
        </w:rPr>
      </w:pPr>
    </w:p>
    <w:p>
      <w:pPr>
        <w:spacing w:line="451" w:lineRule="auto" w:before="0"/>
        <w:ind w:left="1494" w:right="1932"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用于生产和销售的存货发出采用月末一次加权平均法计价，用于工程领用的存货发出采用先进先出法计价。</w:t>
      </w:r>
    </w:p>
    <w:p>
      <w:pPr>
        <w:spacing w:line="451" w:lineRule="auto" w:before="74"/>
        <w:ind w:left="1496" w:right="0" w:hanging="363"/>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资产负债表日，存货采用成本与可变现净值孰低计量，按照单个存货成本高于可变现净值的差额计提存货跌价准备。直</w:t>
      </w:r>
    </w:p>
    <w:p>
      <w:pPr>
        <w:pStyle w:val="BodyText"/>
        <w:spacing w:line="240" w:lineRule="auto" w:before="74"/>
        <w:ind w:right="0"/>
        <w:jc w:val="left"/>
      </w:pPr>
      <w:r>
        <w:rPr/>
        <w:t>接用于出售的存货，在正常生产经营过程中以该存货的估计售价减去估计的销售费用和相关税费后的金额确定其可变现净</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3"/>
        <w:jc w:val="both"/>
      </w:pP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spacing w:line="451" w:lineRule="auto" w:before="54"/>
        <w:ind w:left="1494" w:right="7872"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存货的盘存制度为永续盘存制。</w:t>
      </w:r>
    </w:p>
    <w:p>
      <w:pPr>
        <w:pStyle w:val="Heading4"/>
        <w:spacing w:line="240" w:lineRule="auto" w:before="74"/>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16"/>
          <w:szCs w:val="16"/>
        </w:rPr>
      </w:pPr>
    </w:p>
    <w:p>
      <w:pPr>
        <w:pStyle w:val="BodyText"/>
        <w:spacing w:line="477" w:lineRule="auto"/>
        <w:ind w:left="1674" w:right="8052"/>
        <w:jc w:val="left"/>
      </w:pPr>
      <w:r>
        <w:rPr/>
        <w:t>① 低值易耗品 按照一次转销法进行摊销。</w:t>
      </w:r>
    </w:p>
    <w:p>
      <w:pPr>
        <w:pStyle w:val="BodyText"/>
        <w:spacing w:line="477" w:lineRule="auto" w:before="54"/>
        <w:ind w:left="1674" w:right="8052"/>
        <w:jc w:val="left"/>
      </w:pPr>
      <w:r>
        <w:rPr/>
        <w:t>②包装物 按照一次转销法进行摊销。</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13、划分为持有待售资产" w:id="175"/>
      <w:bookmarkEnd w:id="175"/>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4" w:right="0"/>
        <w:jc w:val="left"/>
        <w:rPr>
          <w:b w:val="0"/>
          <w:bCs w:val="0"/>
        </w:rPr>
      </w:pPr>
      <w:bookmarkStart w:name="14、长期股权投资" w:id="176"/>
      <w:bookmarkEnd w:id="17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spacing w:line="451" w:lineRule="auto" w:before="0"/>
        <w:ind w:left="1554" w:right="0"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14"/>
          <w:sz w:val="18"/>
          <w:szCs w:val="18"/>
        </w:rPr>
        <w:t> </w:t>
      </w:r>
      <w:r>
        <w:rPr>
          <w:rFonts w:ascii="宋体" w:hAnsi="宋体" w:cs="宋体" w:eastAsia="宋体" w:hint="default"/>
          <w:b/>
          <w:bCs/>
          <w:sz w:val="18"/>
          <w:szCs w:val="18"/>
        </w:rPr>
        <w:t>共同控制、重要影响的判断</w:t>
      </w:r>
      <w:r>
        <w:rPr>
          <w:rFonts w:ascii="宋体" w:hAnsi="宋体" w:cs="宋体" w:eastAsia="宋体" w:hint="default"/>
          <w:b/>
          <w:bCs/>
          <w:w w:val="99"/>
          <w:sz w:val="18"/>
          <w:szCs w:val="18"/>
        </w:rPr>
        <w:t> </w:t>
      </w:r>
      <w:r>
        <w:rPr>
          <w:rFonts w:ascii="宋体" w:hAnsi="宋体" w:cs="宋体" w:eastAsia="宋体" w:hint="default"/>
          <w:sz w:val="18"/>
          <w:szCs w:val="18"/>
        </w:rPr>
        <w:t>按照相关约定对某项安排所共有的控制，并且该安排的相关活动必须经过分享控制权的参与方一致同意后才能决策，</w:t>
      </w:r>
    </w:p>
    <w:p>
      <w:pPr>
        <w:pStyle w:val="BodyText"/>
        <w:spacing w:line="477" w:lineRule="auto" w:before="74"/>
        <w:ind w:left="1134" w:right="0"/>
        <w:jc w:val="left"/>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Heading4"/>
        <w:spacing w:line="240" w:lineRule="auto" w:before="54"/>
        <w:ind w:left="1134" w:right="0"/>
        <w:jc w:val="left"/>
        <w:rPr>
          <w:b w:val="0"/>
          <w:bCs w:val="0"/>
        </w:rPr>
      </w:pPr>
      <w:r>
        <w:rPr/>
        <w:t>（</w:t>
      </w:r>
      <w:r>
        <w:rPr>
          <w:rFonts w:ascii="Times New Roman" w:hAnsi="Times New Roman" w:cs="Times New Roman" w:eastAsia="Times New Roman" w:hint="default"/>
        </w:rPr>
        <w:t>2</w:t>
      </w:r>
      <w:r>
        <w:rPr/>
        <w:t>）</w:t>
      </w:r>
      <w:r>
        <w:rPr>
          <w:spacing w:val="-16"/>
        </w:rPr>
        <w:t> </w:t>
      </w:r>
      <w:r>
        <w:rPr/>
        <w:t>投资成本的确定</w:t>
      </w:r>
      <w:r>
        <w:rPr>
          <w:b w:val="0"/>
          <w:bCs w:val="0"/>
        </w:rPr>
      </w:r>
    </w:p>
    <w:p>
      <w:pPr>
        <w:spacing w:line="240" w:lineRule="auto" w:before="9"/>
        <w:rPr>
          <w:rFonts w:ascii="宋体" w:hAnsi="宋体" w:cs="宋体" w:eastAsia="宋体" w:hint="default"/>
          <w:b/>
          <w:bCs/>
          <w:sz w:val="16"/>
          <w:szCs w:val="16"/>
        </w:rPr>
      </w:pPr>
    </w:p>
    <w:p>
      <w:pPr>
        <w:pStyle w:val="BodyText"/>
        <w:spacing w:line="477" w:lineRule="auto"/>
        <w:ind w:left="1134" w:right="1024" w:firstLine="420"/>
        <w:jc w:val="left"/>
      </w:pPr>
      <w:r>
        <w:rPr>
          <w:spacing w:val="-1"/>
        </w:rPr>
        <w:t>①同一控制下的企业合并形成的，合并方以支付现金、转让非现金资产、承担债务或发行权益性证券作为合并对价的，</w:t>
      </w:r>
      <w:r>
        <w:rPr/>
        <w:t> </w:t>
      </w:r>
      <w:r>
        <w:rPr>
          <w:spacing w:val="-2"/>
        </w:rPr>
        <w:t>在合并日按照取得被合并方所有者权益在最终控制方合并财务报表中的账面价值的份额作为其初始投资成本。长期股权投资</w:t>
      </w:r>
      <w:r>
        <w:rPr>
          <w:spacing w:val="-64"/>
        </w:rPr>
        <w:t> </w:t>
      </w:r>
      <w:r>
        <w:rPr>
          <w:spacing w:val="-64"/>
        </w:rPr>
      </w:r>
      <w:r>
        <w:rPr>
          <w:spacing w:val="-2"/>
        </w:rPr>
        <w:t>初始投资成本与支付的合并对价的账面价值或发行股份的面值总额之间的差额调整资本公积；资本公积不足冲减的，调整留</w:t>
      </w:r>
      <w:r>
        <w:rPr>
          <w:spacing w:val="-64"/>
        </w:rPr>
        <w:t> </w:t>
      </w:r>
      <w:r>
        <w:rPr>
          <w:spacing w:val="-64"/>
        </w:rPr>
      </w:r>
      <w:r>
        <w:rPr/>
        <w:t>存收益。</w:t>
      </w:r>
    </w:p>
    <w:p>
      <w:pPr>
        <w:pStyle w:val="BodyText"/>
        <w:spacing w:line="463" w:lineRule="auto" w:before="54"/>
        <w:ind w:left="1134" w:right="1130" w:firstLine="360"/>
        <w:jc w:val="both"/>
      </w:pPr>
      <w:r>
        <w:rPr>
          <w:spacing w:val="-1"/>
        </w:rPr>
        <w:t>公司通过多次交易分步实现同一控制下企业合并形成的长期股权投资，判断是否属于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4"/>
        </w:rPr>
        <w:t> </w:t>
      </w:r>
      <w:r>
        <w:rPr>
          <w:spacing w:val="-44"/>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spacing w:after="0" w:line="463"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553" w:right="0"/>
        <w:jc w:val="left"/>
      </w:pPr>
      <w:r>
        <w:rPr/>
        <w:t>②</w:t>
      </w:r>
      <w:r>
        <w:rPr>
          <w:spacing w:val="-18"/>
        </w:rPr>
        <w:t> </w:t>
      </w:r>
      <w:r>
        <w:rPr/>
        <w:t>非同一控制下的企业合并形成的，在购买日按照支付的合并对价的公允价值作为其初始投资成本。</w:t>
      </w:r>
      <w:r>
        <w:rPr/>
        <w:t> 公司通过多次交易分步实现非同一控制下企业合并形成的长期股权投资，区分个别财务报表和合并财务报表进行相关</w:t>
      </w:r>
    </w:p>
    <w:p>
      <w:pPr>
        <w:pStyle w:val="BodyText"/>
        <w:spacing w:line="240" w:lineRule="auto" w:before="54"/>
        <w:ind w:right="0"/>
        <w:jc w:val="left"/>
      </w:pPr>
      <w:r>
        <w:rPr/>
        <w:t>会计处理：</w:t>
      </w:r>
    </w:p>
    <w:p>
      <w:pPr>
        <w:spacing w:line="240" w:lineRule="auto" w:before="10"/>
        <w:rPr>
          <w:rFonts w:ascii="宋体" w:hAnsi="宋体" w:cs="宋体" w:eastAsia="宋体" w:hint="default"/>
          <w:sz w:val="17"/>
          <w:szCs w:val="17"/>
        </w:rPr>
      </w:pPr>
    </w:p>
    <w:p>
      <w:pPr>
        <w:pStyle w:val="BodyText"/>
        <w:spacing w:line="451" w:lineRule="auto"/>
        <w:ind w:left="1134" w:right="1129" w:firstLine="420"/>
        <w:jc w:val="both"/>
      </w:pPr>
      <w:r>
        <w:rPr>
          <w:rFonts w:ascii="Times New Roman" w:hAnsi="Times New Roman" w:cs="Times New Roman" w:eastAsia="Times New Roman" w:hint="default"/>
        </w:rPr>
        <w:t>A</w:t>
      </w:r>
      <w:r>
        <w:rPr/>
        <w:t>、</w:t>
      </w:r>
      <w:r>
        <w:rPr>
          <w:spacing w:val="-4"/>
        </w:rPr>
        <w:t> </w:t>
      </w:r>
      <w:r>
        <w:rPr/>
        <w:t>在个别财务报表中，按照原持有的股权投资的账面价值加上新增投资成本之和，作为改按成本法核算的初始投资</w:t>
      </w:r>
      <w:r>
        <w:rPr/>
        <w:t> 成本。</w:t>
      </w:r>
    </w:p>
    <w:p>
      <w:pPr>
        <w:pStyle w:val="BodyText"/>
        <w:spacing w:line="463" w:lineRule="auto" w:before="74"/>
        <w:ind w:right="1131" w:firstLine="420"/>
        <w:jc w:val="both"/>
      </w:pPr>
      <w:r>
        <w:rPr>
          <w:rFonts w:ascii="Times New Roman" w:hAnsi="Times New Roman" w:cs="Times New Roman" w:eastAsia="Times New Roman" w:hint="default"/>
          <w:spacing w:val="-1"/>
        </w:rPr>
        <w:t>B</w:t>
      </w:r>
      <w:r>
        <w:rPr>
          <w:spacing w:val="-1"/>
        </w:rPr>
        <w:t>、在合并财务报表中，判断是否属于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的，把各项交易作为一项取得控制权的交易进</w:t>
      </w:r>
      <w:r>
        <w:rPr/>
        <w:t> </w:t>
      </w:r>
      <w:r>
        <w:rPr>
          <w:spacing w:val="-2"/>
        </w:rPr>
        <w:t>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的，对于购买日之前持有的被购买方的股权，按照该股权在购买日的公允价值进行重新计</w:t>
      </w:r>
      <w:r>
        <w:rPr>
          <w:spacing w:val="-45"/>
        </w:rPr>
        <w:t> </w:t>
      </w:r>
      <w:r>
        <w:rPr>
          <w:spacing w:val="-45"/>
        </w:rPr>
      </w:r>
      <w:r>
        <w:rPr>
          <w:spacing w:val="-2"/>
        </w:rPr>
        <w:t>量，公允价值与其账面价值的差额计入当期投资收益；购买日之前持有的被购买方的股权涉及权益法核算下的其他综合收益</w:t>
      </w:r>
      <w:r>
        <w:rPr>
          <w:spacing w:val="-64"/>
        </w:rPr>
        <w:t> </w:t>
      </w:r>
      <w:r>
        <w:rPr>
          <w:spacing w:val="-64"/>
        </w:rPr>
      </w:r>
      <w:r>
        <w:rPr>
          <w:spacing w:val="-2"/>
        </w:rPr>
        <w:t>等的，与其相关的其他综合收益等转为购买日所属当期收益。但由于被投资方重新计量设定受益计划净负债或净资产变动而</w:t>
      </w:r>
      <w:r>
        <w:rPr>
          <w:spacing w:val="-64"/>
        </w:rPr>
        <w:t> </w:t>
      </w:r>
      <w:r>
        <w:rPr>
          <w:spacing w:val="-64"/>
        </w:rPr>
      </w:r>
      <w:r>
        <w:rPr/>
        <w:t>产生的其他综合收益除外。</w:t>
      </w:r>
    </w:p>
    <w:p>
      <w:pPr>
        <w:pStyle w:val="BodyText"/>
        <w:spacing w:line="458" w:lineRule="auto" w:before="65"/>
        <w:ind w:right="1130" w:firstLine="420"/>
        <w:jc w:val="both"/>
      </w:pPr>
      <w:r>
        <w:rPr/>
        <w:t>③除企业合并形成以外的：以支付现金取得的，按照实际支付的购买价款作为其初始投资成本；以发行权益性证券取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4"/>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2"/>
        </w:rPr>
        <w:t> </w:t>
      </w:r>
      <w:r>
        <w:rPr>
          <w:spacing w:val="-82"/>
        </w:rPr>
      </w:r>
      <w:r>
        <w:rPr/>
        <w:t>成本。</w:t>
      </w:r>
    </w:p>
    <w:p>
      <w:pPr>
        <w:spacing w:line="451" w:lineRule="auto" w:before="68"/>
        <w:ind w:left="1553" w:right="1153"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z w:val="18"/>
          <w:szCs w:val="18"/>
        </w:rPr>
        <w:t>对被投资单位实施控制的长期股权投资采用成本法核算；对联营企业和合营企业的长期股权投资，采用权益法核算。</w:t>
      </w:r>
    </w:p>
    <w:p>
      <w:pPr>
        <w:pStyle w:val="Heading4"/>
        <w:spacing w:line="240" w:lineRule="auto" w:before="74"/>
        <w:ind w:right="0"/>
        <w:jc w:val="left"/>
        <w:rPr>
          <w:b w:val="0"/>
          <w:bCs w:val="0"/>
        </w:rPr>
      </w:pPr>
      <w:r>
        <w:rPr/>
        <w:t>（</w:t>
      </w:r>
      <w:r>
        <w:rPr>
          <w:rFonts w:ascii="Times New Roman" w:hAnsi="Times New Roman" w:cs="Times New Roman" w:eastAsia="Times New Roman" w:hint="default"/>
        </w:rPr>
        <w:t>4</w:t>
      </w:r>
      <w:r>
        <w:rPr/>
        <w:t>）通过多次交易分步处置对子公司投资至丧失控制权的的处理方法</w:t>
      </w:r>
      <w:r>
        <w:rPr>
          <w:b w:val="0"/>
          <w:bCs w:val="0"/>
        </w:rPr>
      </w:r>
    </w:p>
    <w:p>
      <w:pPr>
        <w:spacing w:line="240" w:lineRule="auto" w:before="9"/>
        <w:rPr>
          <w:rFonts w:ascii="宋体" w:hAnsi="宋体" w:cs="宋体" w:eastAsia="宋体" w:hint="default"/>
          <w:b/>
          <w:bCs/>
          <w:sz w:val="16"/>
          <w:szCs w:val="16"/>
        </w:rPr>
      </w:pPr>
    </w:p>
    <w:p>
      <w:pPr>
        <w:pStyle w:val="BodyText"/>
        <w:spacing w:line="477" w:lineRule="auto"/>
        <w:ind w:left="1553" w:right="0"/>
        <w:jc w:val="left"/>
      </w:pPr>
      <w:r>
        <w:rPr/>
        <w:t>①</w:t>
      </w:r>
      <w:r>
        <w:rPr>
          <w:spacing w:val="-17"/>
        </w:rPr>
        <w:t> </w:t>
      </w:r>
      <w:r>
        <w:rPr/>
        <w:t>个别财务报表</w:t>
      </w:r>
      <w:r>
        <w:rPr/>
        <w:t> 对处置的股权，其账面价值与实际取得价款之间的差额，计入当期损益。对于剩余股权，对被投资单位仍具有重大影</w:t>
      </w:r>
    </w:p>
    <w:p>
      <w:pPr>
        <w:pStyle w:val="BodyText"/>
        <w:spacing w:line="477" w:lineRule="auto" w:before="54"/>
        <w:ind w:right="1131"/>
        <w:jc w:val="both"/>
      </w:pPr>
      <w:r>
        <w:rPr>
          <w:spacing w:val="-2"/>
        </w:rPr>
        <w:t>响或者与其他方一起实施共同控制的，转为权益法核算；不能再对被投资单位实施控制、共同控制或重大影响的，确认为金</w:t>
      </w:r>
      <w:r>
        <w:rPr>
          <w:spacing w:val="-66"/>
        </w:rPr>
        <w:t> </w:t>
      </w:r>
      <w:r>
        <w:rPr>
          <w:spacing w:val="-66"/>
        </w:rPr>
      </w:r>
      <w:r>
        <w:rPr/>
        <w:t>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0" w:lineRule="auto" w:before="21"/>
        <w:ind w:left="1553" w:right="0"/>
        <w:jc w:val="left"/>
      </w:pPr>
      <w:r>
        <w:rPr/>
        <w:t>②合并财务报表</w:t>
      </w:r>
    </w:p>
    <w:p>
      <w:pPr>
        <w:spacing w:line="240" w:lineRule="auto" w:before="10"/>
        <w:rPr>
          <w:rFonts w:ascii="宋体" w:hAnsi="宋体" w:cs="宋体" w:eastAsia="宋体" w:hint="default"/>
          <w:sz w:val="17"/>
          <w:szCs w:val="17"/>
        </w:rPr>
      </w:pPr>
    </w:p>
    <w:p>
      <w:pPr>
        <w:pStyle w:val="BodyText"/>
        <w:spacing w:line="451" w:lineRule="auto"/>
        <w:ind w:left="1553" w:right="0"/>
        <w:jc w:val="left"/>
      </w:pPr>
      <w:r>
        <w:rPr>
          <w:rFonts w:ascii="Times New Roman" w:hAnsi="Times New Roman" w:cs="Times New Roman" w:eastAsia="Times New Roman" w:hint="default"/>
        </w:rPr>
        <w:t>A</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在丧失控制权之前，处置价款与处置长期股权投资相对应享有子公司自购买日或合并日开始持续计算的净资产份额之</w:t>
      </w:r>
    </w:p>
    <w:p>
      <w:pPr>
        <w:pStyle w:val="BodyText"/>
        <w:spacing w:line="477" w:lineRule="auto" w:before="74"/>
        <w:ind w:left="1553" w:right="0" w:hanging="420"/>
        <w:jc w:val="left"/>
      </w:pPr>
      <w:r>
        <w:rPr/>
        <w:t>间的差额，调整资本公积（资本溢价），资本溢价不足冲减的，冲减留存收益。 丧失对原子公司控制权时，对于剩余股权，按照其在丧失控制权日的公允价值进行重新计量。处置股权取得的对价与</w:t>
      </w:r>
    </w:p>
    <w:p>
      <w:pPr>
        <w:pStyle w:val="BodyText"/>
        <w:spacing w:line="477" w:lineRule="auto" w:before="54"/>
        <w:ind w:right="1131"/>
        <w:jc w:val="both"/>
      </w:pPr>
      <w:r>
        <w:rPr>
          <w:spacing w:val="-2"/>
        </w:rPr>
        <w:t>剩余股权公允价值之和，减去按原持股比例计算应享有原有子公司自购买日或合并日开始持续计算的净资产的份额之间的差</w:t>
      </w:r>
      <w:r>
        <w:rPr>
          <w:spacing w:val="-64"/>
        </w:rPr>
        <w:t> </w:t>
      </w:r>
      <w:r>
        <w:rPr>
          <w:spacing w:val="-64"/>
        </w:rPr>
      </w:r>
      <w:r>
        <w:rPr>
          <w:spacing w:val="-2"/>
        </w:rPr>
        <w:t>额，计入丧失控制权当期的投资收益，同时冲减商誉。与原有子公司股权投资相关的其他综合收益等，应当在丧失控制权时</w:t>
      </w:r>
      <w:r>
        <w:rPr>
          <w:spacing w:val="-66"/>
        </w:rPr>
        <w:t> </w:t>
      </w:r>
      <w:r>
        <w:rPr>
          <w:spacing w:val="-66"/>
        </w:rPr>
      </w:r>
      <w:r>
        <w:rPr/>
        <w:t>转为当期投资收益。</w:t>
      </w:r>
    </w:p>
    <w:p>
      <w:pPr>
        <w:pStyle w:val="BodyText"/>
        <w:spacing w:line="240" w:lineRule="auto" w:before="54"/>
        <w:ind w:left="1553" w:right="0"/>
        <w:jc w:val="left"/>
      </w:pPr>
      <w:r>
        <w:rPr>
          <w:rFonts w:ascii="Times New Roman" w:hAnsi="Times New Roman" w:cs="Times New Roman" w:eastAsia="Times New Roman" w:hint="default"/>
        </w:rPr>
        <w:t>B</w:t>
      </w:r>
      <w:r>
        <w:rPr/>
        <w:t>、</w:t>
      </w:r>
      <w:r>
        <w:rPr>
          <w:spacing w:val="-19"/>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0" w:firstLine="420"/>
        <w:jc w:val="both"/>
      </w:pPr>
      <w:r>
        <w:rPr/>
        <w:t>将各项交易作为一项处置子公司并丧失控制权的交易进行会计处理。但是，在丧失控制权之前每一次处置价款与处置 </w:t>
      </w: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line="240" w:lineRule="auto" w:before="2"/>
        <w:rPr>
          <w:rFonts w:ascii="宋体" w:hAnsi="宋体" w:cs="宋体" w:eastAsia="宋体" w:hint="default"/>
          <w:sz w:val="25"/>
          <w:szCs w:val="25"/>
        </w:rPr>
      </w:pPr>
    </w:p>
    <w:p>
      <w:pPr>
        <w:pStyle w:val="Heading3"/>
        <w:spacing w:line="240" w:lineRule="auto"/>
        <w:ind w:left="1134" w:right="0"/>
        <w:jc w:val="left"/>
        <w:rPr>
          <w:b w:val="0"/>
          <w:bCs w:val="0"/>
        </w:rPr>
      </w:pPr>
      <w:bookmarkStart w:name="15、投资性房地产" w:id="177"/>
      <w:bookmarkEnd w:id="17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6" w:lineRule="auto"/>
        <w:ind w:left="1134" w:right="8952"/>
        <w:jc w:val="left"/>
      </w:pPr>
      <w:r>
        <w:rPr/>
        <w:t>投资性房地产计量模式 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left="1134" w:right="0"/>
        <w:jc w:val="left"/>
        <w:rPr>
          <w:b w:val="0"/>
          <w:bCs w:val="0"/>
        </w:rPr>
      </w:pPr>
      <w:bookmarkStart w:name="16、固定资产" w:id="178"/>
      <w:bookmarkEnd w:id="17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30"/>
          <w:szCs w:val="30"/>
        </w:rPr>
      </w:pPr>
    </w:p>
    <w:p>
      <w:pPr>
        <w:pStyle w:val="Heading3"/>
        <w:spacing w:line="240" w:lineRule="auto"/>
        <w:ind w:left="1134" w:right="0"/>
        <w:jc w:val="left"/>
        <w:rPr>
          <w:b w:val="0"/>
          <w:bCs w:val="0"/>
        </w:rPr>
      </w:pPr>
      <w:bookmarkStart w:name="（1）确认条件" w:id="179"/>
      <w:bookmarkEnd w:id="17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4" w:right="0"/>
        <w:jc w:val="left"/>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line="240" w:lineRule="auto" w:before="2"/>
        <w:rPr>
          <w:rFonts w:ascii="宋体" w:hAnsi="宋体" w:cs="宋体" w:eastAsia="宋体" w:hint="default"/>
          <w:sz w:val="25"/>
          <w:szCs w:val="25"/>
        </w:rPr>
      </w:pPr>
    </w:p>
    <w:p>
      <w:pPr>
        <w:pStyle w:val="Heading3"/>
        <w:spacing w:line="240" w:lineRule="auto"/>
        <w:ind w:left="1134" w:right="0"/>
        <w:jc w:val="left"/>
        <w:rPr>
          <w:b w:val="0"/>
          <w:bCs w:val="0"/>
        </w:rPr>
      </w:pPr>
      <w:bookmarkStart w:name="（2）折旧方法" w:id="180"/>
      <w:bookmarkEnd w:id="18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施工设备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研发及生产检测设备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1"/>
        <w:rPr>
          <w:rFonts w:ascii="宋体" w:hAnsi="宋体" w:cs="宋体" w:eastAsia="宋体" w:hint="default"/>
          <w:b/>
          <w:bCs/>
          <w:sz w:val="25"/>
          <w:szCs w:val="25"/>
        </w:rPr>
      </w:pPr>
    </w:p>
    <w:p>
      <w:pPr>
        <w:pStyle w:val="Heading3"/>
        <w:spacing w:line="240" w:lineRule="auto" w:before="35"/>
        <w:ind w:left="1134" w:right="0"/>
        <w:jc w:val="left"/>
        <w:rPr>
          <w:b w:val="0"/>
          <w:bCs w:val="0"/>
        </w:rPr>
      </w:pPr>
      <w:bookmarkStart w:name="（3）融资租入固定资产的认定依据、计价和折旧方法" w:id="181"/>
      <w:bookmarkEnd w:id="18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4" w:right="0"/>
        <w:jc w:val="left"/>
        <w:rPr>
          <w:b w:val="0"/>
          <w:bCs w:val="0"/>
        </w:rPr>
      </w:pPr>
      <w:bookmarkStart w:name="17、在建工程" w:id="182"/>
      <w:bookmarkEnd w:id="18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left="1134" w:right="0"/>
        <w:jc w:val="left"/>
      </w:pPr>
      <w:r>
        <w:rPr/>
        <w:t>无</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18、借款费用" w:id="183"/>
      <w:bookmarkEnd w:id="18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451" w:lineRule="auto" w:before="0"/>
        <w:ind w:left="1554" w:right="0"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14"/>
          <w:sz w:val="18"/>
          <w:szCs w:val="18"/>
        </w:rPr>
        <w:t> </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z w:val="18"/>
          <w:szCs w:val="18"/>
        </w:rPr>
        <w:t>公司发生的借款费用，可直接归属于符合资本化条件的资产的购建或者生产的，予以资本化，计入相关资产成本；其</w:t>
      </w:r>
    </w:p>
    <w:p>
      <w:pPr>
        <w:pStyle w:val="BodyText"/>
        <w:spacing w:line="240" w:lineRule="auto" w:before="74"/>
        <w:ind w:left="1134" w:right="0"/>
        <w:jc w:val="left"/>
      </w:pPr>
      <w:r>
        <w:rPr/>
        <w:t>他借款费用，在发生时确认为费用，计入当期损益。</w:t>
      </w:r>
    </w:p>
    <w:p>
      <w:pPr>
        <w:spacing w:line="240" w:lineRule="auto" w:before="10"/>
        <w:rPr>
          <w:rFonts w:ascii="宋体" w:hAnsi="宋体" w:cs="宋体" w:eastAsia="宋体" w:hint="default"/>
          <w:sz w:val="17"/>
          <w:szCs w:val="17"/>
        </w:rPr>
      </w:pPr>
    </w:p>
    <w:p>
      <w:pPr>
        <w:pStyle w:val="Heading4"/>
        <w:spacing w:line="240" w:lineRule="auto"/>
        <w:ind w:left="1134" w:right="0"/>
        <w:jc w:val="left"/>
        <w:rPr>
          <w:b w:val="0"/>
          <w:bCs w:val="0"/>
        </w:rPr>
      </w:pPr>
      <w:r>
        <w:rPr/>
        <w:t>（</w:t>
      </w:r>
      <w:r>
        <w:rPr>
          <w:rFonts w:ascii="Times New Roman" w:hAnsi="Times New Roman" w:cs="Times New Roman" w:eastAsia="Times New Roman" w:hint="default"/>
        </w:rPr>
        <w:t>2</w:t>
      </w:r>
      <w:r>
        <w:rPr/>
        <w:t>）</w:t>
      </w:r>
      <w:r>
        <w:rPr>
          <w:spacing w:val="-16"/>
        </w:rPr>
        <w:t> </w:t>
      </w:r>
      <w:r>
        <w:rPr/>
        <w:t>借款费用资本化期间</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1134" w:right="0" w:firstLine="420"/>
        <w:jc w:val="left"/>
      </w:pPr>
      <w:r>
        <w:rPr/>
        <w:t>① 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为使资产达到预 定可使用或可销售状态所必要的购建或者生产活动已经开始。</w:t>
      </w:r>
    </w:p>
    <w:p>
      <w:pPr>
        <w:pStyle w:val="BodyText"/>
        <w:spacing w:line="451" w:lineRule="auto" w:before="74"/>
        <w:ind w:right="1127" w:firstLine="420"/>
        <w:jc w:val="left"/>
      </w:pPr>
      <w:r>
        <w:rPr/>
        <w:t>②</w:t>
      </w:r>
      <w:r>
        <w:rPr>
          <w:spacing w:val="26"/>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 资本化；中断期间发生的借款费用确认为当期费用，直至资产的购建或者生产活动重新开始。</w:t>
      </w:r>
    </w:p>
    <w:p>
      <w:pPr>
        <w:pStyle w:val="BodyText"/>
        <w:spacing w:line="240" w:lineRule="auto" w:before="74"/>
        <w:ind w:left="1553" w:right="0"/>
        <w:jc w:val="left"/>
      </w:pPr>
      <w:r>
        <w:rPr/>
        <w:t>③当所购建或者生产符合资本化条件的资产达到预定可使用或可销售状态时，借款费用停止资本化。</w:t>
      </w:r>
    </w:p>
    <w:p>
      <w:pPr>
        <w:spacing w:line="240" w:lineRule="auto" w:before="10"/>
        <w:rPr>
          <w:rFonts w:ascii="宋体" w:hAnsi="宋体" w:cs="宋体" w:eastAsia="宋体" w:hint="default"/>
          <w:sz w:val="17"/>
          <w:szCs w:val="17"/>
        </w:rPr>
      </w:pPr>
    </w:p>
    <w:p>
      <w:pPr>
        <w:spacing w:line="451" w:lineRule="auto" w:before="0"/>
        <w:ind w:left="1424" w:right="0" w:hanging="29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）借款费用资本化率以及资本化金额</w:t>
      </w:r>
      <w:r>
        <w:rPr>
          <w:rFonts w:ascii="宋体" w:hAnsi="宋体" w:cs="宋体" w:eastAsia="宋体" w:hint="default"/>
          <w:b/>
          <w:bCs/>
          <w:w w:val="99"/>
          <w:sz w:val="18"/>
          <w:szCs w:val="18"/>
        </w:rPr>
        <w:t> </w:t>
      </w:r>
      <w:r>
        <w:rPr>
          <w:rFonts w:ascii="宋体" w:hAnsi="宋体" w:cs="宋体" w:eastAsia="宋体" w:hint="default"/>
          <w:spacing w:val="-1"/>
          <w:sz w:val="18"/>
          <w:szCs w:val="18"/>
        </w:rPr>
        <w:t>为购建或者生产符合资本化条件的资产而借入专门借款的，以专门借款当期实际发生的利息费用（包括按照实际利率法</w:t>
      </w:r>
    </w:p>
    <w:p>
      <w:pPr>
        <w:pStyle w:val="BodyText"/>
        <w:spacing w:line="477" w:lineRule="auto" w:before="74"/>
        <w:ind w:right="1132"/>
        <w:jc w:val="both"/>
      </w:pPr>
      <w:r>
        <w:rPr>
          <w:spacing w:val="-2"/>
        </w:rPr>
        <w:t>确定的折价或溢价的摊销），减去将尚未动用的借款资金存入银行取得的利息收入或进行暂时性投资取得的投资收益后的金</w:t>
      </w:r>
      <w:r>
        <w:rPr>
          <w:spacing w:val="-64"/>
        </w:rPr>
        <w:t> </w:t>
      </w:r>
      <w:r>
        <w:rPr>
          <w:spacing w:val="-64"/>
        </w:rPr>
      </w:r>
      <w:r>
        <w:rPr>
          <w:spacing w:val="-2"/>
        </w:rPr>
        <w:t>额，确定应予资本化的利息金额；为购建或者生产符合资本化条件的资产占用了一般借款的，根据累计资产支出超过专门借</w:t>
      </w:r>
      <w:r>
        <w:rPr>
          <w:spacing w:val="-66"/>
        </w:rPr>
        <w:t> </w:t>
      </w:r>
      <w:r>
        <w:rPr>
          <w:spacing w:val="-66"/>
        </w:rPr>
      </w:r>
      <w:r>
        <w:rPr/>
        <w:t>款的资产支出加权平均数乘以占用一般借款的资本化率，计算确定一般借款应予资本化的利息金额。</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19、生物资产" w:id="184"/>
      <w:bookmarkEnd w:id="18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4"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4" w:right="0"/>
        <w:jc w:val="left"/>
        <w:rPr>
          <w:b w:val="0"/>
          <w:bCs w:val="0"/>
        </w:rPr>
      </w:pPr>
      <w:bookmarkStart w:name="20、油气资产" w:id="185"/>
      <w:bookmarkEnd w:id="18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4"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4" w:right="0"/>
        <w:jc w:val="left"/>
        <w:rPr>
          <w:b w:val="0"/>
          <w:bCs w:val="0"/>
        </w:rPr>
      </w:pPr>
      <w:bookmarkStart w:name="21、无形资产" w:id="186"/>
      <w:bookmarkEnd w:id="18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计价方法、使用寿命、减值测试" w:id="187"/>
      <w:bookmarkEnd w:id="18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494" w:right="0"/>
        <w:jc w:val="left"/>
      </w:pPr>
      <w:r>
        <w:rPr/>
        <w:t>①无形资产包括土地使用权、专利权及非专利技术等，按成本进行初始计量。</w:t>
      </w:r>
    </w:p>
    <w:p>
      <w:pPr>
        <w:spacing w:line="240" w:lineRule="auto" w:before="10"/>
        <w:rPr>
          <w:rFonts w:ascii="宋体" w:hAnsi="宋体" w:cs="宋体" w:eastAsia="宋体" w:hint="default"/>
          <w:sz w:val="17"/>
          <w:szCs w:val="17"/>
        </w:rPr>
      </w:pPr>
    </w:p>
    <w:p>
      <w:pPr>
        <w:pStyle w:val="BodyText"/>
        <w:spacing w:line="477" w:lineRule="auto"/>
        <w:ind w:left="1134" w:right="0" w:firstLine="360"/>
        <w:jc w:val="left"/>
      </w:pPr>
      <w:r>
        <w:rPr>
          <w:spacing w:val="-2"/>
        </w:rPr>
        <w:t>②使用寿命有限的无形资产，在使用寿命内按照与该项无形资产有关的经济利益的预期实现方式系统合理地摊销，无法</w:t>
      </w:r>
      <w:r>
        <w:rPr/>
        <w:t> 可靠确定预期实现方式的，采用直线法摊销。具体年限如下：</w:t>
      </w:r>
    </w:p>
    <w:p>
      <w:pPr>
        <w:spacing w:after="0" w:line="477"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4" w:type="dxa"/>
        <w:tblLayout w:type="fixed"/>
        <w:tblCellMar>
          <w:top w:w="0" w:type="dxa"/>
          <w:left w:w="0" w:type="dxa"/>
          <w:bottom w:w="0" w:type="dxa"/>
          <w:right w:w="0" w:type="dxa"/>
        </w:tblCellMar>
        <w:tblLook w:val="01E0"/>
      </w:tblPr>
      <w:tblGrid>
        <w:gridCol w:w="2558"/>
        <w:gridCol w:w="5103"/>
      </w:tblGrid>
      <w:tr>
        <w:trPr>
          <w:trHeight w:val="322" w:hRule="exact"/>
        </w:trPr>
        <w:tc>
          <w:tcPr>
            <w:tcW w:w="2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摊销年限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r>
      <w:tr>
        <w:trPr>
          <w:trHeight w:val="323" w:hRule="exact"/>
        </w:trPr>
        <w:tc>
          <w:tcPr>
            <w:tcW w:w="2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内部研究开发支出会计政策" w:id="188"/>
      <w:bookmarkEnd w:id="18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032" w:firstLine="360"/>
        <w:jc w:val="left"/>
      </w:pPr>
      <w:r>
        <w:rPr>
          <w:spacing w:val="-4"/>
        </w:rPr>
        <w:t>内部研究开发项目研究阶段的支出，于发生时计入当期损益。内部研究开发项目开发阶段的支出，同时满足下列条件的，</w:t>
      </w:r>
      <w:r>
        <w:rPr/>
        <w:t> 确认为无形资产：①</w:t>
      </w:r>
      <w:r>
        <w:rPr>
          <w:spacing w:val="-10"/>
        </w:rPr>
        <w:t> </w:t>
      </w:r>
      <w:r>
        <w:rPr/>
        <w:t>完成该无形资产以使其能够使用或出售在技术上具有可行性；②具有完成该无形资产并使用或出售的</w:t>
      </w:r>
      <w:r>
        <w:rPr>
          <w:spacing w:val="-79"/>
        </w:rPr>
        <w:t> </w:t>
      </w:r>
      <w:r>
        <w:rPr>
          <w:spacing w:val="-79"/>
        </w:rPr>
      </w:r>
      <w:r>
        <w:rPr/>
        <w:t>意图；③</w:t>
      </w:r>
      <w:r>
        <w:rPr>
          <w:spacing w:val="-10"/>
        </w:rPr>
        <w:t> </w:t>
      </w:r>
      <w:r>
        <w:rPr/>
        <w:t>无形资产产生经济利益的方式，包括能够证明运用该无形资产生产的产品存在市场或无形资产自身存在市场，无</w:t>
      </w:r>
      <w:r>
        <w:rPr>
          <w:spacing w:val="-79"/>
        </w:rPr>
        <w:t> </w:t>
      </w:r>
      <w:r>
        <w:rPr>
          <w:spacing w:val="-79"/>
        </w:rPr>
      </w:r>
      <w:r>
        <w:rPr/>
        <w:t>形资产将在内部使用的，能证明其有用性；④</w:t>
      </w:r>
      <w:r>
        <w:rPr>
          <w:spacing w:val="-8"/>
        </w:rPr>
        <w:t> </w:t>
      </w:r>
      <w:r>
        <w:rPr/>
        <w:t>有足够的技术、财务资源和其他资源支持，以完成该无形资产的开发，并有</w:t>
      </w:r>
      <w:r>
        <w:rPr>
          <w:spacing w:val="-80"/>
        </w:rPr>
        <w:t> </w:t>
      </w:r>
      <w:r>
        <w:rPr>
          <w:spacing w:val="-80"/>
        </w:rPr>
      </w:r>
      <w:r>
        <w:rPr/>
        <w:t>能力使用或出售该无形资产；⑤归属于该无形资产开发阶段的支出能够可靠地计量。</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22、长期资产减值" w:id="189"/>
      <w:bookmarkEnd w:id="18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63" w:lineRule="auto"/>
        <w:ind w:right="1130" w:firstLine="360"/>
        <w:jc w:val="both"/>
      </w:pPr>
      <w:r>
        <w:rPr/>
        <w:t>对长期股权投资、固定资产、使用寿命有限的无形资产等长期资产</w:t>
      </w:r>
      <w:r>
        <w:rPr>
          <w:rFonts w:ascii="Times New Roman" w:hAnsi="Times New Roman" w:cs="Times New Roman" w:eastAsia="Times New Roman" w:hint="default"/>
        </w:rPr>
        <w:t>,</w:t>
      </w:r>
      <w:r>
        <w:rPr/>
        <w:t>在资产负债表日有迹象表明发生减值的，估计其可 </w:t>
      </w:r>
      <w:r>
        <w:rPr>
          <w:spacing w:val="-2"/>
        </w:rPr>
        <w:t>收回金额。对因企业合并所形成的商誉和使用寿命不确定的无形资产，无论是否存在减值迹象，每年都进行减值测试。商誉</w:t>
      </w:r>
      <w:r>
        <w:rPr>
          <w:spacing w:val="-65"/>
        </w:rPr>
        <w:t> </w:t>
      </w:r>
      <w:r>
        <w:rPr>
          <w:spacing w:val="-65"/>
        </w:rPr>
      </w:r>
      <w:r>
        <w:rPr/>
        <w:t>结合与其相关的资产组或者资产组组合进行减值测试。</w:t>
      </w:r>
    </w:p>
    <w:p>
      <w:pPr>
        <w:pStyle w:val="BodyText"/>
        <w:spacing w:line="240" w:lineRule="auto" w:before="65"/>
        <w:ind w:left="1494" w:right="0"/>
        <w:jc w:val="left"/>
      </w:pPr>
      <w:r>
        <w:rPr/>
        <w:t>若上述长期资产的可收回金额低于其账面价值的，按其差额确认资产减值准备并计入当期损益。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3、长期待摊费用" w:id="190"/>
      <w:bookmarkEnd w:id="19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right="1131" w:firstLine="360"/>
        <w:jc w:val="both"/>
      </w:pPr>
      <w:r>
        <w:rPr>
          <w:spacing w:val="-2"/>
        </w:rPr>
        <w:t>长期待摊费用核算已经支出，摊销期限在</w:t>
      </w:r>
      <w:r>
        <w:rPr>
          <w:rFonts w:ascii="宋体" w:hAnsi="宋体" w:cs="宋体" w:eastAsia="宋体" w:hint="default"/>
          <w:spacing w:val="-2"/>
        </w:rPr>
        <w:t>1</w:t>
      </w:r>
      <w:r>
        <w:rPr>
          <w:spacing w:val="-2"/>
        </w:rPr>
        <w:t>年以上（不含</w:t>
      </w:r>
      <w:r>
        <w:rPr>
          <w:rFonts w:ascii="宋体" w:hAnsi="宋体" w:cs="宋体" w:eastAsia="宋体" w:hint="default"/>
          <w:spacing w:val="-2"/>
        </w:rPr>
        <w:t>1</w:t>
      </w:r>
      <w:r>
        <w:rPr>
          <w:spacing w:val="-2"/>
        </w:rPr>
        <w:t>年）的各项费用。长期待摊费用按实际发生额入账，在受益期</w:t>
      </w:r>
      <w:r>
        <w:rPr/>
        <w:t> </w:t>
      </w:r>
      <w:r>
        <w:rPr>
          <w:spacing w:val="-2"/>
        </w:rPr>
        <w:t>或规定的期限内分期平均摊销。如果长期待摊的费用项目不能使以后会计期间受益则将尚未摊销的该项目的摊余价值全部转</w:t>
      </w:r>
      <w:r>
        <w:rPr>
          <w:spacing w:val="-64"/>
        </w:rPr>
        <w:t> </w:t>
      </w:r>
      <w:r>
        <w:rPr>
          <w:spacing w:val="-64"/>
        </w:rPr>
      </w:r>
      <w:r>
        <w:rPr/>
        <w:t>入当期损益。</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24、职工薪酬" w:id="191"/>
      <w:bookmarkEnd w:id="19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短期薪酬的会计处理方法" w:id="192"/>
      <w:bookmarkEnd w:id="19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494" w:right="0"/>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离职后福利的会计处理方法" w:id="193"/>
      <w:bookmarkEnd w:id="19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240" w:lineRule="auto"/>
        <w:ind w:left="1494" w:right="0"/>
        <w:jc w:val="left"/>
      </w:pPr>
      <w:r>
        <w:rPr/>
        <w:t>离职后福利分为设定提存计划和设定受益计划。</w:t>
      </w:r>
    </w:p>
    <w:p>
      <w:pPr>
        <w:spacing w:line="240" w:lineRule="auto" w:before="10"/>
        <w:rPr>
          <w:rFonts w:ascii="宋体" w:hAnsi="宋体" w:cs="宋体" w:eastAsia="宋体" w:hint="default"/>
          <w:sz w:val="17"/>
          <w:szCs w:val="17"/>
        </w:rPr>
      </w:pPr>
    </w:p>
    <w:p>
      <w:pPr>
        <w:pStyle w:val="BodyText"/>
        <w:spacing w:line="240" w:lineRule="auto"/>
        <w:ind w:left="1494" w:right="0"/>
        <w:jc w:val="left"/>
      </w:pPr>
      <w:r>
        <w:rPr/>
        <w:t>①在职工为公司提供服务的会计期间，根据设定提存计划计算的应缴存金额确认为负债，并计入当期损益或相关资产成</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本。</w:t>
      </w:r>
    </w:p>
    <w:p>
      <w:pPr>
        <w:spacing w:line="240" w:lineRule="auto" w:before="10"/>
        <w:rPr>
          <w:rFonts w:ascii="宋体" w:hAnsi="宋体" w:cs="宋体" w:eastAsia="宋体" w:hint="default"/>
          <w:sz w:val="17"/>
          <w:szCs w:val="17"/>
        </w:rPr>
      </w:pPr>
    </w:p>
    <w:p>
      <w:pPr>
        <w:pStyle w:val="BodyText"/>
        <w:spacing w:line="240" w:lineRule="auto"/>
        <w:ind w:left="1494" w:right="0"/>
        <w:jc w:val="left"/>
      </w:pPr>
      <w:r>
        <w:rPr/>
        <w:t>②对设定受益计划的会计处理通常包括下列步骤：</w:t>
      </w:r>
    </w:p>
    <w:p>
      <w:pPr>
        <w:spacing w:line="240" w:lineRule="auto" w:before="10"/>
        <w:rPr>
          <w:rFonts w:ascii="宋体" w:hAnsi="宋体" w:cs="宋体" w:eastAsia="宋体" w:hint="default"/>
          <w:sz w:val="17"/>
          <w:szCs w:val="17"/>
        </w:rPr>
      </w:pPr>
    </w:p>
    <w:p>
      <w:pPr>
        <w:pStyle w:val="BodyText"/>
        <w:spacing w:line="463" w:lineRule="auto"/>
        <w:ind w:left="1134" w:right="1131" w:firstLine="420"/>
        <w:jc w:val="both"/>
      </w:pPr>
      <w:r>
        <w:rPr>
          <w:rFonts w:ascii="Times New Roman" w:hAnsi="Times New Roman" w:cs="Times New Roman" w:eastAsia="Times New Roman" w:hint="default"/>
        </w:rPr>
        <w:t>A</w:t>
      </w:r>
      <w:r>
        <w:rPr/>
        <w:t>、根据预期累计福利单位法，采用无偏且相互一致的精算假设对有关人口统计变量和财务变量等作出估计，计量设 </w:t>
      </w:r>
      <w:r>
        <w:rPr>
          <w:spacing w:val="-2"/>
        </w:rPr>
        <w:t>定受益计划所产生的义务，并确定相关义务的所属期间。同时，对设定受益计划所产生的义务予以折现，以确定设定受益计</w:t>
      </w:r>
      <w:r>
        <w:rPr>
          <w:spacing w:val="-66"/>
        </w:rPr>
        <w:t> </w:t>
      </w:r>
      <w:r>
        <w:rPr>
          <w:spacing w:val="-66"/>
        </w:rPr>
      </w:r>
      <w:r>
        <w:rPr/>
        <w:t>划义务的现值和当期服务成本；</w:t>
      </w:r>
    </w:p>
    <w:p>
      <w:pPr>
        <w:pStyle w:val="BodyText"/>
        <w:spacing w:line="463" w:lineRule="auto" w:before="65"/>
        <w:ind w:left="1134" w:right="1131" w:firstLine="420"/>
        <w:jc w:val="both"/>
      </w:pPr>
      <w:r>
        <w:rPr>
          <w:rFonts w:ascii="Times New Roman" w:hAnsi="Times New Roman" w:cs="Times New Roman" w:eastAsia="Times New Roman" w:hint="default"/>
          <w:spacing w:val="-2"/>
        </w:rPr>
        <w:t>B</w:t>
      </w:r>
      <w:r>
        <w:rPr>
          <w:spacing w:val="-2"/>
        </w:rPr>
        <w:t>、设定受益计划存在资产的，将设定受益计划义务现值减去设定受益计划资产公允价值所形成的赤字或盈余确认为一</w:t>
      </w:r>
      <w:r>
        <w:rPr/>
        <w:t> </w:t>
      </w:r>
      <w:r>
        <w:rPr>
          <w:spacing w:val="-2"/>
        </w:rPr>
        <w:t>项设定受益计划净负债或净资产。设定受益计划存在盈余的，以设定受益计划的盈余和资产上限两项的孰低者计量设定受益</w:t>
      </w:r>
      <w:r>
        <w:rPr>
          <w:spacing w:val="-64"/>
        </w:rPr>
        <w:t> </w:t>
      </w:r>
      <w:r>
        <w:rPr>
          <w:spacing w:val="-64"/>
        </w:rPr>
      </w:r>
      <w:r>
        <w:rPr/>
        <w:t>计划净资产；</w:t>
      </w:r>
    </w:p>
    <w:p>
      <w:pPr>
        <w:pStyle w:val="BodyText"/>
        <w:spacing w:line="468" w:lineRule="auto" w:before="65"/>
        <w:ind w:left="1134" w:right="1131" w:firstLine="420"/>
        <w:jc w:val="both"/>
      </w:pPr>
      <w:r>
        <w:rPr>
          <w:rFonts w:ascii="Times New Roman" w:hAnsi="Times New Roman" w:cs="Times New Roman" w:eastAsia="Times New Roman" w:hint="default"/>
          <w:spacing w:val="-2"/>
        </w:rPr>
        <w:t>C</w:t>
      </w:r>
      <w:r>
        <w:rPr>
          <w:spacing w:val="-2"/>
        </w:rPr>
        <w:t>、期末，将设定受益计划产生的职工薪酬成本确认为服务成本、设定受益计划净负债或净资产的利息净额以及重新计</w:t>
      </w:r>
      <w:r>
        <w:rPr/>
        <w:t> </w:t>
      </w:r>
      <w:r>
        <w:rPr>
          <w:spacing w:val="-2"/>
        </w:rPr>
        <w:t>量设定受益计划净负债或净资产所产生的变动等三部分，其中服务成本和设定受益计划净负债或净资产的利息净额计入当期</w:t>
      </w:r>
      <w:r>
        <w:rPr>
          <w:spacing w:val="-64"/>
        </w:rPr>
        <w:t> </w:t>
      </w:r>
      <w:r>
        <w:rPr>
          <w:spacing w:val="-64"/>
        </w:rPr>
      </w:r>
      <w:r>
        <w:rPr>
          <w:spacing w:val="-2"/>
        </w:rPr>
        <w:t>损益或相关资产成本，重新计量设定受益计划净负债或净资产所产生的变动计入其他综合收益，并且在后续会计期间不允许</w:t>
      </w:r>
      <w:r>
        <w:rPr>
          <w:spacing w:val="-64"/>
        </w:rPr>
        <w:t> </w:t>
      </w:r>
      <w:r>
        <w:rPr>
          <w:spacing w:val="-64"/>
        </w:rPr>
      </w:r>
      <w:r>
        <w:rPr/>
        <w:t>转回至损益，但可以在权益范围内转移这些在其他综合收益确认的金额。</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辞退福利的会计处理方法" w:id="194"/>
      <w:bookmarkEnd w:id="19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1133" w:firstLine="360"/>
        <w:jc w:val="both"/>
      </w:pPr>
      <w:r>
        <w:rPr>
          <w:spacing w:val="-2"/>
        </w:rPr>
        <w:t>向职工提供的辞退福利，在下列两者孰早日确认辞退福利产生的职工薪酬负债，并计入当期损益：①公司不能单方面撤</w:t>
      </w:r>
      <w:r>
        <w:rPr/>
        <w:t> 回因解除劳动关系计划或裁减建议所提供的辞退福利时；②</w:t>
      </w:r>
      <w:r>
        <w:rPr>
          <w:spacing w:val="-18"/>
        </w:rPr>
        <w:t> </w:t>
      </w:r>
      <w:r>
        <w:rPr/>
        <w:t>公司确认与涉及支付辞退福利的重组相关的成本或费用时。</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4）其他长期职工福利的会计处理方法" w:id="195"/>
      <w:bookmarkEnd w:id="19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4" w:right="1032" w:firstLine="360"/>
        <w:jc w:val="left"/>
      </w:pPr>
      <w:r>
        <w:rPr>
          <w:spacing w:val="-2"/>
        </w:rPr>
        <w:t>向职工提供的其他长期福利，符合设定提存计划条件的，按照设定提存计划的有关规定进行会计处理；除此之外的其他</w:t>
      </w:r>
      <w:r>
        <w:rPr/>
        <w:t>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w:t>
      </w:r>
      <w:r>
        <w:rPr>
          <w:spacing w:val="-9"/>
        </w:rPr>
        <w:t> </w:t>
      </w:r>
      <w:r>
        <w:rPr>
          <w:spacing w:val="-9"/>
        </w:rPr>
      </w:r>
      <w:r>
        <w:rPr/>
        <w:t>总净额计入当期损益或相关资产成本。</w:t>
      </w:r>
    </w:p>
    <w:p>
      <w:pPr>
        <w:spacing w:line="240" w:lineRule="auto" w:before="2"/>
        <w:rPr>
          <w:rFonts w:ascii="宋体" w:hAnsi="宋体" w:cs="宋体" w:eastAsia="宋体" w:hint="default"/>
          <w:sz w:val="25"/>
          <w:szCs w:val="25"/>
        </w:rPr>
      </w:pPr>
    </w:p>
    <w:p>
      <w:pPr>
        <w:pStyle w:val="Heading3"/>
        <w:spacing w:line="240" w:lineRule="auto"/>
        <w:ind w:left="1134" w:right="0"/>
        <w:jc w:val="left"/>
        <w:rPr>
          <w:b w:val="0"/>
          <w:bCs w:val="0"/>
        </w:rPr>
      </w:pPr>
      <w:bookmarkStart w:name="25、预计负债" w:id="196"/>
      <w:bookmarkEnd w:id="19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4" w:right="1122"/>
        <w:jc w:val="left"/>
      </w:pPr>
      <w:r>
        <w:rPr/>
        <w:t>（</w:t>
      </w:r>
      <w:r>
        <w:rPr>
          <w:rFonts w:ascii="宋体" w:hAnsi="宋体" w:cs="宋体" w:eastAsia="宋体" w:hint="default"/>
        </w:rPr>
        <w:t>1</w:t>
      </w:r>
      <w:r>
        <w:rPr/>
        <w:t>）因对外提供担保、诉讼事项、产品质量保证、亏损合同等或有事项形成的义务成为公司承担的现时义务，履行该义务</w:t>
      </w:r>
      <w:r>
        <w:rPr>
          <w:spacing w:val="-83"/>
        </w:rPr>
        <w:t> </w:t>
      </w:r>
      <w:r>
        <w:rPr>
          <w:spacing w:val="-83"/>
        </w:rPr>
      </w:r>
      <w:r>
        <w:rPr/>
        <w:t>很可能导致经济利益流出公司，且该义务的金额能够可靠的计量时，公司将该项义务确认为预计负债。</w:t>
      </w:r>
    </w:p>
    <w:p>
      <w:pPr>
        <w:pStyle w:val="BodyText"/>
        <w:spacing w:line="477" w:lineRule="auto" w:before="54"/>
        <w:ind w:left="1134" w:right="1122"/>
        <w:jc w:val="left"/>
      </w:pPr>
      <w:r>
        <w:rPr/>
        <w:t>（</w:t>
      </w:r>
      <w:r>
        <w:rPr>
          <w:rFonts w:ascii="宋体" w:hAnsi="宋体" w:cs="宋体" w:eastAsia="宋体" w:hint="default"/>
        </w:rPr>
        <w:t>2</w:t>
      </w:r>
      <w:r>
        <w:rPr/>
        <w:t>）公司按照履行相关现时义务所需支出的最佳估计数对预计负债进行初始计量，并在资产负债表日对预计负债的账面价</w:t>
      </w:r>
      <w:r>
        <w:rPr>
          <w:spacing w:val="-83"/>
        </w:rPr>
        <w:t> </w:t>
      </w:r>
      <w:r>
        <w:rPr>
          <w:spacing w:val="-83"/>
        </w:rPr>
      </w:r>
      <w:r>
        <w:rPr/>
        <w:t>值进行复核。</w:t>
      </w:r>
    </w:p>
    <w:p>
      <w:pPr>
        <w:spacing w:after="0" w:line="47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6、股份支付" w:id="197"/>
      <w:bookmarkEnd w:id="19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r>
        <w:rPr/>
        <w:t>（</w:t>
      </w:r>
      <w:r>
        <w:rPr>
          <w:rFonts w:ascii="宋体" w:hAnsi="宋体" w:cs="宋体" w:eastAsia="宋体" w:hint="default"/>
        </w:rPr>
        <w:t>1</w:t>
      </w:r>
      <w:r>
        <w:rPr/>
        <w:t>）</w:t>
      </w:r>
      <w:r>
        <w:rPr>
          <w:spacing w:val="-3"/>
        </w:rPr>
        <w:t> </w:t>
      </w:r>
      <w:r>
        <w:rPr/>
        <w:t>股份支付的种类</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right="0"/>
        <w:jc w:val="left"/>
      </w:pPr>
      <w:r>
        <w:rPr/>
        <w:t>包括以权益结算的股份支付和以现金结算的股份支付。</w:t>
      </w:r>
    </w:p>
    <w:p>
      <w:pPr>
        <w:spacing w:line="240" w:lineRule="auto" w:before="11"/>
        <w:rPr>
          <w:rFonts w:ascii="宋体" w:hAnsi="宋体" w:cs="宋体" w:eastAsia="宋体" w:hint="default"/>
          <w:sz w:val="15"/>
          <w:szCs w:val="15"/>
        </w:rPr>
      </w:pPr>
    </w:p>
    <w:p>
      <w:pPr>
        <w:pStyle w:val="Heading3"/>
        <w:spacing w:line="240" w:lineRule="auto"/>
        <w:ind w:left="1134" w:right="0"/>
        <w:jc w:val="left"/>
        <w:rPr>
          <w:b w:val="0"/>
          <w:bCs w:val="0"/>
        </w:rPr>
      </w:pPr>
      <w:r>
        <w:rPr/>
        <w:t>（</w:t>
      </w:r>
      <w:r>
        <w:rPr>
          <w:rFonts w:ascii="宋体" w:hAnsi="宋体" w:cs="宋体" w:eastAsia="宋体" w:hint="default"/>
        </w:rPr>
        <w:t>2</w:t>
      </w:r>
      <w:r>
        <w:rPr/>
        <w:t>）</w:t>
      </w:r>
      <w:r>
        <w:rPr>
          <w:spacing w:val="-5"/>
        </w:rPr>
        <w:t> </w:t>
      </w:r>
      <w:r>
        <w:rPr/>
        <w:t>实施、修改、终止股份支付计划的相关会计处理</w:t>
      </w:r>
      <w:r>
        <w:rPr>
          <w:b w:val="0"/>
          <w:bCs w:val="0"/>
        </w:rPr>
      </w:r>
    </w:p>
    <w:p>
      <w:pPr>
        <w:spacing w:line="240" w:lineRule="auto" w:before="9"/>
        <w:rPr>
          <w:rFonts w:ascii="宋体" w:hAnsi="宋体" w:cs="宋体" w:eastAsia="宋体" w:hint="default"/>
          <w:b/>
          <w:bCs/>
          <w:sz w:val="16"/>
          <w:szCs w:val="16"/>
        </w:rPr>
      </w:pPr>
    </w:p>
    <w:p>
      <w:pPr>
        <w:pStyle w:val="BodyText"/>
        <w:spacing w:line="477" w:lineRule="auto"/>
        <w:ind w:left="1134" w:right="0"/>
        <w:jc w:val="left"/>
      </w:pPr>
      <w:r>
        <w:rPr/>
        <w:t>①以权益结算的股份支付 </w:t>
      </w:r>
      <w:r>
        <w:rPr>
          <w:spacing w:val="-2"/>
        </w:rPr>
        <w:t>授予后立即可行权的换取职工服务的以权益结算的股份支付，在授予日按照权益工具的公允价值计入相关成本或费用，相应</w:t>
      </w:r>
      <w:r>
        <w:rPr>
          <w:spacing w:val="-64"/>
        </w:rPr>
        <w:t> </w:t>
      </w:r>
      <w:r>
        <w:rPr>
          <w:spacing w:val="-64"/>
        </w:rPr>
      </w:r>
      <w:r>
        <w:rPr>
          <w:spacing w:val="-2"/>
        </w:rPr>
        <w:t>调整资本公积。完成等待期内的服务或达到规定业绩条件才可行权的换取职工服务的以权益结算的股份支付，在等待期内的</w:t>
      </w:r>
      <w:r>
        <w:rPr>
          <w:spacing w:val="-64"/>
        </w:rPr>
        <w:t> </w:t>
      </w:r>
      <w:r>
        <w:rPr>
          <w:spacing w:val="-64"/>
        </w:rPr>
      </w:r>
      <w:r>
        <w:rPr>
          <w:spacing w:val="-2"/>
        </w:rPr>
        <w:t>每个资产负债表日，以对可行权权益工具数量的最佳估计为基础，按权益工具授予日的公允价值，将当期取得的服务计入相</w:t>
      </w:r>
      <w:r>
        <w:rPr>
          <w:spacing w:val="-66"/>
        </w:rPr>
        <w:t> </w:t>
      </w:r>
      <w:r>
        <w:rPr>
          <w:spacing w:val="-66"/>
        </w:rPr>
      </w:r>
      <w:r>
        <w:rPr/>
        <w:t>关成本或费用，相应调整资本公积。 </w:t>
      </w:r>
      <w:r>
        <w:rPr>
          <w:spacing w:val="-2"/>
        </w:rPr>
        <w:t>换取其他方服务的权益结算的股份支付，如果其他方服务的公允价值能够可靠计量的，按照其他方服务在取得日的公允价值</w:t>
      </w:r>
      <w:r>
        <w:rPr>
          <w:spacing w:val="-64"/>
        </w:rPr>
        <w:t> </w:t>
      </w:r>
      <w:r>
        <w:rPr>
          <w:spacing w:val="-64"/>
        </w:rPr>
      </w:r>
      <w:r>
        <w:rPr>
          <w:spacing w:val="-2"/>
        </w:rPr>
        <w:t>计量；如果其他方服务的公允价值不能可靠计量，但权益工具的公允价值能够可靠计量的，按照权益工具在服务取得日的公</w:t>
      </w:r>
      <w:r>
        <w:rPr>
          <w:spacing w:val="-66"/>
        </w:rPr>
        <w:t> </w:t>
      </w:r>
      <w:r>
        <w:rPr>
          <w:spacing w:val="-66"/>
        </w:rPr>
      </w:r>
      <w:r>
        <w:rPr/>
        <w:t>允价值计量，计入相关成本或费用，相应增加所有者权益。</w:t>
      </w:r>
    </w:p>
    <w:p>
      <w:pPr>
        <w:pStyle w:val="BodyText"/>
        <w:spacing w:line="477" w:lineRule="auto" w:before="54"/>
        <w:ind w:left="1134" w:right="0"/>
        <w:jc w:val="left"/>
      </w:pPr>
      <w:r>
        <w:rPr/>
        <w:t>②以现金结算的股份支付 </w:t>
      </w:r>
      <w:r>
        <w:rPr>
          <w:spacing w:val="-2"/>
        </w:rPr>
        <w:t>授予后立即可行权的换取职工服务的以现金结算的股份支付，在授予日按公司承担负债的公允价值计入相关成本或费用，相</w:t>
      </w:r>
      <w:r>
        <w:rPr>
          <w:spacing w:val="-64"/>
        </w:rPr>
        <w:t> </w:t>
      </w:r>
      <w:r>
        <w:rPr>
          <w:spacing w:val="-64"/>
        </w:rPr>
      </w:r>
      <w:r>
        <w:rPr>
          <w:spacing w:val="-2"/>
        </w:rPr>
        <w:t>应增加负债。完成等待期内的服务或达到规定业绩条件才可行权的换取职工服务的以现金结算的股份支付，在等待期内的每</w:t>
      </w:r>
      <w:r>
        <w:rPr>
          <w:spacing w:val="-64"/>
        </w:rPr>
        <w:t> </w:t>
      </w:r>
      <w:r>
        <w:rPr>
          <w:spacing w:val="-64"/>
        </w:rPr>
      </w:r>
      <w:r>
        <w:rPr>
          <w:spacing w:val="-2"/>
        </w:rPr>
        <w:t>个资产负债表日，以对可行权情况的最佳估计为基础，按公司承担负债的公允价值，将当期取得的服务计入相关成本或费用</w:t>
      </w:r>
      <w:r>
        <w:rPr>
          <w:spacing w:val="-66"/>
        </w:rPr>
        <w:t> </w:t>
      </w:r>
      <w:r>
        <w:rPr>
          <w:spacing w:val="-66"/>
        </w:rPr>
      </w:r>
      <w:r>
        <w:rPr/>
        <w:t>和相应的负债。</w:t>
      </w:r>
    </w:p>
    <w:p>
      <w:pPr>
        <w:pStyle w:val="BodyText"/>
        <w:spacing w:line="477" w:lineRule="auto" w:before="54"/>
        <w:ind w:right="0"/>
        <w:jc w:val="left"/>
      </w:pPr>
      <w:r>
        <w:rPr/>
        <w:t>③修改、终止股份支付计划 </w:t>
      </w:r>
      <w:r>
        <w:rPr>
          <w:spacing w:val="-2"/>
        </w:rPr>
        <w:t>如果修改增加了所授予的权益工具的公允价值，公司按照权益工具公允价值的增加相应地确认取得服务的增加；如果修改增</w:t>
      </w:r>
      <w:r>
        <w:rPr>
          <w:spacing w:val="-64"/>
        </w:rPr>
        <w:t> </w:t>
      </w:r>
      <w:r>
        <w:rPr>
          <w:spacing w:val="-64"/>
        </w:rPr>
      </w:r>
      <w:r>
        <w:rPr>
          <w:spacing w:val="-2"/>
        </w:rPr>
        <w:t>加了所授予的权益工具的数量，公司将增加的权益工具的公允价值相应地确认为取得服务的增加；如果公司按照有利于职工</w:t>
      </w:r>
      <w:r>
        <w:rPr>
          <w:spacing w:val="-64"/>
        </w:rPr>
        <w:t> </w:t>
      </w:r>
      <w:r>
        <w:rPr>
          <w:spacing w:val="-64"/>
        </w:rPr>
      </w:r>
      <w:r>
        <w:rPr/>
        <w:t>的方式修改可行权条件，公司在处理可行权条件时，考虑修改后的可行权条件。 </w:t>
      </w:r>
      <w:r>
        <w:rPr>
          <w:spacing w:val="-2"/>
        </w:rPr>
        <w:t>如果修改减少了授予的权益工具的公允价值，公司继续以权益工具在授予日的公允价值为基础，确认取得服务的金额，而不</w:t>
      </w:r>
      <w:r>
        <w:rPr>
          <w:spacing w:val="-66"/>
        </w:rPr>
        <w:t> </w:t>
      </w:r>
      <w:r>
        <w:rPr>
          <w:spacing w:val="-66"/>
        </w:rPr>
      </w:r>
      <w:r>
        <w:rPr>
          <w:spacing w:val="-2"/>
        </w:rPr>
        <w:t>考虑权益工具公允价值的减少；如果修改减少了授予的权益工具的数量，公司将减少部分作为已授予的权益工具的取消来进</w:t>
      </w:r>
      <w:r>
        <w:rPr>
          <w:spacing w:val="-64"/>
        </w:rPr>
        <w:t> </w:t>
      </w:r>
      <w:r>
        <w:rPr>
          <w:spacing w:val="-64"/>
        </w:rPr>
      </w:r>
      <w:r>
        <w:rPr/>
        <w:t>行处理；如果以不利于职工的方式修改了可行权条件，在处理可行权条件时，不考虑修改后的可行权条件。 </w:t>
      </w:r>
      <w:r>
        <w:rPr>
          <w:spacing w:val="-2"/>
        </w:rPr>
        <w:t>如果公司在等待期内取消了所授予的权益工具或结算了所授予的权益工具（因未满足可行权条件而被取消的除外），则将取</w:t>
      </w:r>
      <w:r>
        <w:rPr>
          <w:spacing w:val="-66"/>
        </w:rPr>
        <w:t> </w:t>
      </w:r>
      <w:r>
        <w:rPr>
          <w:spacing w:val="-66"/>
        </w:rPr>
      </w:r>
      <w:r>
        <w:rPr/>
        <w:t>消或结算作为加速可行权处理，立即确认原本在剩余等待期内确认的金额。</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27、优先股、永续债等其他金融工具" w:id="198"/>
      <w:bookmarkEnd w:id="19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left"/>
      </w:pPr>
      <w:r>
        <w:rPr/>
        <w:t>无</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8、收入" w:id="199"/>
      <w:bookmarkEnd w:id="199"/>
      <w:r>
        <w:rPr>
          <w:b w:val="0"/>
          <w:bCs w:val="0"/>
        </w:rPr>
      </w:r>
      <w:r>
        <w:rPr>
          <w:rFonts w:ascii="Times New Roman" w:hAnsi="Times New Roman" w:cs="Times New Roman" w:eastAsia="Times New Roman" w:hint="default"/>
        </w:rPr>
        <w:t>28</w:t>
      </w:r>
      <w:r>
        <w:rPr/>
        <w:t>、收入</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r>
        <w:rPr/>
        <w:t>（</w:t>
      </w:r>
      <w:r>
        <w:rPr>
          <w:rFonts w:ascii="宋体" w:hAnsi="宋体" w:cs="宋体" w:eastAsia="宋体" w:hint="default"/>
        </w:rPr>
        <w:t>1</w:t>
      </w:r>
      <w:r>
        <w:rPr/>
        <w:t>）收入确认原则</w:t>
      </w:r>
      <w:r>
        <w:rPr>
          <w:b w:val="0"/>
          <w:bCs w:val="0"/>
        </w:rPr>
      </w:r>
    </w:p>
    <w:p>
      <w:pPr>
        <w:spacing w:line="240" w:lineRule="auto" w:before="10"/>
        <w:rPr>
          <w:rFonts w:ascii="宋体" w:hAnsi="宋体" w:cs="宋体" w:eastAsia="宋体" w:hint="default"/>
          <w:b/>
          <w:bCs/>
          <w:sz w:val="16"/>
          <w:szCs w:val="16"/>
        </w:rPr>
      </w:pPr>
    </w:p>
    <w:p>
      <w:pPr>
        <w:pStyle w:val="BodyText"/>
        <w:spacing w:line="477" w:lineRule="auto"/>
        <w:ind w:right="1118"/>
        <w:jc w:val="left"/>
      </w:pPr>
      <w:r>
        <w:rPr/>
        <w:t>①销售商品 </w:t>
      </w:r>
      <w:r>
        <w:rPr>
          <w:spacing w:val="-2"/>
        </w:rPr>
        <w:t>销售商品收入在同时满足下列条件时予以确认：</w:t>
      </w:r>
      <w:r>
        <w:rPr>
          <w:rFonts w:ascii="宋体" w:hAnsi="宋体" w:cs="宋体" w:eastAsia="宋体" w:hint="default"/>
          <w:spacing w:val="-2"/>
        </w:rPr>
        <w:t>A</w:t>
      </w:r>
      <w:r>
        <w:rPr>
          <w:spacing w:val="-2"/>
        </w:rPr>
        <w:t>、将商品所有权上的主要风险和报酬转移给购货方；</w:t>
      </w:r>
      <w:r>
        <w:rPr>
          <w:rFonts w:ascii="宋体" w:hAnsi="宋体" w:cs="宋体" w:eastAsia="宋体" w:hint="default"/>
          <w:spacing w:val="-2"/>
        </w:rPr>
        <w:t>B</w:t>
      </w:r>
      <w:r>
        <w:rPr>
          <w:spacing w:val="-2"/>
        </w:rPr>
        <w:t>、公司不再保留通常</w:t>
      </w:r>
      <w:r>
        <w:rPr>
          <w:spacing w:val="-63"/>
        </w:rPr>
        <w:t> </w:t>
      </w:r>
      <w:r>
        <w:rPr>
          <w:spacing w:val="-63"/>
        </w:rPr>
      </w:r>
      <w:r>
        <w:rPr>
          <w:spacing w:val="-2"/>
        </w:rPr>
        <w:t>与所有权相联系的继续管理权，也不再对已售出的商品实施有效控制；</w:t>
      </w:r>
      <w:r>
        <w:rPr>
          <w:rFonts w:ascii="宋体" w:hAnsi="宋体" w:cs="宋体" w:eastAsia="宋体" w:hint="default"/>
          <w:spacing w:val="-2"/>
        </w:rPr>
        <w:t>C</w:t>
      </w:r>
      <w:r>
        <w:rPr>
          <w:spacing w:val="-2"/>
        </w:rPr>
        <w:t>、收入的金额能够可靠地计量；</w:t>
      </w:r>
      <w:r>
        <w:rPr>
          <w:rFonts w:ascii="宋体" w:hAnsi="宋体" w:cs="宋体" w:eastAsia="宋体" w:hint="default"/>
          <w:spacing w:val="-2"/>
        </w:rPr>
        <w:t>D</w:t>
      </w:r>
      <w:r>
        <w:rPr>
          <w:spacing w:val="-2"/>
        </w:rPr>
        <w:t>、相关的经济利益</w:t>
      </w:r>
      <w:r>
        <w:rPr>
          <w:spacing w:val="-63"/>
        </w:rPr>
        <w:t> </w:t>
      </w:r>
      <w:r>
        <w:rPr>
          <w:spacing w:val="-63"/>
        </w:rPr>
      </w:r>
      <w:r>
        <w:rPr/>
        <w:t>很可能流入；</w:t>
      </w:r>
      <w:r>
        <w:rPr>
          <w:rFonts w:ascii="宋体" w:hAnsi="宋体" w:cs="宋体" w:eastAsia="宋体" w:hint="default"/>
        </w:rPr>
        <w:t>E</w:t>
      </w:r>
      <w:r>
        <w:rPr/>
        <w:t>、相关的已发生或将发生的成本能够可靠地计量。</w:t>
      </w:r>
    </w:p>
    <w:p>
      <w:pPr>
        <w:pStyle w:val="BodyText"/>
        <w:spacing w:line="477" w:lineRule="auto" w:before="54"/>
        <w:ind w:right="1033"/>
        <w:jc w:val="left"/>
      </w:pPr>
      <w:r>
        <w:rPr/>
        <w:t>②让渡资产使用权 </w:t>
      </w:r>
      <w:r>
        <w:rPr>
          <w:spacing w:val="-2"/>
        </w:rPr>
        <w:t>让渡资产使用权在同时满足相关的经济利益很可能流入、收入金额能够可靠计量时，确认让渡资产使用权的收入。利息收入</w:t>
      </w:r>
      <w:r>
        <w:rPr>
          <w:spacing w:val="-66"/>
        </w:rPr>
        <w:t> </w:t>
      </w:r>
      <w:r>
        <w:rPr>
          <w:spacing w:val="-66"/>
        </w:rPr>
      </w:r>
      <w:r>
        <w:rPr/>
        <w:t>按照他人使用本公司货币资金的时间和实际利率计算确定；使用费收入按有关合同或协议约定的收费时间和方法计算确定。</w:t>
      </w:r>
    </w:p>
    <w:p>
      <w:pPr>
        <w:pStyle w:val="Heading3"/>
        <w:spacing w:line="240" w:lineRule="auto" w:before="29"/>
        <w:ind w:right="0"/>
        <w:jc w:val="left"/>
        <w:rPr>
          <w:b w:val="0"/>
          <w:bCs w:val="0"/>
        </w:rPr>
      </w:pPr>
      <w:r>
        <w:rPr/>
        <w:t>（</w:t>
      </w:r>
      <w:r>
        <w:rPr>
          <w:rFonts w:ascii="宋体" w:hAnsi="宋体" w:cs="宋体" w:eastAsia="宋体" w:hint="default"/>
        </w:rPr>
        <w:t>2</w:t>
      </w:r>
      <w:r>
        <w:rPr/>
        <w:t>）收入确认的具体方法</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right="0"/>
        <w:jc w:val="left"/>
      </w:pPr>
      <w:r>
        <w:rPr/>
        <w:t>公司的主营业务为金融安防业务，包括安防系统、安防设备销售。</w:t>
      </w:r>
    </w:p>
    <w:p>
      <w:pPr>
        <w:spacing w:line="240" w:lineRule="auto" w:before="10"/>
        <w:rPr>
          <w:rFonts w:ascii="宋体" w:hAnsi="宋体" w:cs="宋体" w:eastAsia="宋体" w:hint="default"/>
          <w:sz w:val="17"/>
          <w:szCs w:val="17"/>
        </w:rPr>
      </w:pPr>
    </w:p>
    <w:p>
      <w:pPr>
        <w:pStyle w:val="BodyText"/>
        <w:spacing w:line="477" w:lineRule="auto"/>
        <w:ind w:right="1131"/>
        <w:jc w:val="both"/>
      </w:pPr>
      <w:r>
        <w:rPr>
          <w:spacing w:val="-2"/>
        </w:rPr>
        <w:t>①本公司安防系统业务主要系为金融企业提供安防综合管理系统、出入口控制系统、自助银行智能安防系统、营业网点视音</w:t>
      </w:r>
      <w:r>
        <w:rPr>
          <w:spacing w:val="-66"/>
        </w:rPr>
        <w:t> </w:t>
      </w:r>
      <w:r>
        <w:rPr>
          <w:spacing w:val="-66"/>
        </w:rPr>
      </w:r>
      <w:r>
        <w:rPr>
          <w:spacing w:val="-2"/>
        </w:rPr>
        <w:t>频系统的安防系统服务和维护收入服务，其实施阶段通常包括设备进场、实施工程、系统调试、客户确认安装设备清单和工</w:t>
      </w:r>
      <w:r>
        <w:rPr>
          <w:spacing w:val="-66"/>
        </w:rPr>
        <w:t> </w:t>
      </w:r>
      <w:r>
        <w:rPr>
          <w:spacing w:val="-66"/>
        </w:rPr>
      </w:r>
      <w:r>
        <w:rPr>
          <w:spacing w:val="-2"/>
        </w:rPr>
        <w:t>程验收。本公司在系统安装调试完毕且通过客户验收确认后，相关的收入已经收到或取得收款的证据，与安防系统有关的成</w:t>
      </w:r>
      <w:r>
        <w:rPr>
          <w:spacing w:val="-66"/>
        </w:rPr>
        <w:t> </w:t>
      </w:r>
      <w:r>
        <w:rPr>
          <w:spacing w:val="-66"/>
        </w:rPr>
      </w:r>
      <w:r>
        <w:rPr/>
        <w:t>本能够可靠计量时，确认安防系统收入的实现。</w:t>
      </w:r>
    </w:p>
    <w:p>
      <w:pPr>
        <w:pStyle w:val="BodyText"/>
        <w:spacing w:line="477" w:lineRule="auto" w:before="54"/>
        <w:ind w:right="0"/>
        <w:jc w:val="left"/>
      </w:pPr>
      <w:r>
        <w:rPr>
          <w:spacing w:val="-2"/>
        </w:rPr>
        <w:t>②安防设备销售业务是指公司通过参加金融企业的集中采购，为金融企业或其指定的工程商提供产品。设备销售业务的收入</w:t>
      </w:r>
      <w:r>
        <w:rPr>
          <w:spacing w:val="-64"/>
        </w:rPr>
        <w:t> </w:t>
      </w:r>
      <w:r>
        <w:rPr>
          <w:spacing w:val="-64"/>
        </w:rPr>
      </w:r>
      <w:r>
        <w:rPr/>
        <w:t>确认原则为产品交付并获得客户签收确认时确认收入。</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29、政府补助" w:id="200"/>
      <w:bookmarkEnd w:id="20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与资产相关的政府补助判断依据及会计处理方法" w:id="201"/>
      <w:bookmarkEnd w:id="20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4" w:right="1032" w:firstLine="360"/>
        <w:jc w:val="left"/>
      </w:pPr>
      <w:r>
        <w:rPr/>
        <w:t>公司取得的、用于购建或以其他方式形成长期资产的政府补助划分为与资产相关的政府补助。与资产相关的政府补助， </w:t>
      </w:r>
      <w:r>
        <w:rPr>
          <w:spacing w:val="-2"/>
        </w:rPr>
        <w:t>确认为递延收益，并在相关资产使用寿命内平均分配，计入当期损益。但是，按照名义金额计量的政府补助，直接计入当期</w:t>
      </w:r>
      <w:r>
        <w:rPr>
          <w:spacing w:val="-66"/>
        </w:rPr>
        <w:t> </w:t>
      </w:r>
      <w:r>
        <w:rPr>
          <w:spacing w:val="-66"/>
        </w:rPr>
      </w:r>
      <w:r>
        <w:rPr/>
        <w:t>损益。</w:t>
      </w:r>
    </w:p>
    <w:p>
      <w:pPr>
        <w:spacing w:line="240" w:lineRule="auto" w:before="2"/>
        <w:rPr>
          <w:rFonts w:ascii="宋体" w:hAnsi="宋体" w:cs="宋体" w:eastAsia="宋体" w:hint="default"/>
          <w:sz w:val="25"/>
          <w:szCs w:val="25"/>
        </w:rPr>
      </w:pPr>
    </w:p>
    <w:p>
      <w:pPr>
        <w:pStyle w:val="Heading3"/>
        <w:spacing w:line="240" w:lineRule="auto"/>
        <w:ind w:left="1134" w:right="0"/>
        <w:jc w:val="left"/>
        <w:rPr>
          <w:b w:val="0"/>
          <w:bCs w:val="0"/>
        </w:rPr>
      </w:pPr>
      <w:bookmarkStart w:name="（2）与收益相关的政府补助判断依据及会计处理方法" w:id="202"/>
      <w:bookmarkEnd w:id="20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77" w:lineRule="auto"/>
        <w:ind w:left="1134" w:right="1132" w:firstLine="360"/>
        <w:jc w:val="both"/>
      </w:pPr>
      <w:r>
        <w:rPr>
          <w:spacing w:val="-2"/>
        </w:rPr>
        <w:t>除与资产相关的政府补助之外的政府补助划分为与收益相关的政府补助。与收益相关的政府补助，用于补偿以后期间的</w:t>
      </w:r>
      <w:r>
        <w:rPr/>
        <w:t> </w:t>
      </w:r>
      <w:r>
        <w:rPr>
          <w:spacing w:val="-2"/>
        </w:rPr>
        <w:t>相关费用或损失的，确认为递延收益，在确认相关费用的期间，计入当期损益；用于补偿已发生的相关费用或损失的，直接</w:t>
      </w:r>
      <w:r>
        <w:rPr>
          <w:spacing w:val="-66"/>
        </w:rPr>
        <w:t> </w:t>
      </w:r>
      <w:r>
        <w:rPr>
          <w:spacing w:val="-66"/>
        </w:rPr>
      </w:r>
      <w:r>
        <w:rPr/>
        <w:t>计入当期损益。</w:t>
      </w:r>
    </w:p>
    <w:p>
      <w:pPr>
        <w:spacing w:after="0" w:line="477"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both"/>
        <w:rPr>
          <w:b w:val="0"/>
          <w:bCs w:val="0"/>
        </w:rPr>
      </w:pPr>
      <w:bookmarkStart w:name="30、递延所得税资产/递延所得税负债" w:id="203"/>
      <w:bookmarkEnd w:id="20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477" w:lineRule="auto"/>
        <w:ind w:left="1134" w:right="1131"/>
        <w:jc w:val="both"/>
      </w:pPr>
      <w:r>
        <w:rPr/>
        <w:t>（</w:t>
      </w:r>
      <w:r>
        <w:rPr>
          <w:rFonts w:ascii="宋体" w:hAnsi="宋体" w:cs="宋体" w:eastAsia="宋体" w:hint="default"/>
        </w:rPr>
        <w:t>1</w:t>
      </w:r>
      <w:r>
        <w:rPr/>
        <w:t>）根据资产、负债的账面价值与其计税基础之间的差额（未作为资产和负债确认的项目按照税法规定可以确定其计税基</w:t>
      </w:r>
      <w:r>
        <w:rPr>
          <w:spacing w:val="-83"/>
        </w:rPr>
        <w:t> </w:t>
      </w:r>
      <w:r>
        <w:rPr>
          <w:spacing w:val="-83"/>
        </w:rPr>
      </w:r>
      <w:r>
        <w:rPr>
          <w:spacing w:val="-2"/>
        </w:rPr>
        <w:t>础的，该计税基础与其账面数之间的差额），按照预期收回该资产或清偿该负债期间的适用税率计算确认递延所得税资产或</w:t>
      </w:r>
      <w:r>
        <w:rPr>
          <w:spacing w:val="-65"/>
        </w:rPr>
        <w:t> </w:t>
      </w:r>
      <w:r>
        <w:rPr>
          <w:spacing w:val="-65"/>
        </w:rPr>
      </w:r>
      <w:r>
        <w:rPr/>
        <w:t>递延所得税负债。</w:t>
      </w:r>
    </w:p>
    <w:p>
      <w:pPr>
        <w:pStyle w:val="BodyText"/>
        <w:spacing w:line="477" w:lineRule="auto" w:before="54"/>
        <w:ind w:left="1134" w:right="1122"/>
        <w:jc w:val="left"/>
      </w:pPr>
      <w:r>
        <w:rPr/>
        <w:t>（</w:t>
      </w:r>
      <w:r>
        <w:rPr>
          <w:rFonts w:ascii="宋体" w:hAnsi="宋体" w:cs="宋体" w:eastAsia="宋体" w:hint="default"/>
        </w:rPr>
        <w:t>2</w:t>
      </w:r>
      <w:r>
        <w:rPr/>
        <w:t>）确认递延所得税资产以很可能取得用来抵扣可抵扣暂时性差异的应纳税所得额为限。资产负债表日，有确凿证据表明</w:t>
      </w:r>
      <w:r>
        <w:rPr>
          <w:spacing w:val="-83"/>
        </w:rPr>
        <w:t> </w:t>
      </w:r>
      <w:r>
        <w:rPr>
          <w:spacing w:val="-83"/>
        </w:rPr>
      </w:r>
      <w:r>
        <w:rPr/>
        <w:t>未来期间很可能获得足够的应纳税所得额用来抵扣可抵扣暂时性差异的，确认以前会计期间未确认的递延所得税资产。</w:t>
      </w:r>
    </w:p>
    <w:p>
      <w:pPr>
        <w:pStyle w:val="BodyText"/>
        <w:spacing w:line="477" w:lineRule="auto" w:before="54"/>
        <w:ind w:left="1134" w:right="1122"/>
        <w:jc w:val="left"/>
      </w:pPr>
      <w:r>
        <w:rPr/>
        <w:t>（</w:t>
      </w:r>
      <w:r>
        <w:rPr>
          <w:rFonts w:ascii="宋体" w:hAnsi="宋体" w:cs="宋体" w:eastAsia="宋体" w:hint="default"/>
        </w:rPr>
        <w:t>3</w:t>
      </w:r>
      <w:r>
        <w:rPr/>
        <w:t>）资产负债表日，对递延所得税资产的账面价值进行复核，如果未来期间很可能无法获得足够的应纳税所得额用以抵扣</w:t>
      </w:r>
      <w:r>
        <w:rPr>
          <w:spacing w:val="-83"/>
        </w:rPr>
        <w:t> </w:t>
      </w:r>
      <w:r>
        <w:rPr>
          <w:spacing w:val="-83"/>
        </w:rPr>
      </w:r>
      <w:r>
        <w:rPr/>
        <w:t>递延所得税资产的利益，则减记递延所得税资产的账面价值。在很可能获得足够的应纳税所得额时，转回减记的金额。</w:t>
      </w:r>
    </w:p>
    <w:p>
      <w:pPr>
        <w:pStyle w:val="BodyText"/>
        <w:spacing w:line="240" w:lineRule="auto" w:before="54"/>
        <w:ind w:right="0"/>
        <w:jc w:val="both"/>
      </w:pPr>
      <w:r>
        <w:rPr/>
        <w:t>（</w:t>
      </w:r>
      <w:r>
        <w:rPr>
          <w:rFonts w:ascii="宋体" w:hAnsi="宋体" w:cs="宋体" w:eastAsia="宋体" w:hint="default"/>
        </w:rPr>
        <w:t>4</w:t>
      </w:r>
      <w:r>
        <w:rPr/>
        <w:t>）公司当期所得税和递延所得税作为所得税费用或收益计入当期损益，但不包括下列情况产生的所得税：①企业合并；</w:t>
      </w:r>
    </w:p>
    <w:p>
      <w:pPr>
        <w:spacing w:line="240" w:lineRule="auto" w:before="10"/>
        <w:rPr>
          <w:rFonts w:ascii="宋体" w:hAnsi="宋体" w:cs="宋体" w:eastAsia="宋体" w:hint="default"/>
          <w:sz w:val="17"/>
          <w:szCs w:val="17"/>
        </w:rPr>
      </w:pPr>
    </w:p>
    <w:p>
      <w:pPr>
        <w:pStyle w:val="BodyText"/>
        <w:spacing w:line="240" w:lineRule="auto"/>
        <w:ind w:left="1134" w:right="0"/>
        <w:jc w:val="both"/>
      </w:pPr>
      <w:r>
        <w:rPr/>
        <w:t>② 直接在所有者权益中确认的交易或者事项。</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4" w:right="0"/>
        <w:jc w:val="both"/>
        <w:rPr>
          <w:b w:val="0"/>
          <w:bCs w:val="0"/>
        </w:rPr>
      </w:pPr>
      <w:bookmarkStart w:name="31、租赁" w:id="204"/>
      <w:bookmarkEnd w:id="204"/>
      <w:r>
        <w:rPr>
          <w:b w:val="0"/>
          <w:bCs w:val="0"/>
        </w:rPr>
      </w:r>
      <w:r>
        <w:rPr>
          <w:rFonts w:ascii="Times New Roman" w:hAnsi="Times New Roman" w:cs="Times New Roman" w:eastAsia="Times New Roman" w:hint="default"/>
        </w:rPr>
        <w:t>31</w:t>
      </w:r>
      <w:r>
        <w:rPr/>
        <w:t>、租赁</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both"/>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pStyle w:val="BodyText"/>
        <w:spacing w:line="477" w:lineRule="auto"/>
        <w:ind w:left="1134" w:right="1032" w:firstLine="360"/>
        <w:jc w:val="left"/>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477" w:lineRule="auto" w:before="54"/>
        <w:ind w:left="1134" w:right="0" w:firstLine="360"/>
        <w:jc w:val="left"/>
      </w:pPr>
      <w:r>
        <w:rPr>
          <w:spacing w:val="-2"/>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4" w:right="0"/>
        <w:jc w:val="both"/>
        <w:rPr>
          <w:b w:val="0"/>
          <w:bCs w:val="0"/>
        </w:rPr>
      </w:pPr>
      <w:bookmarkStart w:name="32、其他重要的会计政策和会计估计" w:id="207"/>
      <w:bookmarkEnd w:id="20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left="1134" w:right="0"/>
        <w:jc w:val="both"/>
        <w:rPr>
          <w:b w:val="0"/>
          <w:bCs w:val="0"/>
        </w:rPr>
      </w:pPr>
      <w:bookmarkStart w:name="33、重要会计政策和会计估计变更" w:id="208"/>
      <w:bookmarkEnd w:id="20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both"/>
        <w:rPr>
          <w:b w:val="0"/>
          <w:bCs w:val="0"/>
        </w:rPr>
      </w:pPr>
      <w:bookmarkStart w:name="（1）重要会计政策变更" w:id="209"/>
      <w:bookmarkEnd w:id="20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4、其他" w:id="211"/>
      <w:bookmarkEnd w:id="211"/>
      <w:r>
        <w:rPr>
          <w:b w:val="0"/>
          <w:bCs w:val="0"/>
        </w:rPr>
      </w:r>
      <w:r>
        <w:rPr>
          <w:rFonts w:ascii="Times New Roman" w:hAnsi="Times New Roman" w:cs="Times New Roman" w:eastAsia="Times New Roman" w:hint="default"/>
        </w:rPr>
        <w:t>34</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4" w:right="0"/>
        <w:jc w:val="left"/>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left="1134" w:right="0"/>
        <w:jc w:val="left"/>
        <w:rPr>
          <w:b w:val="0"/>
          <w:bCs w:val="0"/>
        </w:rPr>
      </w:pPr>
      <w:bookmarkStart w:name="六、税项" w:id="212"/>
      <w:bookmarkEnd w:id="212"/>
      <w:r>
        <w:rPr>
          <w:b w:val="0"/>
          <w:bCs w:val="0"/>
        </w:rPr>
      </w:r>
      <w:r>
        <w:rPr/>
        <w:t>六、税项</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left="1134" w:right="0"/>
        <w:jc w:val="left"/>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 </w:t>
            </w:r>
            <w:r>
              <w:rPr>
                <w:rFonts w:ascii="Times New Roman" w:hAnsi="Times New Roman" w:cs="Times New Roman" w:eastAsia="Times New Roman" w:hint="default"/>
                <w:sz w:val="18"/>
                <w:szCs w:val="18"/>
              </w:rPr>
              <w:t>%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6"/>
        <w:rPr>
          <w:rFonts w:ascii="宋体" w:hAnsi="宋体" w:cs="宋体" w:eastAsia="宋体" w:hint="default"/>
          <w:b/>
          <w:bCs/>
          <w:sz w:val="6"/>
          <w:szCs w:val="6"/>
        </w:rPr>
      </w:pPr>
    </w:p>
    <w:p>
      <w:pPr>
        <w:pStyle w:val="BodyText"/>
        <w:spacing w:line="240" w:lineRule="auto" w:before="44"/>
        <w:ind w:left="1134" w:right="0"/>
        <w:jc w:val="left"/>
      </w:pPr>
      <w:r>
        <w:rPr/>
        <w:t>存在不同企业所得税税率纳税主体的，披露情况说明</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广州市万欣计算机科技有限公司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年度按收入总额定率征收，核定应税所得率为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广州市苏瑞计算机科技有限公司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广州市浩云安防设备有限公司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4"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日，公司获得广东省科学技术厅、广东省财政厅、广东省国税局和广东省地税局颁发的编号为</w:t>
      </w:r>
    </w:p>
    <w:p>
      <w:pPr>
        <w:spacing w:line="240" w:lineRule="auto" w:before="1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w w:val="99"/>
        </w:rPr>
        <w:t>GR201444001013</w:t>
      </w:r>
      <w:r>
        <w:rPr>
          <w:rFonts w:ascii="Times New Roman" w:hAnsi="Times New Roman" w:cs="Times New Roman" w:eastAsia="Times New Roman" w:hint="default"/>
          <w:spacing w:val="-1"/>
          <w:w w:val="99"/>
        </w:rPr>
        <w:t> </w:t>
      </w:r>
      <w:r>
        <w:rPr>
          <w:w w:val="99"/>
        </w:rPr>
        <w:t>的《高新技术企业证书</w:t>
      </w:r>
      <w:r>
        <w:rPr>
          <w:spacing w:val="-90"/>
          <w:w w:val="99"/>
        </w:rPr>
        <w:t>》</w:t>
      </w:r>
      <w:r>
        <w:rPr>
          <w:w w:val="99"/>
        </w:rPr>
        <w:t>，按税法规定</w:t>
      </w:r>
      <w:r>
        <w:rPr>
          <w:spacing w:val="-46"/>
          <w:w w:val="99"/>
        </w:rPr>
        <w:t> </w:t>
      </w:r>
      <w:r>
        <w:rPr>
          <w:rFonts w:ascii="Times New Roman" w:hAnsi="Times New Roman" w:cs="Times New Roman" w:eastAsia="Times New Roman" w:hint="default"/>
          <w:w w:val="99"/>
        </w:rPr>
        <w:t>2014-2016</w:t>
      </w:r>
      <w:r>
        <w:rPr>
          <w:rFonts w:ascii="Times New Roman" w:hAnsi="Times New Roman" w:cs="Times New Roman" w:eastAsia="Times New Roman" w:hint="default"/>
          <w:spacing w:val="-1"/>
          <w:w w:val="99"/>
        </w:rPr>
        <w:t> </w:t>
      </w:r>
      <w:r>
        <w:rPr>
          <w:w w:val="99"/>
        </w:rPr>
        <w:t>年度减按</w:t>
      </w:r>
      <w:r>
        <w:rPr>
          <w:spacing w:val="-46"/>
          <w:w w:val="99"/>
        </w:rPr>
        <w:t> </w:t>
      </w:r>
      <w:r>
        <w:rPr>
          <w:rFonts w:ascii="Times New Roman" w:hAnsi="Times New Roman" w:cs="Times New Roman" w:eastAsia="Times New Roman" w:hint="default"/>
          <w:w w:val="99"/>
        </w:rPr>
        <w:t>15%</w:t>
      </w:r>
      <w:r>
        <w:rPr>
          <w:w w:val="99"/>
        </w:rPr>
        <w:t>的税率计缴企业所得税。</w:t>
      </w:r>
      <w:r>
        <w:rPr/>
      </w:r>
    </w:p>
    <w:p>
      <w:pPr>
        <w:spacing w:line="240" w:lineRule="auto" w:before="10"/>
        <w:rPr>
          <w:rFonts w:ascii="宋体" w:hAnsi="宋体" w:cs="宋体" w:eastAsia="宋体" w:hint="default"/>
          <w:sz w:val="19"/>
          <w:szCs w:val="19"/>
        </w:rPr>
      </w:pPr>
    </w:p>
    <w:p>
      <w:pPr>
        <w:pStyle w:val="BodyText"/>
        <w:spacing w:line="451" w:lineRule="auto"/>
        <w:ind w:right="1026"/>
        <w:jc w:val="left"/>
      </w:pPr>
      <w:r>
        <w:rPr>
          <w:spacing w:val="-4"/>
        </w:rPr>
        <w:t>（</w:t>
      </w:r>
      <w:r>
        <w:rPr>
          <w:rFonts w:ascii="Times New Roman" w:hAnsi="Times New Roman" w:cs="Times New Roman" w:eastAsia="Times New Roman" w:hint="default"/>
          <w:spacing w:val="-4"/>
        </w:rPr>
        <w:t>2</w:t>
      </w:r>
      <w:r>
        <w:rPr>
          <w:spacing w:val="-4"/>
        </w:rPr>
        <w:t>）本公司子公司广州市苏瑞计算机科技有限公司于</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日取得软件企业认定证书</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spacing w:val="-16"/>
        </w:rPr>
        <w:t>证书编号：粤</w:t>
      </w:r>
      <w:r>
        <w:rPr>
          <w:spacing w:val="-51"/>
        </w:rPr>
        <w:t> </w:t>
      </w:r>
      <w:r>
        <w:rPr>
          <w:rFonts w:ascii="Times New Roman" w:hAnsi="Times New Roman" w:cs="Times New Roman" w:eastAsia="Times New Roman" w:hint="default"/>
        </w:rPr>
        <w:t>R-2013-0500</w:t>
      </w:r>
      <w:r>
        <w:rPr/>
        <w:t>。 </w:t>
      </w:r>
      <w:r>
        <w:rPr>
          <w:spacing w:val="-1"/>
        </w:rPr>
        <w:t>自开始获利年度起，第一年和第二年免征企业所得税，第三年至第五年减半征收企业所得税；</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7"/>
        </w:rPr>
        <w:t> </w:t>
      </w:r>
      <w:r>
        <w:rPr/>
        <w:t>年度为第二个获利年度，</w:t>
      </w:r>
    </w:p>
    <w:p>
      <w:pPr>
        <w:spacing w:after="0" w:line="451"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214"/>
        <w:jc w:val="both"/>
      </w:pPr>
      <w:r>
        <w:rPr/>
        <w:t>免征企业所得税。广州市苏瑞计算机科技有限公司销售其自行开发生产的软件产品，按</w:t>
      </w:r>
      <w:r>
        <w:rPr>
          <w:spacing w:val="-45"/>
        </w:rPr>
        <w:t> </w:t>
      </w:r>
      <w:r>
        <w:rPr>
          <w:rFonts w:ascii="Times New Roman" w:hAnsi="Times New Roman" w:cs="Times New Roman" w:eastAsia="Times New Roman" w:hint="default"/>
        </w:rPr>
        <w:t>17%</w:t>
      </w:r>
      <w:r>
        <w:rPr/>
        <w:t>税率征收增值税后，对其增值 税实际税负超过</w:t>
      </w:r>
      <w:r>
        <w:rPr>
          <w:spacing w:val="-46"/>
        </w:rPr>
        <w:t> </w:t>
      </w:r>
      <w:r>
        <w:rPr>
          <w:rFonts w:ascii="Times New Roman" w:hAnsi="Times New Roman" w:cs="Times New Roman" w:eastAsia="Times New Roman" w:hint="default"/>
        </w:rPr>
        <w:t>3%</w:t>
      </w:r>
      <w:r>
        <w:rPr/>
        <w:t>的部分实行即征即退政策。</w:t>
      </w:r>
    </w:p>
    <w:p>
      <w:pPr>
        <w:pStyle w:val="BodyText"/>
        <w:spacing w:line="451" w:lineRule="auto" w:before="82"/>
        <w:ind w:left="1134" w:right="1129"/>
        <w:jc w:val="both"/>
      </w:pPr>
      <w:r>
        <w:rPr>
          <w:spacing w:val="-4"/>
        </w:rPr>
        <w:t>（</w:t>
      </w:r>
      <w:r>
        <w:rPr>
          <w:rFonts w:ascii="Times New Roman" w:hAnsi="Times New Roman" w:cs="Times New Roman" w:eastAsia="Times New Roman" w:hint="default"/>
          <w:spacing w:val="-4"/>
        </w:rPr>
        <w:t>3</w:t>
      </w:r>
      <w:r>
        <w:rPr>
          <w:spacing w:val="-4"/>
        </w:rPr>
        <w:t>）根据财政部、国家税务总局发布的《关于暂免征收部分小微企业增值税和营业税的通知》（财税〔</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52</w:t>
      </w:r>
      <w:r>
        <w:rPr>
          <w:rFonts w:ascii="Times New Roman" w:hAnsi="Times New Roman" w:cs="Times New Roman" w:eastAsia="Times New Roman" w:hint="default"/>
          <w:spacing w:val="23"/>
        </w:rPr>
        <w:t> </w:t>
      </w:r>
      <w:r>
        <w:rPr>
          <w:spacing w:val="-7"/>
        </w:rPr>
        <w:t>号）和《关</w:t>
      </w:r>
      <w:r>
        <w:rPr>
          <w:spacing w:val="-85"/>
        </w:rPr>
        <w:t> </w:t>
      </w:r>
      <w:r>
        <w:rPr>
          <w:spacing w:val="-85"/>
        </w:rPr>
      </w:r>
      <w:r>
        <w:rPr>
          <w:spacing w:val="-3"/>
        </w:rPr>
        <w:t>于进一步支持小微企业增值税和营业税政策的通知》（财税〔</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71</w:t>
      </w:r>
      <w:r>
        <w:rPr>
          <w:rFonts w:ascii="Times New Roman" w:hAnsi="Times New Roman" w:cs="Times New Roman" w:eastAsia="Times New Roman" w:hint="default"/>
        </w:rPr>
        <w:t> </w:t>
      </w:r>
      <w:r>
        <w:rPr>
          <w:spacing w:val="-4"/>
        </w:rPr>
        <w:t>号），本公司部分外地分公司和子公司广州市万欣计</w:t>
      </w:r>
      <w:r>
        <w:rPr>
          <w:spacing w:val="-77"/>
        </w:rPr>
        <w:t> </w:t>
      </w:r>
      <w:r>
        <w:rPr>
          <w:spacing w:val="-77"/>
        </w:rPr>
      </w:r>
      <w:r>
        <w:rPr/>
        <w:t>算机科技有限公司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月享受该项增值税减免优惠。</w:t>
      </w:r>
    </w:p>
    <w:p>
      <w:pPr>
        <w:spacing w:line="240" w:lineRule="auto" w:before="7"/>
        <w:rPr>
          <w:rFonts w:ascii="宋体" w:hAnsi="宋体" w:cs="宋体" w:eastAsia="宋体" w:hint="default"/>
          <w:sz w:val="22"/>
          <w:szCs w:val="22"/>
        </w:rPr>
      </w:pPr>
    </w:p>
    <w:p>
      <w:pPr>
        <w:pStyle w:val="Heading2"/>
        <w:spacing w:line="240" w:lineRule="auto"/>
        <w:ind w:left="1134" w:right="0"/>
        <w:jc w:val="both"/>
        <w:rPr>
          <w:b w:val="0"/>
          <w:bCs w:val="0"/>
        </w:rPr>
      </w:pPr>
      <w:bookmarkStart w:name="七、合并财务报表项目注释" w:id="215"/>
      <w:bookmarkEnd w:id="215"/>
      <w:r>
        <w:rPr>
          <w:b w:val="0"/>
          <w:bCs w:val="0"/>
        </w:rPr>
      </w:r>
      <w:r>
        <w:rPr/>
        <w:t>七、合并财务报表项目注释</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left="1134" w:right="0"/>
        <w:jc w:val="both"/>
        <w:rPr>
          <w:b w:val="0"/>
          <w:bCs w:val="0"/>
        </w:rPr>
      </w:pPr>
      <w:bookmarkStart w:name="1、货币资金" w:id="216"/>
      <w:bookmarkEnd w:id="21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283,233.26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238,721.36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405,365,824.87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132,838,474.57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5,836,832.54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2,641,619.26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411,485,890.67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135,718,815.19</w:t>
            </w:r>
          </w:p>
        </w:tc>
      </w:tr>
    </w:tbl>
    <w:p>
      <w:pPr>
        <w:spacing w:line="240" w:lineRule="auto" w:before="6"/>
        <w:rPr>
          <w:rFonts w:ascii="宋体" w:hAnsi="宋体" w:cs="宋体" w:eastAsia="宋体" w:hint="default"/>
          <w:sz w:val="6"/>
          <w:szCs w:val="6"/>
        </w:rPr>
      </w:pPr>
    </w:p>
    <w:p>
      <w:pPr>
        <w:pStyle w:val="BodyText"/>
        <w:spacing w:line="518" w:lineRule="auto" w:before="44"/>
        <w:ind w:right="1032"/>
        <w:jc w:val="left"/>
      </w:pPr>
      <w:r>
        <w:rPr/>
        <w:t>其他说明 </w:t>
      </w:r>
      <w:r>
        <w:rPr>
          <w:spacing w:val="-2"/>
        </w:rPr>
        <w:t>期末其他货币资金中有</w:t>
      </w:r>
      <w:r>
        <w:rPr>
          <w:rFonts w:ascii="Times New Roman" w:hAnsi="Times New Roman" w:cs="Times New Roman" w:eastAsia="Times New Roman" w:hint="default"/>
          <w:spacing w:val="-2"/>
        </w:rPr>
        <w:t>5,567,960.97</w:t>
      </w:r>
      <w:r>
        <w:rPr>
          <w:spacing w:val="-2"/>
        </w:rPr>
        <w:t>元系应付票据保证金和保函保证金，有</w:t>
      </w:r>
      <w:r>
        <w:rPr>
          <w:rFonts w:ascii="Times New Roman" w:hAnsi="Times New Roman" w:cs="Times New Roman" w:eastAsia="Times New Roman" w:hint="default"/>
          <w:spacing w:val="-2"/>
        </w:rPr>
        <w:t>268,871.57</w:t>
      </w:r>
      <w:r>
        <w:rPr>
          <w:spacing w:val="-2"/>
        </w:rPr>
        <w:t>元系住宅专项维修资金，使用受到限制。</w:t>
      </w:r>
    </w:p>
    <w:p>
      <w:pPr>
        <w:spacing w:line="240" w:lineRule="auto" w:before="2"/>
        <w:rPr>
          <w:rFonts w:ascii="宋体" w:hAnsi="宋体" w:cs="宋体" w:eastAsia="宋体" w:hint="default"/>
          <w:sz w:val="14"/>
          <w:szCs w:val="14"/>
        </w:rPr>
      </w:pPr>
    </w:p>
    <w:p>
      <w:pPr>
        <w:pStyle w:val="Heading3"/>
        <w:spacing w:line="240" w:lineRule="auto"/>
        <w:ind w:right="0"/>
        <w:jc w:val="left"/>
        <w:rPr>
          <w:b w:val="0"/>
          <w:bCs w:val="0"/>
        </w:rPr>
      </w:pPr>
      <w:bookmarkStart w:name="2、应收账款" w:id="217"/>
      <w:bookmarkEnd w:id="217"/>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18"/>
      <w:bookmarkEnd w:id="21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133,459,</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265.71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10,530,8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122,928,4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30.14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94,799,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985.58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7,360,019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87,439,965.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133,459,</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265.71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10,530,8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35.57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7.89%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122,928,4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30.14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94,799,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985.58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7,360,019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87,439,965.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r>
        <w:trPr>
          <w:trHeight w:val="393"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期末单项金额重大并单项计提坏账准备的应收账款：</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组合中，按账龄分析法计提坏账准备的应收账款：</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205"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8"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110,189,504.36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5,509,475.22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17,885,627.65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1,788,562.77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3,073,337.32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922,001.20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2,310,796.38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2,310,796.38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133,459,265.71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10,530,835.57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组合中，采用余额百分比法计提坏账准备的应收账款：</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219"/>
      <w:bookmarkEnd w:id="2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t>本期计提坏账准备金额</w:t>
      </w:r>
      <w:r>
        <w:rPr>
          <w:spacing w:val="-47"/>
        </w:rPr>
        <w:t> </w:t>
      </w:r>
      <w:r>
        <w:rPr>
          <w:rFonts w:ascii="Times New Roman" w:hAnsi="Times New Roman" w:cs="Times New Roman" w:eastAsia="Times New Roman" w:hint="default"/>
        </w:rPr>
        <w:t>3,170,815.91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按欠款方归集的期末余额前五名的应收账款情况" w:id="220"/>
      <w:bookmarkEnd w:id="220"/>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229"/>
        <w:jc w:val="right"/>
      </w:pPr>
      <w:r>
        <w:rPr/>
        <w:t>单位：元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30"/>
        <w:gridCol w:w="1698"/>
        <w:gridCol w:w="2694"/>
        <w:gridCol w:w="1985"/>
      </w:tblGrid>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7" w:right="0"/>
              <w:jc w:val="left"/>
              <w:rPr>
                <w:rFonts w:ascii="宋体" w:hAnsi="宋体" w:cs="宋体" w:eastAsia="宋体" w:hint="default"/>
                <w:sz w:val="18"/>
                <w:szCs w:val="18"/>
              </w:rPr>
            </w:pPr>
            <w:r>
              <w:rPr>
                <w:rFonts w:ascii="宋体" w:hAnsi="宋体" w:cs="宋体" w:eastAsia="宋体" w:hint="default"/>
                <w:sz w:val="18"/>
                <w:szCs w:val="18"/>
              </w:rPr>
              <w:t>占应收账款余额的比例（</w:t>
            </w:r>
            <w:r>
              <w:rPr>
                <w:rFonts w:ascii="宋体" w:hAnsi="宋体" w:cs="宋体" w:eastAsia="宋体" w:hint="default"/>
                <w:sz w:val="18"/>
                <w:szCs w:val="18"/>
              </w:rPr>
              <w:t>%</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23,281,182.65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17.44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1,279,340.91</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18,488,503.84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1,923,434.16</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12,315,244.73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1,184,590.82</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广发银行股份有限公司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5,793,611.12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314,197.11</w:t>
            </w:r>
          </w:p>
        </w:tc>
      </w:tr>
      <w:tr>
        <w:trPr>
          <w:trHeight w:val="322"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4,595,839.76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294,552.52</w:t>
            </w:r>
          </w:p>
        </w:tc>
      </w:tr>
      <w:tr>
        <w:trPr>
          <w:trHeight w:val="32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64,474,382.10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48.30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4,996,115.52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预付款项" w:id="221"/>
      <w:bookmarkEnd w:id="221"/>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预付款项按账龄列示" w:id="222"/>
      <w:bookmarkEnd w:id="22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4,199,196.48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4,281,608.63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41,685.20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4,240,881.68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4,281,608.63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按预付对象归集的期末余额前五名的预付款情况" w:id="223"/>
      <w:bookmarkEnd w:id="22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29"/>
        <w:jc w:val="right"/>
      </w:pPr>
      <w:r>
        <w:rPr/>
        <w:t>单位：元</w:t>
      </w:r>
    </w:p>
    <w:p>
      <w:pPr>
        <w:spacing w:line="240" w:lineRule="auto" w:before="1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796"/>
        <w:gridCol w:w="2409"/>
        <w:gridCol w:w="3402"/>
      </w:tblGrid>
      <w:tr>
        <w:trPr>
          <w:trHeight w:val="32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sz w:val="18"/>
                <w:szCs w:val="18"/>
              </w:rPr>
              <w:t>占预付款项余额的比例（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2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北京费莫斯科技有限责任公司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648,800.00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15.3</w:t>
            </w:r>
          </w:p>
        </w:tc>
      </w:tr>
      <w:tr>
        <w:trPr>
          <w:trHeight w:val="32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上海天跃科技股份有限公司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451,597.68</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10.65</w:t>
            </w:r>
          </w:p>
        </w:tc>
      </w:tr>
      <w:tr>
        <w:trPr>
          <w:trHeight w:val="32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西安朗达电子科技有限公司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316,950.00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7.47</w:t>
            </w:r>
          </w:p>
        </w:tc>
      </w:tr>
      <w:tr>
        <w:trPr>
          <w:trHeight w:val="32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浙江宏泰电子设备有限公司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213,535.00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5.04</w:t>
            </w:r>
          </w:p>
        </w:tc>
      </w:tr>
      <w:tr>
        <w:trPr>
          <w:trHeight w:val="32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上海力盛生物科技有限公司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186,900.00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4.41</w:t>
            </w:r>
          </w:p>
        </w:tc>
      </w:tr>
      <w:tr>
        <w:trPr>
          <w:trHeight w:val="323"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9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18"/>
                <w:szCs w:val="18"/>
              </w:rPr>
              <w:t>小</w:t>
              <w:tab/>
            </w:r>
            <w:r>
              <w:rPr>
                <w:rFonts w:ascii="宋体" w:hAnsi="宋体" w:cs="宋体" w:eastAsia="宋体" w:hint="default"/>
                <w:sz w:val="21"/>
                <w:szCs w:val="21"/>
              </w:rPr>
              <w:t>计</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1,817,782.68</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42.87</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4、其他应收款" w:id="224"/>
      <w:bookmarkEnd w:id="224"/>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其他应收款分类披露" w:id="225"/>
      <w:bookmarkEnd w:id="22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4,996,27</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9.78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560,380.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4,435,899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8,092,8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99.21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1,250,665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6,842,233.7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4,996,27</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9.78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560,380.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11.22%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4,435,899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8,092,8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99.21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1,250,665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15.45%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6,842,233.7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期末单项金额重大并单项计提坏账准备的其他应收款：</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组合中，按账龄分析法计提坏账准备的其他应收款：</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206"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9"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3,680,769.78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184,038.49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693,520.00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4,996,279.78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560,380.49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11.22%</w:t>
            </w:r>
          </w:p>
        </w:tc>
      </w:tr>
    </w:tbl>
    <w:p>
      <w:pPr>
        <w:spacing w:line="240" w:lineRule="auto" w:before="6"/>
        <w:rPr>
          <w:rFonts w:ascii="宋体" w:hAnsi="宋体" w:cs="宋体" w:eastAsia="宋体" w:hint="default"/>
          <w:sz w:val="6"/>
          <w:szCs w:val="6"/>
        </w:rPr>
      </w:pPr>
    </w:p>
    <w:p>
      <w:pPr>
        <w:pStyle w:val="BodyText"/>
        <w:spacing w:line="518" w:lineRule="auto" w:before="44"/>
        <w:ind w:left="1134" w:right="6252"/>
        <w:jc w:val="left"/>
      </w:pPr>
      <w:r>
        <w:rPr/>
        <w:t>确定该组合依据的说明： 组合中，采用余额百分比法计提坏账准备的其他应收款：</w:t>
      </w:r>
    </w:p>
    <w:p>
      <w:pPr>
        <w:pStyle w:val="BodyText"/>
        <w:spacing w:line="489" w:lineRule="auto" w:before="63"/>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85"/>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t>本期计提坏账准备金额</w:t>
      </w:r>
      <w:r>
        <w:rPr>
          <w:rFonts w:ascii="Times New Roman" w:hAnsi="Times New Roman" w:cs="Times New Roman" w:eastAsia="Times New Roman" w:hint="default"/>
        </w:rPr>
        <w:t>-690,284.99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其他应收款按款项性质分类情况" w:id="227"/>
      <w:bookmarkEnd w:id="227"/>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2,916,521.77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2,418,882.00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上市服务费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4,202,500.00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2,079,758.01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1,471,517.21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4,996,279.78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8,092,899.21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其他应收款情况" w:id="228"/>
      <w:bookmarkEnd w:id="228"/>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广州农商行投标保 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王邱颖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219,713.39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10,985.67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广州农商行质量保 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沈永春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165,924.70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8,296.24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北京中盾安全技术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991,638.09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102,081.91</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5、存货" w:id="229"/>
      <w:bookmarkEnd w:id="229"/>
      <w:r>
        <w:rPr>
          <w:b w:val="0"/>
          <w:bCs w:val="0"/>
        </w:rPr>
      </w:r>
      <w:r>
        <w:rPr>
          <w:rFonts w:ascii="Times New Roman" w:hAnsi="Times New Roman" w:cs="Times New Roman" w:eastAsia="Times New Roman" w:hint="default"/>
        </w:rPr>
        <w:t>5</w:t>
      </w:r>
      <w:r>
        <w:rPr/>
        <w:t>、存货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存货分类" w:id="230"/>
      <w:bookmarkEnd w:id="23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59,725,124.87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1,228,542.92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58,496,581.95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58,020,536.15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917,783.53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57,102,752.62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8,035.05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177,355.22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177,355.22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7,912,810.33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7,912,810.33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4,356,719.85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4,356,719.85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8,529,055.18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8,529,055.18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14,604,443.57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14,604,443.57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76,175,025.43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1,228,542.92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74,946,482.51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77,159,054.79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917,783.53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76,241,271.26</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存货跌价准备" w:id="231"/>
      <w:bookmarkEnd w:id="23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917,783.53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911,515.11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600,755.72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1,228,542.92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917,783.53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911,515.11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600,755.72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1,228,542.92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538"/>
        <w:gridCol w:w="2133"/>
        <w:gridCol w:w="2560"/>
        <w:gridCol w:w="1409"/>
      </w:tblGrid>
      <w:tr>
        <w:trPr>
          <w:trHeight w:val="1258" w:hRule="exact"/>
        </w:trPr>
        <w:tc>
          <w:tcPr>
            <w:tcW w:w="3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18"/>
                <w:szCs w:val="18"/>
              </w:rPr>
              <w:t>项</w:t>
            </w:r>
            <w:r>
              <w:rPr>
                <w:rFonts w:ascii="宋体" w:hAnsi="宋体" w:cs="宋体" w:eastAsia="宋体" w:hint="default"/>
                <w:spacing w:val="15"/>
                <w:sz w:val="18"/>
                <w:szCs w:val="18"/>
              </w:rPr>
              <w:t> </w:t>
            </w:r>
            <w:r>
              <w:rPr>
                <w:rFonts w:ascii="宋体" w:hAnsi="宋体" w:cs="宋体" w:eastAsia="宋体" w:hint="default"/>
                <w:sz w:val="21"/>
                <w:szCs w:val="21"/>
              </w:rPr>
              <w:t>目</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971" w:right="160" w:hanging="811"/>
              <w:jc w:val="left"/>
              <w:rPr>
                <w:rFonts w:ascii="宋体" w:hAnsi="宋体" w:cs="宋体" w:eastAsia="宋体" w:hint="default"/>
                <w:sz w:val="18"/>
                <w:szCs w:val="18"/>
              </w:rPr>
            </w:pPr>
            <w:r>
              <w:rPr>
                <w:rFonts w:ascii="宋体" w:hAnsi="宋体" w:cs="宋体" w:eastAsia="宋体" w:hint="default"/>
                <w:sz w:val="18"/>
                <w:szCs w:val="18"/>
              </w:rPr>
              <w:t>计提存货跌价准备的依 据</w:t>
            </w:r>
          </w:p>
        </w:tc>
        <w:tc>
          <w:tcPr>
            <w:tcW w:w="2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本期转回存货跌价准备的原因</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9" w:right="158"/>
              <w:jc w:val="center"/>
              <w:rPr>
                <w:rFonts w:ascii="宋体" w:hAnsi="宋体" w:cs="宋体" w:eastAsia="宋体" w:hint="default"/>
                <w:sz w:val="18"/>
                <w:szCs w:val="18"/>
              </w:rPr>
            </w:pPr>
            <w:r>
              <w:rPr>
                <w:rFonts w:ascii="宋体" w:hAnsi="宋体" w:cs="宋体" w:eastAsia="宋体" w:hint="default"/>
                <w:sz w:val="18"/>
                <w:szCs w:val="18"/>
              </w:rPr>
              <w:t>本期转回金额 占该项存货期 末余额的比例 </w:t>
            </w:r>
            <w:r>
              <w:rPr>
                <w:rFonts w:ascii="宋体" w:hAnsi="宋体" w:cs="宋体" w:eastAsia="宋体" w:hint="default"/>
                <w:sz w:val="18"/>
                <w:szCs w:val="18"/>
              </w:rPr>
              <w:t>(%)</w:t>
            </w:r>
          </w:p>
        </w:tc>
      </w:tr>
      <w:tr>
        <w:trPr>
          <w:trHeight w:val="323" w:hRule="exact"/>
        </w:trPr>
        <w:tc>
          <w:tcPr>
            <w:tcW w:w="3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可变现净值与成本孰低</w:t>
            </w:r>
          </w:p>
        </w:tc>
        <w:tc>
          <w:tcPr>
            <w:tcW w:w="2560"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本期存货跌价准备转销金额</w:t>
      </w:r>
      <w:r>
        <w:rPr>
          <w:rFonts w:ascii="宋体" w:hAnsi="宋体" w:cs="宋体" w:eastAsia="宋体" w:hint="default"/>
        </w:rPr>
        <w:t>600,755.72</w:t>
      </w:r>
      <w:r>
        <w:rPr/>
        <w:t>元，系由于本期实现了销售。</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6、其他流动资产" w:id="232"/>
      <w:bookmarkEnd w:id="232"/>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49,493.27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1,010,570.89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待摊租金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610,660.80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660,154.07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1,010,570.89</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7、投资性房地产" w:id="233"/>
      <w:bookmarkEnd w:id="233"/>
      <w:r>
        <w:rPr>
          <w:b w:val="0"/>
          <w:bCs w:val="0"/>
        </w:rPr>
      </w:r>
      <w:r>
        <w:rPr>
          <w:rFonts w:ascii="Times New Roman" w:hAnsi="Times New Roman" w:cs="Times New Roman" w:eastAsia="Times New Roman" w:hint="default"/>
        </w:rPr>
        <w:t>7</w:t>
      </w:r>
      <w:r>
        <w:rPr/>
        <w:t>、投资性房地产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采用成本计量模式的投资性房地产" w:id="234"/>
      <w:bookmarkEnd w:id="23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采用公允价值计量模式的投资性房地产" w:id="235"/>
      <w:bookmarkEnd w:id="23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未办妥产权证书的投资性房地产情况" w:id="236"/>
      <w:bookmarkEnd w:id="23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left="1134" w:right="0"/>
        <w:jc w:val="left"/>
        <w:rPr>
          <w:b w:val="0"/>
          <w:bCs w:val="0"/>
        </w:rPr>
      </w:pPr>
      <w:bookmarkStart w:name="8、固定资产" w:id="237"/>
      <w:bookmarkEnd w:id="237"/>
      <w:r>
        <w:rPr>
          <w:b w:val="0"/>
          <w:bCs w:val="0"/>
        </w:rPr>
      </w:r>
      <w:r>
        <w:rPr>
          <w:rFonts w:ascii="Times New Roman" w:hAnsi="Times New Roman" w:cs="Times New Roman" w:eastAsia="Times New Roman" w:hint="default"/>
        </w:rPr>
        <w:t>8</w:t>
      </w:r>
      <w:r>
        <w:rPr/>
        <w:t>、固定资产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固定资产情况" w:id="238"/>
      <w:bookmarkEnd w:id="23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施工设备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497" w:right="47" w:hanging="450"/>
              <w:jc w:val="left"/>
              <w:rPr>
                <w:rFonts w:ascii="宋体" w:hAnsi="宋体" w:cs="宋体" w:eastAsia="宋体" w:hint="default"/>
                <w:sz w:val="18"/>
                <w:szCs w:val="18"/>
              </w:rPr>
            </w:pPr>
            <w:r>
              <w:rPr>
                <w:rFonts w:ascii="宋体" w:hAnsi="宋体" w:cs="宋体" w:eastAsia="宋体" w:hint="default"/>
                <w:sz w:val="18"/>
                <w:szCs w:val="18"/>
              </w:rPr>
              <w:t>研发及生产检测 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49,249,247.35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1,877,146.00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3,101,720.14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14,489,871.70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4,890,576.60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73,608,561.79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246,333.25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721,019.05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5,218,622.91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559,608.44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6,745,583.65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246,333.25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721,019.05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5,218,622.91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559,608.44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6,745,583.65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819,211.00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829,261.00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819,211.00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829,261.00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49,249,247.35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1,304,268.25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3,822,739.19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19,708,494.61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5,440,135.04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79,524,884.44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7,052,433.70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1,503,082.71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1,166,031.62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7,755,181.45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1,795,359.86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19,272,089.34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2,339,305.92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55,723.24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631,048.21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2,494,711.54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1,031,875.68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6,552,664.59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2,339,305.92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55,723.24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631,048.21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2,494,711.54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1,031,875.68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6,552,664.59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778,250.45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780,478.27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778,250.45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780,478.27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9,391,739.62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780,555.50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1,797,079.83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10,249,892.99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2,825,007.72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25,044,275.66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39,857,507.73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523,712.75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2,025,659.36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9,458,601.62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2,615,127.32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54,480,608.78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42,196,813.65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374,063.29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1,935,688.52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6,734,690.25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3,095,216.74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54,336,472.45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2）未办妥产权证书的固定资产情况" w:id="239"/>
      <w:bookmarkEnd w:id="239"/>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哈尔滨恒祥城三期房产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2,291,188.30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未办妥，尚在办理中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广州市番禺区天安总部中心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号楼车位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765,318.66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未办妥，尚在办理中</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9、生产性生物资产" w:id="240"/>
      <w:bookmarkEnd w:id="240"/>
      <w:r>
        <w:rPr>
          <w:b w:val="0"/>
          <w:bCs w:val="0"/>
        </w:rPr>
      </w:r>
      <w:r>
        <w:rPr>
          <w:rFonts w:ascii="Times New Roman" w:hAnsi="Times New Roman" w:cs="Times New Roman" w:eastAsia="Times New Roman" w:hint="default"/>
        </w:rPr>
        <w:t>9</w:t>
      </w:r>
      <w:r>
        <w:rPr/>
        <w:t>、生产性生物资产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采用成本计量模式的生产性生物资产" w:id="241"/>
      <w:bookmarkEnd w:id="24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采用公允价值计量模式的生产性生物资产" w:id="242"/>
      <w:bookmarkEnd w:id="24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10、油气资产" w:id="243"/>
      <w:bookmarkEnd w:id="243"/>
      <w:r>
        <w:rPr>
          <w:b w:val="0"/>
          <w:bCs w:val="0"/>
        </w:rPr>
      </w:r>
      <w:r>
        <w:rPr>
          <w:rFonts w:ascii="Times New Roman" w:hAnsi="Times New Roman" w:cs="Times New Roman" w:eastAsia="Times New Roman" w:hint="default"/>
        </w:rPr>
        <w:t>10</w:t>
      </w:r>
      <w:r>
        <w:rPr/>
        <w:t>、油气资产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11、无形资产" w:id="244"/>
      <w:bookmarkEnd w:id="244"/>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无形资产情况" w:id="245"/>
      <w:bookmarkEnd w:id="24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61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Times New Roman" w:hAnsi="Times New Roman" w:cs="Times New Roman" w:eastAsia="Times New Roman" w:hint="default"/>
                <w:sz w:val="18"/>
                <w:szCs w:val="18"/>
              </w:rPr>
            </w:pPr>
            <w:r>
              <w:rPr>
                <w:rFonts w:ascii="Times New Roman"/>
                <w:sz w:val="18"/>
              </w:rPr>
              <w:t>1,301,526.66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1,301,526.66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1,301,526.66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1,301,526.66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423,402.10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423,402.10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257,105.28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257,105.28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257,105.28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257,105.28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680,507.38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680,507.38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621,019.28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621,019.28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878,124.56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878,124.56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BodyText"/>
        <w:spacing w:line="240" w:lineRule="auto" w:before="44"/>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12、长期待摊费用" w:id="246"/>
      <w:bookmarkEnd w:id="246"/>
      <w:r>
        <w:rPr>
          <w:b w:val="0"/>
          <w:bCs w:val="0"/>
        </w:rPr>
      </w:r>
      <w:r>
        <w:rPr>
          <w:rFonts w:ascii="Times New Roman" w:hAnsi="Times New Roman" w:cs="Times New Roman" w:eastAsia="Times New Roman" w:hint="default"/>
        </w:rPr>
        <w:t>12</w:t>
      </w:r>
      <w:r>
        <w:rPr/>
        <w:t>、长期待摊费用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2,941,171.55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690,186.60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2,250,984.95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2,941,171.55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690,186.60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2,250,984.95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left="1134" w:right="0"/>
        <w:jc w:val="left"/>
        <w:rPr>
          <w:b w:val="0"/>
          <w:bCs w:val="0"/>
        </w:rPr>
      </w:pPr>
      <w:bookmarkStart w:name="13、递延所得税资产/递延所得税负债" w:id="247"/>
      <w:bookmarkEnd w:id="247"/>
      <w:r>
        <w:rPr>
          <w:b w:val="0"/>
          <w:bCs w:val="0"/>
        </w:rPr>
      </w: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未经抵销的递延所得税资产" w:id="248"/>
      <w:bookmarkEnd w:id="24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12,066,645.28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1,819,542.45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9,156,271.50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1,373,440.73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未支付职工薪酬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8,925,375.95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1,338,806.39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263,033.28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39,454.99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338,668.61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50,800.29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967,900.00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145,185.00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15,837,578.56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2,385,182.44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19,560,316.06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2,934,047.41</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以抵销后净额列示的递延所得税资产或负债" w:id="249"/>
      <w:bookmarkEnd w:id="249"/>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2,385,182.44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2,934,047.41</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未确认递延所得税资产明细" w:id="250"/>
      <w:bookmarkEnd w:id="250"/>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3,445,610.68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2,511,660.18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2,981,112.86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1,897,606.77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6,426,723.54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4,409,266.95</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4）未确认递延所得税资产的可抵扣亏损将于以下年度到期" w:id="251"/>
      <w:bookmarkEnd w:id="251"/>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76,373.83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76,373.83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796,730.31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796,730.31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571,912.06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571,912.06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452,590.57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452,590.57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1,083,506.09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2,981,112.86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1,897,606.77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14、其他非流动资产" w:id="252"/>
      <w:bookmarkEnd w:id="252"/>
      <w:r>
        <w:rPr>
          <w:b w:val="0"/>
          <w:bCs w:val="0"/>
        </w:rPr>
      </w:r>
      <w:r>
        <w:rPr>
          <w:rFonts w:ascii="Times New Roman" w:hAnsi="Times New Roman" w:cs="Times New Roman" w:eastAsia="Times New Roman" w:hint="default"/>
        </w:rPr>
        <w:t>14</w:t>
      </w:r>
      <w:r>
        <w:rPr/>
        <w:t>、其他非流动资产</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15、短期借款" w:id="253"/>
      <w:bookmarkEnd w:id="253"/>
      <w:r>
        <w:rPr>
          <w:b w:val="0"/>
          <w:bCs w:val="0"/>
        </w:rPr>
      </w:r>
      <w:r>
        <w:rPr>
          <w:rFonts w:ascii="Times New Roman" w:hAnsi="Times New Roman" w:cs="Times New Roman" w:eastAsia="Times New Roman" w:hint="default"/>
        </w:rPr>
        <w:t>15</w:t>
      </w:r>
      <w:r>
        <w:rPr/>
        <w:t>、短期借款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短期借款分类" w:id="254"/>
      <w:bookmarkEnd w:id="25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保证及质押借款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33,500,000.00</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16、衍生金融负债" w:id="255"/>
      <w:bookmarkEnd w:id="255"/>
      <w:r>
        <w:rPr>
          <w:b w:val="0"/>
          <w:bCs w:val="0"/>
        </w:rPr>
      </w:r>
      <w:r>
        <w:rPr>
          <w:rFonts w:ascii="Times New Roman" w:hAnsi="Times New Roman" w:cs="Times New Roman" w:eastAsia="Times New Roman" w:hint="default"/>
        </w:rPr>
        <w:t>16</w:t>
      </w:r>
      <w:r>
        <w:rPr/>
        <w:t>、衍生金融负债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17、应付票据" w:id="256"/>
      <w:bookmarkEnd w:id="256"/>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10,179,970.00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6,478,446.00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10,179,970.00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6,478,446.00</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134" w:right="0"/>
        <w:jc w:val="left"/>
        <w:rPr>
          <w:b w:val="0"/>
          <w:bCs w:val="0"/>
        </w:rPr>
      </w:pPr>
      <w:bookmarkStart w:name="18、应付账款" w:id="257"/>
      <w:bookmarkEnd w:id="257"/>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应付账款列示" w:id="258"/>
      <w:bookmarkEnd w:id="25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7,876,996.35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10,022,547.20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7,876,996.35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10,022,547.20</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账龄超过1年的重要应付账款" w:id="259"/>
      <w:bookmarkEnd w:id="25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讯美电子科技有限公司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1,245,469.37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尚在合作中，未对完账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1,245,469.37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19、预收款项" w:id="260"/>
      <w:bookmarkEnd w:id="260"/>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预收款项列示" w:id="261"/>
      <w:bookmarkEnd w:id="26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18,305,381.65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42,272,610.45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3,821,782.60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6,609,687.46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22,127,164.25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48,882,297.91</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账龄超过1年的重要预收款项" w:id="262"/>
      <w:bookmarkEnd w:id="26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驿城区农村信用合作联社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1,153,835.00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北京天创网讯科技有限公司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981,087.50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呼和浩特金谷农村合作银行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成都三泰控股集团股份有限公司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423,585.00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晋商银行长治分行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374,399.00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3,642,906.50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0、应付职工薪酬" w:id="263"/>
      <w:bookmarkEnd w:id="263"/>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264"/>
      <w:bookmarkEnd w:id="26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9,485,939.17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106,884,518.30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103,688,132.98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12,682,324.49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5,899,583.53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5,899,583.53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9,485,939.17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112,824,101.83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109,627,716.51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12,682,324.49</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短期薪酬列示" w:id="265"/>
      <w:bookmarkEnd w:id="26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9,485,939.17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95,512,592.86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92,316,207.54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12,682,324.49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4,665,349.75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4,665,349.75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5,364,880.69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5,364,880.69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4,669,248.15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4,669,248.15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255,015.77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255,015.77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440,616.77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440,616.77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1,341,695.00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1,341,695.00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9,485,939.17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106,884,518.30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103,688,132.98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12,682,324.49</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设定提存计划列示" w:id="266"/>
      <w:bookmarkEnd w:id="26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5,582,066.81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5,582,066.81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317,516.72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317,516.72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5,899,583.53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5,899,583.53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1、应交税费" w:id="267"/>
      <w:bookmarkEnd w:id="267"/>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6,863,801.06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5,408,454.87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2,085,401.20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718,098.15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7,553,697.22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5,388,006.46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299,068.53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175,700.52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635,896.95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430,276.98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272,534.97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184,412.14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181,690.00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122,941.42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22,057.37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17,892,090.20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12,449,995.95</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2、其他应付款" w:id="268"/>
      <w:bookmarkEnd w:id="268"/>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按款项性质列示其他应付款" w:id="269"/>
      <w:bookmarkEnd w:id="26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689,215.07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568,556.61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121,948.37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297,390.44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251,168.17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股权激励限制性股票回购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19,181,610.00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20,172,092.88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941,673.15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3、一年内到期的非流动负债" w:id="270"/>
      <w:bookmarkEnd w:id="270"/>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2,842,784.27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2,488,181.25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2,842,784.27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2,488,181.25</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4、长期借款" w:id="271"/>
      <w:bookmarkEnd w:id="271"/>
      <w:r>
        <w:rPr>
          <w:b w:val="0"/>
          <w:bCs w:val="0"/>
        </w:rPr>
      </w:r>
      <w:r>
        <w:rPr>
          <w:rFonts w:ascii="Times New Roman" w:hAnsi="Times New Roman" w:cs="Times New Roman" w:eastAsia="Times New Roman" w:hint="default"/>
        </w:rPr>
        <w:t>24</w:t>
      </w:r>
      <w:r>
        <w:rPr/>
        <w:t>、长期借款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长期借款分类" w:id="272"/>
      <w:bookmarkEnd w:id="27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1,478,370.12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4,504,066.40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1,478,370.12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4,504,066.40</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5、预计负债" w:id="273"/>
      <w:bookmarkEnd w:id="27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263,033.28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338,668.61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为产品提供质量保证</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263,033.28</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338,668.61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516" w:lineRule="auto" w:before="44"/>
        <w:ind w:left="1134" w:right="6072"/>
        <w:jc w:val="left"/>
      </w:pPr>
      <w:r>
        <w:rPr/>
        <w:t>其他说明，包括重要预计负债的相关重要假设、估计说明： 预计质量保修费用按最近三年实际质保维修支出水平计提。</w:t>
      </w:r>
    </w:p>
    <w:p>
      <w:pPr>
        <w:spacing w:line="240" w:lineRule="auto" w:before="12"/>
        <w:rPr>
          <w:rFonts w:ascii="宋体" w:hAnsi="宋体" w:cs="宋体" w:eastAsia="宋体" w:hint="default"/>
          <w:sz w:val="22"/>
          <w:szCs w:val="22"/>
        </w:rPr>
      </w:pPr>
    </w:p>
    <w:p>
      <w:pPr>
        <w:pStyle w:val="Heading3"/>
        <w:spacing w:line="240" w:lineRule="auto"/>
        <w:ind w:left="1134" w:right="0"/>
        <w:jc w:val="left"/>
        <w:rPr>
          <w:b w:val="0"/>
          <w:bCs w:val="0"/>
        </w:rPr>
      </w:pPr>
      <w:bookmarkStart w:name="26、递延收益" w:id="274"/>
      <w:bookmarkEnd w:id="274"/>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6"/>
          <w:szCs w:val="6"/>
        </w:rPr>
      </w:pPr>
    </w:p>
    <w:p>
      <w:pPr>
        <w:pStyle w:val="BodyText"/>
        <w:spacing w:line="240" w:lineRule="auto" w:before="44"/>
        <w:ind w:left="1134" w:right="0"/>
        <w:jc w:val="left"/>
      </w:pPr>
      <w:r>
        <w:rPr/>
        <w:t>涉及政府补助的项目：</w:t>
      </w:r>
    </w:p>
    <w:p>
      <w:pPr>
        <w:spacing w:line="240" w:lineRule="auto" w:before="6"/>
        <w:rPr>
          <w:rFonts w:ascii="宋体" w:hAnsi="宋体" w:cs="宋体" w:eastAsia="宋体" w:hint="default"/>
          <w:sz w:val="11"/>
          <w:szCs w:val="11"/>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6"/>
        <w:gridCol w:w="1369"/>
        <w:gridCol w:w="1367"/>
        <w:gridCol w:w="1367"/>
        <w:gridCol w:w="1367"/>
        <w:gridCol w:w="1367"/>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8" w:right="0"/>
              <w:jc w:val="left"/>
              <w:rPr>
                <w:rFonts w:ascii="宋体" w:hAnsi="宋体" w:cs="宋体" w:eastAsia="宋体" w:hint="default"/>
                <w:sz w:val="18"/>
                <w:szCs w:val="18"/>
              </w:rPr>
            </w:pPr>
            <w:r>
              <w:rPr>
                <w:rFonts w:ascii="宋体" w:hAnsi="宋体" w:cs="宋体" w:eastAsia="宋体" w:hint="default"/>
                <w:sz w:val="18"/>
                <w:szCs w:val="18"/>
              </w:rPr>
              <w:t>本期新增补助金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本期计入营业外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7"/>
              <w:jc w:val="right"/>
              <w:rPr>
                <w:rFonts w:ascii="宋体" w:hAnsi="宋体" w:cs="宋体" w:eastAsia="宋体" w:hint="default"/>
                <w:sz w:val="18"/>
                <w:szCs w:val="18"/>
              </w:rPr>
            </w:pPr>
            <w:r>
              <w:rPr>
                <w:rFonts w:ascii="宋体" w:hAnsi="宋体" w:cs="宋体" w:eastAsia="宋体" w:hint="default"/>
                <w:sz w:val="18"/>
                <w:szCs w:val="18"/>
              </w:rPr>
              <w:t>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自助银行立 体安防系统的研 发及应用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广州市金融安防 工程技术研究开 发中心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报警设备的 状态感知及管理 系统的研发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基于海量数据分 析的智慧银行安 防研究与应用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2"/>
        <w:ind w:left="1134" w:right="0"/>
        <w:jc w:val="left"/>
        <w:rPr>
          <w:b w:val="0"/>
          <w:bCs w:val="0"/>
        </w:rPr>
      </w:pPr>
      <w:bookmarkStart w:name="27、股本" w:id="275"/>
      <w:bookmarkEnd w:id="275"/>
      <w:r>
        <w:rPr>
          <w:b w:val="0"/>
          <w:bCs w:val="0"/>
        </w:rPr>
      </w:r>
      <w:r>
        <w:rPr>
          <w:rFonts w:ascii="Times New Roman" w:hAnsi="Times New Roman" w:cs="Times New Roman" w:eastAsia="Times New Roman" w:hint="default"/>
        </w:rPr>
        <w:t>27</w:t>
      </w:r>
      <w:r>
        <w:rPr/>
        <w:t>、股本</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60,000,000.00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20,000,000.00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688,500.00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20,688,500.00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80,688,500.00</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both"/>
      </w:pPr>
      <w:r>
        <w:rPr/>
        <w:t>其他说明：</w:t>
      </w:r>
    </w:p>
    <w:p>
      <w:pPr>
        <w:spacing w:line="240" w:lineRule="auto" w:before="10"/>
        <w:rPr>
          <w:rFonts w:ascii="宋体" w:hAnsi="宋体" w:cs="宋体" w:eastAsia="宋体" w:hint="default"/>
          <w:sz w:val="20"/>
          <w:szCs w:val="20"/>
        </w:rPr>
      </w:pPr>
    </w:p>
    <w:p>
      <w:pPr>
        <w:pStyle w:val="BodyText"/>
        <w:spacing w:line="451" w:lineRule="auto"/>
        <w:ind w:right="1130"/>
        <w:jc w:val="both"/>
      </w:pPr>
      <w:r>
        <w:rPr/>
        <w:t>（</w:t>
      </w:r>
      <w:r>
        <w:rPr>
          <w:rFonts w:ascii="Times New Roman" w:hAnsi="Times New Roman" w:cs="Times New Roman" w:eastAsia="Times New Roman" w:hint="default"/>
        </w:rPr>
        <w:t>1</w:t>
      </w:r>
      <w:r>
        <w:rPr/>
        <w:t>）经中国证券监督管理委员会证监许可</w:t>
      </w:r>
      <w:r>
        <w:rPr>
          <w:rFonts w:ascii="Times New Roman" w:hAnsi="Times New Roman" w:cs="Times New Roman" w:eastAsia="Times New Roman" w:hint="default"/>
        </w:rPr>
        <w:t>[2015] </w:t>
      </w:r>
      <w:r>
        <w:rPr>
          <w:rFonts w:ascii="Times New Roman" w:hAnsi="Times New Roman" w:cs="Times New Roman" w:eastAsia="Times New Roman" w:hint="default"/>
          <w:spacing w:val="2"/>
        </w:rPr>
        <w:t>536</w:t>
      </w:r>
      <w:r>
        <w:rPr>
          <w:spacing w:val="2"/>
        </w:rPr>
        <w:t>号文核准，公司获准向社会公众公开发行人民币普通股（</w:t>
      </w:r>
      <w:r>
        <w:rPr>
          <w:rFonts w:ascii="Times New Roman" w:hAnsi="Times New Roman" w:cs="Times New Roman" w:eastAsia="Times New Roman" w:hint="default"/>
          <w:spacing w:val="2"/>
        </w:rPr>
        <w:t>A</w:t>
      </w:r>
      <w:r>
        <w:rPr>
          <w:spacing w:val="2"/>
        </w:rPr>
        <w:t>股）股票</w:t>
      </w:r>
      <w:r>
        <w:rPr>
          <w:spacing w:val="-50"/>
        </w:rPr>
        <w:t> </w:t>
      </w:r>
      <w:r>
        <w:rPr>
          <w:spacing w:val="-50"/>
        </w:rPr>
      </w:r>
      <w:r>
        <w:rPr>
          <w:rFonts w:ascii="Times New Roman" w:hAnsi="Times New Roman" w:cs="Times New Roman" w:eastAsia="Times New Roman" w:hint="default"/>
        </w:rPr>
        <w:t>2,000.00</w:t>
      </w:r>
      <w:r>
        <w:rPr/>
        <w:t>万股，每股面值</w:t>
      </w:r>
      <w:r>
        <w:rPr>
          <w:rFonts w:ascii="Times New Roman" w:hAnsi="Times New Roman" w:cs="Times New Roman" w:eastAsia="Times New Roman" w:hint="default"/>
        </w:rPr>
        <w:t>1</w:t>
      </w:r>
      <w:r>
        <w:rPr/>
        <w:t>元，每股发行价为人民币</w:t>
      </w:r>
      <w:r>
        <w:rPr>
          <w:rFonts w:ascii="Times New Roman" w:hAnsi="Times New Roman" w:cs="Times New Roman" w:eastAsia="Times New Roman" w:hint="default"/>
        </w:rPr>
        <w:t>15.79</w:t>
      </w:r>
      <w:r>
        <w:rPr/>
        <w:t>元，共计募集资金</w:t>
      </w:r>
      <w:r>
        <w:rPr>
          <w:rFonts w:ascii="Times New Roman" w:hAnsi="Times New Roman" w:cs="Times New Roman" w:eastAsia="Times New Roman" w:hint="default"/>
        </w:rPr>
        <w:t>315,800,000.00</w:t>
      </w:r>
      <w:r>
        <w:rPr/>
        <w:t>元，减除发行费用后公司本次募集</w:t>
      </w:r>
      <w:r>
        <w:rPr>
          <w:spacing w:val="-87"/>
        </w:rPr>
        <w:t> </w:t>
      </w:r>
      <w:r>
        <w:rPr>
          <w:spacing w:val="-87"/>
        </w:rPr>
      </w:r>
      <w:r>
        <w:rPr/>
        <w:t>资金净额为</w:t>
      </w:r>
      <w:r>
        <w:rPr>
          <w:rFonts w:ascii="Times New Roman" w:hAnsi="Times New Roman" w:cs="Times New Roman" w:eastAsia="Times New Roman" w:hint="default"/>
        </w:rPr>
        <w:t>283,980,400.00</w:t>
      </w:r>
      <w:r>
        <w:rPr/>
        <w:t>元。其中计入实收资本</w:t>
      </w:r>
      <w:r>
        <w:rPr>
          <w:rFonts w:ascii="Times New Roman" w:hAnsi="Times New Roman" w:cs="Times New Roman" w:eastAsia="Times New Roman" w:hint="default"/>
        </w:rPr>
        <w:t>20,000,000.00</w:t>
      </w:r>
      <w:r>
        <w:rPr/>
        <w:t>元，计入资本公积（股本溢价）</w:t>
      </w:r>
      <w:r>
        <w:rPr>
          <w:rFonts w:ascii="Times New Roman" w:hAnsi="Times New Roman" w:cs="Times New Roman" w:eastAsia="Times New Roman" w:hint="default"/>
        </w:rPr>
        <w:t>263,980,400.00</w:t>
      </w:r>
      <w:r>
        <w:rPr/>
        <w:t>元。本次增资</w:t>
      </w:r>
      <w:r>
        <w:rPr>
          <w:spacing w:val="-49"/>
        </w:rPr>
        <w:t> </w:t>
      </w:r>
      <w:r>
        <w:rPr/>
        <w:t>业经天健会计师事务所（特殊普通合伙）审验，并由其出具《验资报告》</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7-15</w:t>
      </w:r>
      <w:r>
        <w:rPr/>
        <w:t>号</w:t>
      </w:r>
      <w:r>
        <w:rPr>
          <w:rFonts w:ascii="Times New Roman" w:hAnsi="Times New Roman" w:cs="Times New Roman" w:eastAsia="Times New Roman" w:hint="default"/>
        </w:rPr>
        <w:t>)</w:t>
      </w:r>
      <w:r>
        <w:rPr/>
        <w:t>。</w:t>
      </w:r>
    </w:p>
    <w:p>
      <w:pPr>
        <w:pStyle w:val="BodyText"/>
        <w:spacing w:line="456" w:lineRule="auto" w:before="43"/>
        <w:ind w:right="1129"/>
        <w:jc w:val="both"/>
      </w:pPr>
      <w:r>
        <w:rPr/>
        <w:t>（</w:t>
      </w:r>
      <w:r>
        <w:rPr>
          <w:rFonts w:ascii="Times New Roman" w:hAnsi="Times New Roman" w:cs="Times New Roman" w:eastAsia="Times New Roman" w:hint="default"/>
        </w:rPr>
        <w:t>2</w:t>
      </w:r>
      <w:r>
        <w:rPr/>
        <w:t>）根据公司第二届董事会第八次会议、</w:t>
      </w:r>
      <w:r>
        <w:rPr>
          <w:rFonts w:ascii="Times New Roman" w:hAnsi="Times New Roman" w:cs="Times New Roman" w:eastAsia="Times New Roman" w:hint="default"/>
        </w:rPr>
        <w:t>2015</w:t>
      </w:r>
      <w:r>
        <w:rPr/>
        <w:t>年第二次临时股东大会决议及《广州市浩云安防科技股份有限公司限制性股</w:t>
      </w:r>
      <w:r>
        <w:rPr>
          <w:spacing w:val="-83"/>
        </w:rPr>
        <w:t> </w:t>
      </w:r>
      <w:r>
        <w:rPr>
          <w:spacing w:val="-83"/>
        </w:rPr>
      </w:r>
      <w:r>
        <w:rPr>
          <w:spacing w:val="-2"/>
        </w:rPr>
        <w:t>票激励计划（草案）》，公司申请首次对激励对象实施限制性股票激励计划，即向公司中层管理人员、核心技术（业务）骨</w:t>
      </w:r>
      <w:r>
        <w:rPr>
          <w:spacing w:val="-68"/>
        </w:rPr>
        <w:t> </w:t>
      </w:r>
      <w:r>
        <w:rPr>
          <w:spacing w:val="-68"/>
        </w:rPr>
      </w:r>
      <w:r>
        <w:rPr/>
        <w:t>干共</w:t>
      </w:r>
      <w:r>
        <w:rPr>
          <w:rFonts w:ascii="Times New Roman" w:hAnsi="Times New Roman" w:cs="Times New Roman" w:eastAsia="Times New Roman" w:hint="default"/>
        </w:rPr>
        <w:t>113</w:t>
      </w:r>
      <w:r>
        <w:rPr>
          <w:rFonts w:ascii="Times New Roman" w:hAnsi="Times New Roman" w:cs="Times New Roman" w:eastAsia="Times New Roman" w:hint="default"/>
          <w:spacing w:val="41"/>
        </w:rPr>
        <w:t> </w:t>
      </w:r>
      <w:r>
        <w:rPr>
          <w:spacing w:val="3"/>
        </w:rPr>
        <w:t>人定向增发人民币普通股（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41"/>
        </w:rPr>
        <w:t> </w:t>
      </w:r>
      <w:r>
        <w:rPr>
          <w:spacing w:val="2"/>
        </w:rPr>
        <w:t>股）</w:t>
      </w:r>
      <w:r>
        <w:rPr>
          <w:rFonts w:ascii="Times New Roman" w:hAnsi="Times New Roman" w:cs="Times New Roman" w:eastAsia="Times New Roman" w:hint="default"/>
          <w:spacing w:val="2"/>
        </w:rPr>
        <w:t>688,500</w:t>
      </w:r>
      <w:r>
        <w:rPr>
          <w:spacing w:val="2"/>
        </w:rPr>
        <w:t>股，每股面值</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1"/>
        </w:rPr>
        <w:t> </w:t>
      </w:r>
      <w:r>
        <w:rPr>
          <w:spacing w:val="2"/>
        </w:rPr>
        <w:t>元，每股发行价格为人民币</w:t>
      </w:r>
      <w:r>
        <w:rPr>
          <w:rFonts w:ascii="Times New Roman" w:hAnsi="Times New Roman" w:cs="Times New Roman" w:eastAsia="Times New Roman" w:hint="default"/>
          <w:spacing w:val="2"/>
        </w:rPr>
        <w:t>27.86</w:t>
      </w:r>
      <w:r>
        <w:rPr>
          <w:spacing w:val="2"/>
        </w:rPr>
        <w:t>元，应募集资金总额</w:t>
      </w:r>
      <w:r>
        <w:rPr>
          <w:spacing w:val="-85"/>
        </w:rPr>
        <w:t> </w:t>
      </w:r>
      <w:r>
        <w:rPr>
          <w:spacing w:val="-85"/>
        </w:rPr>
      </w:r>
      <w:r>
        <w:rPr>
          <w:rFonts w:ascii="Times New Roman" w:hAnsi="Times New Roman" w:cs="Times New Roman" w:eastAsia="Times New Roman" w:hint="default"/>
        </w:rPr>
        <w:t>19,181,610.00</w:t>
      </w:r>
      <w:r>
        <w:rPr>
          <w:rFonts w:ascii="Times New Roman" w:hAnsi="Times New Roman" w:cs="Times New Roman" w:eastAsia="Times New Roman" w:hint="default"/>
          <w:spacing w:val="42"/>
        </w:rPr>
        <w:t> </w:t>
      </w:r>
      <w:r>
        <w:rPr/>
        <w:t>元，减除发行费用人民币</w:t>
      </w:r>
      <w:r>
        <w:rPr>
          <w:rFonts w:ascii="Times New Roman" w:hAnsi="Times New Roman" w:cs="Times New Roman" w:eastAsia="Times New Roman" w:hint="default"/>
        </w:rPr>
        <w:t>10,000.00</w:t>
      </w:r>
      <w:r>
        <w:rPr>
          <w:rFonts w:ascii="Times New Roman" w:hAnsi="Times New Roman" w:cs="Times New Roman" w:eastAsia="Times New Roman" w:hint="default"/>
          <w:spacing w:val="43"/>
        </w:rPr>
        <w:t> </w:t>
      </w:r>
      <w:r>
        <w:rPr/>
        <w:t>元后，募集资金净额为</w:t>
      </w:r>
      <w:r>
        <w:rPr>
          <w:rFonts w:ascii="Times New Roman" w:hAnsi="Times New Roman" w:cs="Times New Roman" w:eastAsia="Times New Roman" w:hint="default"/>
        </w:rPr>
        <w:t>19,171,610.00</w:t>
      </w:r>
      <w:r>
        <w:rPr>
          <w:rFonts w:ascii="Times New Roman" w:hAnsi="Times New Roman" w:cs="Times New Roman" w:eastAsia="Times New Roman" w:hint="default"/>
          <w:spacing w:val="43"/>
        </w:rPr>
        <w:t> </w:t>
      </w:r>
      <w:r>
        <w:rPr/>
        <w:t>元。其中，计入股本</w:t>
      </w:r>
      <w:r>
        <w:rPr>
          <w:rFonts w:ascii="Times New Roman" w:hAnsi="Times New Roman" w:cs="Times New Roman" w:eastAsia="Times New Roman" w:hint="default"/>
        </w:rPr>
        <w:t>688,500.00</w:t>
      </w:r>
      <w:r>
        <w:rPr/>
        <w:t>元，</w:t>
      </w:r>
      <w:r>
        <w:rPr>
          <w:spacing w:val="-87"/>
        </w:rPr>
        <w:t> </w:t>
      </w:r>
      <w:r>
        <w:rPr/>
        <w:t>计入资本公积（股本溢价）</w:t>
      </w:r>
      <w:r>
        <w:rPr>
          <w:rFonts w:ascii="Times New Roman" w:hAnsi="Times New Roman" w:cs="Times New Roman" w:eastAsia="Times New Roman" w:hint="default"/>
        </w:rPr>
        <w:t>18,483,110.00</w:t>
      </w:r>
      <w:r>
        <w:rPr>
          <w:rFonts w:ascii="Times New Roman" w:hAnsi="Times New Roman" w:cs="Times New Roman" w:eastAsia="Times New Roman" w:hint="default"/>
          <w:spacing w:val="29"/>
        </w:rPr>
        <w:t> </w:t>
      </w:r>
      <w:r>
        <w:rPr/>
        <w:t>元。本次增资业经天健会计师事务所（特殊普通合伙）审验，并由其出具《验资</w:t>
      </w:r>
      <w:r>
        <w:rPr>
          <w:spacing w:val="-78"/>
        </w:rPr>
        <w:t> </w:t>
      </w:r>
      <w:r>
        <w:rPr>
          <w:spacing w:val="-78"/>
        </w:rPr>
      </w:r>
      <w:r>
        <w:rPr/>
        <w:t>报告》（天健验〔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7-133</w:t>
      </w:r>
      <w:r>
        <w:rPr/>
        <w:t>号）。</w:t>
      </w:r>
    </w:p>
    <w:p>
      <w:pPr>
        <w:spacing w:after="0" w:line="45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8、资本公积" w:id="276"/>
      <w:bookmarkEnd w:id="276"/>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25,993,476.78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282,463,510.00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308,456,986.78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967,900.00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967,900.00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25,993,476.78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283,431,410.00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309,424,886.78</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其他说明，包括本期增减变动情况、变动原因说明：</w:t>
      </w:r>
    </w:p>
    <w:p>
      <w:pPr>
        <w:spacing w:line="240" w:lineRule="auto" w:before="9"/>
        <w:rPr>
          <w:rFonts w:ascii="宋体" w:hAnsi="宋体" w:cs="宋体" w:eastAsia="宋体" w:hint="default"/>
          <w:sz w:val="20"/>
          <w:szCs w:val="20"/>
        </w:rPr>
      </w:pPr>
    </w:p>
    <w:p>
      <w:pPr>
        <w:pStyle w:val="BodyText"/>
        <w:spacing w:line="451" w:lineRule="auto"/>
        <w:ind w:left="1134" w:right="0" w:firstLine="73"/>
        <w:jc w:val="left"/>
      </w:pPr>
      <w:r>
        <w:rPr>
          <w:spacing w:val="8"/>
        </w:rPr>
        <w:t>（</w:t>
      </w:r>
      <w:r>
        <w:rPr>
          <w:rFonts w:ascii="Times New Roman" w:hAnsi="Times New Roman" w:cs="Times New Roman" w:eastAsia="Times New Roman" w:hint="default"/>
          <w:spacing w:val="8"/>
        </w:rPr>
        <w:t>1</w:t>
      </w:r>
      <w:r>
        <w:rPr>
          <w:spacing w:val="8"/>
        </w:rPr>
        <w:t>）首次公开发行股票和股权激励如本财务报表附注股本所述，分别增加资本公积（股本溢价）</w:t>
      </w:r>
      <w:r>
        <w:rPr>
          <w:spacing w:val="-46"/>
        </w:rPr>
        <w:t> </w:t>
      </w:r>
      <w:r>
        <w:rPr>
          <w:rFonts w:ascii="Times New Roman" w:hAnsi="Times New Roman" w:cs="Times New Roman" w:eastAsia="Times New Roman" w:hint="default"/>
        </w:rPr>
        <w:t>263,980,400.00</w:t>
      </w:r>
      <w:r>
        <w:rPr/>
        <w:t>元和</w:t>
      </w:r>
      <w:r>
        <w:rPr>
          <w:spacing w:val="9"/>
        </w:rPr>
        <w:t> </w:t>
      </w:r>
      <w:r>
        <w:rPr>
          <w:rFonts w:ascii="Times New Roman" w:hAnsi="Times New Roman" w:cs="Times New Roman" w:eastAsia="Times New Roman" w:hint="default"/>
        </w:rPr>
        <w:t>18,483,110.00</w:t>
      </w:r>
      <w:r>
        <w:rPr/>
        <w:t>元；</w:t>
      </w:r>
    </w:p>
    <w:p>
      <w:pPr>
        <w:pStyle w:val="BodyText"/>
        <w:spacing w:line="240" w:lineRule="auto" w:before="43"/>
        <w:ind w:left="1207" w:right="0"/>
        <w:jc w:val="left"/>
      </w:pPr>
      <w:r>
        <w:rPr/>
        <w:t>（</w:t>
      </w:r>
      <w:r>
        <w:rPr>
          <w:rFonts w:ascii="Times New Roman" w:hAnsi="Times New Roman" w:cs="Times New Roman" w:eastAsia="Times New Roman" w:hint="default"/>
        </w:rPr>
        <w:t>2</w:t>
      </w:r>
      <w:r>
        <w:rPr/>
        <w:t>）报告期摊销股权激励成本增加其他资本公积</w:t>
      </w:r>
      <w:r>
        <w:rPr>
          <w:rFonts w:ascii="Times New Roman" w:hAnsi="Times New Roman" w:cs="Times New Roman" w:eastAsia="Times New Roman" w:hint="default"/>
        </w:rPr>
        <w:t>967,900.00</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29、库存股" w:id="277"/>
      <w:bookmarkEnd w:id="277"/>
      <w:r>
        <w:rPr>
          <w:b w:val="0"/>
          <w:bCs w:val="0"/>
        </w:rPr>
      </w:r>
      <w:r>
        <w:rPr>
          <w:rFonts w:ascii="Times New Roman" w:hAnsi="Times New Roman" w:cs="Times New Roman" w:eastAsia="Times New Roman" w:hint="default"/>
        </w:rPr>
        <w:t>29</w:t>
      </w:r>
      <w:r>
        <w:rPr/>
        <w:t>、库存股</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股权激励需回购的库存 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19,181,610.00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19,181,610.00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19,181,610.00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19,181,610.00</w:t>
            </w:r>
          </w:p>
        </w:tc>
      </w:tr>
    </w:tbl>
    <w:p>
      <w:pPr>
        <w:spacing w:line="240" w:lineRule="auto" w:before="6"/>
        <w:rPr>
          <w:rFonts w:ascii="宋体" w:hAnsi="宋体" w:cs="宋体" w:eastAsia="宋体" w:hint="default"/>
          <w:sz w:val="6"/>
          <w:szCs w:val="6"/>
        </w:rPr>
      </w:pPr>
    </w:p>
    <w:p>
      <w:pPr>
        <w:pStyle w:val="BodyText"/>
        <w:spacing w:line="516" w:lineRule="auto" w:before="44"/>
        <w:ind w:left="1134" w:right="6252"/>
        <w:jc w:val="left"/>
      </w:pPr>
      <w:r>
        <w:rPr/>
        <w:t>其他说明，包括本期增减变动情况、变动原因说明： 本期增加的库存股系股权激励所产生需要回购的库存股。</w:t>
      </w:r>
    </w:p>
    <w:p>
      <w:pPr>
        <w:spacing w:line="240" w:lineRule="auto" w:before="12"/>
        <w:rPr>
          <w:rFonts w:ascii="宋体" w:hAnsi="宋体" w:cs="宋体" w:eastAsia="宋体" w:hint="default"/>
          <w:sz w:val="22"/>
          <w:szCs w:val="22"/>
        </w:rPr>
      </w:pPr>
    </w:p>
    <w:p>
      <w:pPr>
        <w:pStyle w:val="Heading3"/>
        <w:spacing w:line="240" w:lineRule="auto"/>
        <w:ind w:left="1134" w:right="0"/>
        <w:jc w:val="left"/>
        <w:rPr>
          <w:b w:val="0"/>
          <w:bCs w:val="0"/>
        </w:rPr>
      </w:pPr>
      <w:bookmarkStart w:name="30、盈余公积" w:id="278"/>
      <w:bookmarkEnd w:id="278"/>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18,191,402.41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6,464,837.71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24,656,240.12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18,191,402.41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6,464,837.71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24,656,240.12</w:t>
            </w:r>
          </w:p>
        </w:tc>
      </w:tr>
    </w:tbl>
    <w:p>
      <w:pPr>
        <w:spacing w:line="240" w:lineRule="auto" w:before="6"/>
        <w:rPr>
          <w:rFonts w:ascii="宋体" w:hAnsi="宋体" w:cs="宋体" w:eastAsia="宋体" w:hint="default"/>
          <w:sz w:val="6"/>
          <w:szCs w:val="6"/>
        </w:rPr>
      </w:pPr>
    </w:p>
    <w:p>
      <w:pPr>
        <w:pStyle w:val="BodyText"/>
        <w:spacing w:line="518" w:lineRule="auto" w:before="44"/>
        <w:ind w:right="5533"/>
        <w:jc w:val="left"/>
      </w:pPr>
      <w:r>
        <w:rPr/>
        <w:t>盈余公积说明，包括本期增减变动情况、变动原因说明： 报告期内盈余公积的变化均由于按公司法规定计提盈余公积导致。</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31、未分配利润" w:id="279"/>
      <w:bookmarkEnd w:id="279"/>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138,907,586.76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99,103,817.28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138,907,586.76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99,103,817.28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65,883,942.02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57,054,537.02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6,464,837.71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5,250,767.54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186,326,691.07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138,907,586.76</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调整期初未分配利润明细：</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t>（</w:t>
      </w: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t>（</w:t>
      </w: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 </w:t>
      </w:r>
      <w:r>
        <w:rPr/>
        <w:t>元。</w:t>
      </w:r>
    </w:p>
    <w:p>
      <w:pPr>
        <w:spacing w:line="240" w:lineRule="auto" w:before="11"/>
        <w:rPr>
          <w:rFonts w:ascii="宋体" w:hAnsi="宋体" w:cs="宋体" w:eastAsia="宋体" w:hint="default"/>
          <w:sz w:val="19"/>
          <w:szCs w:val="19"/>
        </w:rPr>
      </w:pPr>
    </w:p>
    <w:p>
      <w:pPr>
        <w:pStyle w:val="BodyText"/>
        <w:spacing w:line="240" w:lineRule="auto"/>
        <w:ind w:right="0"/>
        <w:jc w:val="left"/>
      </w:pPr>
      <w:r>
        <w:rPr/>
        <w:t>（</w:t>
      </w:r>
      <w:r>
        <w:rPr>
          <w:rFonts w:ascii="Times New Roman" w:hAnsi="Times New Roman" w:cs="Times New Roman" w:eastAsia="Times New Roman" w:hint="default"/>
        </w:rPr>
        <w:t>3</w:t>
      </w:r>
      <w:r>
        <w:rPr/>
        <w:t>）由于重大会计差错更正，影响期初未分配利润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t>（</w:t>
      </w: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BodyText"/>
        <w:spacing w:line="240" w:lineRule="auto"/>
        <w:ind w:right="0"/>
        <w:jc w:val="left"/>
      </w:pPr>
      <w:r>
        <w:rPr/>
        <w:t>（</w:t>
      </w: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left="1134" w:right="0"/>
        <w:jc w:val="left"/>
        <w:rPr>
          <w:b w:val="0"/>
          <w:bCs w:val="0"/>
        </w:rPr>
      </w:pPr>
      <w:bookmarkStart w:name="32、营业收入和营业成本" w:id="280"/>
      <w:bookmarkEnd w:id="280"/>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465,691,390.41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264,023,854.90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386,269,441.65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219,998,622.37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465,691,390.41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264,023,854.90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386,269,441.65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219,998,622.37</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3、营业税金及附加" w:id="281"/>
      <w:bookmarkEnd w:id="281"/>
      <w:r>
        <w:rPr>
          <w:b w:val="0"/>
          <w:bCs w:val="0"/>
        </w:rPr>
      </w:r>
      <w:r>
        <w:rPr>
          <w:rFonts w:ascii="Times New Roman" w:hAnsi="Times New Roman" w:cs="Times New Roman" w:eastAsia="Times New Roman" w:hint="default"/>
        </w:rPr>
        <w:t>33</w:t>
      </w:r>
      <w:r>
        <w:rPr/>
        <w:t>、营业税金及附加</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10,876,222.72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9,560,684.76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1,730,915.52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1,269,855.61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753,906.30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558,684.93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502,599.48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372,457.21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117,922.61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145,634.75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1,609,803.83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1,362,823.02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15,591,370.46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13,270,140.28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4、销售费用" w:id="282"/>
      <w:bookmarkEnd w:id="282"/>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25,924,251.60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22,066,233.16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7,062,636.68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7,288,913.94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3,143,624.46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2,589,426.57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2,028,670.71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1,896,709.85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2,157,056.91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1,599,431.89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3,469,441.76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2,072,431.23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1,053,288.00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677,064.96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44,838,970.12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38,190,211.60</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5、管理费用" w:id="283"/>
      <w:bookmarkEnd w:id="283"/>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36,188,813.14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28,616,014.36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13,730,051.20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7,818,216.09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1,809,634.16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1,657,700.83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3,519,645.99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1,351,137.62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1,398,431.00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1,134,634.68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1,868,319.17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2,359,436.64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738,437.05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874,273.24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591,804.85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111,025.64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1,661,209.40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1,299,222.04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62,474,245.96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45,221,661.14</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6、财务费用" w:id="284"/>
      <w:bookmarkEnd w:id="284"/>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1,810,625.18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3,301,531.82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831,945.61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274,687.16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85,843.33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85,263.27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1,064,522.90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3,112,107.93</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7、资产减值损失" w:id="285"/>
      <w:bookmarkEnd w:id="285"/>
      <w:r>
        <w:rPr>
          <w:b w:val="0"/>
          <w:bCs w:val="0"/>
        </w:rPr>
      </w:r>
      <w:r>
        <w:rPr>
          <w:rFonts w:ascii="Times New Roman" w:hAnsi="Times New Roman" w:cs="Times New Roman" w:eastAsia="Times New Roman" w:hint="default"/>
        </w:rPr>
        <w:t>37</w:t>
      </w:r>
      <w:r>
        <w:rPr/>
        <w:t>、资产减值损失</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2,480,530.92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3,332,073.29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911,515.11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646,804.49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3,392,046.03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3,978,877.78</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8、投资收益" w:id="286"/>
      <w:bookmarkEnd w:id="286"/>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463,808.22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463,808.22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9、营业外收入" w:id="287"/>
      <w:bookmarkEnd w:id="287"/>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2,606,203.43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2,552,275.50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2,606,203.43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45,680.33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2,661,203.65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2,597,955.83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2,661,203.65</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计入当期损益的政府补助：</w:t>
      </w:r>
    </w:p>
    <w:p>
      <w:pPr>
        <w:spacing w:line="240" w:lineRule="auto" w:before="7"/>
        <w:rPr>
          <w:rFonts w:ascii="宋体" w:hAnsi="宋体" w:cs="宋体" w:eastAsia="宋体" w:hint="default"/>
          <w:sz w:val="11"/>
          <w:szCs w:val="11"/>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软件产品增 值税即征即 退</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931,203.43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1,072,275.50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基于计算机 视听觉技术 的自助银行</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智能安全设 备研发及产 业化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金融安防物 联网专用感 知技术的研 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年省中 小企业发展 专项资金项 目计划</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番禺区科学 技术经费补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广州市浩云 安防科技股 份有限公司 的租金补贴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广州市博士 后创新实践 基地建设补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番禺区企业 上市奖励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2,606,203.43</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2,552,275.50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40、营业外支出" w:id="288"/>
      <w:bookmarkEnd w:id="288"/>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44,431.73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44,431.73</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44,431.73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44,431.73</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102,219.80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698.15</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45,129.88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127,644.80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45,129.88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41、所得税费用" w:id="289"/>
      <w:bookmarkEnd w:id="289"/>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所得税费用表" w:id="290"/>
      <w:bookmarkEnd w:id="29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10,953,455.04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8,758,064.91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548,864.97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-844,470.35</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11,502,320.01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7,913,594.56</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会计利润与所得税费用调整过程" w:id="291"/>
      <w:bookmarkEnd w:id="29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77,386,262.03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11,607,939.30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-579,330.67</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96,078.55</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478,014.26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使用前期未确认递延所得税资产的可抵扣暂时性差异</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-100,381.43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11,502,320.01</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42、现金流量表项目" w:id="292"/>
      <w:bookmarkEnd w:id="292"/>
      <w:r>
        <w:rPr>
          <w:b w:val="0"/>
          <w:bCs w:val="0"/>
        </w:rPr>
      </w:r>
      <w:r>
        <w:rPr>
          <w:rFonts w:ascii="Times New Roman" w:hAnsi="Times New Roman" w:cs="Times New Roman" w:eastAsia="Times New Roman" w:hint="default"/>
        </w:rPr>
        <w:t>42</w:t>
      </w:r>
      <w:r>
        <w:rPr/>
        <w:t>、现金流量表项目</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收到的其他与经营活动有关的现金" w:id="293"/>
      <w:bookmarkEnd w:id="29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831,945.61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274,687.16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45,680.33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3,961,945.83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1,680,367.49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group style="position:absolute;margin-left:223.339996pt;margin-top:610.75pt;width:151.25pt;height:20.8pt;mso-position-horizontal-relative:page;mso-position-vertical-relative:page;z-index:-921520" coordorigin="4467,12215" coordsize="3025,416">
            <v:group style="position:absolute;left:4478;top:12226;width:2;height:393" coordorigin="4478,12226" coordsize="2,393">
              <v:shape style="position:absolute;left:4478;top:12226;width:2;height:393" coordorigin="4478,12226" coordsize="0,393" path="m4478,12226l4478,12619e" filled="false" stroked="true" strokeweight="1.140pt" strokecolor="#ffffff">
                <v:path arrowok="t"/>
              </v:shape>
            </v:group>
            <v:group style="position:absolute;left:4490;top:12226;width:3002;height:393" coordorigin="4490,12226" coordsize="3002,393">
              <v:shape style="position:absolute;left:4490;top:12226;width:3002;height:393" coordorigin="4490,12226" coordsize="3002,393" path="m4490,12619l7491,12619,7491,12226,4490,12226,4490,12619xe" filled="true" fillcolor="#ffffff" stroked="false">
                <v:path arrowok="t"/>
                <v:fill type="solid"/>
              </v:shape>
            </v:group>
            <w10:wrap type="none"/>
          </v:group>
        </w:pict>
      </w:r>
    </w:p>
    <w:p>
      <w:pPr>
        <w:pStyle w:val="Heading3"/>
        <w:spacing w:line="240" w:lineRule="auto" w:before="174"/>
        <w:ind w:right="0"/>
        <w:jc w:val="left"/>
        <w:rPr>
          <w:b w:val="0"/>
          <w:bCs w:val="0"/>
        </w:rPr>
      </w:pPr>
      <w:bookmarkStart w:name="（2）支付的其他与经营活动有关的现金" w:id="294"/>
      <w:bookmarkEnd w:id="29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16,961,423.14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14,337,800.33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16,312,681.81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12,363,960.37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49,784.12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3,020,791.09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85,843.33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85,263.27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102,219.80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33,410,430.55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29,910,034.86</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43、现金流量表补充资料" w:id="295"/>
      <w:bookmarkEnd w:id="295"/>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现金流量表补充资料" w:id="296"/>
      <w:bookmarkEnd w:id="29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152"/>
        <w:gridCol w:w="191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65,883,942.02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57,054,537.02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3,392,046.03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3,978,877.78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6,552,664.59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5,651,403.87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257,105.28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227,438.42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690,186.60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630,571.92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44,431.73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25,425.00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1,810,625.18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3,301,531.82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-463,808.22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8" w:right="0"/>
              <w:jc w:val="left"/>
              <w:rPr>
                <w:rFonts w:ascii="Times New Roman" w:hAnsi="Times New Roman" w:cs="Times New Roman" w:eastAsia="Times New Roman" w:hint="default"/>
                <w:sz w:val="18"/>
                <w:szCs w:val="18"/>
              </w:rPr>
            </w:pPr>
            <w:r>
              <w:rPr>
                <w:rFonts w:ascii="Times New Roman"/>
                <w:sz w:val="18"/>
              </w:rPr>
              <w:t>548,864.97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-844,470.35</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383,273.64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-13,169,899.07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-36,005,516.93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-39,413,971.39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-17,414,819.82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15,990,234.50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25,678,995.07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33,431,679.52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405,649,058.13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133,077,195.93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133,077,195.93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121,744,804.22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272,571,862.20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11,332,391.71</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现金和现金等价物的构成" w:id="297"/>
      <w:bookmarkEnd w:id="297"/>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405,649,058.13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133,077,195.93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283,233.26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238,721.36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405,365,824.87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132,838,474.57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405,649,058.13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133,077,195.93</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其他说明：</w:t>
      </w:r>
    </w:p>
    <w:p>
      <w:pPr>
        <w:spacing w:line="240" w:lineRule="auto" w:before="9"/>
        <w:rPr>
          <w:rFonts w:ascii="宋体" w:hAnsi="宋体" w:cs="宋体" w:eastAsia="宋体" w:hint="default"/>
          <w:sz w:val="20"/>
          <w:szCs w:val="20"/>
        </w:rPr>
      </w:pPr>
    </w:p>
    <w:p>
      <w:pPr>
        <w:pStyle w:val="BodyText"/>
        <w:spacing w:line="451" w:lineRule="auto"/>
        <w:ind w:right="1169"/>
        <w:jc w:val="left"/>
      </w:pPr>
      <w:r>
        <w:rPr/>
        <w:t>不属于现金及现金等价物的货币资金情况的说明：</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年末现金及现金等价物余额中已扣除不符合现金及现金等价物标准 的其他货币资金的住宅专项维修资金</w:t>
      </w:r>
      <w:r>
        <w:rPr>
          <w:spacing w:val="-47"/>
        </w:rPr>
        <w:t> </w:t>
      </w:r>
      <w:r>
        <w:rPr>
          <w:rFonts w:ascii="Times New Roman" w:hAnsi="Times New Roman" w:cs="Times New Roman" w:eastAsia="Times New Roman" w:hint="default"/>
        </w:rPr>
        <w:t>268,871.57</w:t>
      </w:r>
      <w:r>
        <w:rPr>
          <w:rFonts w:ascii="Times New Roman" w:hAnsi="Times New Roman" w:cs="Times New Roman" w:eastAsia="Times New Roman" w:hint="default"/>
          <w:spacing w:val="-1"/>
        </w:rPr>
        <w:t> </w:t>
      </w:r>
      <w:r>
        <w:rPr/>
        <w:t>元、应付票据保证金</w:t>
      </w:r>
      <w:r>
        <w:rPr>
          <w:spacing w:val="-47"/>
        </w:rPr>
        <w:t> </w:t>
      </w:r>
      <w:r>
        <w:rPr>
          <w:rFonts w:ascii="Times New Roman" w:hAnsi="Times New Roman" w:cs="Times New Roman" w:eastAsia="Times New Roman" w:hint="default"/>
        </w:rPr>
        <w:t>3,053,991.00</w:t>
      </w:r>
      <w:r>
        <w:rPr>
          <w:rFonts w:ascii="Times New Roman" w:hAnsi="Times New Roman" w:cs="Times New Roman" w:eastAsia="Times New Roman" w:hint="default"/>
          <w:spacing w:val="-1"/>
        </w:rPr>
        <w:t> </w:t>
      </w:r>
      <w:r>
        <w:rPr/>
        <w:t>元、保函保证金</w:t>
      </w:r>
      <w:r>
        <w:rPr>
          <w:spacing w:val="-47"/>
        </w:rPr>
        <w:t> </w:t>
      </w:r>
      <w:r>
        <w:rPr>
          <w:rFonts w:ascii="Times New Roman" w:hAnsi="Times New Roman" w:cs="Times New Roman" w:eastAsia="Times New Roman" w:hint="default"/>
        </w:rPr>
        <w:t>2,513,969.97</w:t>
      </w:r>
      <w:r>
        <w:rPr>
          <w:rFonts w:ascii="Times New Roman" w:hAnsi="Times New Roman" w:cs="Times New Roman" w:eastAsia="Times New Roman" w:hint="default"/>
          <w:spacing w:val="-1"/>
        </w:rPr>
        <w:t> </w:t>
      </w:r>
      <w:r>
        <w:rPr/>
        <w:t>元。</w:t>
      </w:r>
    </w:p>
    <w:p>
      <w:pPr>
        <w:spacing w:line="240" w:lineRule="auto" w:before="4"/>
        <w:rPr>
          <w:rFonts w:ascii="宋体" w:hAnsi="宋体" w:cs="宋体" w:eastAsia="宋体" w:hint="default"/>
          <w:sz w:val="24"/>
          <w:szCs w:val="24"/>
        </w:rPr>
      </w:pPr>
    </w:p>
    <w:p>
      <w:pPr>
        <w:pStyle w:val="Heading3"/>
        <w:spacing w:line="240" w:lineRule="auto"/>
        <w:ind w:left="1134" w:right="0"/>
        <w:jc w:val="left"/>
        <w:rPr>
          <w:b w:val="0"/>
          <w:bCs w:val="0"/>
        </w:rPr>
      </w:pPr>
      <w:bookmarkStart w:name="44、所有权或使用权受到限制的资产" w:id="298"/>
      <w:bookmarkEnd w:id="298"/>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5,836,832.54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保证金、住宅专项维修资金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30,932,080.94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124,584,901.26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161,353,814.74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其他说明：</w:t>
      </w:r>
    </w:p>
    <w:p>
      <w:pPr>
        <w:spacing w:line="240" w:lineRule="auto" w:before="10"/>
        <w:rPr>
          <w:rFonts w:ascii="宋体" w:hAnsi="宋体" w:cs="宋体" w:eastAsia="宋体" w:hint="default"/>
          <w:sz w:val="20"/>
          <w:szCs w:val="20"/>
        </w:rPr>
      </w:pPr>
    </w:p>
    <w:p>
      <w:pPr>
        <w:pStyle w:val="BodyText"/>
        <w:spacing w:line="451" w:lineRule="auto"/>
        <w:ind w:right="1137"/>
        <w:jc w:val="left"/>
      </w:pPr>
      <w:r>
        <w:rPr/>
        <w:t>公司与中国银行番禺天安支行签订</w:t>
      </w:r>
      <w:r>
        <w:rPr>
          <w:spacing w:val="-47"/>
        </w:rPr>
        <w:t> </w:t>
      </w:r>
      <w:r>
        <w:rPr>
          <w:rFonts w:ascii="Times New Roman" w:hAnsi="Times New Roman" w:cs="Times New Roman" w:eastAsia="Times New Roman" w:hint="default"/>
        </w:rPr>
        <w:t>GY476780120140067</w:t>
      </w:r>
      <w:r>
        <w:rPr>
          <w:rFonts w:ascii="Times New Roman" w:hAnsi="Times New Roman" w:cs="Times New Roman" w:eastAsia="Times New Roman" w:hint="default"/>
          <w:spacing w:val="-2"/>
        </w:rPr>
        <w:t> </w:t>
      </w:r>
      <w:r>
        <w:rPr/>
        <w:t>最高额质押合同，以应收账款的收款权利作为质押物在中国人民银 行征信中心作质押登记。</w:t>
      </w:r>
    </w:p>
    <w:p>
      <w:pPr>
        <w:spacing w:after="0" w:line="451"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45、外币货币性项目" w:id="299"/>
      <w:bookmarkEnd w:id="299"/>
      <w:r>
        <w:rPr>
          <w:b w:val="0"/>
          <w:bCs w:val="0"/>
        </w:rPr>
      </w:r>
      <w:r>
        <w:rPr>
          <w:rFonts w:ascii="Times New Roman" w:hAnsi="Times New Roman" w:cs="Times New Roman" w:eastAsia="Times New Roman" w:hint="default"/>
        </w:rPr>
        <w:t>45</w:t>
      </w:r>
      <w:r>
        <w:rPr/>
        <w:t>、外币货币性项目</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外币货币性项目" w:id="300"/>
      <w:bookmarkEnd w:id="30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386" w:lineRule="auto"/>
        <w:ind w:left="1134" w:right="0"/>
        <w:jc w:val="left"/>
        <w:rPr>
          <w:b w:val="0"/>
          <w:bCs w:val="0"/>
        </w:rPr>
      </w:pPr>
      <w:bookmarkStart w:name="（2）境外经营实体说明，包括对于重要的境外经营实体，应披露其境外主要经营地、记账" w:id="301"/>
      <w:bookmarkEnd w:id="30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12"/>
        <w:rPr>
          <w:rFonts w:ascii="宋体" w:hAnsi="宋体" w:cs="宋体" w:eastAsia="宋体" w:hint="default"/>
          <w:b/>
          <w:bCs/>
          <w:sz w:val="29"/>
          <w:szCs w:val="29"/>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八、在其他主体中的权益" w:id="302"/>
      <w:bookmarkEnd w:id="302"/>
      <w:r>
        <w:rPr>
          <w:b w:val="0"/>
          <w:bCs w:val="0"/>
        </w:rPr>
      </w:r>
      <w:r>
        <w:rPr/>
        <w:t>八、在其他主体中的权益</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在子公司中的权益" w:id="303"/>
      <w:bookmarkEnd w:id="30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企业集团的构成" w:id="304"/>
      <w:bookmarkEnd w:id="30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广州市浩云安防 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广州市苏瑞计算 机科技有限公司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广州市万欣计算 机科技有限公司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九、与金融工具相关的风险" w:id="305"/>
      <w:bookmarkEnd w:id="305"/>
      <w:r>
        <w:rPr>
          <w:b w:val="0"/>
          <w:bCs w:val="0"/>
        </w:rPr>
      </w:r>
      <w:r>
        <w:rPr/>
        <w:t>九、与金融工具相关的风险</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1032" w:firstLine="360"/>
        <w:jc w:val="left"/>
      </w:pPr>
      <w:r>
        <w:rPr>
          <w:spacing w:val="-2"/>
        </w:rPr>
        <w:t>本公司从事风险管理的目标是在风险和收益之间取得平衡，将风险对本公司经营业绩的负面影响降至最低水平，使股东</w:t>
      </w:r>
      <w:r>
        <w:rPr/>
        <w:t>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BodyText"/>
        <w:spacing w:line="477" w:lineRule="auto" w:before="94"/>
        <w:ind w:left="1134" w:right="0" w:firstLine="360"/>
        <w:jc w:val="left"/>
      </w:pPr>
      <w:r>
        <w:rPr>
          <w:spacing w:val="-2"/>
        </w:rPr>
        <w:t>本公司在日常活动中面临各种与金融工具相关的风险，主要包括信用风险、流动风险及市场风险。管理层已审议并批准</w:t>
      </w:r>
      <w:r>
        <w:rPr/>
        <w:t> 管理这些风险的政策，概括如下。</w:t>
      </w:r>
    </w:p>
    <w:p>
      <w:pPr>
        <w:pStyle w:val="BodyText"/>
        <w:spacing w:line="487" w:lineRule="auto" w:before="94"/>
        <w:ind w:left="1494" w:right="3912" w:hanging="360"/>
        <w:jc w:val="left"/>
      </w:pPr>
      <w:r>
        <w:rPr/>
        <w:t>（</w:t>
      </w:r>
      <w:r>
        <w:rPr>
          <w:rFonts w:ascii="Times New Roman" w:hAnsi="Times New Roman" w:cs="Times New Roman" w:eastAsia="Times New Roman" w:hint="default"/>
        </w:rPr>
        <w:t>1</w:t>
      </w:r>
      <w:r>
        <w:rPr/>
        <w:t>） 信用风险 信用风险，是指金融工具的一方不能履行义务，造成另一方发生财务损失的风险。</w:t>
      </w:r>
    </w:p>
    <w:p>
      <w:pPr>
        <w:spacing w:after="0" w:line="48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1494" w:right="0"/>
        <w:jc w:val="left"/>
      </w:pPr>
      <w:r>
        <w:rPr/>
        <w:t>本公司的信用风险主要来自银行存款和应收款项。为控制上述相关风险，本公司分别采取了以下措施。</w:t>
      </w:r>
    </w:p>
    <w:p>
      <w:pPr>
        <w:spacing w:line="240" w:lineRule="auto" w:before="10"/>
        <w:rPr>
          <w:rFonts w:ascii="宋体" w:hAnsi="宋体" w:cs="宋体" w:eastAsia="宋体" w:hint="default"/>
          <w:sz w:val="20"/>
          <w:szCs w:val="20"/>
        </w:rPr>
      </w:pPr>
    </w:p>
    <w:p>
      <w:pPr>
        <w:pStyle w:val="BodyText"/>
        <w:spacing w:line="518" w:lineRule="auto"/>
        <w:ind w:left="1553" w:right="4573" w:hanging="60"/>
        <w:jc w:val="left"/>
      </w:pPr>
      <w:r>
        <w:rPr/>
        <w:t>①</w:t>
      </w:r>
      <w:r>
        <w:rPr>
          <w:spacing w:val="-17"/>
        </w:rPr>
        <w:t> </w:t>
      </w:r>
      <w:r>
        <w:rPr/>
        <w:t>银行存款</w:t>
      </w:r>
      <w:r>
        <w:rPr/>
        <w:t> 本公司将银行存款存放于信用评级较高的金融机构，故其信用风险较低。</w:t>
      </w:r>
    </w:p>
    <w:p>
      <w:pPr>
        <w:pStyle w:val="BodyText"/>
        <w:spacing w:line="516" w:lineRule="auto" w:before="63"/>
        <w:ind w:left="1553" w:right="1118" w:hanging="60"/>
        <w:jc w:val="left"/>
      </w:pPr>
      <w:r>
        <w:rPr/>
        <w:t>②应收款项 本公司持续对采用信用方式交易的客户进行信用评估。根据信用评估结果，本公司选择与经认可的且信用良好的客户</w:t>
      </w:r>
    </w:p>
    <w:p>
      <w:pPr>
        <w:pStyle w:val="BodyText"/>
        <w:spacing w:line="516" w:lineRule="auto" w:before="26"/>
        <w:ind w:left="1553" w:right="0" w:hanging="420"/>
        <w:jc w:val="left"/>
      </w:pPr>
      <w:r>
        <w:rPr/>
        <w:t>进行交易，并对其应收款项余额进行监控，以确保本公司不会面临重大坏账风险。 </w:t>
      </w:r>
      <w:r>
        <w:rPr>
          <w:spacing w:val="-1"/>
        </w:rPr>
        <w:t>由于本公司的应收账款风险点分布于多个合作方和多个客户，截至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日，本公司应收账款的</w:t>
      </w:r>
      <w:r>
        <w:rPr>
          <w:rFonts w:ascii="Times New Roman" w:hAnsi="Times New Roman" w:cs="Times New Roman" w:eastAsia="Times New Roman" w:hint="default"/>
          <w:spacing w:val="-1"/>
        </w:rPr>
        <w:t>17.62%(2014</w:t>
      </w:r>
      <w:r>
        <w:rPr>
          <w:spacing w:val="-1"/>
        </w:rPr>
        <w:t>年</w:t>
      </w:r>
    </w:p>
    <w:p>
      <w:pPr>
        <w:pStyle w:val="BodyText"/>
        <w:spacing w:line="240" w:lineRule="exact"/>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28.05%)</w:t>
      </w:r>
      <w:r>
        <w:rPr/>
        <w:t>源于余额前五名客户，本公司不存在重大的信用集中风险。</w:t>
      </w:r>
    </w:p>
    <w:p>
      <w:pPr>
        <w:spacing w:line="240" w:lineRule="auto" w:before="10"/>
        <w:rPr>
          <w:rFonts w:ascii="宋体" w:hAnsi="宋体" w:cs="宋体" w:eastAsia="宋体" w:hint="default"/>
          <w:sz w:val="19"/>
          <w:szCs w:val="19"/>
        </w:rPr>
      </w:pPr>
    </w:p>
    <w:p>
      <w:pPr>
        <w:pStyle w:val="BodyText"/>
        <w:spacing w:line="516" w:lineRule="auto"/>
        <w:ind w:left="1554" w:right="1118"/>
        <w:jc w:val="left"/>
      </w:pPr>
      <w:r>
        <w:rPr/>
        <w:t>③</w:t>
      </w:r>
      <w:r>
        <w:rPr>
          <w:spacing w:val="-17"/>
        </w:rPr>
        <w:t> </w:t>
      </w:r>
      <w:r>
        <w:rPr/>
        <w:t>其他应收款</w:t>
      </w:r>
      <w:r>
        <w:rPr/>
        <w:t> 本公司的其他应收款主要系保证金等，公司对此等款项与相关经济业务一并管理并持续监控，以确保本公司不致面临</w:t>
      </w:r>
    </w:p>
    <w:p>
      <w:pPr>
        <w:pStyle w:val="BodyText"/>
        <w:spacing w:line="240" w:lineRule="auto" w:before="26"/>
        <w:ind w:left="1134" w:right="0"/>
        <w:jc w:val="left"/>
      </w:pPr>
      <w:r>
        <w:rPr/>
        <w:t>重大坏账风险。</w:t>
      </w:r>
    </w:p>
    <w:p>
      <w:pPr>
        <w:spacing w:line="240" w:lineRule="auto" w:before="12"/>
        <w:rPr>
          <w:rFonts w:ascii="宋体" w:hAnsi="宋体" w:cs="宋体" w:eastAsia="宋体" w:hint="default"/>
          <w:sz w:val="20"/>
          <w:szCs w:val="20"/>
        </w:rPr>
      </w:pPr>
    </w:p>
    <w:p>
      <w:pPr>
        <w:pStyle w:val="BodyText"/>
        <w:spacing w:line="240" w:lineRule="auto"/>
        <w:ind w:left="1554" w:right="0"/>
        <w:jc w:val="left"/>
      </w:pPr>
      <w:r>
        <w:rPr/>
        <w:t>本公司的应收款项中无尚未逾期和发生减值，以及虽已逾期但未减值的金融资产。</w:t>
      </w:r>
    </w:p>
    <w:p>
      <w:pPr>
        <w:spacing w:line="240" w:lineRule="auto" w:before="10"/>
        <w:rPr>
          <w:rFonts w:ascii="宋体" w:hAnsi="宋体" w:cs="宋体" w:eastAsia="宋体" w:hint="default"/>
          <w:sz w:val="20"/>
          <w:szCs w:val="20"/>
        </w:rPr>
      </w:pPr>
    </w:p>
    <w:p>
      <w:pPr>
        <w:pStyle w:val="BodyText"/>
        <w:spacing w:line="240" w:lineRule="auto"/>
        <w:ind w:left="1134" w:right="0"/>
        <w:jc w:val="left"/>
      </w:pPr>
      <w:r>
        <w:rPr/>
        <w:t>（</w:t>
      </w:r>
      <w:r>
        <w:rPr>
          <w:rFonts w:ascii="Times New Roman" w:hAnsi="Times New Roman" w:cs="Times New Roman" w:eastAsia="Times New Roman" w:hint="default"/>
        </w:rPr>
        <w:t>2</w:t>
      </w:r>
      <w:r>
        <w:rPr/>
        <w:t>）流动风险</w:t>
      </w:r>
    </w:p>
    <w:p>
      <w:pPr>
        <w:spacing w:line="240" w:lineRule="auto" w:before="9"/>
        <w:rPr>
          <w:rFonts w:ascii="宋体" w:hAnsi="宋体" w:cs="宋体" w:eastAsia="宋体" w:hint="default"/>
          <w:sz w:val="19"/>
          <w:szCs w:val="19"/>
        </w:rPr>
      </w:pPr>
    </w:p>
    <w:p>
      <w:pPr>
        <w:pStyle w:val="BodyText"/>
        <w:spacing w:line="477" w:lineRule="auto"/>
        <w:ind w:right="1133" w:firstLine="420"/>
        <w:jc w:val="both"/>
      </w:pPr>
      <w:r>
        <w:rPr/>
        <w:t>流动风险，是指本公司在履行以交付现金或其他金融资产的方式结算的义务时发生资金短缺的风险。流动风险可能源 </w:t>
      </w:r>
      <w:r>
        <w:rPr>
          <w:spacing w:val="-2"/>
        </w:rPr>
        <w:t>于无法尽快以公允价值售出金融资产；或者源于对方无法偿还其合同债务；或者源于提前到期的债务；或者源于无法产生预</w:t>
      </w:r>
      <w:r>
        <w:rPr>
          <w:spacing w:val="-66"/>
        </w:rPr>
        <w:t> </w:t>
      </w:r>
      <w:r>
        <w:rPr>
          <w:spacing w:val="-66"/>
        </w:rPr>
      </w:r>
      <w:r>
        <w:rPr/>
        <w:t>期的现金流量。</w:t>
      </w:r>
    </w:p>
    <w:p>
      <w:pPr>
        <w:pStyle w:val="BodyText"/>
        <w:spacing w:line="477" w:lineRule="auto" w:before="94"/>
        <w:ind w:right="1132" w:firstLine="420"/>
        <w:jc w:val="both"/>
      </w:pPr>
      <w:r>
        <w:rPr/>
        <w:t>为控制该项风险，本公司综合运用票据结算、银行借款等多种融资手段，并采取长、短期融资方式适当结合，优化融 </w:t>
      </w:r>
      <w:r>
        <w:rPr>
          <w:spacing w:val="-2"/>
        </w:rPr>
        <w:t>资结构的方法，保持融资持续性与灵活性之间的平衡。本公司已从多家商业银行取得银行授信额度以满足营运资金需求和资</w:t>
      </w:r>
      <w:r>
        <w:rPr>
          <w:spacing w:val="-64"/>
        </w:rPr>
        <w:t> </w:t>
      </w:r>
      <w:r>
        <w:rPr>
          <w:spacing w:val="-64"/>
        </w:rPr>
      </w:r>
      <w:r>
        <w:rPr/>
        <w:t>本开支。</w:t>
      </w:r>
    </w:p>
    <w:p>
      <w:pPr>
        <w:pStyle w:val="BodyText"/>
        <w:spacing w:line="240" w:lineRule="auto" w:before="94"/>
        <w:ind w:left="1554" w:right="0"/>
        <w:jc w:val="left"/>
      </w:pPr>
      <w:r>
        <w:rPr/>
        <w:t>金融负债按剩余到期日分类</w:t>
      </w:r>
    </w:p>
    <w:p>
      <w:pPr>
        <w:spacing w:line="240" w:lineRule="auto" w:before="10"/>
        <w:rPr>
          <w:rFonts w:ascii="宋体" w:hAnsi="宋体" w:cs="宋体" w:eastAsia="宋体" w:hint="default"/>
          <w:sz w:val="20"/>
          <w:szCs w:val="20"/>
        </w:rPr>
      </w:pPr>
    </w:p>
    <w:p>
      <w:pPr>
        <w:pStyle w:val="BodyText"/>
        <w:spacing w:line="240" w:lineRule="auto"/>
        <w:ind w:left="0" w:right="1439"/>
        <w:jc w:val="right"/>
      </w:pPr>
      <w:r>
        <w:rPr/>
        <w:t>单位：元</w:t>
      </w:r>
    </w:p>
    <w:p>
      <w:pPr>
        <w:spacing w:line="240" w:lineRule="auto" w:before="0"/>
        <w:rPr>
          <w:rFonts w:ascii="宋体" w:hAnsi="宋体" w:cs="宋体" w:eastAsia="宋体" w:hint="default"/>
          <w:sz w:val="14"/>
          <w:szCs w:val="14"/>
        </w:rPr>
      </w:pPr>
    </w:p>
    <w:tbl>
      <w:tblPr>
        <w:tblW w:w="0" w:type="auto"/>
        <w:jc w:val="left"/>
        <w:tblInd w:w="1021" w:type="dxa"/>
        <w:tblLayout w:type="fixed"/>
        <w:tblCellMar>
          <w:top w:w="0" w:type="dxa"/>
          <w:left w:w="0" w:type="dxa"/>
          <w:bottom w:w="0" w:type="dxa"/>
          <w:right w:w="0" w:type="dxa"/>
        </w:tblCellMar>
        <w:tblLook w:val="01E0"/>
      </w:tblPr>
      <w:tblGrid>
        <w:gridCol w:w="2470"/>
        <w:gridCol w:w="1532"/>
        <w:gridCol w:w="1807"/>
        <w:gridCol w:w="1532"/>
        <w:gridCol w:w="1421"/>
        <w:gridCol w:w="1094"/>
      </w:tblGrid>
      <w:tr>
        <w:trPr>
          <w:trHeight w:val="322" w:hRule="exact"/>
        </w:trPr>
        <w:tc>
          <w:tcPr>
            <w:tcW w:w="24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73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2470" w:type="dxa"/>
            <w:vMerge/>
            <w:tcBorders>
              <w:left w:val="single" w:sz="4" w:space="0" w:color="000000"/>
              <w:bottom w:val="single" w:sz="4" w:space="0" w:color="000000"/>
              <w:right w:val="single" w:sz="4" w:space="0" w:color="000000"/>
            </w:tcBorders>
            <w:shd w:val="clear" w:color="auto" w:fill="D2D2D2"/>
          </w:tcPr>
          <w:p>
            <w:pP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68"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58"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2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10,179,970.00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10,179,970.00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10,179,970.00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7,876,996.35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7,876,996.35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7,876,996.35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2,842,784.27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3,001,127.88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3,001,127.88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1,478,370.12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1,500,563.94</w:t>
            </w:r>
          </w:p>
        </w:tc>
        <w:tc>
          <w:tcPr>
            <w:tcW w:w="153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1,500,563.94</w:t>
            </w: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22,378,120.74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22,558,658.17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21,058,094.23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1,500,563.94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88"/>
        <w:ind w:left="1134" w:right="0"/>
        <w:jc w:val="left"/>
      </w:pPr>
      <w:r>
        <w:rPr/>
        <w:t>（续上表）</w:t>
      </w:r>
    </w:p>
    <w:p>
      <w:pPr>
        <w:spacing w:line="240" w:lineRule="auto" w:before="1"/>
        <w:rPr>
          <w:rFonts w:ascii="宋体" w:hAnsi="宋体" w:cs="宋体" w:eastAsia="宋体" w:hint="default"/>
          <w:sz w:val="11"/>
          <w:szCs w:val="11"/>
        </w:rPr>
      </w:pPr>
    </w:p>
    <w:tbl>
      <w:tblPr>
        <w:tblW w:w="0" w:type="auto"/>
        <w:jc w:val="left"/>
        <w:tblInd w:w="1021" w:type="dxa"/>
        <w:tblLayout w:type="fixed"/>
        <w:tblCellMar>
          <w:top w:w="0" w:type="dxa"/>
          <w:left w:w="0" w:type="dxa"/>
          <w:bottom w:w="0" w:type="dxa"/>
          <w:right w:w="0" w:type="dxa"/>
        </w:tblCellMar>
        <w:tblLook w:val="01E0"/>
      </w:tblPr>
      <w:tblGrid>
        <w:gridCol w:w="2624"/>
        <w:gridCol w:w="1412"/>
        <w:gridCol w:w="1914"/>
        <w:gridCol w:w="1251"/>
        <w:gridCol w:w="1162"/>
        <w:gridCol w:w="1496"/>
      </w:tblGrid>
      <w:tr>
        <w:trPr>
          <w:trHeight w:val="322" w:hRule="exact"/>
        </w:trPr>
        <w:tc>
          <w:tcPr>
            <w:tcW w:w="26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723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2624" w:type="dxa"/>
            <w:vMerge/>
            <w:tcBorders>
              <w:left w:val="single" w:sz="4" w:space="0" w:color="000000"/>
              <w:bottom w:val="single" w:sz="4" w:space="0" w:color="000000"/>
              <w:right w:val="single" w:sz="4" w:space="0" w:color="000000"/>
            </w:tcBorders>
            <w:shd w:val="clear" w:color="auto" w:fill="D2D2D2"/>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8"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2624"/>
        <w:gridCol w:w="1412"/>
        <w:gridCol w:w="1914"/>
        <w:gridCol w:w="1251"/>
        <w:gridCol w:w="1162"/>
        <w:gridCol w:w="1494"/>
      </w:tblGrid>
      <w:tr>
        <w:trPr>
          <w:trHeight w:val="317" w:hRule="exact"/>
        </w:trPr>
        <w:tc>
          <w:tcPr>
            <w:tcW w:w="26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33,500,000.00</w:t>
            </w: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34,846,919.45</w:t>
            </w:r>
          </w:p>
        </w:tc>
        <w:tc>
          <w:tcPr>
            <w:tcW w:w="1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34,846,919.45</w:t>
            </w:r>
          </w:p>
        </w:tc>
        <w:tc>
          <w:tcPr>
            <w:tcW w:w="1162" w:type="dxa"/>
            <w:tcBorders>
              <w:top w:val="nil" w:sz="6" w:space="0" w:color="auto"/>
              <w:left w:val="single" w:sz="4" w:space="0" w:color="000000"/>
              <w:bottom w:val="single" w:sz="4" w:space="0" w:color="000000"/>
              <w:right w:val="single" w:sz="4" w:space="0" w:color="000000"/>
            </w:tcBorders>
          </w:tcPr>
          <w:p>
            <w:pPr/>
          </w:p>
        </w:tc>
        <w:tc>
          <w:tcPr>
            <w:tcW w:w="1494"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6,478,446.00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6,478,446.00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6,478,446.00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10,022,547.20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10,022,547.20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10,022,547.20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2,488,181.25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3,056,943.38</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 w:right="0"/>
              <w:jc w:val="center"/>
              <w:rPr>
                <w:rFonts w:ascii="Times New Roman" w:hAnsi="Times New Roman" w:cs="Times New Roman" w:eastAsia="Times New Roman" w:hint="default"/>
                <w:sz w:val="18"/>
                <w:szCs w:val="18"/>
              </w:rPr>
            </w:pPr>
            <w:r>
              <w:rPr>
                <w:rFonts w:ascii="Times New Roman"/>
                <w:sz w:val="18"/>
              </w:rPr>
              <w:t>3,056,943.38</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4,504,066.40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4,562,479.44</w:t>
            </w:r>
          </w:p>
        </w:tc>
        <w:tc>
          <w:tcPr>
            <w:tcW w:w="125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4,562,479.44</w:t>
            </w:r>
          </w:p>
        </w:tc>
        <w:tc>
          <w:tcPr>
            <w:tcW w:w="14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56,993,240.85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58,967,335.47</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54,404,856.03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4,562,479.44</w:t>
            </w:r>
          </w:p>
        </w:tc>
        <w:tc>
          <w:tcPr>
            <w:tcW w:w="14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w:t>
      </w:r>
      <w:r>
        <w:rPr>
          <w:rFonts w:ascii="Times New Roman" w:hAnsi="Times New Roman" w:cs="Times New Roman" w:eastAsia="Times New Roman" w:hint="default"/>
        </w:rPr>
        <w:t>3</w:t>
      </w:r>
      <w:r>
        <w:rPr/>
        <w:t>） 市场风险</w:t>
      </w:r>
    </w:p>
    <w:p>
      <w:pPr>
        <w:spacing w:line="240" w:lineRule="auto" w:before="10"/>
        <w:rPr>
          <w:rFonts w:ascii="宋体" w:hAnsi="宋体" w:cs="宋体" w:eastAsia="宋体" w:hint="default"/>
          <w:sz w:val="19"/>
          <w:szCs w:val="19"/>
        </w:rPr>
      </w:pPr>
    </w:p>
    <w:p>
      <w:pPr>
        <w:pStyle w:val="BodyText"/>
        <w:spacing w:line="477" w:lineRule="auto"/>
        <w:ind w:right="1118" w:firstLine="420"/>
        <w:jc w:val="left"/>
      </w:pPr>
      <w:r>
        <w:rPr/>
        <w:t>市场风险，是指金融工具的公允价值或未来现金流量因市场价格变动而发生波动的风险。市场风险主要包括利率风险 和外汇风险。</w:t>
      </w:r>
    </w:p>
    <w:p>
      <w:pPr>
        <w:pStyle w:val="BodyText"/>
        <w:spacing w:line="516" w:lineRule="auto" w:before="94"/>
        <w:ind w:left="1553" w:right="1118"/>
        <w:jc w:val="left"/>
      </w:pPr>
      <w:r>
        <w:rPr/>
        <w:t>①</w:t>
      </w:r>
      <w:r>
        <w:rPr>
          <w:spacing w:val="-17"/>
        </w:rPr>
        <w:t> </w:t>
      </w:r>
      <w:r>
        <w:rPr/>
        <w:t>利率风险</w:t>
      </w:r>
      <w:r>
        <w:rPr/>
        <w:t> 利率风险，是指金融工具的公允价值或未来现金流量因市场利率变动而发生波动的风险。本公司面临的市场利率变动</w:t>
      </w:r>
    </w:p>
    <w:p>
      <w:pPr>
        <w:pStyle w:val="BodyText"/>
        <w:spacing w:line="516" w:lineRule="auto" w:before="26"/>
        <w:ind w:left="1493" w:right="0" w:hanging="360"/>
        <w:jc w:val="left"/>
      </w:pPr>
      <w:r>
        <w:rPr/>
        <w:t>的风险主要与本公司以浮动利率计息的借款有关。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日，本公司以同期同档次国家基准利率上浮一定百分比的利率计息的银行借款人民币</w:t>
      </w:r>
      <w:r>
        <w:rPr>
          <w:rFonts w:ascii="Times New Roman" w:hAnsi="Times New Roman" w:cs="Times New Roman" w:eastAsia="Times New Roman" w:hint="default"/>
          <w:spacing w:val="2"/>
        </w:rPr>
        <w:t>4,321,154.4</w:t>
      </w:r>
      <w:r>
        <w:rPr>
          <w:spacing w:val="2"/>
        </w:rPr>
        <w:t>元</w:t>
      </w:r>
    </w:p>
    <w:p>
      <w:pPr>
        <w:pStyle w:val="BodyText"/>
        <w:spacing w:line="451" w:lineRule="auto"/>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40,492,247.65</w:t>
      </w:r>
      <w:r>
        <w:rPr/>
        <w:t>元</w:t>
      </w:r>
      <w:r>
        <w:rPr>
          <w:rFonts w:ascii="Times New Roman" w:hAnsi="Times New Roman" w:cs="Times New Roman" w:eastAsia="Times New Roman" w:hint="default"/>
        </w:rPr>
        <w:t>)</w:t>
      </w:r>
      <w:r>
        <w:rPr/>
        <w:t>，在其他变量不变的假设下，假定利率变动</w:t>
      </w:r>
      <w:r>
        <w:rPr>
          <w:rFonts w:ascii="Times New Roman" w:hAnsi="Times New Roman" w:cs="Times New Roman" w:eastAsia="Times New Roman" w:hint="default"/>
        </w:rPr>
        <w:t>50</w:t>
      </w:r>
      <w:r>
        <w:rPr/>
        <w:t>个基准点，不会对本公司的利润总</w:t>
      </w:r>
      <w:r>
        <w:rPr>
          <w:spacing w:val="-75"/>
        </w:rPr>
        <w:t> </w:t>
      </w:r>
      <w:r>
        <w:rPr>
          <w:spacing w:val="-75"/>
        </w:rPr>
      </w:r>
      <w:r>
        <w:rPr/>
        <w:t>额和股东权益产生重大的影响。</w:t>
      </w:r>
    </w:p>
    <w:p>
      <w:pPr>
        <w:pStyle w:val="BodyText"/>
        <w:spacing w:line="516" w:lineRule="auto" w:before="113"/>
        <w:ind w:left="1493" w:right="1118"/>
        <w:jc w:val="left"/>
      </w:pPr>
      <w:r>
        <w:rPr/>
        <w:t>②</w:t>
      </w:r>
      <w:r>
        <w:rPr>
          <w:spacing w:val="-17"/>
        </w:rPr>
        <w:t> </w:t>
      </w:r>
      <w:r>
        <w:rPr/>
        <w:t>外汇风险</w:t>
      </w:r>
      <w:r>
        <w:rPr/>
        <w:t> </w:t>
      </w:r>
      <w:r>
        <w:rPr>
          <w:spacing w:val="-2"/>
        </w:rPr>
        <w:t>外汇风险，是指金融工具的公允价值或未来现金流量因外汇汇率变动而发生波动的风险。本公司面临的汇率变动的风险</w:t>
      </w:r>
    </w:p>
    <w:p>
      <w:pPr>
        <w:pStyle w:val="BodyText"/>
        <w:spacing w:line="477" w:lineRule="auto" w:before="25"/>
        <w:ind w:right="0"/>
        <w:jc w:val="left"/>
      </w:pPr>
      <w:r>
        <w:rPr>
          <w:spacing w:val="-2"/>
        </w:rPr>
        <w:t>主要与本公司外币货币性资产和负债有关。本公司于中国内地经营，且主要活动以人民币计价。因此，本公司所承担的外汇</w:t>
      </w:r>
      <w:r>
        <w:rPr>
          <w:spacing w:val="-65"/>
        </w:rPr>
        <w:t> </w:t>
      </w:r>
      <w:r>
        <w:rPr>
          <w:spacing w:val="-65"/>
        </w:rPr>
      </w:r>
      <w:r>
        <w:rPr/>
        <w:t>变动市场风险不重大。</w:t>
      </w:r>
    </w:p>
    <w:p>
      <w:pPr>
        <w:pStyle w:val="BodyText"/>
        <w:spacing w:line="240" w:lineRule="auto" w:before="95"/>
        <w:ind w:left="1493" w:right="0"/>
        <w:jc w:val="left"/>
      </w:pPr>
      <w:r>
        <w:rPr/>
        <w:t>本公司期末无外币货币性资产和负债。</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十、关联方及关联交易" w:id="306"/>
      <w:bookmarkEnd w:id="306"/>
      <w:r>
        <w:rPr>
          <w:b w:val="0"/>
          <w:bCs w:val="0"/>
        </w:rPr>
      </w:r>
      <w:r>
        <w:rPr/>
        <w:t>十、关联方及关联交易</w:t>
      </w:r>
      <w:r>
        <w:rPr>
          <w:b w:val="0"/>
          <w:bCs w:val="0"/>
        </w:rPr>
      </w:r>
    </w:p>
    <w:p>
      <w:pPr>
        <w:spacing w:line="240" w:lineRule="auto" w:before="8"/>
        <w:rPr>
          <w:rFonts w:ascii="宋体" w:hAnsi="宋体" w:cs="宋体" w:eastAsia="宋体" w:hint="default"/>
          <w:b/>
          <w:bCs/>
          <w:sz w:val="30"/>
          <w:szCs w:val="30"/>
        </w:rPr>
      </w:pPr>
    </w:p>
    <w:p>
      <w:pPr>
        <w:pStyle w:val="Heading3"/>
        <w:spacing w:line="240" w:lineRule="auto"/>
        <w:ind w:right="0"/>
        <w:jc w:val="left"/>
        <w:rPr>
          <w:b w:val="0"/>
          <w:bCs w:val="0"/>
        </w:rPr>
      </w:pPr>
      <w:bookmarkStart w:name="1、本企业的子公司情况" w:id="307"/>
      <w:bookmarkEnd w:id="307"/>
      <w:r>
        <w:rPr>
          <w:b w:val="0"/>
          <w:bCs w:val="0"/>
        </w:rPr>
      </w:r>
      <w:r>
        <w:rPr>
          <w:rFonts w:ascii="Times New Roman" w:hAnsi="Times New Roman" w:cs="Times New Roman" w:eastAsia="Times New Roman" w:hint="default"/>
        </w:rPr>
        <w:t>1</w:t>
      </w:r>
      <w:r>
        <w:rPr/>
        <w:t>、本企业的子公司情况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本企业子公司的情况详见附注其他主体中的权益说明。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其他关联方情况" w:id="308"/>
      <w:bookmarkEnd w:id="308"/>
      <w:r>
        <w:rPr>
          <w:b w:val="0"/>
          <w:bCs w:val="0"/>
        </w:rPr>
      </w:r>
      <w:r>
        <w:rPr>
          <w:rFonts w:ascii="Times New Roman" w:hAnsi="Times New Roman" w:cs="Times New Roman" w:eastAsia="Times New Roman" w:hint="default"/>
        </w:rPr>
        <w:t>2</w:t>
      </w:r>
      <w:r>
        <w:rPr/>
        <w:t>、其他关联方情况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江苏凯伦建材股份有限公司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江苏凯伦建材股份有限公司为浩云科技董事张勇任职董事、 副总经理和董事会秘书的企业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广州市天高集团有限公司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广州市天高集团有限公司为浩云科技独立董事王朝曦任职副 总裁兼财务总监的企业</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spacing w:line="240" w:lineRule="auto" w:before="44"/>
        <w:ind w:left="0" w:right="1139"/>
        <w:jc w:val="right"/>
      </w:pPr>
      <w:r>
        <w:rPr/>
        <w:pict>
          <v:shape style="position:absolute;margin-left:56.459999pt;margin-top:-286.468292pt;width:479.2pt;height:321.8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广州航天海特系统工程有限公司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广州航天海特系统工程有限公司为浩云科技独立董事王朝曦 任职董事的企业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广州市宝山贸易有限公司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广州市宝山贸易有限公司为浩云科技独立董事王朝曦任职董 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广东天高矿业股份有限公司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广东天高矿业股份有限公司为浩云科技独立董事王朝曦任职 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南昌天高新材料股份有限公司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南昌天高新材料股份有限公司为浩云科技独立董事王朝曦任 职监事会主席的企业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赣州市峰山投资开发有限公司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赣州市峰山投资开发有限公司为浩云科技独立董事王朝曦任 职董事的企业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会昌龙威锡业有限公司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会昌龙威锡业有限公司为浩云科技独立董事王朝曦任职董事 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吉水县谊达物资有限责任公司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吉水县谊达物资有限责任公司为浩云科技独立董事王朝曦任 职监事的企业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河源市紫金天鸥矿业有限公司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河源市紫金天鸥矿业有限公司为浩云科技独立董事王朝曦任 职董事的企业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海博伦（苏州）环境科技股份有限公司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2"/>
                            <w:sz w:val="18"/>
                            <w:szCs w:val="18"/>
                          </w:rPr>
                          <w:t>海博伦（苏州）环境科技股份有限公司为浩云科技副总经理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董秘陈翩任职董事的企业</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0"/>
        <w:ind w:left="1134" w:right="0"/>
        <w:jc w:val="left"/>
        <w:rPr>
          <w:b w:val="0"/>
          <w:bCs w:val="0"/>
        </w:rPr>
      </w:pPr>
      <w:bookmarkStart w:name="3、关联交易情况" w:id="309"/>
      <w:bookmarkEnd w:id="309"/>
      <w:r>
        <w:rPr>
          <w:b w:val="0"/>
          <w:bCs w:val="0"/>
        </w:rPr>
      </w:r>
      <w:r>
        <w:rPr>
          <w:rFonts w:ascii="Times New Roman" w:hAnsi="Times New Roman" w:cs="Times New Roman" w:eastAsia="Times New Roman" w:hint="default"/>
        </w:rPr>
        <w:t>3</w:t>
      </w:r>
      <w:r>
        <w:rPr/>
        <w:t>、关联交易情况</w:t>
      </w:r>
      <w:r>
        <w:rPr>
          <w:b w:val="0"/>
          <w:bCs w:val="0"/>
        </w:rPr>
      </w:r>
    </w:p>
    <w:p>
      <w:pPr>
        <w:spacing w:line="240" w:lineRule="auto" w:before="7"/>
        <w:rPr>
          <w:rFonts w:ascii="宋体" w:hAnsi="宋体" w:cs="宋体" w:eastAsia="宋体" w:hint="default"/>
          <w:b/>
          <w:bCs/>
          <w:sz w:val="30"/>
          <w:szCs w:val="30"/>
        </w:rPr>
      </w:pPr>
    </w:p>
    <w:p>
      <w:pPr>
        <w:pStyle w:val="Heading3"/>
        <w:spacing w:line="240" w:lineRule="auto"/>
        <w:ind w:left="1134" w:right="0"/>
        <w:jc w:val="left"/>
        <w:rPr>
          <w:b w:val="0"/>
          <w:bCs w:val="0"/>
        </w:rPr>
      </w:pPr>
      <w:bookmarkStart w:name="（1）关联租赁情况" w:id="310"/>
      <w:bookmarkEnd w:id="310"/>
      <w:r>
        <w:rPr>
          <w:b w:val="0"/>
          <w:bCs w:val="0"/>
        </w:rPr>
      </w:r>
      <w:r>
        <w:rPr/>
        <w:t>（</w:t>
      </w:r>
      <w:r>
        <w:rPr>
          <w:rFonts w:ascii="Times New Roman" w:hAnsi="Times New Roman" w:cs="Times New Roman" w:eastAsia="Times New Roman" w:hint="default"/>
        </w:rPr>
        <w:t>1</w:t>
      </w:r>
      <w:r>
        <w:rPr/>
        <w:t>）关联租赁情况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t>本公司作为承租方：</w:t>
      </w:r>
    </w:p>
    <w:p>
      <w:pPr>
        <w:spacing w:line="240" w:lineRule="auto" w:before="7"/>
        <w:rPr>
          <w:rFonts w:ascii="宋体" w:hAnsi="宋体" w:cs="宋体" w:eastAsia="宋体" w:hint="default"/>
          <w:sz w:val="11"/>
          <w:szCs w:val="11"/>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员工宿舍租赁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6" w:right="0"/>
              <w:jc w:val="left"/>
              <w:rPr>
                <w:rFonts w:ascii="Times New Roman" w:hAnsi="Times New Roman" w:cs="Times New Roman" w:eastAsia="Times New Roman" w:hint="default"/>
                <w:sz w:val="18"/>
                <w:szCs w:val="18"/>
              </w:rPr>
            </w:pPr>
            <w:r>
              <w:rPr>
                <w:rFonts w:ascii="Times New Roman"/>
                <w:sz w:val="18"/>
              </w:rPr>
              <w:t>112,800.00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6" w:right="0"/>
              <w:jc w:val="left"/>
              <w:rPr>
                <w:rFonts w:ascii="Times New Roman" w:hAnsi="Times New Roman" w:cs="Times New Roman" w:eastAsia="Times New Roman" w:hint="default"/>
                <w:sz w:val="18"/>
                <w:szCs w:val="18"/>
              </w:rPr>
            </w:pPr>
            <w:r>
              <w:rPr>
                <w:rFonts w:ascii="Times New Roman"/>
                <w:sz w:val="18"/>
              </w:rPr>
              <w:t>112,800.00</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关联租赁情况说明</w:t>
      </w:r>
    </w:p>
    <w:p>
      <w:pPr>
        <w:spacing w:line="240" w:lineRule="auto" w:before="10"/>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24 </w:t>
      </w:r>
      <w:r>
        <w:rPr/>
        <w:t>日，茅庆江与公司签订了《广州市房屋租赁合同</w:t>
      </w:r>
      <w:r>
        <w:rPr>
          <w:spacing w:val="-90"/>
        </w:rPr>
        <w:t>》</w:t>
      </w:r>
      <w:r>
        <w:rPr/>
        <w:t>，该合同约定茅庆江将其个人名下位于番禺区番禺大道北</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555</w:t>
      </w:r>
      <w:r>
        <w:rPr>
          <w:rFonts w:ascii="Times New Roman" w:hAnsi="Times New Roman" w:cs="Times New Roman" w:eastAsia="Times New Roman" w:hint="default"/>
          <w:spacing w:val="-5"/>
        </w:rPr>
        <w:t> </w:t>
      </w:r>
      <w:r>
        <w:rPr/>
        <w:t>号番禺节能科技园内天安菁华公寓</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栋</w:t>
      </w:r>
      <w:r>
        <w:rPr>
          <w:spacing w:val="-50"/>
        </w:rPr>
        <w:t> </w:t>
      </w:r>
      <w:r>
        <w:rPr>
          <w:rFonts w:ascii="Times New Roman" w:hAnsi="Times New Roman" w:cs="Times New Roman" w:eastAsia="Times New Roman" w:hint="default"/>
        </w:rPr>
        <w:t>1701</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1702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1703</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1717</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1718</w:t>
      </w:r>
      <w:r>
        <w:rPr>
          <w:rFonts w:ascii="Times New Roman" w:hAnsi="Times New Roman" w:cs="Times New Roman" w:eastAsia="Times New Roman" w:hint="default"/>
          <w:spacing w:val="-4"/>
        </w:rPr>
        <w:t> </w:t>
      </w:r>
      <w:r>
        <w:rPr/>
        <w:t>号及</w:t>
      </w:r>
      <w:r>
        <w:rPr>
          <w:spacing w:val="-50"/>
        </w:rPr>
        <w:t> </w:t>
      </w:r>
      <w:r>
        <w:rPr>
          <w:rFonts w:ascii="Times New Roman" w:hAnsi="Times New Roman" w:cs="Times New Roman" w:eastAsia="Times New Roman" w:hint="default"/>
        </w:rPr>
        <w:t>1719</w:t>
      </w:r>
      <w:r>
        <w:rPr>
          <w:rFonts w:ascii="Times New Roman" w:hAnsi="Times New Roman" w:cs="Times New Roman" w:eastAsia="Times New Roman" w:hint="default"/>
          <w:spacing w:val="-5"/>
        </w:rPr>
        <w:t> </w:t>
      </w:r>
      <w:r>
        <w:rPr/>
        <w:t>号的房产出租给公司作为</w:t>
      </w:r>
    </w:p>
    <w:p>
      <w:pPr>
        <w:spacing w:line="240" w:lineRule="auto" w:before="11"/>
        <w:rPr>
          <w:rFonts w:ascii="宋体" w:hAnsi="宋体" w:cs="宋体" w:eastAsia="宋体" w:hint="default"/>
          <w:sz w:val="16"/>
          <w:szCs w:val="16"/>
        </w:rPr>
      </w:pPr>
    </w:p>
    <w:p>
      <w:pPr>
        <w:pStyle w:val="BodyText"/>
        <w:spacing w:line="240" w:lineRule="auto"/>
        <w:ind w:right="0"/>
        <w:jc w:val="left"/>
      </w:pPr>
      <w:r>
        <w:rPr/>
        <w:t>住宅用途使用。租赁期限从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日，租金共计</w:t>
      </w:r>
      <w:r>
        <w:rPr>
          <w:spacing w:val="-46"/>
        </w:rPr>
        <w:t> </w:t>
      </w:r>
      <w:r>
        <w:rPr>
          <w:rFonts w:ascii="Times New Roman" w:hAnsi="Times New Roman" w:cs="Times New Roman" w:eastAsia="Times New Roman" w:hint="default"/>
        </w:rPr>
        <w:t>9,400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关联担保情况" w:id="311"/>
      <w:bookmarkEnd w:id="311"/>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本公司作为被担保方</w:t>
      </w:r>
    </w:p>
    <w:p>
      <w:pPr>
        <w:spacing w:line="240" w:lineRule="auto" w:before="11"/>
        <w:rPr>
          <w:rFonts w:ascii="宋体" w:hAnsi="宋体" w:cs="宋体" w:eastAsia="宋体" w:hint="default"/>
          <w:sz w:val="14"/>
          <w:szCs w:val="14"/>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浩云设备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both"/>
      </w:pPr>
      <w:r>
        <w:rPr/>
        <w:t>关联担保情况说明</w:t>
      </w:r>
    </w:p>
    <w:p>
      <w:pPr>
        <w:spacing w:line="240" w:lineRule="auto" w:before="10"/>
        <w:rPr>
          <w:rFonts w:ascii="宋体" w:hAnsi="宋体" w:cs="宋体" w:eastAsia="宋体" w:hint="default"/>
          <w:sz w:val="20"/>
          <w:szCs w:val="20"/>
        </w:rPr>
      </w:pPr>
    </w:p>
    <w:p>
      <w:pPr>
        <w:pStyle w:val="BodyText"/>
        <w:spacing w:line="451" w:lineRule="auto"/>
        <w:ind w:right="1130"/>
        <w:jc w:val="both"/>
      </w:pPr>
      <w:r>
        <w:rPr>
          <w:spacing w:val="-6"/>
        </w:rPr>
        <w:t>①</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28</w:t>
      </w:r>
      <w:r>
        <w:rPr>
          <w:spacing w:val="-6"/>
        </w:rPr>
        <w:t>日，浩云设备与兴业银行广州番禺支行签订了《最高额保证合同》（编号为兴银粤保字（番禺）第</w:t>
      </w:r>
      <w:r>
        <w:rPr>
          <w:rFonts w:ascii="Times New Roman" w:hAnsi="Times New Roman" w:cs="Times New Roman" w:eastAsia="Times New Roman" w:hint="default"/>
          <w:spacing w:val="-6"/>
        </w:rPr>
        <w:t>201403180001</w:t>
      </w:r>
      <w:r>
        <w:rPr>
          <w:rFonts w:ascii="Times New Roman" w:hAnsi="Times New Roman" w:cs="Times New Roman" w:eastAsia="Times New Roman" w:hint="default"/>
          <w:spacing w:val="-9"/>
        </w:rPr>
        <w:t> </w:t>
      </w:r>
      <w:r>
        <w:rPr>
          <w:spacing w:val="-2"/>
        </w:rPr>
        <w:t>号），该合同约定浩云设备为本公司与该行之间签署的《基本额度授信合同》（编号为兴银粤授字（番禺）第</w:t>
      </w:r>
      <w:r>
        <w:rPr>
          <w:rFonts w:ascii="Times New Roman" w:hAnsi="Times New Roman" w:cs="Times New Roman" w:eastAsia="Times New Roman" w:hint="default"/>
          <w:spacing w:val="-2"/>
        </w:rPr>
        <w:t>201403180001</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4"/>
        </w:rPr>
        <w:t>号）项下发生的债务提供连带责任保证担保，担保的最高债权额为</w:t>
      </w:r>
      <w:r>
        <w:rPr>
          <w:rFonts w:ascii="Times New Roman" w:hAnsi="Times New Roman" w:cs="Times New Roman" w:eastAsia="Times New Roman" w:hint="default"/>
          <w:spacing w:val="-4"/>
        </w:rPr>
        <w:t>4,000</w:t>
      </w:r>
      <w:r>
        <w:rPr>
          <w:spacing w:val="-4"/>
        </w:rPr>
        <w:t>万元，担保的主债权发生期间为</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日至</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w:t>
      </w:r>
    </w:p>
    <w:p>
      <w:pPr>
        <w:pStyle w:val="BodyText"/>
        <w:spacing w:line="451" w:lineRule="auto" w:before="82"/>
        <w:ind w:right="1040"/>
        <w:jc w:val="both"/>
      </w:pPr>
      <w:r>
        <w:rPr>
          <w:spacing w:val="-6"/>
        </w:rPr>
        <w:t>②</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28</w:t>
      </w:r>
      <w:r>
        <w:rPr>
          <w:spacing w:val="-6"/>
        </w:rPr>
        <w:t>日，茅庆江与兴业银行广州番禺支行签订了《最高额保证合同》（编号为兴银粤个保字（番禺）第</w:t>
      </w:r>
      <w:r>
        <w:rPr>
          <w:rFonts w:ascii="Times New Roman" w:hAnsi="Times New Roman" w:cs="Times New Roman" w:eastAsia="Times New Roman" w:hint="default"/>
          <w:spacing w:val="-6"/>
        </w:rPr>
        <w:t>201403180001</w:t>
      </w:r>
      <w:r>
        <w:rPr>
          <w:rFonts w:ascii="Times New Roman" w:hAnsi="Times New Roman" w:cs="Times New Roman" w:eastAsia="Times New Roman" w:hint="default"/>
          <w:spacing w:val="-9"/>
        </w:rPr>
        <w:t> </w:t>
      </w:r>
      <w:r>
        <w:rPr>
          <w:spacing w:val="-2"/>
        </w:rPr>
        <w:t>号），茅庆江为本公司与该行之间签署的《基本额度授信合同》（编号为兴银粤授字（番禺）第</w:t>
      </w:r>
      <w:r>
        <w:rPr>
          <w:rFonts w:ascii="Times New Roman" w:hAnsi="Times New Roman" w:cs="Times New Roman" w:eastAsia="Times New Roman" w:hint="default"/>
          <w:spacing w:val="-2"/>
        </w:rPr>
        <w:t>201403180001</w:t>
      </w:r>
      <w:r>
        <w:rPr>
          <w:spacing w:val="-2"/>
        </w:rPr>
        <w:t>号）项下发生</w:t>
      </w:r>
      <w:r>
        <w:rPr>
          <w:spacing w:val="-54"/>
        </w:rPr>
        <w:t> </w:t>
      </w:r>
      <w:r>
        <w:rPr>
          <w:spacing w:val="-54"/>
        </w:rPr>
      </w:r>
      <w:r>
        <w:rPr>
          <w:spacing w:val="-1"/>
        </w:rPr>
        <w:t>的债务提供连带责任保证担保，担保的最高债权额为</w:t>
      </w:r>
      <w:r>
        <w:rPr>
          <w:rFonts w:ascii="Times New Roman" w:hAnsi="Times New Roman" w:cs="Times New Roman" w:eastAsia="Times New Roman" w:hint="default"/>
          <w:spacing w:val="-1"/>
        </w:rPr>
        <w:t>4,000</w:t>
      </w:r>
      <w:r>
        <w:rPr>
          <w:spacing w:val="-1"/>
        </w:rPr>
        <w:t>万元，担保的主债权发生期间为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w:t>
      </w:r>
    </w:p>
    <w:p>
      <w:pPr>
        <w:pStyle w:val="BodyText"/>
        <w:spacing w:line="451" w:lineRule="auto" w:before="83"/>
        <w:ind w:right="1129"/>
        <w:jc w:val="both"/>
      </w:pPr>
      <w:r>
        <w:rPr>
          <w:spacing w:val="-2"/>
        </w:rPr>
        <w:t>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日，茅庆江与中国银行广州番禺支行签订了《最高额保证合同》（编号为</w:t>
      </w:r>
      <w:r>
        <w:rPr>
          <w:rFonts w:ascii="Times New Roman" w:hAnsi="Times New Roman" w:cs="Times New Roman" w:eastAsia="Times New Roman" w:hint="default"/>
          <w:spacing w:val="-2"/>
        </w:rPr>
        <w:t>GBZ476780120140251</w:t>
      </w:r>
      <w:r>
        <w:rPr>
          <w:spacing w:val="-2"/>
        </w:rPr>
        <w:t>），约定茅庆</w:t>
      </w:r>
      <w:r>
        <w:rPr>
          <w:spacing w:val="-43"/>
        </w:rPr>
        <w:t> </w:t>
      </w:r>
      <w:r>
        <w:rPr>
          <w:spacing w:val="-43"/>
        </w:rPr>
      </w:r>
      <w:r>
        <w:rPr/>
        <w:t>江为本公司向中国银行广州番禺支行申请银行授信项下借款提供担保，担保的最高债权额为</w:t>
      </w:r>
      <w:r>
        <w:rPr>
          <w:rFonts w:ascii="Times New Roman" w:hAnsi="Times New Roman" w:cs="Times New Roman" w:eastAsia="Times New Roman" w:hint="default"/>
        </w:rPr>
        <w:t>2,000</w:t>
      </w:r>
      <w:r>
        <w:rPr/>
        <w:t>万元，担保的主债权发生 期间为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日，担保方式为连带责任保证。</w:t>
      </w:r>
    </w:p>
    <w:p>
      <w:pPr>
        <w:pStyle w:val="BodyText"/>
        <w:spacing w:line="451" w:lineRule="auto" w:before="82"/>
        <w:ind w:right="1139"/>
        <w:jc w:val="both"/>
      </w:pPr>
      <w:r>
        <w:rPr/>
        <w:t>④</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日，雷洪文与中国银行广州番禺支行签订了《最高额保证合同》（编号为</w:t>
      </w:r>
      <w:r>
        <w:rPr>
          <w:rFonts w:ascii="Times New Roman" w:hAnsi="Times New Roman" w:cs="Times New Roman" w:eastAsia="Times New Roman" w:hint="default"/>
        </w:rPr>
        <w:t>GBZ47780120140252</w:t>
      </w:r>
      <w:r>
        <w:rPr/>
        <w:t>），约定雷洪 文为本公司向中国银行广州番禺支行申请银行授信项下借款提供担保，担保的最高债权额为</w:t>
      </w:r>
      <w:r>
        <w:rPr>
          <w:rFonts w:ascii="Times New Roman" w:hAnsi="Times New Roman" w:cs="Times New Roman" w:eastAsia="Times New Roman" w:hint="default"/>
        </w:rPr>
        <w:t>2,000</w:t>
      </w:r>
      <w:r>
        <w:rPr/>
        <w:t>万元，担保的主债权发生 期间为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日，担保方式为连带责任保证。</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bookmarkStart w:name="（3）关键管理人员报酬" w:id="312"/>
      <w:bookmarkEnd w:id="312"/>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3,875,887.50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3,086,448.00</w:t>
            </w:r>
          </w:p>
        </w:tc>
      </w:tr>
    </w:tbl>
    <w:p>
      <w:pPr>
        <w:spacing w:line="240" w:lineRule="auto" w:before="0"/>
        <w:rPr>
          <w:rFonts w:ascii="宋体" w:hAnsi="宋体" w:cs="宋体" w:eastAsia="宋体" w:hint="default"/>
          <w:sz w:val="24"/>
          <w:szCs w:val="24"/>
        </w:rPr>
      </w:pPr>
    </w:p>
    <w:p>
      <w:pPr>
        <w:pStyle w:val="Heading2"/>
        <w:spacing w:line="240" w:lineRule="auto" w:before="26"/>
        <w:ind w:left="1134" w:right="0"/>
        <w:jc w:val="left"/>
        <w:rPr>
          <w:b w:val="0"/>
          <w:bCs w:val="0"/>
        </w:rPr>
      </w:pPr>
      <w:bookmarkStart w:name="十一、股份支付" w:id="313"/>
      <w:bookmarkEnd w:id="313"/>
      <w:r>
        <w:rPr>
          <w:b w:val="0"/>
          <w:bCs w:val="0"/>
        </w:rPr>
      </w:r>
      <w:r>
        <w:rPr/>
        <w:t>十一、股份支付</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股份支付总体情况" w:id="314"/>
      <w:bookmarkEnd w:id="31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688,500.00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27.86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以权益结算的股份支付情况" w:id="315"/>
      <w:bookmarkEnd w:id="31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公司根据在职激励对象对应的权益工具、公司业绩以及对 未来年度公司业绩的预测进行确定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967,900.00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967,900.00</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以现金结算的股份支付情况" w:id="316"/>
      <w:bookmarkEnd w:id="31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4、股份支付的修改、终止情况" w:id="317"/>
      <w:bookmarkEnd w:id="31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2"/>
        <w:spacing w:line="240" w:lineRule="auto"/>
        <w:ind w:left="1134" w:right="0"/>
        <w:jc w:val="left"/>
        <w:rPr>
          <w:b w:val="0"/>
          <w:bCs w:val="0"/>
        </w:rPr>
      </w:pPr>
      <w:bookmarkStart w:name="十二、承诺及或有事项" w:id="318"/>
      <w:bookmarkEnd w:id="318"/>
      <w:r>
        <w:rPr>
          <w:b w:val="0"/>
          <w:bCs w:val="0"/>
        </w:rPr>
      </w:r>
      <w:r>
        <w:rPr/>
        <w:t>十二、承诺及或有事项</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重要承诺事项" w:id="319"/>
      <w:bookmarkEnd w:id="31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518" w:lineRule="auto"/>
        <w:ind w:left="1134" w:right="8412"/>
        <w:jc w:val="left"/>
      </w:pPr>
      <w:r>
        <w:rPr/>
        <w:t>资产负债表日存在的重要承诺 重要承诺事项</w:t>
      </w:r>
    </w:p>
    <w:p>
      <w:pPr>
        <w:pStyle w:val="BodyText"/>
        <w:spacing w:line="240" w:lineRule="auto" w:before="63"/>
        <w:ind w:right="0"/>
        <w:jc w:val="left"/>
      </w:pPr>
      <w:r>
        <w:rPr/>
        <w:t>已签订的正在或准备履行的租赁合同及财务影响</w:t>
      </w:r>
    </w:p>
    <w:p>
      <w:pPr>
        <w:spacing w:line="240" w:lineRule="auto" w:before="10"/>
        <w:rPr>
          <w:rFonts w:ascii="宋体" w:hAnsi="宋体" w:cs="宋体" w:eastAsia="宋体" w:hint="default"/>
          <w:sz w:val="20"/>
          <w:szCs w:val="20"/>
        </w:rPr>
      </w:pPr>
    </w:p>
    <w:p>
      <w:pPr>
        <w:pStyle w:val="BodyText"/>
        <w:spacing w:line="240" w:lineRule="auto"/>
        <w:ind w:right="0"/>
        <w:jc w:val="left"/>
      </w:pPr>
      <w:r>
        <w:rPr/>
        <w:t>本公司于</w:t>
      </w:r>
      <w:r>
        <w:rPr>
          <w:spacing w:val="-46"/>
        </w:rPr>
        <w:t>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1"/>
        </w:rPr>
        <w:t>与</w:t>
      </w:r>
      <w:r>
        <w:rPr/>
        <w:t>广州市姿姐奴时装有限公司签定《租赁合同</w:t>
      </w:r>
      <w:r>
        <w:rPr>
          <w:spacing w:val="-90"/>
        </w:rPr>
        <w:t>》</w:t>
      </w:r>
      <w:r>
        <w:rPr/>
        <w:t>，租赁该公司位于广州市番禺区</w:t>
      </w:r>
      <w:r>
        <w:rPr>
          <w:spacing w:val="-45"/>
        </w:rPr>
        <w:t> </w:t>
      </w:r>
      <w:r>
        <w:rPr>
          <w:rFonts w:ascii="Times New Roman" w:hAnsi="Times New Roman" w:cs="Times New Roman" w:eastAsia="Times New Roman" w:hint="default"/>
        </w:rPr>
        <w:t>2489</w:t>
      </w:r>
      <w:r>
        <w:rPr>
          <w:rFonts w:ascii="Times New Roman" w:hAnsi="Times New Roman" w:cs="Times New Roman" w:eastAsia="Times New Roman" w:hint="default"/>
          <w:spacing w:val="-1"/>
        </w:rPr>
        <w:t> </w:t>
      </w:r>
      <w:r>
        <w:rPr>
          <w:spacing w:val="1"/>
        </w:rPr>
        <w:t>平</w:t>
      </w:r>
      <w:r>
        <w:rPr/>
        <w:t>方米厂房</w:t>
      </w:r>
    </w:p>
    <w:p>
      <w:pPr>
        <w:spacing w:line="240" w:lineRule="auto" w:before="9"/>
        <w:rPr>
          <w:rFonts w:ascii="宋体" w:hAnsi="宋体" w:cs="宋体" w:eastAsia="宋体" w:hint="default"/>
          <w:sz w:val="16"/>
          <w:szCs w:val="16"/>
        </w:rPr>
      </w:pPr>
    </w:p>
    <w:p>
      <w:pPr>
        <w:pStyle w:val="BodyText"/>
        <w:spacing w:line="240" w:lineRule="auto"/>
        <w:ind w:left="1134" w:right="0"/>
        <w:jc w:val="left"/>
        <w:rPr>
          <w:rFonts w:ascii="Times New Roman" w:hAnsi="Times New Roman" w:cs="Times New Roman" w:eastAsia="Times New Roman" w:hint="default"/>
        </w:rPr>
      </w:pPr>
      <w:r>
        <w:rPr/>
        <w:t>物业</w:t>
      </w:r>
      <w:r>
        <w:rPr>
          <w:spacing w:val="-90"/>
        </w:rPr>
        <w:t>，</w:t>
      </w:r>
      <w:r>
        <w:rPr/>
        <w:t>租赁期限为</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90"/>
        </w:rPr>
        <w:t>。</w:t>
      </w:r>
      <w:r>
        <w:rPr/>
        <w:t>其</w:t>
      </w:r>
      <w:r>
        <w:rPr>
          <w:spacing w:val="-2"/>
        </w:rPr>
        <w:t>中</w:t>
      </w:r>
      <w:r>
        <w:rPr>
          <w:spacing w:val="-90"/>
        </w:rPr>
        <w:t>，</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日至</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90"/>
        </w:rPr>
        <w:t>，</w:t>
      </w:r>
      <w:r>
        <w:rPr/>
        <w:t>物</w:t>
      </w:r>
      <w:r>
        <w:rPr>
          <w:spacing w:val="-2"/>
        </w:rPr>
        <w:t>业</w:t>
      </w:r>
      <w:r>
        <w:rPr/>
        <w:t>月租金为</w:t>
      </w:r>
      <w:r>
        <w:rPr>
          <w:spacing w:val="-48"/>
        </w:rPr>
        <w:t> </w:t>
      </w:r>
      <w:r>
        <w:rPr>
          <w:rFonts w:ascii="Times New Roman" w:hAnsi="Times New Roman" w:cs="Times New Roman" w:eastAsia="Times New Roman" w:hint="default"/>
        </w:rPr>
        <w:t>40,6</w:t>
      </w:r>
      <w:r>
        <w:rPr>
          <w:rFonts w:ascii="Times New Roman" w:hAnsi="Times New Roman" w:cs="Times New Roman" w:eastAsia="Times New Roman" w:hint="default"/>
          <w:spacing w:val="-2"/>
        </w:rPr>
        <w:t>4</w:t>
      </w:r>
      <w:r>
        <w:rPr>
          <w:rFonts w:ascii="Times New Roman" w:hAnsi="Times New Roman" w:cs="Times New Roman" w:eastAsia="Times New Roman" w:hint="default"/>
        </w:rPr>
        <w:t>5.38</w:t>
      </w:r>
    </w:p>
    <w:p>
      <w:pPr>
        <w:spacing w:line="240" w:lineRule="auto" w:before="2"/>
        <w:rPr>
          <w:rFonts w:ascii="Times New Roman" w:hAnsi="Times New Roman" w:cs="Times New Roman" w:eastAsia="Times New Roman" w:hint="default"/>
          <w:sz w:val="19"/>
          <w:szCs w:val="19"/>
        </w:rPr>
      </w:pPr>
    </w:p>
    <w:p>
      <w:pPr>
        <w:pStyle w:val="BodyText"/>
        <w:spacing w:line="240" w:lineRule="auto"/>
        <w:ind w:left="1134" w:right="0"/>
        <w:jc w:val="left"/>
      </w:pPr>
      <w:r>
        <w:rPr/>
        <w:t>元；</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日，物业月租金为</w:t>
      </w:r>
      <w:r>
        <w:rPr>
          <w:spacing w:val="-46"/>
        </w:rPr>
        <w:t> </w:t>
      </w:r>
      <w:r>
        <w:rPr>
          <w:rFonts w:ascii="Times New Roman" w:hAnsi="Times New Roman" w:cs="Times New Roman" w:eastAsia="Times New Roman" w:hint="default"/>
        </w:rPr>
        <w:t>44,709.92</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或有事项" w:id="320"/>
      <w:bookmarkEnd w:id="32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资产负债表日存在的重要或有事项" w:id="321"/>
      <w:bookmarkEnd w:id="32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日止，公司不存在需要披露的或有事项。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公司没有需要披露的重要或有事项，也应予以说明" w:id="322"/>
      <w:bookmarkEnd w:id="32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line="609" w:lineRule="auto" w:before="0"/>
        <w:ind w:left="1133" w:right="7333" w:firstLine="0"/>
        <w:jc w:val="left"/>
        <w:rPr>
          <w:rFonts w:ascii="宋体" w:hAnsi="宋体" w:cs="宋体" w:eastAsia="宋体" w:hint="default"/>
          <w:sz w:val="21"/>
          <w:szCs w:val="21"/>
        </w:rPr>
      </w:pPr>
      <w:bookmarkStart w:name="3、其他" w:id="323"/>
      <w:bookmarkEnd w:id="32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资产负债表日后事项" w:id="324"/>
      <w:bookmarkEnd w:id="32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325"/>
      <w:bookmarkEnd w:id="32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44"/>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w:t>
      </w:r>
      <w:r>
        <w:rPr>
          <w:spacing w:val="1"/>
        </w:rPr>
        <w:t>司</w:t>
      </w:r>
      <w:r>
        <w:rPr/>
        <w:t>召开第二届董事会第十四次会议审议通过了《第二期限制性股票激励计划（草案</w:t>
      </w:r>
      <w:r>
        <w:rPr>
          <w:spacing w:val="-90"/>
        </w:rPr>
        <w:t>）</w:t>
      </w:r>
      <w:r>
        <w:rPr/>
        <w:t>》及摘要，</w:t>
      </w:r>
    </w:p>
    <w:p>
      <w:pPr>
        <w:spacing w:line="240" w:lineRule="auto" w:before="9"/>
        <w:rPr>
          <w:rFonts w:ascii="宋体" w:hAnsi="宋体" w:cs="宋体" w:eastAsia="宋体" w:hint="default"/>
          <w:sz w:val="16"/>
          <w:szCs w:val="16"/>
        </w:rPr>
      </w:pPr>
    </w:p>
    <w:p>
      <w:pPr>
        <w:pStyle w:val="BodyText"/>
        <w:spacing w:line="240" w:lineRule="auto"/>
        <w:ind w:left="1134" w:right="0"/>
        <w:jc w:val="left"/>
      </w:pPr>
      <w:r>
        <w:rPr/>
        <w:t>本激励计划拟授予的限制性股票数量</w:t>
      </w:r>
      <w:r>
        <w:rPr>
          <w:spacing w:val="-17"/>
        </w:rPr>
        <w:t> </w:t>
      </w:r>
      <w:r>
        <w:rPr>
          <w:rFonts w:ascii="Times New Roman" w:hAnsi="Times New Roman" w:cs="Times New Roman" w:eastAsia="Times New Roman" w:hint="default"/>
        </w:rPr>
        <w:t>63.40</w:t>
      </w:r>
      <w:r>
        <w:rPr>
          <w:rFonts w:ascii="Times New Roman" w:hAnsi="Times New Roman" w:cs="Times New Roman" w:eastAsia="Times New Roman" w:hint="default"/>
          <w:spacing w:val="-10"/>
        </w:rPr>
        <w:t> </w:t>
      </w:r>
      <w:r>
        <w:rPr>
          <w:spacing w:val="-3"/>
        </w:rPr>
        <w:t>万股，有效期为自权益授予之日</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年，首次授予限制性股票的授予价格依据激励</w:t>
      </w:r>
    </w:p>
    <w:p>
      <w:pPr>
        <w:spacing w:line="240" w:lineRule="auto" w:before="11"/>
        <w:rPr>
          <w:rFonts w:ascii="宋体" w:hAnsi="宋体" w:cs="宋体" w:eastAsia="宋体" w:hint="default"/>
          <w:sz w:val="16"/>
          <w:szCs w:val="16"/>
        </w:rPr>
      </w:pPr>
    </w:p>
    <w:p>
      <w:pPr>
        <w:pStyle w:val="BodyText"/>
        <w:spacing w:line="489" w:lineRule="auto"/>
        <w:ind w:right="1393"/>
        <w:jc w:val="left"/>
      </w:pPr>
      <w:r>
        <w:rPr/>
        <w:t>计划草案摘要公告前 </w:t>
      </w:r>
      <w:r>
        <w:rPr>
          <w:rFonts w:ascii="Times New Roman" w:hAnsi="Times New Roman" w:cs="Times New Roman" w:eastAsia="Times New Roman" w:hint="default"/>
        </w:rPr>
        <w:t>20 </w:t>
      </w:r>
      <w:r>
        <w:rPr/>
        <w:t>个交易日公司股票交易均价（前 </w:t>
      </w:r>
      <w:r>
        <w:rPr>
          <w:rFonts w:ascii="Times New Roman" w:hAnsi="Times New Roman" w:cs="Times New Roman" w:eastAsia="Times New Roman" w:hint="default"/>
        </w:rPr>
        <w:t>20 </w:t>
      </w:r>
      <w:r>
        <w:rPr/>
        <w:t>个交易日股票交易总额</w:t>
      </w:r>
      <w:r>
        <w:rPr>
          <w:rFonts w:ascii="Times New Roman" w:hAnsi="Times New Roman" w:cs="Times New Roman" w:eastAsia="Times New Roman" w:hint="default"/>
        </w:rPr>
        <w:t>/</w:t>
      </w:r>
      <w:r>
        <w:rPr/>
        <w:t>前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个交易日股票交易总 量）</w:t>
      </w:r>
      <w:r>
        <w:rPr>
          <w:rFonts w:ascii="Times New Roman" w:hAnsi="Times New Roman" w:cs="Times New Roman" w:eastAsia="Times New Roman" w:hint="default"/>
        </w:rPr>
        <w:t>68.07 </w:t>
      </w:r>
      <w:r>
        <w:rPr/>
        <w:t>元的</w:t>
      </w:r>
      <w:r>
        <w:rPr>
          <w:spacing w:val="-46"/>
        </w:rPr>
        <w:t> </w:t>
      </w:r>
      <w:r>
        <w:rPr>
          <w:rFonts w:ascii="Times New Roman" w:hAnsi="Times New Roman" w:cs="Times New Roman" w:eastAsia="Times New Roman" w:hint="default"/>
        </w:rPr>
        <w:t>50%</w:t>
      </w:r>
      <w:r>
        <w:rPr/>
        <w:t>确定，为每股</w:t>
      </w:r>
      <w:r>
        <w:rPr>
          <w:spacing w:val="-46"/>
        </w:rPr>
        <w:t> </w:t>
      </w:r>
      <w:r>
        <w:rPr>
          <w:rFonts w:ascii="Times New Roman" w:hAnsi="Times New Roman" w:cs="Times New Roman" w:eastAsia="Times New Roman" w:hint="default"/>
        </w:rPr>
        <w:t>34.04</w:t>
      </w:r>
      <w:r>
        <w:rPr>
          <w:rFonts w:ascii="Times New Roman" w:hAnsi="Times New Roman" w:cs="Times New Roman" w:eastAsia="Times New Roman" w:hint="default"/>
          <w:spacing w:val="-1"/>
        </w:rPr>
        <w:t> </w:t>
      </w:r>
      <w:r>
        <w:rPr/>
        <w:t>元。</w:t>
      </w:r>
    </w:p>
    <w:p>
      <w:pPr>
        <w:pStyle w:val="BodyText"/>
        <w:spacing w:line="460" w:lineRule="auto" w:before="51"/>
        <w:ind w:right="1034"/>
        <w:jc w:val="left"/>
      </w:pPr>
      <w:r>
        <w:rPr/>
        <w:t>（</w:t>
      </w:r>
      <w:r>
        <w:rPr>
          <w:rFonts w:ascii="Times New Roman" w:hAnsi="Times New Roman" w:cs="Times New Roman" w:eastAsia="Times New Roman" w:hint="default"/>
        </w:rPr>
        <w:t>2</w:t>
      </w:r>
      <w:r>
        <w:rPr/>
        <w:t>）公司于</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日召开第二届董事会第十六次会议，审议通过了《关于公司</w:t>
      </w:r>
      <w:r>
        <w:rPr>
          <w:spacing w:val="-3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年度非公开发行</w:t>
      </w:r>
      <w:r>
        <w:rPr>
          <w:spacing w:val="-40"/>
        </w:rPr>
        <w:t> </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股股票方 </w:t>
      </w:r>
      <w:r>
        <w:rPr>
          <w:spacing w:val="-7"/>
        </w:rPr>
        <w:t>案的议案》，本次发行采用非公开发行的方式进行，发行对象不超过</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14"/>
        </w:rPr>
        <w:t>名，发行</w:t>
      </w:r>
      <w:r>
        <w:rPr>
          <w:spacing w:val="-43"/>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2"/>
          <w:w w:val="99"/>
        </w:rPr>
        <w:t> </w:t>
      </w:r>
      <w:r>
        <w:rPr>
          <w:spacing w:val="-9"/>
        </w:rPr>
        <w:t>股股票数量不超过【</w:t>
      </w:r>
      <w:r>
        <w:rPr>
          <w:rFonts w:ascii="Times New Roman" w:hAnsi="Times New Roman" w:cs="Times New Roman" w:eastAsia="Times New Roman" w:hint="default"/>
          <w:spacing w:val="-9"/>
        </w:rPr>
        <w:t>1,500</w:t>
      </w:r>
      <w:r>
        <w:rPr>
          <w:spacing w:val="-9"/>
        </w:rPr>
        <w:t>】万股（含【</w:t>
      </w:r>
      <w:r>
        <w:rPr>
          <w:rFonts w:ascii="Times New Roman" w:hAnsi="Times New Roman" w:cs="Times New Roman" w:eastAsia="Times New Roman" w:hint="default"/>
          <w:spacing w:val="-9"/>
        </w:rPr>
        <w:t>1,500</w:t>
      </w:r>
      <w:r>
        <w:rPr>
          <w:spacing w:val="-9"/>
        </w:rPr>
        <w:t>】</w:t>
      </w:r>
      <w:r>
        <w:rPr/>
        <w:t> </w:t>
      </w:r>
      <w:r>
        <w:rPr>
          <w:spacing w:val="-2"/>
        </w:rPr>
        <w:t>万股，发行的定价基准日为发行期首日，发行价格不低于发行期首日前二十个交易日公司股票均价的百分之九十，或不低于</w:t>
      </w:r>
      <w:r>
        <w:rPr>
          <w:spacing w:val="-66"/>
        </w:rPr>
        <w:t> </w:t>
      </w:r>
      <w:r>
        <w:rPr>
          <w:spacing w:val="-66"/>
        </w:rPr>
      </w:r>
      <w:r>
        <w:rPr/>
        <w:t>发行期首日前一个交易日公司股票均价的百分之九十。</w:t>
      </w:r>
    </w:p>
    <w:p>
      <w:pPr>
        <w:spacing w:line="240" w:lineRule="auto" w:before="0"/>
        <w:rPr>
          <w:rFonts w:ascii="宋体" w:hAnsi="宋体" w:cs="宋体" w:eastAsia="宋体" w:hint="default"/>
          <w:sz w:val="20"/>
          <w:szCs w:val="20"/>
        </w:rPr>
      </w:pPr>
    </w:p>
    <w:p>
      <w:pPr>
        <w:pStyle w:val="Heading3"/>
        <w:spacing w:line="240" w:lineRule="auto"/>
        <w:ind w:left="1134" w:right="0"/>
        <w:jc w:val="left"/>
        <w:rPr>
          <w:b w:val="0"/>
          <w:bCs w:val="0"/>
        </w:rPr>
      </w:pPr>
      <w:bookmarkStart w:name="2、利润分配情况" w:id="326"/>
      <w:bookmarkEnd w:id="32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134" w:right="0"/>
        <w:jc w:val="left"/>
        <w:rPr>
          <w:rFonts w:ascii="Times New Roman" w:hAnsi="Times New Roman" w:cs="Times New Roman" w:eastAsia="Times New Roman" w:hint="default"/>
        </w:rPr>
      </w:pPr>
      <w:r>
        <w:rPr/>
        <w:t>公司于</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日召开第二届董事会第十六次会议，审议通过了《关于</w:t>
      </w:r>
      <w:r>
        <w:rPr>
          <w:rFonts w:ascii="Times New Roman" w:hAnsi="Times New Roman" w:cs="Times New Roman" w:eastAsia="Times New Roman" w:hint="default"/>
        </w:rPr>
        <w:t>&lt;2015</w:t>
      </w:r>
      <w:r>
        <w:rPr>
          <w:rFonts w:ascii="Times New Roman" w:hAnsi="Times New Roman" w:cs="Times New Roman" w:eastAsia="Times New Roman" w:hint="default"/>
          <w:spacing w:val="4"/>
        </w:rPr>
        <w:t> </w:t>
      </w:r>
      <w:r>
        <w:rPr/>
        <w:t>年利润分配及资本公积转增股本预案</w:t>
      </w:r>
      <w:r>
        <w:rPr>
          <w:rFonts w:ascii="Times New Roman" w:hAnsi="Times New Roman" w:cs="Times New Roman" w:eastAsia="Times New Roman" w:hint="default"/>
        </w:rPr>
        <w:t>&gt;</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1134" w:right="0"/>
        <w:jc w:val="left"/>
      </w:pPr>
      <w:r>
        <w:rPr/>
        <w:t>的议案</w:t>
      </w:r>
      <w:r>
        <w:rPr>
          <w:spacing w:val="-90"/>
        </w:rPr>
        <w:t>》</w:t>
      </w:r>
      <w:r>
        <w:rPr/>
        <w:t>，</w:t>
      </w:r>
      <w:r>
        <w:rPr>
          <w:rFonts w:ascii="Times New Roman" w:hAnsi="Times New Roman" w:cs="Times New Roman" w:eastAsia="Times New Roman" w:hint="default"/>
        </w:rPr>
        <w:t>2015 </w:t>
      </w:r>
      <w:r>
        <w:rPr/>
        <w:t>年年度公司利润分配及资本公积转增股本预案如下：以截至</w:t>
      </w:r>
      <w:r>
        <w:rPr>
          <w:spacing w:val="-44"/>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44"/>
        </w:rPr>
        <w:t> </w:t>
      </w:r>
      <w:r>
        <w:rPr>
          <w:rFonts w:ascii="Times New Roman" w:hAnsi="Times New Roman" w:cs="Times New Roman" w:eastAsia="Times New Roman" w:hint="default"/>
        </w:rPr>
        <w:t>31 </w:t>
      </w:r>
      <w:r>
        <w:rPr/>
        <w:t>日公</w:t>
      </w:r>
      <w:r>
        <w:rPr>
          <w:spacing w:val="1"/>
        </w:rPr>
        <w:t>司</w:t>
      </w:r>
      <w:r>
        <w:rPr/>
        <w:t>总股本</w:t>
      </w:r>
      <w:r>
        <w:rPr>
          <w:spacing w:val="-45"/>
        </w:rPr>
        <w:t> </w:t>
      </w:r>
      <w:r>
        <w:rPr>
          <w:rFonts w:ascii="Times New Roman" w:hAnsi="Times New Roman" w:cs="Times New Roman" w:eastAsia="Times New Roman" w:hint="default"/>
        </w:rPr>
        <w:t>80,688,</w:t>
      </w:r>
      <w:r>
        <w:rPr>
          <w:rFonts w:ascii="Times New Roman" w:hAnsi="Times New Roman" w:cs="Times New Roman" w:eastAsia="Times New Roman" w:hint="default"/>
          <w:spacing w:val="-2"/>
        </w:rPr>
        <w:t>5</w:t>
      </w:r>
      <w:r>
        <w:rPr>
          <w:rFonts w:ascii="Times New Roman" w:hAnsi="Times New Roman" w:cs="Times New Roman" w:eastAsia="Times New Roman" w:hint="default"/>
        </w:rPr>
        <w:t>00.00</w:t>
      </w:r>
      <w:r>
        <w:rPr>
          <w:rFonts w:ascii="Times New Roman" w:hAnsi="Times New Roman" w:cs="Times New Roman" w:eastAsia="Times New Roman" w:hint="default"/>
          <w:spacing w:val="1"/>
        </w:rPr>
        <w:t> </w:t>
      </w:r>
      <w:r>
        <w:rPr/>
        <w:t>股</w:t>
      </w:r>
    </w:p>
    <w:p>
      <w:pPr>
        <w:spacing w:line="240" w:lineRule="auto" w:before="9"/>
        <w:rPr>
          <w:rFonts w:ascii="宋体" w:hAnsi="宋体" w:cs="宋体" w:eastAsia="宋体" w:hint="default"/>
          <w:sz w:val="16"/>
          <w:szCs w:val="16"/>
        </w:rPr>
      </w:pPr>
    </w:p>
    <w:p>
      <w:pPr>
        <w:pStyle w:val="BodyText"/>
        <w:spacing w:line="240" w:lineRule="auto"/>
        <w:ind w:left="1134" w:right="0"/>
        <w:jc w:val="left"/>
      </w:pPr>
      <w:r>
        <w:rPr/>
        <w:t>为基数</w:t>
      </w:r>
      <w:r>
        <w:rPr>
          <w:spacing w:val="-8"/>
        </w:rPr>
        <w:t>，</w:t>
      </w:r>
      <w:r>
        <w:rPr/>
        <w:t>向全体股东按每</w:t>
      </w:r>
      <w:r>
        <w:rPr>
          <w:spacing w:val="-46"/>
        </w:rPr>
        <w:t> </w:t>
      </w:r>
      <w:r>
        <w:rPr>
          <w:rFonts w:ascii="Times New Roman" w:hAnsi="Times New Roman" w:cs="Times New Roman" w:eastAsia="Times New Roman" w:hint="default"/>
        </w:rPr>
        <w:t>10 </w:t>
      </w:r>
      <w:r>
        <w:rPr/>
        <w:t>股派发现金股利</w:t>
      </w:r>
      <w:r>
        <w:rPr>
          <w:spacing w:val="-46"/>
        </w:rPr>
        <w:t> </w:t>
      </w:r>
      <w:r>
        <w:rPr>
          <w:rFonts w:ascii="Times New Roman" w:hAnsi="Times New Roman" w:cs="Times New Roman" w:eastAsia="Times New Roman" w:hint="default"/>
        </w:rPr>
        <w:t>1.5 </w:t>
      </w:r>
      <w:r>
        <w:rPr>
          <w:spacing w:val="-8"/>
        </w:rPr>
        <w:t>元</w:t>
      </w:r>
      <w:r>
        <w:rPr/>
        <w:t>（含税</w:t>
      </w:r>
      <w:r>
        <w:rPr>
          <w:spacing w:val="-90"/>
        </w:rPr>
        <w:t>）</w:t>
      </w:r>
      <w:r>
        <w:rPr>
          <w:spacing w:val="-8"/>
        </w:rPr>
        <w:t>；</w:t>
      </w:r>
      <w:r>
        <w:rPr/>
        <w:t>送红股</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6"/>
        </w:rPr>
        <w:t>股</w:t>
      </w:r>
      <w:r>
        <w:rPr/>
        <w:t>（含税</w:t>
      </w:r>
      <w:r>
        <w:rPr>
          <w:spacing w:val="-90"/>
        </w:rPr>
        <w:t>）</w:t>
      </w:r>
      <w:r>
        <w:rPr>
          <w:spacing w:val="-8"/>
        </w:rPr>
        <w:t>，</w:t>
      </w:r>
      <w:r>
        <w:rPr/>
        <w:t>同时以资本公积金向全体股东每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w:t>
      </w:r>
    </w:p>
    <w:p>
      <w:pPr>
        <w:spacing w:line="240" w:lineRule="auto" w:before="11"/>
        <w:rPr>
          <w:rFonts w:ascii="宋体" w:hAnsi="宋体" w:cs="宋体" w:eastAsia="宋体" w:hint="default"/>
          <w:sz w:val="16"/>
          <w:szCs w:val="16"/>
        </w:rPr>
      </w:pPr>
    </w:p>
    <w:p>
      <w:pPr>
        <w:pStyle w:val="BodyText"/>
        <w:spacing w:line="240" w:lineRule="auto"/>
        <w:ind w:right="0"/>
        <w:jc w:val="left"/>
      </w:pPr>
      <w:r>
        <w:rPr/>
        <w:t>增</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其他资产负债表日后事项说明" w:id="327"/>
      <w:bookmarkEnd w:id="327"/>
      <w:r>
        <w:rPr>
          <w:b w:val="0"/>
          <w:bCs w:val="0"/>
        </w:rPr>
      </w:r>
      <w:r>
        <w:rPr>
          <w:rFonts w:ascii="Times New Roman" w:hAnsi="Times New Roman" w:cs="Times New Roman" w:eastAsia="Times New Roman" w:hint="default"/>
        </w:rPr>
        <w:t>3</w:t>
      </w:r>
      <w:r>
        <w:rPr/>
        <w:t>、其他资产负债表日后事项说明</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日公司召开的第二届董事会第十三次会议审议通过了《关于支付现金购买深圳市润安科技发展有限公司</w:t>
      </w:r>
    </w:p>
    <w:p>
      <w:pPr>
        <w:spacing w:line="240" w:lineRule="auto" w:before="1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51%</w:t>
      </w:r>
      <w:r>
        <w:rPr/>
        <w:t>股权的议案》</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日公司公告将使用自有资金人民币</w:t>
      </w:r>
      <w:r>
        <w:rPr>
          <w:spacing w:val="-46"/>
        </w:rPr>
        <w:t> </w:t>
      </w:r>
      <w:r>
        <w:rPr>
          <w:rFonts w:ascii="Times New Roman" w:hAnsi="Times New Roman" w:cs="Times New Roman" w:eastAsia="Times New Roman" w:hint="default"/>
        </w:rPr>
        <w:t>6,630</w:t>
      </w:r>
      <w:r>
        <w:rPr>
          <w:rFonts w:ascii="Times New Roman" w:hAnsi="Times New Roman" w:cs="Times New Roman" w:eastAsia="Times New Roman" w:hint="default"/>
          <w:spacing w:val="-1"/>
        </w:rPr>
        <w:t> </w:t>
      </w:r>
      <w:r>
        <w:rPr/>
        <w:t>万元收购润安科技</w:t>
      </w:r>
      <w:r>
        <w:rPr>
          <w:spacing w:val="-46"/>
        </w:rPr>
        <w:t> </w:t>
      </w:r>
      <w:r>
        <w:rPr>
          <w:rFonts w:ascii="Times New Roman" w:hAnsi="Times New Roman" w:cs="Times New Roman" w:eastAsia="Times New Roman" w:hint="default"/>
        </w:rPr>
        <w:t>51%</w:t>
      </w:r>
      <w:r>
        <w:rPr/>
        <w:t>股权。</w:t>
      </w:r>
    </w:p>
    <w:p>
      <w:pPr>
        <w:spacing w:line="240" w:lineRule="auto" w:before="9"/>
        <w:rPr>
          <w:rFonts w:ascii="宋体" w:hAnsi="宋体" w:cs="宋体" w:eastAsia="宋体" w:hint="default"/>
          <w:sz w:val="19"/>
          <w:szCs w:val="19"/>
        </w:rPr>
      </w:pPr>
    </w:p>
    <w:p>
      <w:pPr>
        <w:pStyle w:val="BodyText"/>
        <w:spacing w:line="240" w:lineRule="auto"/>
        <w:ind w:right="0"/>
        <w:jc w:val="left"/>
      </w:pPr>
      <w:r>
        <w:rPr/>
        <w:t>（</w:t>
      </w:r>
      <w:r>
        <w:rPr>
          <w:rFonts w:ascii="Times New Roman" w:hAnsi="Times New Roman" w:cs="Times New Roman" w:eastAsia="Times New Roman" w:hint="default"/>
        </w:rPr>
        <w:t>2</w:t>
      </w:r>
      <w:r>
        <w:rPr>
          <w:spacing w:val="-21"/>
        </w:rPr>
        <w:t>）</w:t>
      </w:r>
      <w:r>
        <w:rPr/>
        <w:t>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spacing w:val="1"/>
        </w:rPr>
        <w:t>日</w:t>
      </w:r>
      <w:r>
        <w:rPr/>
        <w:t>召开第二届董事会第十五次会议</w:t>
      </w:r>
      <w:r>
        <w:rPr>
          <w:spacing w:val="-21"/>
        </w:rPr>
        <w:t>，</w:t>
      </w:r>
      <w:r>
        <w:rPr/>
        <w:t>审议通过</w:t>
      </w:r>
      <w:r>
        <w:rPr>
          <w:spacing w:val="-21"/>
        </w:rPr>
        <w:t>了</w:t>
      </w:r>
      <w:r>
        <w:rPr/>
        <w:t>《关于投资设立全资子公司的议案</w:t>
      </w:r>
      <w:r>
        <w:rPr>
          <w:spacing w:val="-90"/>
        </w:rPr>
        <w:t>》</w:t>
      </w:r>
      <w:r>
        <w:rPr>
          <w:spacing w:val="-21"/>
        </w:rPr>
        <w:t>，</w:t>
      </w:r>
      <w:r>
        <w:rPr/>
        <w:t>公司以自</w:t>
      </w:r>
    </w:p>
    <w:p>
      <w:pPr>
        <w:spacing w:line="240" w:lineRule="auto" w:before="11"/>
        <w:rPr>
          <w:rFonts w:ascii="宋体" w:hAnsi="宋体" w:cs="宋体" w:eastAsia="宋体" w:hint="default"/>
          <w:sz w:val="16"/>
          <w:szCs w:val="16"/>
        </w:rPr>
      </w:pPr>
    </w:p>
    <w:p>
      <w:pPr>
        <w:pStyle w:val="BodyText"/>
        <w:spacing w:line="240" w:lineRule="auto"/>
        <w:ind w:left="1134" w:right="0"/>
        <w:jc w:val="left"/>
      </w:pPr>
      <w:r>
        <w:rPr/>
        <w:t>有资金在重庆市投资设立全资子公司</w:t>
      </w:r>
      <w:r>
        <w:rPr>
          <w:rFonts w:ascii="Times New Roman" w:hAnsi="Times New Roman" w:cs="Times New Roman" w:eastAsia="Times New Roman" w:hint="default"/>
        </w:rPr>
        <w:t>“</w:t>
      </w:r>
      <w:r>
        <w:rPr/>
        <w:t>重庆浩云公共安全物联网技术有限公司</w:t>
      </w:r>
      <w:r>
        <w:rPr>
          <w:rFonts w:ascii="Times New Roman" w:hAnsi="Times New Roman" w:cs="Times New Roman" w:eastAsia="Times New Roman" w:hint="default"/>
        </w:rPr>
        <w:t>”</w:t>
      </w:r>
      <w:r>
        <w:rPr/>
        <w:t>，注册资本为人民币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十四、其他重要事项" w:id="328"/>
      <w:bookmarkEnd w:id="328"/>
      <w:r>
        <w:rPr>
          <w:b w:val="0"/>
          <w:bCs w:val="0"/>
        </w:rPr>
      </w:r>
      <w:r>
        <w:rPr/>
        <w:t>十四、其他重要事项</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1"/>
        <w:ind w:right="0"/>
        <w:jc w:val="left"/>
        <w:rPr>
          <w:b w:val="0"/>
          <w:bCs w:val="0"/>
        </w:rPr>
      </w:pPr>
      <w:bookmarkStart w:name="1、分部信息" w:id="329"/>
      <w:bookmarkEnd w:id="329"/>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bookmarkStart w:name="（1）报告分部的确定依据与会计政策" w:id="330"/>
      <w:bookmarkEnd w:id="33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spacing w:val="-4"/>
        </w:rPr>
        <w:t>公司以内部组织结构、管理要求、内部报告制度等为依据确定经营分部。公司的经营分部是指同时满足下列条件的组成部分：</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t>①该组成部分能够在日常活动中产生收入、发生费用；</w:t>
      </w:r>
    </w:p>
    <w:p>
      <w:pPr>
        <w:spacing w:line="240" w:lineRule="auto" w:before="10"/>
        <w:rPr>
          <w:rFonts w:ascii="宋体" w:hAnsi="宋体" w:cs="宋体" w:eastAsia="宋体" w:hint="default"/>
          <w:sz w:val="20"/>
          <w:szCs w:val="20"/>
        </w:rPr>
      </w:pPr>
    </w:p>
    <w:p>
      <w:pPr>
        <w:pStyle w:val="BodyText"/>
        <w:spacing w:line="240" w:lineRule="auto"/>
        <w:ind w:left="1134" w:right="0"/>
        <w:jc w:val="left"/>
      </w:pPr>
      <w:r>
        <w:rPr/>
        <w:t>② 管理层能够定期评价该组成部分的经营成果，以决定向其配置资源、评价其业绩；</w:t>
      </w:r>
    </w:p>
    <w:p>
      <w:pPr>
        <w:spacing w:line="240" w:lineRule="auto" w:before="10"/>
        <w:rPr>
          <w:rFonts w:ascii="宋体" w:hAnsi="宋体" w:cs="宋体" w:eastAsia="宋体" w:hint="default"/>
          <w:sz w:val="20"/>
          <w:szCs w:val="20"/>
        </w:rPr>
      </w:pPr>
    </w:p>
    <w:p>
      <w:pPr>
        <w:pStyle w:val="BodyText"/>
        <w:spacing w:line="518" w:lineRule="auto"/>
        <w:ind w:right="1933"/>
        <w:jc w:val="left"/>
      </w:pPr>
      <w:r>
        <w:rPr/>
        <w:t>③ 能够通过分析取得该组成部分的财务状况、经营成果和现金流量等有关会计信息。 本公司以产品分部为基础确定报告分部，与各分部共同使用的资产、负债按照规模比例在不同的分部之间分配。</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报告分部的财务信息" w:id="331"/>
      <w:bookmarkEnd w:id="33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914"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安防设备</w:t>
            </w: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353,073,715.01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149,252,269.59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-36,634,594.19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465,691,390.41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220,693,554.23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79,574,332.26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-36,244,031.59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264,023,854.90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599,400,140.43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198,492,120.92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-117,922,727.54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679,969,533.81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185,787,116.70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18,474,131.99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-106,206,422.85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98,054,825.84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413,613,023.73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180,017,988.93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-11,716,304.69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581,914,707.97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pStyle w:val="Heading2"/>
        <w:spacing w:line="240" w:lineRule="auto" w:before="26"/>
        <w:ind w:right="0"/>
        <w:jc w:val="left"/>
        <w:rPr>
          <w:b w:val="0"/>
          <w:bCs w:val="0"/>
        </w:rPr>
      </w:pPr>
      <w:bookmarkStart w:name="十五、母公司财务报表主要项目注释" w:id="332"/>
      <w:bookmarkEnd w:id="332"/>
      <w:r>
        <w:rPr>
          <w:b w:val="0"/>
          <w:bCs w:val="0"/>
        </w:rPr>
      </w:r>
      <w:r>
        <w:rPr/>
        <w:t>十五、母公司财务报表主要项目注释</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应收账款" w:id="333"/>
      <w:bookmarkEnd w:id="33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90"/>
        <w:ind w:right="0"/>
        <w:jc w:val="left"/>
        <w:rPr>
          <w:b w:val="0"/>
          <w:bCs w:val="0"/>
        </w:rPr>
      </w:pPr>
      <w:bookmarkStart w:name="（1）应收账款分类披露" w:id="334"/>
      <w:bookmarkEnd w:id="33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134,847,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758.30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10,262,8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124,584,9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01.26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90,927,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377.05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7,089,919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83,837,457.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134,847,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758.30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10,262,8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57.04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7.61%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124,584,9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01.26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90,927,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377.05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7,089,919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83,837,457.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期末单项金额重大并单项计提坏账准备的应收账款：</w:t>
      </w:r>
    </w:p>
    <w:p>
      <w:pPr>
        <w:spacing w:line="240" w:lineRule="auto" w:before="10"/>
        <w:rPr>
          <w:rFonts w:ascii="宋体" w:hAnsi="宋体" w:cs="宋体" w:eastAsia="宋体" w:hint="default"/>
          <w:sz w:val="20"/>
          <w:szCs w:val="20"/>
        </w:rPr>
      </w:pPr>
    </w:p>
    <w:p>
      <w:pPr>
        <w:pStyle w:val="BodyText"/>
        <w:spacing w:line="489"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8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1"/>
        <w:gridCol w:w="2307"/>
        <w:gridCol w:w="2391"/>
        <w:gridCol w:w="2389"/>
      </w:tblGrid>
      <w:tr>
        <w:trPr>
          <w:trHeight w:val="205"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109,972,190.01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5,498,609.50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16,592,129.59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1,659,212.96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3,073,337.32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922,001.20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2,183,033.38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2,183,033.38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131,820,690.30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10,262,857.04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r>
    </w:tbl>
    <w:p>
      <w:pPr>
        <w:spacing w:line="240" w:lineRule="auto" w:before="6"/>
        <w:rPr>
          <w:rFonts w:ascii="宋体" w:hAnsi="宋体" w:cs="宋体" w:eastAsia="宋体" w:hint="default"/>
          <w:sz w:val="6"/>
          <w:szCs w:val="6"/>
        </w:rPr>
      </w:pPr>
    </w:p>
    <w:p>
      <w:pPr>
        <w:pStyle w:val="BodyText"/>
        <w:spacing w:line="518" w:lineRule="auto" w:before="44"/>
        <w:ind w:left="1134" w:right="6432"/>
        <w:jc w:val="left"/>
      </w:pPr>
      <w:r>
        <w:rPr/>
        <w:t>确定该组合依据的说明： 组合中，采用余额百分比法计提坏账准备的应收账款：</w:t>
      </w:r>
    </w:p>
    <w:p>
      <w:pPr>
        <w:pStyle w:val="BodyText"/>
        <w:spacing w:line="504" w:lineRule="auto" w:before="63"/>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组合中，采用个别认定法计提坏账准备的其他应收款</w:t>
      </w:r>
    </w:p>
    <w:p>
      <w:pPr>
        <w:spacing w:after="0" w:line="504"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4" w:type="dxa"/>
        <w:tblLayout w:type="fixed"/>
        <w:tblCellMar>
          <w:top w:w="0" w:type="dxa"/>
          <w:left w:w="0" w:type="dxa"/>
          <w:bottom w:w="0" w:type="dxa"/>
          <w:right w:w="0" w:type="dxa"/>
        </w:tblCellMar>
        <w:tblLook w:val="01E0"/>
      </w:tblPr>
      <w:tblGrid>
        <w:gridCol w:w="2376"/>
        <w:gridCol w:w="1315"/>
        <w:gridCol w:w="992"/>
        <w:gridCol w:w="1277"/>
        <w:gridCol w:w="991"/>
        <w:gridCol w:w="1134"/>
        <w:gridCol w:w="1560"/>
      </w:tblGrid>
      <w:tr>
        <w:trPr>
          <w:trHeight w:val="322" w:hRule="exact"/>
        </w:trPr>
        <w:tc>
          <w:tcPr>
            <w:tcW w:w="2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2376" w:type="dxa"/>
            <w:vMerge/>
            <w:tcBorders>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5" w:right="0"/>
              <w:jc w:val="left"/>
              <w:rPr>
                <w:rFonts w:ascii="Times New Roman" w:hAnsi="Times New Roman" w:cs="Times New Roman" w:eastAsia="Times New Roman" w:hint="default"/>
                <w:sz w:val="21"/>
                <w:szCs w:val="21"/>
              </w:rPr>
            </w:pPr>
            <w:r>
              <w:rPr>
                <w:rFonts w:ascii="宋体" w:hAnsi="宋体" w:cs="宋体" w:eastAsia="宋体" w:hint="default"/>
                <w:sz w:val="18"/>
                <w:szCs w:val="18"/>
              </w:rPr>
              <w:t>计提比例</w:t>
            </w:r>
            <w:r>
              <w:rPr>
                <w:rFonts w:ascii="Times New Roman" w:hAnsi="Times New Roman" w:cs="Times New Roman" w:eastAsia="Times New Roman" w:hint="default"/>
                <w:sz w:val="21"/>
                <w:szCs w:val="21"/>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56" w:right="0"/>
              <w:jc w:val="left"/>
              <w:rPr>
                <w:rFonts w:ascii="Times New Roman" w:hAnsi="Times New Roman" w:cs="Times New Roman" w:eastAsia="Times New Roman" w:hint="default"/>
                <w:sz w:val="21"/>
                <w:szCs w:val="21"/>
              </w:rPr>
            </w:pPr>
            <w:r>
              <w:rPr>
                <w:rFonts w:ascii="宋体" w:hAnsi="宋体" w:cs="宋体" w:eastAsia="宋体" w:hint="default"/>
                <w:sz w:val="18"/>
                <w:szCs w:val="18"/>
              </w:rPr>
              <w:t>计提比例</w:t>
            </w:r>
            <w:r>
              <w:rPr>
                <w:rFonts w:ascii="Times New Roman" w:hAnsi="Times New Roman" w:cs="Times New Roman" w:eastAsia="Times New Roman" w:hint="default"/>
                <w:sz w:val="21"/>
                <w:szCs w:val="21"/>
              </w:rPr>
              <w:t>(%)</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纳入合并范围的关联方欠款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8" w:right="0"/>
              <w:jc w:val="left"/>
              <w:rPr>
                <w:rFonts w:ascii="Times New Roman" w:hAnsi="Times New Roman" w:cs="Times New Roman" w:eastAsia="Times New Roman" w:hint="default"/>
                <w:sz w:val="18"/>
                <w:szCs w:val="18"/>
              </w:rPr>
            </w:pPr>
            <w:r>
              <w:rPr>
                <w:rFonts w:ascii="Times New Roman"/>
                <w:sz w:val="18"/>
              </w:rPr>
              <w:t>3,027,068.00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94" w:val="left" w:leader="none"/>
              </w:tabs>
              <w:spacing w:line="260" w:lineRule="exact"/>
              <w:ind w:left="103" w:right="0"/>
              <w:jc w:val="left"/>
              <w:rPr>
                <w:rFonts w:ascii="宋体" w:hAnsi="宋体" w:cs="宋体" w:eastAsia="宋体" w:hint="default"/>
                <w:sz w:val="21"/>
                <w:szCs w:val="21"/>
              </w:rPr>
            </w:pPr>
            <w:r>
              <w:rPr>
                <w:rFonts w:ascii="宋体" w:hAnsi="宋体" w:cs="宋体" w:eastAsia="宋体" w:hint="default"/>
                <w:sz w:val="18"/>
                <w:szCs w:val="18"/>
              </w:rPr>
              <w:t>小</w:t>
              <w:tab/>
            </w:r>
            <w:r>
              <w:rPr>
                <w:rFonts w:ascii="宋体" w:hAnsi="宋体" w:cs="宋体" w:eastAsia="宋体" w:hint="default"/>
                <w:sz w:val="21"/>
                <w:szCs w:val="21"/>
              </w:rPr>
              <w:t>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8" w:right="0"/>
              <w:jc w:val="left"/>
              <w:rPr>
                <w:rFonts w:ascii="Times New Roman" w:hAnsi="Times New Roman" w:cs="Times New Roman" w:eastAsia="Times New Roman" w:hint="default"/>
                <w:sz w:val="18"/>
                <w:szCs w:val="18"/>
              </w:rPr>
            </w:pPr>
            <w:r>
              <w:rPr>
                <w:rFonts w:ascii="Times New Roman"/>
                <w:sz w:val="18"/>
              </w:rPr>
              <w:t>3,027,068.00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本期计提、收回或转回的坏账准备情况" w:id="335"/>
      <w:bookmarkEnd w:id="3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t>本期计提坏账准备金额</w:t>
      </w:r>
      <w:r>
        <w:rPr>
          <w:spacing w:val="-47"/>
        </w:rPr>
        <w:t> </w:t>
      </w:r>
      <w:r>
        <w:rPr>
          <w:rFonts w:ascii="Times New Roman" w:hAnsi="Times New Roman" w:cs="Times New Roman" w:eastAsia="Times New Roman" w:hint="default"/>
        </w:rPr>
        <w:t>3,172,937.66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按欠款方归集的期末余额前五名的应收账款情况" w:id="336"/>
      <w:bookmarkEnd w:id="336"/>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BodyText"/>
        <w:spacing w:line="240" w:lineRule="auto" w:before="44"/>
        <w:ind w:left="0" w:right="1130"/>
        <w:jc w:val="right"/>
      </w:pPr>
      <w:r>
        <w:rPr/>
        <w:t>单位</w:t>
      </w:r>
      <w:r>
        <w:rPr>
          <w:spacing w:val="-82"/>
        </w:rPr>
        <w:t>：</w:t>
      </w:r>
      <w:r>
        <w:rPr/>
        <w:t>元</w:t>
      </w:r>
    </w:p>
    <w:p>
      <w:pPr>
        <w:spacing w:line="240" w:lineRule="auto" w:before="0"/>
        <w:rPr>
          <w:rFonts w:ascii="宋体" w:hAnsi="宋体" w:cs="宋体" w:eastAsia="宋体" w:hint="default"/>
          <w:sz w:val="5"/>
          <w:szCs w:val="5"/>
        </w:rPr>
      </w:pPr>
    </w:p>
    <w:tbl>
      <w:tblPr>
        <w:tblW w:w="0" w:type="auto"/>
        <w:jc w:val="left"/>
        <w:tblInd w:w="1021" w:type="dxa"/>
        <w:tblLayout w:type="fixed"/>
        <w:tblCellMar>
          <w:top w:w="0" w:type="dxa"/>
          <w:left w:w="0" w:type="dxa"/>
          <w:bottom w:w="0" w:type="dxa"/>
          <w:right w:w="0" w:type="dxa"/>
        </w:tblCellMar>
        <w:tblLook w:val="01E0"/>
      </w:tblPr>
      <w:tblGrid>
        <w:gridCol w:w="3646"/>
        <w:gridCol w:w="2009"/>
        <w:gridCol w:w="2684"/>
        <w:gridCol w:w="1517"/>
      </w:tblGrid>
      <w:tr>
        <w:trPr>
          <w:trHeight w:val="322" w:hRule="exact"/>
        </w:trPr>
        <w:tc>
          <w:tcPr>
            <w:tcW w:w="3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占应收账款余额的比例（</w:t>
            </w:r>
            <w:r>
              <w:rPr>
                <w:rFonts w:ascii="宋体" w:hAnsi="宋体" w:cs="宋体" w:eastAsia="宋体" w:hint="default"/>
                <w:sz w:val="18"/>
                <w:szCs w:val="18"/>
              </w:rPr>
              <w:t>%</w:t>
            </w:r>
            <w:r>
              <w:rPr>
                <w:rFonts w:ascii="宋体" w:hAnsi="宋体" w:cs="宋体" w:eastAsia="宋体" w:hint="default"/>
                <w:sz w:val="18"/>
                <w:szCs w:val="18"/>
              </w:rPr>
              <w:t>）</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3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23,281,182.65</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17.26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1,279,340.91</w:t>
            </w:r>
          </w:p>
        </w:tc>
      </w:tr>
      <w:tr>
        <w:trPr>
          <w:trHeight w:val="323" w:hRule="exact"/>
        </w:trPr>
        <w:tc>
          <w:tcPr>
            <w:tcW w:w="3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17,757,571.43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13.17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1,848,498.63</w:t>
            </w:r>
          </w:p>
        </w:tc>
      </w:tr>
      <w:tr>
        <w:trPr>
          <w:trHeight w:val="322" w:hRule="exact"/>
        </w:trPr>
        <w:tc>
          <w:tcPr>
            <w:tcW w:w="3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中国邮政集团公司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12,228,451.73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9.07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1,097,797.82</w:t>
            </w:r>
          </w:p>
        </w:tc>
      </w:tr>
      <w:tr>
        <w:trPr>
          <w:trHeight w:val="322" w:hRule="exact"/>
        </w:trPr>
        <w:tc>
          <w:tcPr>
            <w:tcW w:w="3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广发银行股份有限公司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5,793,611.12</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4.30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314,197.11</w:t>
            </w:r>
          </w:p>
        </w:tc>
      </w:tr>
      <w:tr>
        <w:trPr>
          <w:trHeight w:val="323" w:hRule="exact"/>
        </w:trPr>
        <w:tc>
          <w:tcPr>
            <w:tcW w:w="3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4,581,489.76</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z w:val="21"/>
              </w:rPr>
              <w:t>3.40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280,202.52</w:t>
            </w:r>
          </w:p>
        </w:tc>
      </w:tr>
      <w:tr>
        <w:trPr>
          <w:trHeight w:val="322" w:hRule="exact"/>
        </w:trPr>
        <w:tc>
          <w:tcPr>
            <w:tcW w:w="3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63,642,306.69</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47.20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4,820,036.99</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2、其他应收款" w:id="337"/>
      <w:bookmarkEnd w:id="33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其他应收款分类披露" w:id="338"/>
      <w:bookmarkEnd w:id="33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4,773,89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2.38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544,191.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4,229,701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12,550,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996.41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1,243,922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11,307,073.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4,773,89</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2.38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544,191.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11.40%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4,229,701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12,550,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996.41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1,243,922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9.91%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11,307,073.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期末单项金额重大并单项计提坏账准备的其他应收款：</w:t>
      </w:r>
    </w:p>
    <w:p>
      <w:pPr>
        <w:spacing w:line="240" w:lineRule="auto" w:before="12"/>
        <w:rPr>
          <w:rFonts w:ascii="宋体" w:hAnsi="宋体" w:cs="宋体" w:eastAsia="宋体" w:hint="default"/>
          <w:sz w:val="20"/>
          <w:szCs w:val="20"/>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组合中，按账龄分析法计提坏账准备的其他应收款：</w:t>
      </w: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3,559,782.38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177,989.12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592,120.00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59,212.00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171,990.00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4,773,892.38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544,191.12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11.40%</w:t>
            </w:r>
          </w:p>
        </w:tc>
      </w:tr>
    </w:tbl>
    <w:p>
      <w:pPr>
        <w:spacing w:line="240" w:lineRule="auto" w:before="6"/>
        <w:rPr>
          <w:rFonts w:ascii="宋体" w:hAnsi="宋体" w:cs="宋体" w:eastAsia="宋体" w:hint="default"/>
          <w:sz w:val="6"/>
          <w:szCs w:val="6"/>
        </w:rPr>
      </w:pPr>
    </w:p>
    <w:p>
      <w:pPr>
        <w:pStyle w:val="BodyText"/>
        <w:spacing w:line="518" w:lineRule="auto" w:before="44"/>
        <w:ind w:left="1134" w:right="6252"/>
        <w:jc w:val="left"/>
      </w:pPr>
      <w:r>
        <w:rPr/>
        <w:t>确定该组合依据的说明： 组合中，采用余额百分比法计提坏账准备的其他应收款：</w:t>
      </w:r>
    </w:p>
    <w:p>
      <w:pPr>
        <w:pStyle w:val="BodyText"/>
        <w:spacing w:line="489" w:lineRule="auto" w:before="63"/>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85"/>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339"/>
      <w:bookmarkEnd w:id="3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t>本期计提坏账准备金额</w:t>
      </w:r>
      <w:r>
        <w:rPr>
          <w:rFonts w:ascii="Times New Roman" w:hAnsi="Times New Roman" w:cs="Times New Roman" w:eastAsia="Times New Roman" w:hint="default"/>
        </w:rPr>
        <w:t>-699,731.52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其他应收款按款项性质分类情况" w:id="340"/>
      <w:bookmarkEnd w:id="340"/>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4,592,954.00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上市服务费</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4,202,500.00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2,758,241.77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2,306,732.00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2,015,650.61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1,448,810.41</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4,773,892.38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12,550,996.41</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4）按欠款方归集的期末余额前五名的其他应收款情况" w:id="341"/>
      <w:bookmarkEnd w:id="341"/>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5"/>
        <w:gridCol w:w="1551"/>
        <w:gridCol w:w="1552"/>
        <w:gridCol w:w="1553"/>
        <w:gridCol w:w="1614"/>
        <w:gridCol w:w="1604"/>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广州农商行投标保证 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王邱颖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219,713.39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10,985.67</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广州农商行质量保证 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沈永春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165,924.70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8,296.24</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北京中盾安全技术公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991,638.09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102,081.91</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3、长期股权投资" w:id="342"/>
      <w:bookmarkEnd w:id="34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12,237,071.87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1,558,829.12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10,678,242.75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12,237,071.87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11,237,071.87</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12,237,071.87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1,558,829.12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10,678,242.75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12,237,071.87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11,237,071.87</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1）对子公司投资" w:id="343"/>
      <w:bookmarkEnd w:id="34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广州市浩云安防 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10,237,071.87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10,237,071.87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广州市苏瑞计算 机科技有限公司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广州市万欣计算 机科技有限公司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558,829.12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558,829.12</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12,237,071.87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12,237,071.87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558,829.12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1,558,829.12</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4、营业收入和营业成本" w:id="344"/>
      <w:bookmarkEnd w:id="34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0"/>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465,368,372.49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273,434,723.70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383,897,965.79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226,724,124.79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465,368,372.49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273,434,723.70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383,897,965.79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226,724,124.79</w:t>
            </w: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5、投资收益" w:id="345"/>
      <w:bookmarkEnd w:id="34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463,808.22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463,808.22</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3"/>
        <w:spacing w:line="240" w:lineRule="auto" w:before="35"/>
        <w:ind w:left="1134" w:right="0"/>
        <w:jc w:val="left"/>
        <w:rPr>
          <w:b w:val="0"/>
          <w:bCs w:val="0"/>
        </w:rPr>
      </w:pPr>
      <w:bookmarkStart w:name="6、其他" w:id="346"/>
      <w:bookmarkEnd w:id="346"/>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2"/>
          <w:szCs w:val="22"/>
        </w:rPr>
      </w:pPr>
    </w:p>
    <w:p>
      <w:pPr>
        <w:pStyle w:val="Heading2"/>
        <w:spacing w:line="240" w:lineRule="auto" w:before="166"/>
        <w:ind w:left="1134" w:right="0"/>
        <w:jc w:val="left"/>
        <w:rPr>
          <w:b w:val="0"/>
          <w:bCs w:val="0"/>
        </w:rPr>
      </w:pPr>
      <w:bookmarkStart w:name="十六、补充资料" w:id="347"/>
      <w:bookmarkEnd w:id="347"/>
      <w:r>
        <w:rPr>
          <w:b w:val="0"/>
          <w:bCs w:val="0"/>
        </w:rPr>
      </w:r>
      <w:r>
        <w:rPr/>
        <w:t>十六、补充资料</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63"/>
        <w:ind w:right="0"/>
        <w:jc w:val="left"/>
        <w:rPr>
          <w:b w:val="0"/>
          <w:bCs w:val="0"/>
        </w:rPr>
      </w:pPr>
      <w:bookmarkStart w:name="1、当期非经常性损益明细表" w:id="348"/>
      <w:bookmarkEnd w:id="34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-44,431.73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2,606,203.43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54,302.07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486,704.74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2,129,369.03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8"/>
        <w:rPr>
          <w:rFonts w:ascii="宋体" w:hAnsi="宋体" w:cs="宋体" w:eastAsia="宋体" w:hint="default"/>
          <w:sz w:val="16"/>
          <w:szCs w:val="16"/>
        </w:rPr>
      </w:pPr>
    </w:p>
    <w:p>
      <w:pPr>
        <w:pStyle w:val="BodyText"/>
        <w:spacing w:line="451" w:lineRule="auto"/>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15"/>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净资产收益率及每股收益" w:id="349"/>
      <w:bookmarkEnd w:id="34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0.87</w:t>
            </w:r>
          </w:p>
        </w:tc>
      </w:tr>
    </w:tbl>
    <w:p>
      <w:pPr>
        <w:spacing w:line="240" w:lineRule="auto" w:before="1"/>
        <w:rPr>
          <w:rFonts w:ascii="宋体" w:hAnsi="宋体" w:cs="宋体" w:eastAsia="宋体" w:hint="default"/>
          <w:b/>
          <w:bCs/>
          <w:sz w:val="25"/>
          <w:szCs w:val="25"/>
        </w:rPr>
      </w:pPr>
    </w:p>
    <w:p>
      <w:pPr>
        <w:pStyle w:val="Heading3"/>
        <w:spacing w:line="240" w:lineRule="auto" w:before="35"/>
        <w:ind w:left="1134" w:right="0"/>
        <w:jc w:val="left"/>
        <w:rPr>
          <w:b w:val="0"/>
          <w:bCs w:val="0"/>
        </w:rPr>
      </w:pPr>
      <w:bookmarkStart w:name="3、境内外会计准则下会计数据差异" w:id="350"/>
      <w:bookmarkEnd w:id="35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134" w:right="0"/>
        <w:jc w:val="left"/>
        <w:rPr>
          <w:b w:val="0"/>
          <w:bCs w:val="0"/>
        </w:rPr>
      </w:pPr>
      <w:bookmarkStart w:name="（1）同时按照国际会计准则与按中国会计准则披露的财务报告中净利润和净资产差异情况" w:id="351"/>
      <w:bookmarkEnd w:id="35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bookmarkStart w:name="（2）同时按照境外会计准则与按中国会计准则披露的财务报告中净利润和净资产差异情况" w:id="352"/>
      <w:bookmarkEnd w:id="35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386" w:lineRule="auto"/>
        <w:ind w:right="0"/>
        <w:jc w:val="left"/>
        <w:rPr>
          <w:b w:val="0"/>
          <w:bCs w:val="0"/>
        </w:rPr>
      </w:pPr>
      <w:bookmarkStart w:name="（3）境内外会计准则下会计数据差异原因说明，对已经境外审计机构审计的数据进行差异" w:id="353"/>
      <w:bookmarkEnd w:id="35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12"/>
        <w:rPr>
          <w:rFonts w:ascii="宋体" w:hAnsi="宋体" w:cs="宋体" w:eastAsia="宋体" w:hint="default"/>
          <w:b/>
          <w:bCs/>
          <w:sz w:val="27"/>
          <w:szCs w:val="27"/>
        </w:rPr>
      </w:pPr>
    </w:p>
    <w:p>
      <w:pPr>
        <w:pStyle w:val="Heading3"/>
        <w:spacing w:line="240" w:lineRule="auto"/>
        <w:ind w:right="0"/>
        <w:jc w:val="left"/>
        <w:rPr>
          <w:b w:val="0"/>
          <w:bCs w:val="0"/>
        </w:rPr>
      </w:pPr>
      <w:bookmarkStart w:name="4、其他" w:id="354"/>
      <w:bookmarkEnd w:id="35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21" w:right="3222"/>
        <w:jc w:val="center"/>
        <w:rPr>
          <w:b w:val="0"/>
          <w:bCs w:val="0"/>
        </w:rPr>
      </w:pPr>
      <w:bookmarkStart w:name="第十一节 备查文件目录" w:id="355"/>
      <w:bookmarkEnd w:id="355"/>
      <w:r>
        <w:rPr>
          <w:b w:val="0"/>
          <w:bCs w:val="0"/>
        </w:rPr>
      </w:r>
      <w:bookmarkStart w:name="_bookmark9" w:id="356"/>
      <w:bookmarkEnd w:id="356"/>
      <w:r>
        <w:rPr>
          <w:b w:val="0"/>
          <w:bCs w:val="0"/>
        </w:rPr>
      </w:r>
      <w:r>
        <w:rPr/>
        <w:t>第十一节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Heading2"/>
        <w:spacing w:line="352" w:lineRule="auto"/>
        <w:ind w:right="0"/>
        <w:jc w:val="left"/>
        <w:rPr>
          <w:b w:val="0"/>
          <w:bCs w:val="0"/>
        </w:rPr>
      </w:pPr>
      <w:r>
        <w:rPr/>
        <w:t>一、经公司法定代表人雷洪文先生签名的</w:t>
      </w:r>
      <w:r>
        <w:rPr>
          <w:rFonts w:ascii="Times New Roman" w:hAnsi="Times New Roman" w:cs="Times New Roman" w:eastAsia="Times New Roman" w:hint="default"/>
        </w:rPr>
        <w:t>2015</w:t>
      </w:r>
      <w:r>
        <w:rPr/>
        <w:t>年年度报告文本。</w:t>
      </w:r>
      <w:r>
        <w:rPr>
          <w:w w:val="99"/>
        </w:rPr>
        <w:t> </w:t>
      </w:r>
      <w:r>
        <w:rPr>
          <w:w w:val="95"/>
        </w:rPr>
        <w:t>二、载有公司法定代表人雷洪文先生、主管会计工作负责人劳仲秀女士、会计机构负责人简</w:t>
      </w:r>
      <w:r>
        <w:rPr>
          <w:spacing w:val="99"/>
          <w:w w:val="95"/>
        </w:rPr>
        <w:t> </w:t>
      </w:r>
      <w:r>
        <w:rPr/>
        <w:t>玉琴女士签名并盖章的财务报表。</w:t>
      </w:r>
      <w:r>
        <w:rPr>
          <w:w w:val="99"/>
        </w:rPr>
        <w:t> </w:t>
      </w:r>
      <w:r>
        <w:rPr/>
        <w:t>三、载有会计师事务所盖章、注册会计师签名并盖章的审计报告原件。</w:t>
      </w:r>
      <w:r>
        <w:rPr>
          <w:w w:val="99"/>
        </w:rPr>
        <w:t> </w:t>
      </w:r>
      <w:r>
        <w:rPr/>
        <w:t>四、报告期内在中国证监会指定网站上公开披露过的所有公司文件的正本及公告的原稿。</w:t>
      </w:r>
      <w:r>
        <w:rPr>
          <w:w w:val="99"/>
        </w:rPr>
        <w:t> </w:t>
      </w:r>
      <w:r>
        <w:rPr/>
        <w:t>五、其他有关资料。</w:t>
      </w:r>
      <w:r>
        <w:rPr>
          <w:b w:val="0"/>
          <w:bCs w:val="0"/>
        </w:rPr>
      </w:r>
    </w:p>
    <w:p>
      <w:pPr>
        <w:pStyle w:val="Heading2"/>
        <w:spacing w:line="240" w:lineRule="auto" w:before="41"/>
        <w:ind w:right="0"/>
        <w:jc w:val="left"/>
        <w:rPr>
          <w:b w:val="0"/>
          <w:bCs w:val="0"/>
        </w:rPr>
      </w:pPr>
      <w:r>
        <w:rPr/>
        <w:t>以上备查文件的备置地点：公司董事会办公室</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23"/>
          <w:szCs w:val="23"/>
        </w:rPr>
      </w:pPr>
    </w:p>
    <w:p>
      <w:pPr>
        <w:pStyle w:val="Heading2"/>
        <w:spacing w:line="240" w:lineRule="auto"/>
        <w:ind w:left="7158" w:right="0"/>
        <w:jc w:val="left"/>
        <w:rPr>
          <w:b w:val="0"/>
          <w:bCs w:val="0"/>
        </w:rPr>
      </w:pPr>
      <w:r>
        <w:rPr/>
        <w:t>广州市浩云安防科技股份有限公司</w:t>
      </w:r>
      <w:r>
        <w:rPr>
          <w:b w:val="0"/>
          <w:bCs w:val="0"/>
        </w:rPr>
      </w:r>
    </w:p>
    <w:p>
      <w:pPr>
        <w:pStyle w:val="Heading2"/>
        <w:spacing w:line="357" w:lineRule="auto" w:before="154"/>
        <w:ind w:left="8123" w:right="0" w:firstLine="118"/>
        <w:jc w:val="left"/>
        <w:rPr>
          <w:b w:val="0"/>
          <w:bCs w:val="0"/>
        </w:rPr>
      </w:pPr>
      <w:r>
        <w:rPr/>
        <w:t>法定代表人：雷洪文</w:t>
      </w:r>
      <w:r>
        <w:rPr>
          <w:w w:val="99"/>
        </w:rPr>
        <w:t> </w:t>
      </w:r>
      <w:r>
        <w:rPr>
          <w:w w:val="95"/>
        </w:rPr>
        <w:t>二〇一六年四月十四日</w:t>
      </w:r>
      <w:r>
        <w:rPr>
          <w:b w:val="0"/>
          <w:bCs w:val="0"/>
        </w:rPr>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2168" type="#_x0000_t75" stroked="false">
          <v:imagedata r:id="rId1" o:title=""/>
        </v:shape>
      </w:pict>
    </w:r>
    <w:r>
      <w:rPr/>
      <w:pict>
        <v:shape style="position:absolute;margin-left:533.179993pt;margin-top:795.517944pt;width:6.5pt;height:11pt;mso-position-horizontal-relative:page;mso-position-vertical-relative:page;z-index:-9221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2120" type="#_x0000_t75" stroked="false">
          <v:imagedata r:id="rId1" o:title=""/>
        </v:shape>
      </w:pict>
    </w:r>
    <w:r>
      <w:rPr/>
      <w:pict>
        <v:shape style="position:absolute;margin-left:527.679993pt;margin-top:781.957947pt;width:13pt;height:11pt;mso-position-horizontal-relative:page;mso-position-vertical-relative:page;z-index:-922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2072" type="#_x0000_t75" stroked="false">
          <v:imagedata r:id="rId1" o:title=""/>
        </v:shape>
      </w:pict>
    </w:r>
    <w:r>
      <w:rPr/>
      <w:pict>
        <v:shape style="position:absolute;margin-left:524.179993pt;margin-top:781.957947pt;width:15.5pt;height:11pt;mso-position-horizontal-relative:page;mso-position-vertical-relative:page;z-index:-9220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22024" type="#_x0000_t75" stroked="false">
          <v:imagedata r:id="rId1" o:title=""/>
        </v:shape>
      </w:pict>
    </w:r>
    <w:r>
      <w:rPr/>
      <w:pict>
        <v:shape style="position:absolute;margin-left:523.179993pt;margin-top:781.957947pt;width:17.5pt;height:11pt;mso-position-horizontal-relative:page;mso-position-vertical-relative:page;z-index:-922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60004pt;margin-top:36.325607pt;width:222.55pt;height:11.5pt;mso-position-horizontal-relative:page;mso-position-vertical-relative:page;z-index:-922192" type="#_x0000_t202" filled="false" stroked="false">
          <v:textbox inset="0,0,0,0">
            <w:txbxContent>
              <w:p>
                <w:pPr>
                  <w:pStyle w:val="BodyText"/>
                  <w:spacing w:line="214" w:lineRule="exact"/>
                  <w:ind w:left="20" w:right="0"/>
                  <w:jc w:val="left"/>
                </w:pPr>
                <w:r>
                  <w:rPr/>
                  <w:t>广州市浩云安防科技股份有限公司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1"/>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222"/>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ind w:left="113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aoyuntech.com/" TargetMode="External"/><Relationship Id="rId10" Type="http://schemas.openxmlformats.org/officeDocument/2006/relationships/hyperlink" Target="mailto:zqb@haoyuntech.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footer" Target="footer3.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广州市浩云安防科技股份有限公司</dc:creator>
  <dc:title>广州市浩云安防科技股份有限公司2015年年度报告全文</dc:title>
  <dcterms:created xsi:type="dcterms:W3CDTF">2020-05-04T17:03:37Z</dcterms:created>
  <dcterms:modified xsi:type="dcterms:W3CDTF">2020-05-04T17:03:37Z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Microsoft® Office Word 2007</vt:lpwstr>
  </property>
  <property fmtid="{D5CDD505-2E9C-101B-9397-08002B2CF9AE}" pid="4" name="LastSaved">
    <vt:filetime>2020-05-04T00:00:00Z</vt:filetime>
  </property>
</Properties>
</file>